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08A598" w14:textId="5A3DBEE2" w:rsidR="001A0CCA" w:rsidRPr="00C921A4" w:rsidRDefault="006B4CDA" w:rsidP="007956F7">
      <w:pPr>
        <w:outlineLvl w:val="0"/>
        <w:rPr>
          <w:u w:val="single"/>
        </w:rPr>
      </w:pPr>
      <w:bookmarkStart w:id="0" w:name="_GoBack"/>
      <w:bookmarkEnd w:id="0"/>
      <w:r w:rsidRPr="00C921A4">
        <w:rPr>
          <w:u w:val="single"/>
        </w:rPr>
        <w:t xml:space="preserve">Needs assessment </w:t>
      </w:r>
    </w:p>
    <w:p w14:paraId="4A90E090" w14:textId="23861806" w:rsidR="00A207BB" w:rsidRPr="00C921A4" w:rsidRDefault="00A207BB">
      <w:pPr>
        <w:rPr>
          <w:sz w:val="32"/>
          <w:szCs w:val="32"/>
          <w:u w:val="single"/>
        </w:rPr>
      </w:pPr>
    </w:p>
    <w:p w14:paraId="01C59C67" w14:textId="7ADE5B8E" w:rsidR="000C5889" w:rsidRPr="00A9670B" w:rsidRDefault="00A9670B">
      <w:r w:rsidRPr="00A9670B">
        <w:t>The following needs assessment of Swansea, will allow m</w:t>
      </w:r>
      <w:r w:rsidR="00AC57C5">
        <w:t>e to identify po</w:t>
      </w:r>
      <w:r w:rsidR="00153E04">
        <w:t>tential socio-economic issues</w:t>
      </w:r>
      <w:r w:rsidRPr="00A9670B">
        <w:t xml:space="preserve"> by analysing and comparing recent data. The purpose of this needs assessment is to allow me to identify a need </w:t>
      </w:r>
      <w:r w:rsidR="00153E04">
        <w:t>or collection of needs that require</w:t>
      </w:r>
      <w:r w:rsidRPr="00A9670B">
        <w:t xml:space="preserve"> improving. </w:t>
      </w:r>
    </w:p>
    <w:p w14:paraId="150DC947" w14:textId="14D00DEE" w:rsidR="005A1C83" w:rsidRDefault="005A1C83">
      <w:pPr>
        <w:rPr>
          <w:sz w:val="32"/>
          <w:szCs w:val="32"/>
        </w:rPr>
      </w:pPr>
    </w:p>
    <w:p w14:paraId="7DAFDB9A" w14:textId="5D00AD4E" w:rsidR="00A9670B" w:rsidRPr="00C921A4" w:rsidRDefault="00F45CA3" w:rsidP="007956F7">
      <w:pPr>
        <w:outlineLvl w:val="0"/>
        <w:rPr>
          <w:sz w:val="21"/>
          <w:szCs w:val="21"/>
          <w:u w:val="single"/>
        </w:rPr>
      </w:pPr>
      <w:r>
        <w:rPr>
          <w:sz w:val="21"/>
          <w:szCs w:val="21"/>
          <w:u w:val="single"/>
        </w:rPr>
        <w:t xml:space="preserve">Population Data </w:t>
      </w:r>
    </w:p>
    <w:p w14:paraId="5E88900A" w14:textId="076F6F41" w:rsidR="00A9670B" w:rsidRDefault="00435A94" w:rsidP="005A1C83">
      <w:pPr>
        <w:rPr>
          <w:sz w:val="21"/>
          <w:szCs w:val="21"/>
        </w:rPr>
      </w:pPr>
      <w:r>
        <w:rPr>
          <w:noProof/>
          <w:lang w:eastAsia="en-GB"/>
        </w:rPr>
        <w:drawing>
          <wp:anchor distT="0" distB="0" distL="114300" distR="114300" simplePos="0" relativeHeight="251673600" behindDoc="0" locked="0" layoutInCell="1" allowOverlap="1" wp14:anchorId="6F3A82E3" wp14:editId="32044853">
            <wp:simplePos x="0" y="0"/>
            <wp:positionH relativeFrom="column">
              <wp:posOffset>506095</wp:posOffset>
            </wp:positionH>
            <wp:positionV relativeFrom="paragraph">
              <wp:posOffset>143510</wp:posOffset>
            </wp:positionV>
            <wp:extent cx="4572000" cy="2743200"/>
            <wp:effectExtent l="0" t="0" r="0" b="0"/>
            <wp:wrapTight wrapText="bothSides">
              <wp:wrapPolygon edited="0">
                <wp:start x="0" y="0"/>
                <wp:lineTo x="0" y="21400"/>
                <wp:lineTo x="21480" y="21400"/>
                <wp:lineTo x="21480"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page">
              <wp14:pctWidth>0</wp14:pctWidth>
            </wp14:sizeRelH>
            <wp14:sizeRelV relativeFrom="page">
              <wp14:pctHeight>0</wp14:pctHeight>
            </wp14:sizeRelV>
          </wp:anchor>
        </w:drawing>
      </w:r>
    </w:p>
    <w:p w14:paraId="72EDA61F" w14:textId="5BD4A29E" w:rsidR="00901CEA" w:rsidRDefault="00901CEA" w:rsidP="005A1C83">
      <w:pPr>
        <w:rPr>
          <w:sz w:val="21"/>
          <w:szCs w:val="21"/>
        </w:rPr>
      </w:pPr>
    </w:p>
    <w:p w14:paraId="220AEE12" w14:textId="77777777" w:rsidR="00901CEA" w:rsidRDefault="00901CEA" w:rsidP="005A1C83">
      <w:pPr>
        <w:rPr>
          <w:sz w:val="21"/>
          <w:szCs w:val="21"/>
        </w:rPr>
      </w:pPr>
    </w:p>
    <w:p w14:paraId="5CCC6F92" w14:textId="1BF92269" w:rsidR="00A9670B" w:rsidRDefault="00A9670B" w:rsidP="005A1C83">
      <w:pPr>
        <w:rPr>
          <w:sz w:val="21"/>
          <w:szCs w:val="21"/>
        </w:rPr>
      </w:pPr>
    </w:p>
    <w:p w14:paraId="29E10A22" w14:textId="416A225B" w:rsidR="00A9670B" w:rsidRDefault="00A9670B" w:rsidP="005A1C83">
      <w:pPr>
        <w:rPr>
          <w:sz w:val="21"/>
          <w:szCs w:val="21"/>
        </w:rPr>
      </w:pPr>
    </w:p>
    <w:p w14:paraId="394E88E1" w14:textId="77777777" w:rsidR="00A9670B" w:rsidRDefault="00A9670B" w:rsidP="005A1C83">
      <w:pPr>
        <w:rPr>
          <w:sz w:val="21"/>
          <w:szCs w:val="21"/>
        </w:rPr>
      </w:pPr>
    </w:p>
    <w:p w14:paraId="14E5E101" w14:textId="0594620F" w:rsidR="00A9670B" w:rsidRDefault="00A9670B" w:rsidP="005A1C83">
      <w:pPr>
        <w:rPr>
          <w:sz w:val="21"/>
          <w:szCs w:val="21"/>
        </w:rPr>
      </w:pPr>
    </w:p>
    <w:p w14:paraId="703576C2" w14:textId="3685ECA2" w:rsidR="00A9670B" w:rsidRDefault="00A9670B" w:rsidP="00A9670B">
      <w:pPr>
        <w:rPr>
          <w:sz w:val="21"/>
          <w:szCs w:val="21"/>
        </w:rPr>
      </w:pPr>
    </w:p>
    <w:p w14:paraId="3BFA8357" w14:textId="058FB92A" w:rsidR="00A9670B" w:rsidRDefault="00A9670B" w:rsidP="00A9670B">
      <w:pPr>
        <w:jc w:val="center"/>
        <w:rPr>
          <w:sz w:val="21"/>
          <w:szCs w:val="21"/>
        </w:rPr>
      </w:pPr>
    </w:p>
    <w:p w14:paraId="148D7E1E" w14:textId="3C838507" w:rsidR="00A9670B" w:rsidRPr="00A9670B" w:rsidRDefault="00A9670B" w:rsidP="00A9670B">
      <w:pPr>
        <w:jc w:val="center"/>
        <w:rPr>
          <w:sz w:val="21"/>
          <w:szCs w:val="21"/>
        </w:rPr>
      </w:pPr>
    </w:p>
    <w:p w14:paraId="13C6E5BA" w14:textId="653B0AA1" w:rsidR="00B9412A" w:rsidRPr="005A1C83" w:rsidRDefault="00B9412A" w:rsidP="00B9412A">
      <w:pPr>
        <w:rPr>
          <w:sz w:val="21"/>
          <w:szCs w:val="21"/>
        </w:rPr>
      </w:pPr>
    </w:p>
    <w:p w14:paraId="5067BEA7" w14:textId="612491CE" w:rsidR="00B9412A" w:rsidRDefault="00B9412A" w:rsidP="00B9412A">
      <w:pPr>
        <w:rPr>
          <w:sz w:val="32"/>
          <w:szCs w:val="32"/>
        </w:rPr>
      </w:pPr>
    </w:p>
    <w:p w14:paraId="16A520E1" w14:textId="75F1F521" w:rsidR="00C75E57" w:rsidRDefault="00C75E57" w:rsidP="005A1C83">
      <w:pPr>
        <w:rPr>
          <w:sz w:val="32"/>
          <w:szCs w:val="32"/>
        </w:rPr>
      </w:pPr>
    </w:p>
    <w:p w14:paraId="57EB2729" w14:textId="17775734" w:rsidR="00C75E57" w:rsidRDefault="00C75E57" w:rsidP="005A1C83"/>
    <w:p w14:paraId="734A3E69" w14:textId="0AA30049" w:rsidR="00C75E57" w:rsidRDefault="00C75E57" w:rsidP="00C75E57"/>
    <w:p w14:paraId="02493F47" w14:textId="6DB35782" w:rsidR="00C75E57" w:rsidRDefault="00435A94" w:rsidP="00C75E57">
      <w:r>
        <w:rPr>
          <w:noProof/>
          <w:sz w:val="32"/>
          <w:szCs w:val="32"/>
          <w:lang w:eastAsia="en-GB"/>
        </w:rPr>
        <mc:AlternateContent>
          <mc:Choice Requires="wps">
            <w:drawing>
              <wp:anchor distT="0" distB="0" distL="114300" distR="114300" simplePos="0" relativeHeight="251660288" behindDoc="0" locked="0" layoutInCell="1" allowOverlap="1" wp14:anchorId="19B40E51" wp14:editId="35A18079">
                <wp:simplePos x="0" y="0"/>
                <wp:positionH relativeFrom="column">
                  <wp:posOffset>47625</wp:posOffset>
                </wp:positionH>
                <wp:positionV relativeFrom="paragraph">
                  <wp:posOffset>336550</wp:posOffset>
                </wp:positionV>
                <wp:extent cx="5943600" cy="4572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59436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7291633" w14:textId="15C35F55" w:rsidR="001A0CCA" w:rsidRPr="00C921A4" w:rsidRDefault="001A0CCA" w:rsidP="00C921A4">
                            <w:r w:rsidRPr="00F2488E">
                              <w:rPr>
                                <w:b/>
                              </w:rPr>
                              <w:t>Figure 1.1</w:t>
                            </w:r>
                            <w:r>
                              <w:t xml:space="preserve"> Graph showing a mid-year </w:t>
                            </w:r>
                            <w:r w:rsidRPr="00A35D12">
                              <w:t>estimation of the population within the Un</w:t>
                            </w:r>
                            <w:r>
                              <w:t xml:space="preserve">ited Kingdom from 1971 to 2016.  Data source: </w:t>
                            </w:r>
                            <w:r w:rsidRPr="00C921A4">
                              <w:t>(https://www.ons.gov.uk)</w:t>
                            </w:r>
                            <w:r w:rsidRPr="00C921A4">
                              <w:rPr>
                                <w:noProof/>
                                <w:lang w:eastAsia="en-GB"/>
                              </w:rPr>
                              <w:t xml:space="preserve"> </w:t>
                            </w:r>
                          </w:p>
                          <w:p w14:paraId="4E455F85" w14:textId="77777777" w:rsidR="001A0CCA" w:rsidRPr="00C921A4" w:rsidRDefault="001A0CCA" w:rsidP="00C921A4"/>
                          <w:p w14:paraId="4B8D0F49" w14:textId="77777777" w:rsidR="001A0CCA" w:rsidRPr="00A35D12" w:rsidRDefault="001A0CCA" w:rsidP="008E7BD9"/>
                          <w:p w14:paraId="7D9034BD" w14:textId="77777777" w:rsidR="001A0CCA" w:rsidRDefault="001A0CCA" w:rsidP="008E7BD9">
                            <w:pPr>
                              <w:rPr>
                                <w:sz w:val="32"/>
                                <w:szCs w:val="32"/>
                              </w:rPr>
                            </w:pPr>
                          </w:p>
                          <w:p w14:paraId="204432F8" w14:textId="77777777" w:rsidR="001A0CCA" w:rsidRDefault="001A0C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B40E51" id="_x0000_t202" coordsize="21600,21600" o:spt="202" path="m0,0l0,21600,21600,21600,21600,0xe">
                <v:stroke joinstyle="miter"/>
                <v:path gradientshapeok="t" o:connecttype="rect"/>
              </v:shapetype>
              <v:shape id="Text Box 7" o:spid="_x0000_s1026" type="#_x0000_t202" style="position:absolute;margin-left:3.75pt;margin-top:26.5pt;width:468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" filled="f" stroked="f">
                <v:textbox>
                  <w:txbxContent>
                    <w:p w14:paraId="07291633" w14:textId="15C35F55" w:rsidR="001A0CCA" w:rsidRPr="00C921A4" w:rsidRDefault="001A0CCA" w:rsidP="00C921A4">
                      <w:r w:rsidRPr="00F2488E">
                        <w:rPr>
                          <w:b/>
                        </w:rPr>
                        <w:t>Figure 1.1</w:t>
                      </w:r>
                      <w:r>
                        <w:t xml:space="preserve"> Graph showing a mid-year </w:t>
                      </w:r>
                      <w:r w:rsidRPr="00A35D12">
                        <w:t>estimation of the population within the Un</w:t>
                      </w:r>
                      <w:r>
                        <w:t xml:space="preserve">ited Kingdom from 1971 to 2016.  Data source: </w:t>
                      </w:r>
                      <w:r w:rsidRPr="00C921A4">
                        <w:t>(https://www.ons.gov.uk)</w:t>
                      </w:r>
                      <w:r w:rsidRPr="00C921A4">
                        <w:rPr>
                          <w:noProof/>
                          <w:lang w:eastAsia="en-GB"/>
                        </w:rPr>
                        <w:t xml:space="preserve"> </w:t>
                      </w:r>
                    </w:p>
                    <w:p w14:paraId="4E455F85" w14:textId="77777777" w:rsidR="001A0CCA" w:rsidRPr="00C921A4" w:rsidRDefault="001A0CCA" w:rsidP="00C921A4"/>
                    <w:p w14:paraId="4B8D0F49" w14:textId="77777777" w:rsidR="001A0CCA" w:rsidRPr="00A35D12" w:rsidRDefault="001A0CCA" w:rsidP="008E7BD9"/>
                    <w:p w14:paraId="7D9034BD" w14:textId="77777777" w:rsidR="001A0CCA" w:rsidRDefault="001A0CCA" w:rsidP="008E7BD9">
                      <w:pPr>
                        <w:rPr>
                          <w:sz w:val="32"/>
                          <w:szCs w:val="32"/>
                        </w:rPr>
                      </w:pPr>
                    </w:p>
                    <w:p w14:paraId="204432F8" w14:textId="77777777" w:rsidR="001A0CCA" w:rsidRDefault="001A0CCA"/>
                  </w:txbxContent>
                </v:textbox>
                <w10:wrap type="square"/>
              </v:shape>
            </w:pict>
          </mc:Fallback>
        </mc:AlternateContent>
      </w:r>
    </w:p>
    <w:p w14:paraId="4F0D4775" w14:textId="35ECCEDA" w:rsidR="00C75E57" w:rsidRDefault="00C75E57" w:rsidP="00C75E57"/>
    <w:tbl>
      <w:tblPr>
        <w:tblpPr w:leftFromText="180" w:rightFromText="180" w:vertAnchor="text" w:horzAnchor="page" w:tblpX="1270" w:tblpY="65"/>
        <w:tblW w:w="9020" w:type="dxa"/>
        <w:tblLook w:val="04A0" w:firstRow="1" w:lastRow="0" w:firstColumn="1" w:lastColumn="0" w:noHBand="0" w:noVBand="1"/>
      </w:tblPr>
      <w:tblGrid>
        <w:gridCol w:w="1066"/>
        <w:gridCol w:w="2855"/>
        <w:gridCol w:w="47"/>
        <w:gridCol w:w="1082"/>
        <w:gridCol w:w="1820"/>
        <w:gridCol w:w="47"/>
        <w:gridCol w:w="1036"/>
        <w:gridCol w:w="1067"/>
      </w:tblGrid>
      <w:tr w:rsidR="00781811" w:rsidRPr="00781811" w14:paraId="23BFE8A3" w14:textId="77777777" w:rsidTr="00781811">
        <w:trPr>
          <w:trHeight w:val="320"/>
        </w:trPr>
        <w:tc>
          <w:tcPr>
            <w:tcW w:w="3968" w:type="dxa"/>
            <w:gridSpan w:val="3"/>
            <w:tcBorders>
              <w:top w:val="nil"/>
              <w:left w:val="nil"/>
              <w:bottom w:val="nil"/>
              <w:right w:val="nil"/>
            </w:tcBorders>
            <w:shd w:val="clear" w:color="auto" w:fill="auto"/>
            <w:noWrap/>
            <w:vAlign w:val="bottom"/>
            <w:hideMark/>
          </w:tcPr>
          <w:p w14:paraId="78451CA6" w14:textId="740F9E4B" w:rsidR="00781811" w:rsidRPr="00781811" w:rsidRDefault="00781811" w:rsidP="00781811">
            <w:pPr>
              <w:rPr>
                <w:rFonts w:ascii="Calibri" w:eastAsia="Times New Roman" w:hAnsi="Calibri" w:cs="Times New Roman"/>
                <w:color w:val="000000"/>
                <w:lang w:eastAsia="en-GB"/>
              </w:rPr>
            </w:pPr>
          </w:p>
        </w:tc>
        <w:tc>
          <w:tcPr>
            <w:tcW w:w="2902" w:type="dxa"/>
            <w:gridSpan w:val="2"/>
            <w:tcBorders>
              <w:top w:val="nil"/>
              <w:left w:val="nil"/>
              <w:bottom w:val="nil"/>
              <w:right w:val="nil"/>
            </w:tcBorders>
            <w:shd w:val="clear" w:color="auto" w:fill="auto"/>
            <w:noWrap/>
            <w:vAlign w:val="bottom"/>
            <w:hideMark/>
          </w:tcPr>
          <w:p w14:paraId="0E691653" w14:textId="77777777" w:rsidR="00781811" w:rsidRPr="00781811" w:rsidRDefault="00781811" w:rsidP="00781811">
            <w:pPr>
              <w:rPr>
                <w:rFonts w:ascii="Times New Roman" w:eastAsia="Times New Roman" w:hAnsi="Times New Roman" w:cs="Times New Roman"/>
                <w:sz w:val="20"/>
                <w:szCs w:val="20"/>
                <w:lang w:eastAsia="en-GB"/>
              </w:rPr>
            </w:pPr>
          </w:p>
        </w:tc>
        <w:tc>
          <w:tcPr>
            <w:tcW w:w="1083" w:type="dxa"/>
            <w:gridSpan w:val="2"/>
            <w:tcBorders>
              <w:top w:val="nil"/>
              <w:left w:val="nil"/>
              <w:bottom w:val="nil"/>
              <w:right w:val="nil"/>
            </w:tcBorders>
            <w:shd w:val="clear" w:color="auto" w:fill="auto"/>
            <w:noWrap/>
            <w:vAlign w:val="bottom"/>
            <w:hideMark/>
          </w:tcPr>
          <w:p w14:paraId="708A381B" w14:textId="77777777" w:rsidR="00781811" w:rsidRPr="00781811" w:rsidRDefault="00781811" w:rsidP="00781811">
            <w:pPr>
              <w:rPr>
                <w:rFonts w:ascii="Times New Roman" w:eastAsia="Times New Roman" w:hAnsi="Times New Roman" w:cs="Times New Roman"/>
                <w:sz w:val="20"/>
                <w:szCs w:val="20"/>
                <w:lang w:eastAsia="en-GB"/>
              </w:rPr>
            </w:pPr>
          </w:p>
        </w:tc>
        <w:tc>
          <w:tcPr>
            <w:tcW w:w="1067" w:type="dxa"/>
            <w:tcBorders>
              <w:top w:val="nil"/>
              <w:left w:val="nil"/>
              <w:bottom w:val="nil"/>
              <w:right w:val="nil"/>
            </w:tcBorders>
            <w:shd w:val="clear" w:color="auto" w:fill="auto"/>
            <w:noWrap/>
            <w:vAlign w:val="bottom"/>
            <w:hideMark/>
          </w:tcPr>
          <w:p w14:paraId="0197485E" w14:textId="77777777" w:rsidR="00781811" w:rsidRPr="00781811" w:rsidRDefault="00781811" w:rsidP="00781811">
            <w:pPr>
              <w:rPr>
                <w:rFonts w:ascii="Times New Roman" w:eastAsia="Times New Roman" w:hAnsi="Times New Roman" w:cs="Times New Roman"/>
                <w:sz w:val="20"/>
                <w:szCs w:val="20"/>
                <w:lang w:eastAsia="en-GB"/>
              </w:rPr>
            </w:pPr>
          </w:p>
        </w:tc>
      </w:tr>
      <w:tr w:rsidR="00781811" w:rsidRPr="00781811" w14:paraId="1091708D" w14:textId="77777777" w:rsidTr="00781811">
        <w:trPr>
          <w:trHeight w:val="320"/>
        </w:trPr>
        <w:tc>
          <w:tcPr>
            <w:tcW w:w="3968" w:type="dxa"/>
            <w:gridSpan w:val="3"/>
            <w:tcBorders>
              <w:top w:val="nil"/>
              <w:left w:val="nil"/>
              <w:bottom w:val="nil"/>
              <w:right w:val="nil"/>
            </w:tcBorders>
            <w:shd w:val="clear" w:color="auto" w:fill="auto"/>
            <w:noWrap/>
            <w:vAlign w:val="bottom"/>
            <w:hideMark/>
          </w:tcPr>
          <w:p w14:paraId="144C6852" w14:textId="77777777" w:rsidR="00781811" w:rsidRPr="00781811" w:rsidRDefault="00781811" w:rsidP="00781811">
            <w:pPr>
              <w:rPr>
                <w:rFonts w:ascii="Times New Roman" w:eastAsia="Times New Roman" w:hAnsi="Times New Roman" w:cs="Times New Roman"/>
                <w:sz w:val="20"/>
                <w:szCs w:val="20"/>
                <w:lang w:eastAsia="en-GB"/>
              </w:rPr>
            </w:pPr>
          </w:p>
        </w:tc>
        <w:tc>
          <w:tcPr>
            <w:tcW w:w="2902" w:type="dxa"/>
            <w:gridSpan w:val="2"/>
            <w:tcBorders>
              <w:top w:val="nil"/>
              <w:left w:val="nil"/>
              <w:bottom w:val="nil"/>
              <w:right w:val="nil"/>
            </w:tcBorders>
            <w:shd w:val="clear" w:color="auto" w:fill="auto"/>
            <w:noWrap/>
            <w:vAlign w:val="bottom"/>
            <w:hideMark/>
          </w:tcPr>
          <w:p w14:paraId="524ACC1F" w14:textId="77777777" w:rsidR="00781811" w:rsidRPr="00781811" w:rsidRDefault="00781811" w:rsidP="00781811">
            <w:pPr>
              <w:rPr>
                <w:rFonts w:ascii="Times New Roman" w:eastAsia="Times New Roman" w:hAnsi="Times New Roman" w:cs="Times New Roman"/>
                <w:sz w:val="20"/>
                <w:szCs w:val="20"/>
                <w:lang w:eastAsia="en-GB"/>
              </w:rPr>
            </w:pPr>
          </w:p>
        </w:tc>
        <w:tc>
          <w:tcPr>
            <w:tcW w:w="1083" w:type="dxa"/>
            <w:gridSpan w:val="2"/>
            <w:tcBorders>
              <w:top w:val="nil"/>
              <w:left w:val="nil"/>
              <w:bottom w:val="nil"/>
              <w:right w:val="nil"/>
            </w:tcBorders>
            <w:shd w:val="clear" w:color="auto" w:fill="auto"/>
            <w:noWrap/>
            <w:vAlign w:val="bottom"/>
            <w:hideMark/>
          </w:tcPr>
          <w:p w14:paraId="1A85978B" w14:textId="77777777" w:rsidR="00781811" w:rsidRPr="00781811" w:rsidRDefault="00781811" w:rsidP="00781811">
            <w:pPr>
              <w:rPr>
                <w:rFonts w:ascii="Times New Roman" w:eastAsia="Times New Roman" w:hAnsi="Times New Roman" w:cs="Times New Roman"/>
                <w:sz w:val="20"/>
                <w:szCs w:val="20"/>
                <w:lang w:eastAsia="en-GB"/>
              </w:rPr>
            </w:pPr>
          </w:p>
        </w:tc>
        <w:tc>
          <w:tcPr>
            <w:tcW w:w="1067" w:type="dxa"/>
            <w:tcBorders>
              <w:top w:val="nil"/>
              <w:left w:val="nil"/>
              <w:bottom w:val="nil"/>
              <w:right w:val="nil"/>
            </w:tcBorders>
            <w:shd w:val="clear" w:color="auto" w:fill="auto"/>
            <w:noWrap/>
            <w:vAlign w:val="bottom"/>
            <w:hideMark/>
          </w:tcPr>
          <w:p w14:paraId="12137C3A" w14:textId="77777777" w:rsidR="00781811" w:rsidRPr="00781811" w:rsidRDefault="00781811" w:rsidP="00781811">
            <w:pPr>
              <w:rPr>
                <w:rFonts w:ascii="Times New Roman" w:eastAsia="Times New Roman" w:hAnsi="Times New Roman" w:cs="Times New Roman"/>
                <w:sz w:val="20"/>
                <w:szCs w:val="20"/>
                <w:lang w:eastAsia="en-GB"/>
              </w:rPr>
            </w:pPr>
          </w:p>
        </w:tc>
      </w:tr>
      <w:tr w:rsidR="00781811" w:rsidRPr="00781811" w14:paraId="0DCFF69E" w14:textId="77777777" w:rsidTr="00781811">
        <w:trPr>
          <w:gridAfter w:val="2"/>
          <w:wAfter w:w="2103" w:type="dxa"/>
          <w:trHeight w:val="320"/>
        </w:trPr>
        <w:tc>
          <w:tcPr>
            <w:tcW w:w="1066" w:type="dxa"/>
            <w:tcBorders>
              <w:top w:val="nil"/>
              <w:left w:val="nil"/>
              <w:bottom w:val="nil"/>
              <w:right w:val="nil"/>
            </w:tcBorders>
            <w:shd w:val="clear" w:color="auto" w:fill="auto"/>
            <w:noWrap/>
            <w:vAlign w:val="bottom"/>
            <w:hideMark/>
          </w:tcPr>
          <w:p w14:paraId="36977C88" w14:textId="77777777" w:rsidR="00781811" w:rsidRPr="00781811" w:rsidRDefault="00781811" w:rsidP="00781811">
            <w:pPr>
              <w:rPr>
                <w:rFonts w:ascii="Times New Roman" w:eastAsia="Times New Roman" w:hAnsi="Times New Roman" w:cs="Times New Roman"/>
                <w:sz w:val="20"/>
                <w:szCs w:val="20"/>
                <w:lang w:eastAsia="en-GB"/>
              </w:rPr>
            </w:pPr>
          </w:p>
        </w:tc>
        <w:tc>
          <w:tcPr>
            <w:tcW w:w="2855" w:type="dxa"/>
            <w:tcBorders>
              <w:top w:val="nil"/>
              <w:left w:val="nil"/>
              <w:bottom w:val="nil"/>
              <w:right w:val="nil"/>
            </w:tcBorders>
            <w:shd w:val="clear" w:color="auto" w:fill="auto"/>
            <w:noWrap/>
            <w:vAlign w:val="bottom"/>
            <w:hideMark/>
          </w:tcPr>
          <w:p w14:paraId="6C9146CB" w14:textId="77777777" w:rsidR="00781811" w:rsidRPr="00781811" w:rsidRDefault="00781811" w:rsidP="00781811">
            <w:pPr>
              <w:rPr>
                <w:rFonts w:ascii="Times New Roman" w:eastAsia="Times New Roman" w:hAnsi="Times New Roman" w:cs="Times New Roman"/>
                <w:sz w:val="20"/>
                <w:szCs w:val="20"/>
                <w:lang w:eastAsia="en-GB"/>
              </w:rPr>
            </w:pPr>
          </w:p>
        </w:tc>
        <w:tc>
          <w:tcPr>
            <w:tcW w:w="1129" w:type="dxa"/>
            <w:gridSpan w:val="2"/>
            <w:tcBorders>
              <w:top w:val="nil"/>
              <w:left w:val="nil"/>
              <w:bottom w:val="nil"/>
              <w:right w:val="nil"/>
            </w:tcBorders>
            <w:shd w:val="clear" w:color="auto" w:fill="auto"/>
            <w:noWrap/>
            <w:vAlign w:val="bottom"/>
            <w:hideMark/>
          </w:tcPr>
          <w:p w14:paraId="1C55CE56" w14:textId="77777777" w:rsidR="00781811" w:rsidRPr="00781811" w:rsidRDefault="00781811" w:rsidP="00781811">
            <w:pPr>
              <w:rPr>
                <w:rFonts w:ascii="Times New Roman" w:eastAsia="Times New Roman" w:hAnsi="Times New Roman" w:cs="Times New Roman"/>
                <w:sz w:val="20"/>
                <w:szCs w:val="20"/>
                <w:lang w:eastAsia="en-GB"/>
              </w:rPr>
            </w:pPr>
          </w:p>
        </w:tc>
        <w:tc>
          <w:tcPr>
            <w:tcW w:w="1867" w:type="dxa"/>
            <w:gridSpan w:val="2"/>
            <w:tcBorders>
              <w:top w:val="nil"/>
              <w:left w:val="nil"/>
              <w:bottom w:val="nil"/>
              <w:right w:val="nil"/>
            </w:tcBorders>
            <w:shd w:val="clear" w:color="auto" w:fill="auto"/>
            <w:noWrap/>
            <w:vAlign w:val="bottom"/>
            <w:hideMark/>
          </w:tcPr>
          <w:p w14:paraId="22D984FF" w14:textId="77777777" w:rsidR="00781811" w:rsidRPr="00781811" w:rsidRDefault="00781811" w:rsidP="00781811">
            <w:pPr>
              <w:rPr>
                <w:rFonts w:ascii="Times New Roman" w:eastAsia="Times New Roman" w:hAnsi="Times New Roman" w:cs="Times New Roman"/>
                <w:sz w:val="20"/>
                <w:szCs w:val="20"/>
                <w:lang w:eastAsia="en-GB"/>
              </w:rPr>
            </w:pPr>
          </w:p>
        </w:tc>
      </w:tr>
    </w:tbl>
    <w:p w14:paraId="4E2021CF" w14:textId="4DC351AB" w:rsidR="008E7BD9" w:rsidRDefault="008E7BD9" w:rsidP="00C75E57"/>
    <w:p w14:paraId="41BDE2EF" w14:textId="051D0040" w:rsidR="008E7BD9" w:rsidRDefault="008E7BD9" w:rsidP="00C75E57"/>
    <w:tbl>
      <w:tblPr>
        <w:tblW w:w="6200" w:type="dxa"/>
        <w:tblInd w:w="1089" w:type="dxa"/>
        <w:tblLook w:val="04A0" w:firstRow="1" w:lastRow="0" w:firstColumn="1" w:lastColumn="0" w:noHBand="0" w:noVBand="1"/>
      </w:tblPr>
      <w:tblGrid>
        <w:gridCol w:w="3580"/>
        <w:gridCol w:w="1320"/>
        <w:gridCol w:w="1300"/>
      </w:tblGrid>
      <w:tr w:rsidR="00781811" w:rsidRPr="00781811" w14:paraId="4AF45D6C" w14:textId="77777777" w:rsidTr="00435A94">
        <w:trPr>
          <w:trHeight w:val="320"/>
        </w:trPr>
        <w:tc>
          <w:tcPr>
            <w:tcW w:w="3580" w:type="dxa"/>
            <w:tcBorders>
              <w:top w:val="nil"/>
              <w:left w:val="nil"/>
              <w:bottom w:val="single" w:sz="12" w:space="0" w:color="FFFFFF"/>
              <w:right w:val="single" w:sz="4" w:space="0" w:color="FFFFFF"/>
            </w:tcBorders>
            <w:shd w:val="clear" w:color="4472C4" w:fill="4472C4"/>
            <w:noWrap/>
            <w:vAlign w:val="bottom"/>
            <w:hideMark/>
          </w:tcPr>
          <w:p w14:paraId="04BDC14D" w14:textId="6A52BF29" w:rsidR="00781811" w:rsidRPr="00781811" w:rsidRDefault="00781811" w:rsidP="00781811">
            <w:pPr>
              <w:rPr>
                <w:rFonts w:ascii="Calibri" w:eastAsia="Times New Roman" w:hAnsi="Calibri" w:cs="Times New Roman"/>
                <w:b/>
                <w:bCs/>
                <w:color w:val="FFFFFF"/>
                <w:lang w:eastAsia="en-GB"/>
              </w:rPr>
            </w:pPr>
          </w:p>
        </w:tc>
        <w:tc>
          <w:tcPr>
            <w:tcW w:w="1320" w:type="dxa"/>
            <w:tcBorders>
              <w:top w:val="nil"/>
              <w:left w:val="single" w:sz="4" w:space="0" w:color="FFFFFF"/>
              <w:bottom w:val="single" w:sz="12" w:space="0" w:color="FFFFFF"/>
              <w:right w:val="single" w:sz="4" w:space="0" w:color="FFFFFF"/>
            </w:tcBorders>
            <w:shd w:val="clear" w:color="4472C4" w:fill="4472C4"/>
            <w:noWrap/>
            <w:vAlign w:val="bottom"/>
            <w:hideMark/>
          </w:tcPr>
          <w:p w14:paraId="7EAD6B74" w14:textId="3BEADA26" w:rsidR="00781811" w:rsidRPr="00781811" w:rsidRDefault="00781811" w:rsidP="00781811">
            <w:pPr>
              <w:rPr>
                <w:rFonts w:ascii="Calibri" w:eastAsia="Times New Roman" w:hAnsi="Calibri" w:cs="Times New Roman"/>
                <w:b/>
                <w:bCs/>
                <w:color w:val="FFFFFF"/>
                <w:sz w:val="20"/>
                <w:szCs w:val="20"/>
                <w:lang w:eastAsia="en-GB"/>
              </w:rPr>
            </w:pPr>
            <w:r w:rsidRPr="00781811">
              <w:rPr>
                <w:rFonts w:ascii="Calibri" w:eastAsia="Times New Roman" w:hAnsi="Calibri" w:cs="Times New Roman"/>
                <w:b/>
                <w:bCs/>
                <w:color w:val="FFFFFF"/>
                <w:sz w:val="20"/>
                <w:szCs w:val="20"/>
                <w:lang w:eastAsia="en-GB"/>
              </w:rPr>
              <w:t>Population</w:t>
            </w:r>
          </w:p>
        </w:tc>
        <w:tc>
          <w:tcPr>
            <w:tcW w:w="1300" w:type="dxa"/>
            <w:tcBorders>
              <w:top w:val="nil"/>
              <w:left w:val="single" w:sz="4" w:space="0" w:color="FFFFFF"/>
              <w:bottom w:val="single" w:sz="12" w:space="0" w:color="FFFFFF"/>
              <w:right w:val="nil"/>
            </w:tcBorders>
            <w:shd w:val="clear" w:color="4472C4" w:fill="4472C4"/>
            <w:noWrap/>
            <w:vAlign w:val="bottom"/>
            <w:hideMark/>
          </w:tcPr>
          <w:p w14:paraId="5E004217" w14:textId="488EF6AD" w:rsidR="00781811" w:rsidRPr="00781811" w:rsidRDefault="00781811" w:rsidP="00781811">
            <w:pPr>
              <w:rPr>
                <w:rFonts w:ascii="Calibri" w:eastAsia="Times New Roman" w:hAnsi="Calibri" w:cs="Times New Roman"/>
                <w:b/>
                <w:bCs/>
                <w:color w:val="FFFFFF"/>
                <w:sz w:val="20"/>
                <w:szCs w:val="20"/>
                <w:lang w:eastAsia="en-GB"/>
              </w:rPr>
            </w:pPr>
            <w:r>
              <w:rPr>
                <w:rFonts w:ascii="Calibri" w:eastAsia="Times New Roman" w:hAnsi="Calibri" w:cs="Times New Roman"/>
                <w:b/>
                <w:bCs/>
                <w:color w:val="FFFFFF"/>
                <w:sz w:val="20"/>
                <w:szCs w:val="20"/>
                <w:lang w:eastAsia="en-GB"/>
              </w:rPr>
              <w:t>Percentage</w:t>
            </w:r>
          </w:p>
        </w:tc>
      </w:tr>
      <w:tr w:rsidR="00781811" w:rsidRPr="00781811" w14:paraId="300487E8" w14:textId="77777777" w:rsidTr="00435A94">
        <w:trPr>
          <w:trHeight w:val="320"/>
        </w:trPr>
        <w:tc>
          <w:tcPr>
            <w:tcW w:w="3580" w:type="dxa"/>
            <w:tcBorders>
              <w:top w:val="single" w:sz="4" w:space="0" w:color="FFFFFF"/>
              <w:left w:val="nil"/>
              <w:bottom w:val="single" w:sz="4" w:space="0" w:color="FFFFFF"/>
              <w:right w:val="single" w:sz="4" w:space="0" w:color="FFFFFF"/>
            </w:tcBorders>
            <w:shd w:val="clear" w:color="B4C6E7" w:fill="B4C6E7"/>
            <w:noWrap/>
            <w:vAlign w:val="bottom"/>
            <w:hideMark/>
          </w:tcPr>
          <w:p w14:paraId="1BB0D5BF" w14:textId="77777777" w:rsidR="00781811" w:rsidRPr="00781811" w:rsidRDefault="00781811" w:rsidP="00781811">
            <w:pPr>
              <w:rPr>
                <w:rFonts w:ascii="Calibri" w:eastAsia="Times New Roman" w:hAnsi="Calibri" w:cs="Times New Roman"/>
                <w:color w:val="000000"/>
                <w:lang w:eastAsia="en-GB"/>
              </w:rPr>
            </w:pPr>
            <w:r w:rsidRPr="00781811">
              <w:rPr>
                <w:rFonts w:ascii="Calibri" w:eastAsia="Times New Roman" w:hAnsi="Calibri" w:cs="Times New Roman"/>
                <w:color w:val="000000"/>
                <w:lang w:eastAsia="en-GB"/>
              </w:rPr>
              <w:t xml:space="preserve">Swansea </w:t>
            </w:r>
          </w:p>
        </w:tc>
        <w:tc>
          <w:tcPr>
            <w:tcW w:w="132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A04CE3C" w14:textId="77777777" w:rsidR="00781811" w:rsidRPr="00781811" w:rsidRDefault="00781811" w:rsidP="00781811">
            <w:pPr>
              <w:jc w:val="right"/>
              <w:rPr>
                <w:rFonts w:ascii="Calibri" w:eastAsia="Times New Roman" w:hAnsi="Calibri" w:cs="Times New Roman"/>
                <w:color w:val="000000"/>
                <w:lang w:eastAsia="en-GB"/>
              </w:rPr>
            </w:pPr>
            <w:r w:rsidRPr="00781811">
              <w:rPr>
                <w:rFonts w:ascii="Calibri" w:eastAsia="Times New Roman" w:hAnsi="Calibri" w:cs="Times New Roman"/>
                <w:color w:val="000000"/>
                <w:lang w:eastAsia="en-GB"/>
              </w:rPr>
              <w:t>179,485</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5568C96F" w14:textId="77777777" w:rsidR="00781811" w:rsidRPr="00781811" w:rsidRDefault="00781811" w:rsidP="00781811">
            <w:pPr>
              <w:jc w:val="right"/>
              <w:rPr>
                <w:rFonts w:ascii="Calibri" w:eastAsia="Times New Roman" w:hAnsi="Calibri" w:cs="Times New Roman"/>
                <w:color w:val="000000"/>
                <w:lang w:eastAsia="en-GB"/>
              </w:rPr>
            </w:pPr>
            <w:r w:rsidRPr="00781811">
              <w:rPr>
                <w:rFonts w:ascii="Calibri" w:eastAsia="Times New Roman" w:hAnsi="Calibri" w:cs="Times New Roman"/>
                <w:color w:val="000000"/>
                <w:lang w:eastAsia="en-GB"/>
              </w:rPr>
              <w:t>100</w:t>
            </w:r>
          </w:p>
        </w:tc>
      </w:tr>
      <w:tr w:rsidR="00781811" w:rsidRPr="00781811" w14:paraId="22C55F33" w14:textId="77777777" w:rsidTr="00435A94">
        <w:trPr>
          <w:trHeight w:val="320"/>
        </w:trPr>
        <w:tc>
          <w:tcPr>
            <w:tcW w:w="3580" w:type="dxa"/>
            <w:tcBorders>
              <w:top w:val="single" w:sz="4" w:space="0" w:color="FFFFFF"/>
              <w:left w:val="nil"/>
              <w:bottom w:val="single" w:sz="4" w:space="0" w:color="FFFFFF"/>
              <w:right w:val="single" w:sz="4" w:space="0" w:color="FFFFFF"/>
            </w:tcBorders>
            <w:shd w:val="clear" w:color="D9E1F2" w:fill="D9E1F2"/>
            <w:noWrap/>
            <w:vAlign w:val="bottom"/>
            <w:hideMark/>
          </w:tcPr>
          <w:p w14:paraId="38DEAE4B" w14:textId="77777777" w:rsidR="00781811" w:rsidRPr="00781811" w:rsidRDefault="00781811" w:rsidP="00781811">
            <w:pPr>
              <w:rPr>
                <w:rFonts w:ascii="Calibri" w:eastAsia="Times New Roman" w:hAnsi="Calibri" w:cs="Times New Roman"/>
                <w:color w:val="000000"/>
                <w:lang w:eastAsia="en-GB"/>
              </w:rPr>
            </w:pPr>
            <w:r w:rsidRPr="00781811">
              <w:rPr>
                <w:rFonts w:ascii="Calibri" w:eastAsia="Times New Roman" w:hAnsi="Calibri" w:cs="Times New Roman"/>
                <w:color w:val="000000"/>
                <w:lang w:eastAsia="en-GB"/>
              </w:rPr>
              <w:t>Male</w:t>
            </w:r>
          </w:p>
        </w:tc>
        <w:tc>
          <w:tcPr>
            <w:tcW w:w="132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1D13302" w14:textId="77777777" w:rsidR="00781811" w:rsidRPr="00781811" w:rsidRDefault="00781811" w:rsidP="00781811">
            <w:pPr>
              <w:jc w:val="right"/>
              <w:rPr>
                <w:rFonts w:ascii="Calibri" w:eastAsia="Times New Roman" w:hAnsi="Calibri" w:cs="Times New Roman"/>
                <w:color w:val="000000"/>
                <w:lang w:eastAsia="en-GB"/>
              </w:rPr>
            </w:pPr>
            <w:r w:rsidRPr="00781811">
              <w:rPr>
                <w:rFonts w:ascii="Calibri" w:eastAsia="Times New Roman" w:hAnsi="Calibri" w:cs="Times New Roman"/>
                <w:color w:val="000000"/>
                <w:lang w:eastAsia="en-GB"/>
              </w:rPr>
              <w:t>89,067</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619EC3AB" w14:textId="77777777" w:rsidR="00781811" w:rsidRPr="00781811" w:rsidRDefault="00781811" w:rsidP="00781811">
            <w:pPr>
              <w:jc w:val="right"/>
              <w:rPr>
                <w:rFonts w:ascii="Calibri" w:eastAsia="Times New Roman" w:hAnsi="Calibri" w:cs="Times New Roman"/>
                <w:color w:val="000000"/>
                <w:lang w:eastAsia="en-GB"/>
              </w:rPr>
            </w:pPr>
            <w:r w:rsidRPr="00781811">
              <w:rPr>
                <w:rFonts w:ascii="Calibri" w:eastAsia="Times New Roman" w:hAnsi="Calibri" w:cs="Times New Roman"/>
                <w:color w:val="000000"/>
                <w:lang w:eastAsia="en-GB"/>
              </w:rPr>
              <w:t>49.6</w:t>
            </w:r>
          </w:p>
        </w:tc>
      </w:tr>
      <w:tr w:rsidR="00781811" w:rsidRPr="00781811" w14:paraId="7C1E39A4" w14:textId="77777777" w:rsidTr="00435A94">
        <w:trPr>
          <w:trHeight w:val="320"/>
        </w:trPr>
        <w:tc>
          <w:tcPr>
            <w:tcW w:w="3580" w:type="dxa"/>
            <w:tcBorders>
              <w:top w:val="single" w:sz="4" w:space="0" w:color="FFFFFF"/>
              <w:left w:val="nil"/>
              <w:bottom w:val="single" w:sz="4" w:space="0" w:color="FFFFFF"/>
              <w:right w:val="single" w:sz="4" w:space="0" w:color="FFFFFF"/>
            </w:tcBorders>
            <w:shd w:val="clear" w:color="B4C6E7" w:fill="B4C6E7"/>
            <w:noWrap/>
            <w:vAlign w:val="bottom"/>
            <w:hideMark/>
          </w:tcPr>
          <w:p w14:paraId="08E1E679" w14:textId="77777777" w:rsidR="00781811" w:rsidRPr="00781811" w:rsidRDefault="00781811" w:rsidP="00781811">
            <w:pPr>
              <w:rPr>
                <w:rFonts w:ascii="Calibri" w:eastAsia="Times New Roman" w:hAnsi="Calibri" w:cs="Times New Roman"/>
                <w:color w:val="000000"/>
                <w:lang w:eastAsia="en-GB"/>
              </w:rPr>
            </w:pPr>
            <w:r w:rsidRPr="00781811">
              <w:rPr>
                <w:rFonts w:ascii="Calibri" w:eastAsia="Times New Roman" w:hAnsi="Calibri" w:cs="Times New Roman"/>
                <w:color w:val="000000"/>
                <w:lang w:eastAsia="en-GB"/>
              </w:rPr>
              <w:t>Females</w:t>
            </w:r>
          </w:p>
        </w:tc>
        <w:tc>
          <w:tcPr>
            <w:tcW w:w="132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5D53533F" w14:textId="77777777" w:rsidR="00781811" w:rsidRPr="00781811" w:rsidRDefault="00781811" w:rsidP="00781811">
            <w:pPr>
              <w:jc w:val="right"/>
              <w:rPr>
                <w:rFonts w:ascii="Calibri" w:eastAsia="Times New Roman" w:hAnsi="Calibri" w:cs="Times New Roman"/>
                <w:color w:val="000000"/>
                <w:lang w:eastAsia="en-GB"/>
              </w:rPr>
            </w:pPr>
            <w:r w:rsidRPr="00781811">
              <w:rPr>
                <w:rFonts w:ascii="Calibri" w:eastAsia="Times New Roman" w:hAnsi="Calibri" w:cs="Times New Roman"/>
                <w:color w:val="000000"/>
                <w:lang w:eastAsia="en-GB"/>
              </w:rPr>
              <w:t>90,418</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60AD86EE" w14:textId="77777777" w:rsidR="00781811" w:rsidRPr="00781811" w:rsidRDefault="00781811" w:rsidP="00781811">
            <w:pPr>
              <w:jc w:val="right"/>
              <w:rPr>
                <w:rFonts w:ascii="Calibri" w:eastAsia="Times New Roman" w:hAnsi="Calibri" w:cs="Times New Roman"/>
                <w:color w:val="000000"/>
                <w:lang w:eastAsia="en-GB"/>
              </w:rPr>
            </w:pPr>
            <w:r w:rsidRPr="00781811">
              <w:rPr>
                <w:rFonts w:ascii="Calibri" w:eastAsia="Times New Roman" w:hAnsi="Calibri" w:cs="Times New Roman"/>
                <w:color w:val="000000"/>
                <w:lang w:eastAsia="en-GB"/>
              </w:rPr>
              <w:t>50.4</w:t>
            </w:r>
          </w:p>
        </w:tc>
      </w:tr>
      <w:tr w:rsidR="00781811" w:rsidRPr="00781811" w14:paraId="4CEACCB9" w14:textId="77777777" w:rsidTr="00435A94">
        <w:trPr>
          <w:trHeight w:val="320"/>
        </w:trPr>
        <w:tc>
          <w:tcPr>
            <w:tcW w:w="3580" w:type="dxa"/>
            <w:tcBorders>
              <w:top w:val="single" w:sz="4" w:space="0" w:color="FFFFFF"/>
              <w:left w:val="nil"/>
              <w:bottom w:val="single" w:sz="4" w:space="0" w:color="FFFFFF"/>
              <w:right w:val="single" w:sz="4" w:space="0" w:color="FFFFFF"/>
            </w:tcBorders>
            <w:shd w:val="clear" w:color="D9E1F2" w:fill="D9E1F2"/>
            <w:noWrap/>
            <w:vAlign w:val="bottom"/>
            <w:hideMark/>
          </w:tcPr>
          <w:p w14:paraId="2E9638F9" w14:textId="77777777" w:rsidR="00781811" w:rsidRPr="00781811" w:rsidRDefault="00781811" w:rsidP="00781811">
            <w:pPr>
              <w:rPr>
                <w:rFonts w:ascii="Calibri" w:eastAsia="Times New Roman" w:hAnsi="Calibri" w:cs="Times New Roman"/>
                <w:color w:val="000000"/>
                <w:lang w:eastAsia="en-GB"/>
              </w:rPr>
            </w:pPr>
            <w:r w:rsidRPr="00781811">
              <w:rPr>
                <w:rFonts w:ascii="Calibri" w:eastAsia="Times New Roman" w:hAnsi="Calibri" w:cs="Times New Roman"/>
                <w:color w:val="000000"/>
                <w:lang w:eastAsia="en-GB"/>
              </w:rPr>
              <w:t>Lives in a Household</w:t>
            </w:r>
          </w:p>
        </w:tc>
        <w:tc>
          <w:tcPr>
            <w:tcW w:w="132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4146D9D" w14:textId="77777777" w:rsidR="00781811" w:rsidRPr="00781811" w:rsidRDefault="00781811" w:rsidP="00781811">
            <w:pPr>
              <w:jc w:val="right"/>
              <w:rPr>
                <w:rFonts w:ascii="Calibri" w:eastAsia="Times New Roman" w:hAnsi="Calibri" w:cs="Times New Roman"/>
                <w:color w:val="000000"/>
                <w:lang w:eastAsia="en-GB"/>
              </w:rPr>
            </w:pPr>
            <w:r w:rsidRPr="00781811">
              <w:rPr>
                <w:rFonts w:ascii="Calibri" w:eastAsia="Times New Roman" w:hAnsi="Calibri" w:cs="Times New Roman"/>
                <w:color w:val="000000"/>
                <w:lang w:eastAsia="en-GB"/>
              </w:rPr>
              <w:t>175,437</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2EBE12FA" w14:textId="77777777" w:rsidR="00781811" w:rsidRPr="00781811" w:rsidRDefault="00781811" w:rsidP="00781811">
            <w:pPr>
              <w:jc w:val="right"/>
              <w:rPr>
                <w:rFonts w:ascii="Calibri" w:eastAsia="Times New Roman" w:hAnsi="Calibri" w:cs="Times New Roman"/>
                <w:color w:val="000000"/>
                <w:lang w:eastAsia="en-GB"/>
              </w:rPr>
            </w:pPr>
            <w:r w:rsidRPr="00781811">
              <w:rPr>
                <w:rFonts w:ascii="Calibri" w:eastAsia="Times New Roman" w:hAnsi="Calibri" w:cs="Times New Roman"/>
                <w:color w:val="000000"/>
                <w:lang w:eastAsia="en-GB"/>
              </w:rPr>
              <w:t>97.7</w:t>
            </w:r>
          </w:p>
        </w:tc>
      </w:tr>
      <w:tr w:rsidR="00781811" w:rsidRPr="00781811" w14:paraId="1ACE5731" w14:textId="77777777" w:rsidTr="00435A94">
        <w:trPr>
          <w:trHeight w:val="320"/>
        </w:trPr>
        <w:tc>
          <w:tcPr>
            <w:tcW w:w="3580" w:type="dxa"/>
            <w:tcBorders>
              <w:top w:val="single" w:sz="4" w:space="0" w:color="FFFFFF"/>
              <w:left w:val="nil"/>
              <w:bottom w:val="nil"/>
              <w:right w:val="single" w:sz="4" w:space="0" w:color="FFFFFF"/>
            </w:tcBorders>
            <w:shd w:val="clear" w:color="B4C6E7" w:fill="B4C6E7"/>
            <w:noWrap/>
            <w:vAlign w:val="bottom"/>
            <w:hideMark/>
          </w:tcPr>
          <w:p w14:paraId="66BCAF1E" w14:textId="77777777" w:rsidR="00781811" w:rsidRPr="00781811" w:rsidRDefault="00781811" w:rsidP="00781811">
            <w:pPr>
              <w:rPr>
                <w:rFonts w:ascii="Calibri" w:eastAsia="Times New Roman" w:hAnsi="Calibri" w:cs="Times New Roman"/>
                <w:color w:val="000000"/>
                <w:lang w:eastAsia="en-GB"/>
              </w:rPr>
            </w:pPr>
            <w:r w:rsidRPr="00781811">
              <w:rPr>
                <w:rFonts w:ascii="Calibri" w:eastAsia="Times New Roman" w:hAnsi="Calibri" w:cs="Times New Roman"/>
                <w:color w:val="000000"/>
                <w:lang w:eastAsia="en-GB"/>
              </w:rPr>
              <w:t>Lives in a Communal Establishment</w:t>
            </w:r>
          </w:p>
        </w:tc>
        <w:tc>
          <w:tcPr>
            <w:tcW w:w="1320" w:type="dxa"/>
            <w:tcBorders>
              <w:top w:val="single" w:sz="4" w:space="0" w:color="FFFFFF"/>
              <w:left w:val="single" w:sz="4" w:space="0" w:color="FFFFFF"/>
              <w:bottom w:val="nil"/>
              <w:right w:val="single" w:sz="4" w:space="0" w:color="FFFFFF"/>
            </w:tcBorders>
            <w:shd w:val="clear" w:color="B4C6E7" w:fill="B4C6E7"/>
            <w:noWrap/>
            <w:vAlign w:val="bottom"/>
            <w:hideMark/>
          </w:tcPr>
          <w:p w14:paraId="6F9710E6" w14:textId="77777777" w:rsidR="00781811" w:rsidRPr="00781811" w:rsidRDefault="00781811" w:rsidP="00781811">
            <w:pPr>
              <w:jc w:val="right"/>
              <w:rPr>
                <w:rFonts w:ascii="Calibri" w:eastAsia="Times New Roman" w:hAnsi="Calibri" w:cs="Times New Roman"/>
                <w:color w:val="000000"/>
                <w:lang w:eastAsia="en-GB"/>
              </w:rPr>
            </w:pPr>
            <w:r w:rsidRPr="00781811">
              <w:rPr>
                <w:rFonts w:ascii="Calibri" w:eastAsia="Times New Roman" w:hAnsi="Calibri" w:cs="Times New Roman"/>
                <w:color w:val="000000"/>
                <w:lang w:eastAsia="en-GB"/>
              </w:rPr>
              <w:t>4,048</w:t>
            </w:r>
          </w:p>
        </w:tc>
        <w:tc>
          <w:tcPr>
            <w:tcW w:w="1300" w:type="dxa"/>
            <w:tcBorders>
              <w:top w:val="single" w:sz="4" w:space="0" w:color="FFFFFF"/>
              <w:left w:val="single" w:sz="4" w:space="0" w:color="FFFFFF"/>
              <w:bottom w:val="nil"/>
              <w:right w:val="nil"/>
            </w:tcBorders>
            <w:shd w:val="clear" w:color="B4C6E7" w:fill="B4C6E7"/>
            <w:noWrap/>
            <w:vAlign w:val="bottom"/>
            <w:hideMark/>
          </w:tcPr>
          <w:p w14:paraId="11704331" w14:textId="77777777" w:rsidR="00781811" w:rsidRPr="00781811" w:rsidRDefault="00781811" w:rsidP="00781811">
            <w:pPr>
              <w:jc w:val="right"/>
              <w:rPr>
                <w:rFonts w:ascii="Calibri" w:eastAsia="Times New Roman" w:hAnsi="Calibri" w:cs="Times New Roman"/>
                <w:color w:val="000000"/>
                <w:lang w:eastAsia="en-GB"/>
              </w:rPr>
            </w:pPr>
            <w:r w:rsidRPr="00781811">
              <w:rPr>
                <w:rFonts w:ascii="Calibri" w:eastAsia="Times New Roman" w:hAnsi="Calibri" w:cs="Times New Roman"/>
                <w:color w:val="000000"/>
                <w:lang w:eastAsia="en-GB"/>
              </w:rPr>
              <w:t>2.3</w:t>
            </w:r>
          </w:p>
        </w:tc>
      </w:tr>
    </w:tbl>
    <w:p w14:paraId="2CB7B168" w14:textId="364C059D" w:rsidR="008E7BD9" w:rsidRDefault="00435A94" w:rsidP="00C75E57">
      <w:r>
        <w:rPr>
          <w:noProof/>
          <w:lang w:eastAsia="en-GB"/>
        </w:rPr>
        <mc:AlternateContent>
          <mc:Choice Requires="wps">
            <w:drawing>
              <wp:anchor distT="0" distB="0" distL="114300" distR="114300" simplePos="0" relativeHeight="251662336" behindDoc="0" locked="0" layoutInCell="1" allowOverlap="1" wp14:anchorId="0AE51D1D" wp14:editId="5970B6C5">
                <wp:simplePos x="0" y="0"/>
                <wp:positionH relativeFrom="column">
                  <wp:posOffset>165100</wp:posOffset>
                </wp:positionH>
                <wp:positionV relativeFrom="paragraph">
                  <wp:posOffset>26670</wp:posOffset>
                </wp:positionV>
                <wp:extent cx="4921250" cy="57023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4921250" cy="5702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A6B1F9E" w14:textId="284FF2A0" w:rsidR="001A0CCA" w:rsidRDefault="001A0CCA" w:rsidP="008E7BD9">
                            <w:r>
                              <w:rPr>
                                <w:b/>
                              </w:rPr>
                              <w:t xml:space="preserve"> </w:t>
                            </w:r>
                            <w:r w:rsidRPr="00F2488E">
                              <w:rPr>
                                <w:b/>
                              </w:rPr>
                              <w:t>Figure 1.2</w:t>
                            </w:r>
                            <w:r>
                              <w:t xml:space="preserve"> Table showing the population of Swansea as of the 2011 census. </w:t>
                            </w:r>
                          </w:p>
                          <w:p w14:paraId="21489303" w14:textId="7F1120E1" w:rsidR="001A0CCA" w:rsidRPr="00C921A4" w:rsidRDefault="001A0CCA" w:rsidP="00893CAE">
                            <w:r>
                              <w:t xml:space="preserve"> </w:t>
                            </w:r>
                            <w:r w:rsidRPr="00C921A4">
                              <w:t>Data Source: (https://www.ons.gov.uk)</w:t>
                            </w:r>
                            <w:r w:rsidRPr="00C921A4">
                              <w:rPr>
                                <w:noProof/>
                                <w:lang w:eastAsia="en-GB"/>
                              </w:rPr>
                              <w:t xml:space="preserve"> </w:t>
                            </w:r>
                          </w:p>
                          <w:p w14:paraId="783C9282" w14:textId="77777777" w:rsidR="001A0CCA" w:rsidRPr="00C921A4" w:rsidRDefault="001A0CCA" w:rsidP="00893CAE"/>
                          <w:p w14:paraId="3F790884" w14:textId="77777777" w:rsidR="001A0CCA" w:rsidRDefault="001A0CCA" w:rsidP="008E7BD9"/>
                          <w:p w14:paraId="2AA8CF1C" w14:textId="77777777" w:rsidR="001A0CCA" w:rsidRDefault="001A0CCA" w:rsidP="008E7BD9"/>
                          <w:p w14:paraId="291E2F6D" w14:textId="77777777" w:rsidR="001A0CCA" w:rsidRDefault="001A0CCA" w:rsidP="008E7BD9"/>
                          <w:p w14:paraId="060E42AA" w14:textId="77777777" w:rsidR="001A0CCA" w:rsidRDefault="001A0C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E51D1D" id="Text Box 9" o:spid="_x0000_s1027" type="#_x0000_t202" style="position:absolute;margin-left:13pt;margin-top:2.1pt;width:387.5pt;height:44.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" filled="f" stroked="f">
                <v:textbox>
                  <w:txbxContent>
                    <w:p w14:paraId="6A6B1F9E" w14:textId="284FF2A0" w:rsidR="001A0CCA" w:rsidRDefault="001A0CCA" w:rsidP="008E7BD9">
                      <w:r>
                        <w:rPr>
                          <w:b/>
                        </w:rPr>
                        <w:t xml:space="preserve"> </w:t>
                      </w:r>
                      <w:r w:rsidRPr="00F2488E">
                        <w:rPr>
                          <w:b/>
                        </w:rPr>
                        <w:t>Figure 1.2</w:t>
                      </w:r>
                      <w:r>
                        <w:t xml:space="preserve"> Table showing the population of Swansea as of the 2011 census. </w:t>
                      </w:r>
                    </w:p>
                    <w:p w14:paraId="21489303" w14:textId="7F1120E1" w:rsidR="001A0CCA" w:rsidRPr="00C921A4" w:rsidRDefault="001A0CCA" w:rsidP="00893CAE">
                      <w:r>
                        <w:t xml:space="preserve"> </w:t>
                      </w:r>
                      <w:r w:rsidRPr="00C921A4">
                        <w:t>Data Source: (https://www.ons.gov.uk)</w:t>
                      </w:r>
                      <w:r w:rsidRPr="00C921A4">
                        <w:rPr>
                          <w:noProof/>
                          <w:lang w:eastAsia="en-GB"/>
                        </w:rPr>
                        <w:t xml:space="preserve"> </w:t>
                      </w:r>
                    </w:p>
                    <w:p w14:paraId="783C9282" w14:textId="77777777" w:rsidR="001A0CCA" w:rsidRPr="00C921A4" w:rsidRDefault="001A0CCA" w:rsidP="00893CAE"/>
                    <w:p w14:paraId="3F790884" w14:textId="77777777" w:rsidR="001A0CCA" w:rsidRDefault="001A0CCA" w:rsidP="008E7BD9"/>
                    <w:p w14:paraId="2AA8CF1C" w14:textId="77777777" w:rsidR="001A0CCA" w:rsidRDefault="001A0CCA" w:rsidP="008E7BD9"/>
                    <w:p w14:paraId="291E2F6D" w14:textId="77777777" w:rsidR="001A0CCA" w:rsidRDefault="001A0CCA" w:rsidP="008E7BD9"/>
                    <w:p w14:paraId="060E42AA" w14:textId="77777777" w:rsidR="001A0CCA" w:rsidRDefault="001A0CCA"/>
                  </w:txbxContent>
                </v:textbox>
                <w10:wrap type="square"/>
              </v:shape>
            </w:pict>
          </mc:Fallback>
        </mc:AlternateContent>
      </w:r>
    </w:p>
    <w:p w14:paraId="1E1DC0AB" w14:textId="4AFCD6C6" w:rsidR="008E7BD9" w:rsidRDefault="008E7BD9" w:rsidP="00C75E57"/>
    <w:p w14:paraId="76752A72" w14:textId="505ADF8C" w:rsidR="008E7BD9" w:rsidRDefault="008E7BD9" w:rsidP="00C75E57"/>
    <w:p w14:paraId="07EA5ED0" w14:textId="0E5DE901" w:rsidR="008E7BD9" w:rsidRDefault="00435A94" w:rsidP="00C75E57">
      <w:r>
        <w:rPr>
          <w:noProof/>
          <w:lang w:eastAsia="en-GB"/>
        </w:rPr>
        <w:lastRenderedPageBreak/>
        <mc:AlternateContent>
          <mc:Choice Requires="wps">
            <w:drawing>
              <wp:anchor distT="0" distB="0" distL="114300" distR="114300" simplePos="0" relativeHeight="251668480" behindDoc="0" locked="0" layoutInCell="1" allowOverlap="1" wp14:anchorId="09564DC6" wp14:editId="4DF3AB91">
                <wp:simplePos x="0" y="0"/>
                <wp:positionH relativeFrom="column">
                  <wp:posOffset>-63500</wp:posOffset>
                </wp:positionH>
                <wp:positionV relativeFrom="paragraph">
                  <wp:posOffset>3676015</wp:posOffset>
                </wp:positionV>
                <wp:extent cx="5143500" cy="45720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51435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B535A71" w14:textId="0D9A1DB3" w:rsidR="001A0CCA" w:rsidRPr="00F45CA3" w:rsidRDefault="001A0CCA">
                            <w:r w:rsidRPr="00C921A4">
                              <w:rPr>
                                <w:b/>
                              </w:rPr>
                              <w:t>Figure 1.3</w:t>
                            </w:r>
                            <w:r>
                              <w:rPr>
                                <w:b/>
                              </w:rPr>
                              <w:t xml:space="preserve"> </w:t>
                            </w:r>
                            <w:r>
                              <w:t>Graph showing the mid-year population estimates in Wales Regions from 1991 to 2016. Data Source: www.stats.Wales.gov.Wales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564DC6" id="Text Box 13" o:spid="_x0000_s1028" type="#_x0000_t202" style="position:absolute;margin-left:-5pt;margin-top:289.45pt;width:405pt;height:36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" filled="f" stroked="f">
                <v:textbox>
                  <w:txbxContent>
                    <w:p w14:paraId="1B535A71" w14:textId="0D9A1DB3" w:rsidR="001A0CCA" w:rsidRPr="00F45CA3" w:rsidRDefault="001A0CCA">
                      <w:r w:rsidRPr="00C921A4">
                        <w:rPr>
                          <w:b/>
                        </w:rPr>
                        <w:t>Figure 1.3</w:t>
                      </w:r>
                      <w:r>
                        <w:rPr>
                          <w:b/>
                        </w:rPr>
                        <w:t xml:space="preserve"> </w:t>
                      </w:r>
                      <w:r>
                        <w:t>Graph showing the mid-year population estimates in Wales Regions from 1991 to 2016. Data Source: www.stats.Wales.gov.Wales</w:t>
                      </w:r>
                    </w:p>
                  </w:txbxContent>
                </v:textbox>
                <w10:wrap type="square"/>
              </v:shape>
            </w:pict>
          </mc:Fallback>
        </mc:AlternateContent>
      </w:r>
      <w:r>
        <w:rPr>
          <w:noProof/>
          <w:lang w:eastAsia="en-GB"/>
        </w:rPr>
        <w:drawing>
          <wp:anchor distT="0" distB="0" distL="114300" distR="114300" simplePos="0" relativeHeight="251667456" behindDoc="0" locked="0" layoutInCell="1" allowOverlap="1" wp14:anchorId="695AEA11" wp14:editId="4DCB6A6A">
            <wp:simplePos x="0" y="0"/>
            <wp:positionH relativeFrom="column">
              <wp:posOffset>-64770</wp:posOffset>
            </wp:positionH>
            <wp:positionV relativeFrom="paragraph">
              <wp:posOffset>17145</wp:posOffset>
            </wp:positionV>
            <wp:extent cx="5829300" cy="3660140"/>
            <wp:effectExtent l="0" t="0" r="12700" b="22860"/>
            <wp:wrapTight wrapText="bothSides">
              <wp:wrapPolygon edited="0">
                <wp:start x="0" y="0"/>
                <wp:lineTo x="0" y="21585"/>
                <wp:lineTo x="21553" y="21585"/>
                <wp:lineTo x="21553" y="0"/>
                <wp:lineTo x="0" y="0"/>
              </wp:wrapPolygon>
            </wp:wrapTight>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p w14:paraId="45440DBB" w14:textId="4B08F4FD" w:rsidR="008E7BD9" w:rsidRDefault="008E7BD9" w:rsidP="00C75E57"/>
    <w:p w14:paraId="5ECF934D" w14:textId="39F33339" w:rsidR="008E7BD9" w:rsidRDefault="008E7BD9" w:rsidP="00C75E57"/>
    <w:p w14:paraId="5C52DF0A" w14:textId="2E2A76DD" w:rsidR="008E7BD9" w:rsidRDefault="008E7BD9" w:rsidP="00C75E57"/>
    <w:p w14:paraId="562C3C50" w14:textId="68A0C5A9" w:rsidR="008E7BD9" w:rsidRDefault="00F45CA3" w:rsidP="00D6613D">
      <w:r>
        <w:t xml:space="preserve">Figure 1.1 shows that the estimated population </w:t>
      </w:r>
      <w:r w:rsidR="0050552B">
        <w:t>in the United Kingdom in 2016 was</w:t>
      </w:r>
      <w:r>
        <w:t xml:space="preserve"> 67 million. Figure 1.2 shows that Swansea’s population is estimated at 179,485 as of the 2011 census. The data indicates that Swansea’s population makes up a small fraction of the overall population in the United Kingdom. However, Figure 1.3 shows that out of the 22 regions that </w:t>
      </w:r>
      <w:r w:rsidR="00E15657">
        <w:t>make</w:t>
      </w:r>
      <w:r w:rsidR="00153E04">
        <w:t xml:space="preserve"> up</w:t>
      </w:r>
      <w:r w:rsidR="00E15657">
        <w:t xml:space="preserve"> Wales, Swansea has the second highest population as of 2016. Cardiff is the only region with a larger population. This indicates that Swa</w:t>
      </w:r>
      <w:r w:rsidR="00153E04">
        <w:t xml:space="preserve">nsea is one of the major </w:t>
      </w:r>
      <w:r w:rsidR="004318B4">
        <w:t>cities</w:t>
      </w:r>
      <w:r w:rsidR="00E15657">
        <w:t xml:space="preserve"> within Wales. </w:t>
      </w:r>
    </w:p>
    <w:p w14:paraId="7A129EB4" w14:textId="699AF4B9" w:rsidR="008E7BD9" w:rsidRDefault="008E7BD9" w:rsidP="00D6613D"/>
    <w:p w14:paraId="375F50D5" w14:textId="22720A43" w:rsidR="008E7BD9" w:rsidRDefault="008E7BD9" w:rsidP="00D6613D"/>
    <w:p w14:paraId="5EACD584" w14:textId="41C9E19E" w:rsidR="008E7BD9" w:rsidRDefault="008E7BD9" w:rsidP="00D6613D"/>
    <w:p w14:paraId="27881680" w14:textId="30425CB2" w:rsidR="008E7BD9" w:rsidRDefault="008E7BD9" w:rsidP="00D6613D"/>
    <w:p w14:paraId="2AD3F568" w14:textId="22D714AB" w:rsidR="008E7BD9" w:rsidRDefault="008E7BD9" w:rsidP="00D6613D"/>
    <w:p w14:paraId="2C080F48" w14:textId="74A2BDE6" w:rsidR="004C321D" w:rsidRDefault="004C321D" w:rsidP="00D6613D">
      <w:pPr>
        <w:rPr>
          <w:u w:val="single"/>
        </w:rPr>
      </w:pPr>
    </w:p>
    <w:p w14:paraId="4C3F17D2" w14:textId="662A74C2" w:rsidR="004C321D" w:rsidRDefault="004C321D" w:rsidP="00D6613D">
      <w:pPr>
        <w:rPr>
          <w:u w:val="single"/>
        </w:rPr>
      </w:pPr>
    </w:p>
    <w:p w14:paraId="2B81A4E3" w14:textId="5DAB0964" w:rsidR="004C321D" w:rsidRDefault="004C321D" w:rsidP="00D6613D">
      <w:pPr>
        <w:rPr>
          <w:u w:val="single"/>
        </w:rPr>
      </w:pPr>
    </w:p>
    <w:p w14:paraId="279F6AE3" w14:textId="431C3AC7" w:rsidR="004C321D" w:rsidRDefault="004C321D" w:rsidP="00D6613D">
      <w:pPr>
        <w:rPr>
          <w:u w:val="single"/>
        </w:rPr>
      </w:pPr>
    </w:p>
    <w:p w14:paraId="29D458D0" w14:textId="0177BABE" w:rsidR="004C321D" w:rsidRDefault="004C321D" w:rsidP="00D6613D">
      <w:pPr>
        <w:rPr>
          <w:u w:val="single"/>
        </w:rPr>
      </w:pPr>
    </w:p>
    <w:p w14:paraId="525FEEF1" w14:textId="2743C648" w:rsidR="004C321D" w:rsidRDefault="004C321D" w:rsidP="00D6613D">
      <w:pPr>
        <w:rPr>
          <w:u w:val="single"/>
        </w:rPr>
      </w:pPr>
    </w:p>
    <w:p w14:paraId="455E630D" w14:textId="355ACCDE" w:rsidR="004C321D" w:rsidRDefault="004C321D" w:rsidP="00D6613D">
      <w:pPr>
        <w:rPr>
          <w:u w:val="single"/>
        </w:rPr>
      </w:pPr>
    </w:p>
    <w:p w14:paraId="510AB8D9" w14:textId="4D02896A" w:rsidR="004C321D" w:rsidRDefault="004C321D" w:rsidP="00D6613D">
      <w:pPr>
        <w:rPr>
          <w:u w:val="single"/>
        </w:rPr>
      </w:pPr>
    </w:p>
    <w:p w14:paraId="23622F7B" w14:textId="0DBE2DB5" w:rsidR="004C321D" w:rsidRDefault="004C321D" w:rsidP="00D6613D">
      <w:pPr>
        <w:rPr>
          <w:u w:val="single"/>
        </w:rPr>
      </w:pPr>
    </w:p>
    <w:p w14:paraId="08C44293" w14:textId="79A94765" w:rsidR="004C321D" w:rsidRDefault="004C321D" w:rsidP="00D6613D">
      <w:pPr>
        <w:rPr>
          <w:u w:val="single"/>
        </w:rPr>
      </w:pPr>
    </w:p>
    <w:p w14:paraId="6C3AC06A" w14:textId="7F45CA6E" w:rsidR="004C321D" w:rsidRDefault="004C321D" w:rsidP="00D6613D">
      <w:pPr>
        <w:rPr>
          <w:u w:val="single"/>
        </w:rPr>
      </w:pPr>
    </w:p>
    <w:p w14:paraId="24F4997F" w14:textId="3880BB2F" w:rsidR="004C321D" w:rsidRDefault="004C321D" w:rsidP="00C34A6C">
      <w:pPr>
        <w:rPr>
          <w:u w:val="single"/>
        </w:rPr>
      </w:pPr>
    </w:p>
    <w:p w14:paraId="207A6682" w14:textId="0F45E3E7" w:rsidR="008E7BD9" w:rsidRPr="00F83AAA" w:rsidRDefault="00F83AAA" w:rsidP="007956F7">
      <w:pPr>
        <w:outlineLvl w:val="0"/>
        <w:rPr>
          <w:u w:val="single"/>
        </w:rPr>
      </w:pPr>
      <w:r w:rsidRPr="00F83AAA">
        <w:rPr>
          <w:u w:val="single"/>
        </w:rPr>
        <w:t>Employment rates and Income data</w:t>
      </w:r>
    </w:p>
    <w:p w14:paraId="12BB46E5" w14:textId="364CFDF4" w:rsidR="008E7BD9" w:rsidRDefault="008E7BD9" w:rsidP="00D6613D"/>
    <w:p w14:paraId="359B857A" w14:textId="0629FF58" w:rsidR="008E7BD9" w:rsidRDefault="00F2668F" w:rsidP="00D6613D">
      <w:r>
        <w:rPr>
          <w:noProof/>
          <w:lang w:eastAsia="en-GB"/>
        </w:rPr>
        <w:drawing>
          <wp:inline distT="0" distB="0" distL="0" distR="0" wp14:anchorId="6BEFC0F8" wp14:editId="61F571CB">
            <wp:extent cx="5727700" cy="3703955"/>
            <wp:effectExtent l="0" t="0" r="12700" b="4445"/>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Pr>
          <w:noProof/>
          <w:lang w:eastAsia="en-GB"/>
        </w:rPr>
        <mc:AlternateContent>
          <mc:Choice Requires="wps">
            <w:drawing>
              <wp:anchor distT="0" distB="0" distL="114300" distR="114300" simplePos="0" relativeHeight="251663360" behindDoc="0" locked="0" layoutInCell="1" allowOverlap="1" wp14:anchorId="3026E9EE" wp14:editId="782021A5">
                <wp:simplePos x="0" y="0"/>
                <wp:positionH relativeFrom="column">
                  <wp:posOffset>49530</wp:posOffset>
                </wp:positionH>
                <wp:positionV relativeFrom="paragraph">
                  <wp:posOffset>3798570</wp:posOffset>
                </wp:positionV>
                <wp:extent cx="5600700" cy="800100"/>
                <wp:effectExtent l="0" t="0" r="0" b="12700"/>
                <wp:wrapSquare wrapText="bothSides"/>
                <wp:docPr id="12" name="Text Box 12"/>
                <wp:cNvGraphicFramePr/>
                <a:graphic xmlns:a="http://schemas.openxmlformats.org/drawingml/2006/main">
                  <a:graphicData uri="http://schemas.microsoft.com/office/word/2010/wordprocessingShape">
                    <wps:wsp>
                      <wps:cNvSpPr txBox="1"/>
                      <wps:spPr>
                        <a:xfrm>
                          <a:off x="0" y="0"/>
                          <a:ext cx="5600700" cy="8001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A76A47C" w14:textId="35DCBE99" w:rsidR="001A0CCA" w:rsidRPr="00A1217A" w:rsidRDefault="001A0CCA">
                            <w:r w:rsidRPr="00A1217A">
                              <w:rPr>
                                <w:b/>
                              </w:rPr>
                              <w:t>F</w:t>
                            </w:r>
                            <w:r>
                              <w:rPr>
                                <w:b/>
                              </w:rPr>
                              <w:t>igure 1.4</w:t>
                            </w:r>
                            <w:r w:rsidRPr="00A1217A">
                              <w:rPr>
                                <w:b/>
                              </w:rPr>
                              <w:t xml:space="preserve"> </w:t>
                            </w:r>
                            <w:r>
                              <w:t>shows the employment rates in Wales. Data Source www.gov.wales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26E9EE" id="Text Box 12" o:spid="_x0000_s1029" type="#_x0000_t202" style="position:absolute;margin-left:3.9pt;margin-top:299.1pt;width:441pt;height:63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" filled="f" stroked="f">
                <v:textbox>
                  <w:txbxContent>
                    <w:p w14:paraId="2A76A47C" w14:textId="35DCBE99" w:rsidR="001A0CCA" w:rsidRPr="00A1217A" w:rsidRDefault="001A0CCA">
                      <w:r w:rsidRPr="00A1217A">
                        <w:rPr>
                          <w:b/>
                        </w:rPr>
                        <w:t>F</w:t>
                      </w:r>
                      <w:r>
                        <w:rPr>
                          <w:b/>
                        </w:rPr>
                        <w:t>igure 1.4</w:t>
                      </w:r>
                      <w:r w:rsidRPr="00A1217A">
                        <w:rPr>
                          <w:b/>
                        </w:rPr>
                        <w:t xml:space="preserve"> </w:t>
                      </w:r>
                      <w:r>
                        <w:t>shows the employment rates in Wales. Data Source www.gov.wales</w:t>
                      </w:r>
                    </w:p>
                  </w:txbxContent>
                </v:textbox>
                <w10:wrap type="square"/>
              </v:shape>
            </w:pict>
          </mc:Fallback>
        </mc:AlternateContent>
      </w:r>
    </w:p>
    <w:p w14:paraId="2A5C5B55" w14:textId="718B6AC3" w:rsidR="008E7BD9" w:rsidRDefault="008E7BD9" w:rsidP="00D6613D"/>
    <w:p w14:paraId="3428A6B1" w14:textId="095F64D1" w:rsidR="008E7BD9" w:rsidRDefault="008E7BD9" w:rsidP="00D6613D"/>
    <w:p w14:paraId="168FB3D6" w14:textId="53A0AA0D" w:rsidR="008E7BD9" w:rsidRDefault="008E7BD9" w:rsidP="00D6613D"/>
    <w:p w14:paraId="21F2E2EC" w14:textId="0C294696" w:rsidR="00312475" w:rsidRDefault="00312475" w:rsidP="00D6613D"/>
    <w:p w14:paraId="61DA1519" w14:textId="7742BD5E" w:rsidR="006578D6" w:rsidRDefault="006578D6" w:rsidP="00D6613D"/>
    <w:p w14:paraId="06685174" w14:textId="6EF2B375" w:rsidR="006578D6" w:rsidRDefault="006578D6" w:rsidP="00D6613D"/>
    <w:p w14:paraId="6B097BCC" w14:textId="58F0B0F1" w:rsidR="006578D6" w:rsidRDefault="006578D6" w:rsidP="00D6613D"/>
    <w:p w14:paraId="65DF24D6" w14:textId="7B788C85" w:rsidR="006578D6" w:rsidRDefault="006578D6" w:rsidP="00D6613D"/>
    <w:p w14:paraId="3C951CF4" w14:textId="2312EE99" w:rsidR="006578D6" w:rsidRDefault="006578D6" w:rsidP="00D6613D"/>
    <w:p w14:paraId="7DF84AD4" w14:textId="7F78C14F" w:rsidR="00B5169D" w:rsidRDefault="00B5169D" w:rsidP="00D6613D"/>
    <w:p w14:paraId="45F434F4" w14:textId="5CA2A6C3" w:rsidR="00B5169D" w:rsidRPr="00B5169D" w:rsidRDefault="00B5169D" w:rsidP="00B5169D"/>
    <w:p w14:paraId="536E67AF" w14:textId="483AAABF" w:rsidR="00B5169D" w:rsidRPr="00B5169D" w:rsidRDefault="00B5169D" w:rsidP="00B5169D"/>
    <w:p w14:paraId="240DE0D5" w14:textId="279A7379" w:rsidR="00B5169D" w:rsidRPr="00B5169D" w:rsidRDefault="00B5169D" w:rsidP="00B5169D"/>
    <w:p w14:paraId="4C79EB6A" w14:textId="1F46E507" w:rsidR="00B5169D" w:rsidRPr="00B5169D" w:rsidRDefault="00B5169D" w:rsidP="00B5169D"/>
    <w:p w14:paraId="199A0ECD" w14:textId="727472B4" w:rsidR="00B5169D" w:rsidRPr="00B5169D" w:rsidRDefault="00B5169D" w:rsidP="00B5169D"/>
    <w:p w14:paraId="387F66C6" w14:textId="2CC4E81E" w:rsidR="00B5169D" w:rsidRPr="00B5169D" w:rsidRDefault="00B5169D" w:rsidP="00B5169D"/>
    <w:p w14:paraId="49B62C05" w14:textId="50B9E91C" w:rsidR="00B5169D" w:rsidRPr="00B5169D" w:rsidRDefault="00B5169D" w:rsidP="00B5169D"/>
    <w:p w14:paraId="26681EAC" w14:textId="61A61014" w:rsidR="00B5169D" w:rsidRPr="00B5169D" w:rsidRDefault="00B5169D" w:rsidP="00B5169D"/>
    <w:p w14:paraId="16CAA93F" w14:textId="3AC3A6EF" w:rsidR="00B5169D" w:rsidRPr="00B5169D" w:rsidRDefault="002C4EEE" w:rsidP="00B5169D">
      <w:r>
        <w:rPr>
          <w:noProof/>
          <w:sz w:val="32"/>
          <w:szCs w:val="32"/>
          <w:lang w:eastAsia="en-GB"/>
        </w:rPr>
        <mc:AlternateContent>
          <mc:Choice Requires="wps">
            <w:drawing>
              <wp:anchor distT="0" distB="0" distL="114300" distR="114300" simplePos="0" relativeHeight="251707392" behindDoc="0" locked="0" layoutInCell="1" allowOverlap="1" wp14:anchorId="6605C4E3" wp14:editId="01B5D447">
                <wp:simplePos x="0" y="0"/>
                <wp:positionH relativeFrom="column">
                  <wp:posOffset>1083079</wp:posOffset>
                </wp:positionH>
                <wp:positionV relativeFrom="paragraph">
                  <wp:posOffset>129251</wp:posOffset>
                </wp:positionV>
                <wp:extent cx="568325" cy="11366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568325" cy="1136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A47F540" w14:textId="77777777" w:rsidR="002C4EEE" w:rsidRDefault="002C4E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605C4E3" id="Text Box 8" o:spid="_x0000_s1030" type="#_x0000_t202" style="position:absolute;margin-left:85.3pt;margin-top:10.2pt;width:44.75pt;height:8.95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" filled="f" stroked="f">
                <v:textbox>
                  <w:txbxContent>
                    <w:p w14:paraId="0A47F540" w14:textId="77777777" w:rsidR="002C4EEE" w:rsidRDefault="002C4EEE"/>
                  </w:txbxContent>
                </v:textbox>
                <w10:wrap type="square"/>
              </v:shape>
            </w:pict>
          </mc:Fallback>
        </mc:AlternateContent>
      </w:r>
    </w:p>
    <w:p w14:paraId="5A4F9931" w14:textId="54DEDEBA" w:rsidR="00B5169D" w:rsidRPr="00B5169D" w:rsidRDefault="008607CE" w:rsidP="00B5169D">
      <w:r>
        <w:rPr>
          <w:noProof/>
          <w:lang w:eastAsia="en-GB"/>
        </w:rPr>
        <w:drawing>
          <wp:anchor distT="0" distB="0" distL="114300" distR="114300" simplePos="0" relativeHeight="251671552" behindDoc="0" locked="0" layoutInCell="1" allowOverlap="1" wp14:anchorId="28AEF034" wp14:editId="3D51EB0F">
            <wp:simplePos x="0" y="0"/>
            <wp:positionH relativeFrom="column">
              <wp:posOffset>625879</wp:posOffset>
            </wp:positionH>
            <wp:positionV relativeFrom="paragraph">
              <wp:posOffset>18704</wp:posOffset>
            </wp:positionV>
            <wp:extent cx="4394835" cy="3298190"/>
            <wp:effectExtent l="0" t="0" r="24765" b="3810"/>
            <wp:wrapTight wrapText="bothSides">
              <wp:wrapPolygon edited="0">
                <wp:start x="0" y="0"/>
                <wp:lineTo x="0" y="21459"/>
                <wp:lineTo x="21597" y="21459"/>
                <wp:lineTo x="21597" y="0"/>
                <wp:lineTo x="0" y="0"/>
              </wp:wrapPolygon>
            </wp:wrapTight>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46743962" w14:textId="691FE268" w:rsidR="00B5169D" w:rsidRPr="00B5169D" w:rsidRDefault="00B5169D" w:rsidP="00B5169D"/>
    <w:p w14:paraId="33AFE55C" w14:textId="6C56B15B" w:rsidR="00B5169D" w:rsidRPr="00B5169D" w:rsidRDefault="00B5169D" w:rsidP="00B5169D"/>
    <w:p w14:paraId="2FF4901F" w14:textId="67BCA507" w:rsidR="00B5169D" w:rsidRPr="00B5169D" w:rsidRDefault="00B5169D" w:rsidP="00B5169D"/>
    <w:p w14:paraId="2E55ED39" w14:textId="758F03DB" w:rsidR="00B5169D" w:rsidRPr="00B5169D" w:rsidRDefault="00B5169D" w:rsidP="00B5169D"/>
    <w:p w14:paraId="40B1123E" w14:textId="71540DE5" w:rsidR="00B5169D" w:rsidRPr="00B5169D" w:rsidRDefault="00B5169D" w:rsidP="00B5169D"/>
    <w:p w14:paraId="2DDD8252" w14:textId="5EC6B435" w:rsidR="00B5169D" w:rsidRPr="00B5169D" w:rsidRDefault="00B5169D" w:rsidP="00B5169D"/>
    <w:p w14:paraId="386EFA63" w14:textId="77777777" w:rsidR="00B5169D" w:rsidRPr="00B5169D" w:rsidRDefault="00B5169D" w:rsidP="00B5169D"/>
    <w:p w14:paraId="5022B8F6" w14:textId="77777777" w:rsidR="00B5169D" w:rsidRPr="00B5169D" w:rsidRDefault="00B5169D" w:rsidP="00B5169D"/>
    <w:p w14:paraId="32E1707F" w14:textId="77777777" w:rsidR="00B5169D" w:rsidRPr="00B5169D" w:rsidRDefault="00B5169D" w:rsidP="00B5169D"/>
    <w:p w14:paraId="20DB9827" w14:textId="77777777" w:rsidR="00B5169D" w:rsidRPr="00B5169D" w:rsidRDefault="00B5169D" w:rsidP="00B5169D"/>
    <w:p w14:paraId="099E6F25" w14:textId="77777777" w:rsidR="00B5169D" w:rsidRPr="00B5169D" w:rsidRDefault="00B5169D" w:rsidP="00B5169D"/>
    <w:p w14:paraId="7DB5A685" w14:textId="77777777" w:rsidR="00B5169D" w:rsidRPr="00B5169D" w:rsidRDefault="00B5169D" w:rsidP="00B5169D"/>
    <w:p w14:paraId="0328459A" w14:textId="77777777" w:rsidR="00B5169D" w:rsidRPr="00B5169D" w:rsidRDefault="00B5169D" w:rsidP="00B5169D"/>
    <w:p w14:paraId="760D663A" w14:textId="77777777" w:rsidR="00B5169D" w:rsidRPr="00B5169D" w:rsidRDefault="00B5169D" w:rsidP="00B5169D"/>
    <w:p w14:paraId="57120932" w14:textId="77777777" w:rsidR="00B5169D" w:rsidRPr="00B5169D" w:rsidRDefault="00B5169D" w:rsidP="00B5169D"/>
    <w:p w14:paraId="5CFE2DA3" w14:textId="77777777" w:rsidR="00B5169D" w:rsidRPr="00B5169D" w:rsidRDefault="00B5169D" w:rsidP="00B5169D"/>
    <w:p w14:paraId="3D361309" w14:textId="2971A8A1" w:rsidR="00B5169D" w:rsidRPr="00B5169D" w:rsidRDefault="00435A94" w:rsidP="00B5169D">
      <w:r>
        <w:rPr>
          <w:noProof/>
          <w:lang w:eastAsia="en-GB"/>
        </w:rPr>
        <mc:AlternateContent>
          <mc:Choice Requires="wps">
            <w:drawing>
              <wp:anchor distT="0" distB="0" distL="114300" distR="114300" simplePos="0" relativeHeight="251672576" behindDoc="0" locked="0" layoutInCell="1" allowOverlap="1" wp14:anchorId="6A77E87C" wp14:editId="2A37E4CC">
                <wp:simplePos x="0" y="0"/>
                <wp:positionH relativeFrom="column">
                  <wp:posOffset>623570</wp:posOffset>
                </wp:positionH>
                <wp:positionV relativeFrom="paragraph">
                  <wp:posOffset>166370</wp:posOffset>
                </wp:positionV>
                <wp:extent cx="4343400" cy="45720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43434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7FEA141" w14:textId="4A2FF677" w:rsidR="001A0CCA" w:rsidRPr="00B5169D" w:rsidRDefault="001A0CCA">
                            <w:r w:rsidRPr="00B5169D">
                              <w:rPr>
                                <w:b/>
                              </w:rPr>
                              <w:t xml:space="preserve">Figure 1.5 </w:t>
                            </w:r>
                            <w:r>
                              <w:t>shows the employment rates in Wales and Swansea from the year 2001-2013. Data Source: www.gov.wales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77E87C" id="Text Box 16" o:spid="_x0000_s1031" type="#_x0000_t202" style="position:absolute;margin-left:49.1pt;margin-top:13.1pt;width:342pt;height:36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" filled="f" stroked="f">
                <v:textbox>
                  <w:txbxContent>
                    <w:p w14:paraId="57FEA141" w14:textId="4A2FF677" w:rsidR="001A0CCA" w:rsidRPr="00B5169D" w:rsidRDefault="001A0CCA">
                      <w:r w:rsidRPr="00B5169D">
                        <w:rPr>
                          <w:b/>
                        </w:rPr>
                        <w:t xml:space="preserve">Figure 1.5 </w:t>
                      </w:r>
                      <w:r>
                        <w:t>shows the employment rates in Wales and Swansea from the year 2001-2013. Data Source: www.gov.wales</w:t>
                      </w:r>
                    </w:p>
                  </w:txbxContent>
                </v:textbox>
                <w10:wrap type="square"/>
              </v:shape>
            </w:pict>
          </mc:Fallback>
        </mc:AlternateContent>
      </w:r>
    </w:p>
    <w:p w14:paraId="7FF39160" w14:textId="64BFB438" w:rsidR="00312475" w:rsidRDefault="00312475" w:rsidP="00B5169D"/>
    <w:p w14:paraId="5E8514DD" w14:textId="1B4D8F66" w:rsidR="00B5169D" w:rsidRDefault="00B5169D" w:rsidP="00B5169D"/>
    <w:p w14:paraId="327E3EE6" w14:textId="28CF8A18" w:rsidR="00B5169D" w:rsidRDefault="00B5169D" w:rsidP="00B5169D"/>
    <w:p w14:paraId="303FC483" w14:textId="286B8698" w:rsidR="00B5169D" w:rsidRDefault="00435A94" w:rsidP="00B5169D">
      <w:r>
        <w:rPr>
          <w:noProof/>
          <w:lang w:eastAsia="en-GB"/>
        </w:rPr>
        <mc:AlternateContent>
          <mc:Choice Requires="wps">
            <w:drawing>
              <wp:anchor distT="0" distB="0" distL="114300" distR="114300" simplePos="0" relativeHeight="251675648" behindDoc="0" locked="0" layoutInCell="1" allowOverlap="1" wp14:anchorId="36AFAC6E" wp14:editId="608B8279">
                <wp:simplePos x="0" y="0"/>
                <wp:positionH relativeFrom="column">
                  <wp:posOffset>-293370</wp:posOffset>
                </wp:positionH>
                <wp:positionV relativeFrom="paragraph">
                  <wp:posOffset>3993515</wp:posOffset>
                </wp:positionV>
                <wp:extent cx="5828665" cy="451485"/>
                <wp:effectExtent l="0" t="0" r="0" b="5715"/>
                <wp:wrapSquare wrapText="bothSides"/>
                <wp:docPr id="19" name="Text Box 19"/>
                <wp:cNvGraphicFramePr/>
                <a:graphic xmlns:a="http://schemas.openxmlformats.org/drawingml/2006/main">
                  <a:graphicData uri="http://schemas.microsoft.com/office/word/2010/wordprocessingShape">
                    <wps:wsp>
                      <wps:cNvSpPr txBox="1"/>
                      <wps:spPr>
                        <a:xfrm>
                          <a:off x="0" y="0"/>
                          <a:ext cx="5828665" cy="45148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1E33F1B" w14:textId="03FF7113" w:rsidR="001A0CCA" w:rsidRPr="00C57412" w:rsidRDefault="001A0CCA">
                            <w:r w:rsidRPr="00C57412">
                              <w:rPr>
                                <w:b/>
                              </w:rPr>
                              <w:t xml:space="preserve">Figure 1.6 </w:t>
                            </w:r>
                            <w:r>
                              <w:t>Shows the average gross weekly full-time earnings in Wales regions in 2013. Data Source: Office for National Statistics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AFAC6E" id="Text Box 19" o:spid="_x0000_s1032" type="#_x0000_t202" style="position:absolute;margin-left:-23.1pt;margin-top:314.45pt;width:458.95pt;height:35.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" filled="f" stroked="f">
                <v:textbox>
                  <w:txbxContent>
                    <w:p w14:paraId="41E33F1B" w14:textId="03FF7113" w:rsidR="001A0CCA" w:rsidRPr="00C57412" w:rsidRDefault="001A0CCA">
                      <w:r w:rsidRPr="00C57412">
                        <w:rPr>
                          <w:b/>
                        </w:rPr>
                        <w:t xml:space="preserve">Figure 1.6 </w:t>
                      </w:r>
                      <w:r>
                        <w:t>Shows the average gross weekly full-time earnings in Wales regions in 2013. Data Source: Office for National Statistics</w:t>
                      </w:r>
                    </w:p>
                  </w:txbxContent>
                </v:textbox>
                <w10:wrap type="square"/>
              </v:shape>
            </w:pict>
          </mc:Fallback>
        </mc:AlternateContent>
      </w:r>
      <w:r>
        <w:rPr>
          <w:noProof/>
          <w:lang w:eastAsia="en-GB"/>
        </w:rPr>
        <w:drawing>
          <wp:anchor distT="0" distB="0" distL="114300" distR="114300" simplePos="0" relativeHeight="251676672" behindDoc="0" locked="0" layoutInCell="1" allowOverlap="1" wp14:anchorId="44AEB3B4" wp14:editId="5972459D">
            <wp:simplePos x="0" y="0"/>
            <wp:positionH relativeFrom="column">
              <wp:posOffset>-289156</wp:posOffset>
            </wp:positionH>
            <wp:positionV relativeFrom="paragraph">
              <wp:posOffset>221961</wp:posOffset>
            </wp:positionV>
            <wp:extent cx="6171565" cy="3693160"/>
            <wp:effectExtent l="0" t="0" r="635" b="15240"/>
            <wp:wrapTight wrapText="bothSides">
              <wp:wrapPolygon edited="0">
                <wp:start x="0" y="0"/>
                <wp:lineTo x="0" y="21541"/>
                <wp:lineTo x="21513" y="21541"/>
                <wp:lineTo x="21513"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1962AFF5" w14:textId="25116C11" w:rsidR="00B5169D" w:rsidRDefault="00B5169D" w:rsidP="00B5169D"/>
    <w:p w14:paraId="7A04FFB9" w14:textId="0199A993" w:rsidR="00B5169D" w:rsidRDefault="00B5169D" w:rsidP="00B5169D"/>
    <w:p w14:paraId="2CD3657A" w14:textId="68FBC5FE" w:rsidR="000A572C" w:rsidRDefault="004318B4" w:rsidP="00B5169D">
      <w:r>
        <w:rPr>
          <w:noProof/>
          <w:lang w:eastAsia="en-GB"/>
        </w:rPr>
        <mc:AlternateContent>
          <mc:Choice Requires="wps">
            <w:drawing>
              <wp:anchor distT="0" distB="0" distL="114300" distR="114300" simplePos="0" relativeHeight="251678720" behindDoc="0" locked="0" layoutInCell="1" allowOverlap="1" wp14:anchorId="4F880159" wp14:editId="361BF938">
                <wp:simplePos x="0" y="0"/>
                <wp:positionH relativeFrom="column">
                  <wp:posOffset>-750570</wp:posOffset>
                </wp:positionH>
                <wp:positionV relativeFrom="paragraph">
                  <wp:posOffset>5274310</wp:posOffset>
                </wp:positionV>
                <wp:extent cx="7085965" cy="574040"/>
                <wp:effectExtent l="0" t="0" r="0" b="10160"/>
                <wp:wrapSquare wrapText="bothSides"/>
                <wp:docPr id="10" name="Text Box 10"/>
                <wp:cNvGraphicFramePr/>
                <a:graphic xmlns:a="http://schemas.openxmlformats.org/drawingml/2006/main">
                  <a:graphicData uri="http://schemas.microsoft.com/office/word/2010/wordprocessingShape">
                    <wps:wsp>
                      <wps:cNvSpPr txBox="1"/>
                      <wps:spPr>
                        <a:xfrm>
                          <a:off x="0" y="0"/>
                          <a:ext cx="7085965" cy="5740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3E2D89F" w14:textId="4FF784FE" w:rsidR="001A0CCA" w:rsidRPr="00B81398" w:rsidRDefault="001A0CCA">
                            <w:r w:rsidRPr="00B81398">
                              <w:rPr>
                                <w:b/>
                              </w:rPr>
                              <w:t xml:space="preserve">Figure 1.7 </w:t>
                            </w:r>
                            <w:r>
                              <w:t>Shows the gross disposable household income per head in Wales regions in 2012. Data source: Office for National Statistics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880159" id="Text Box 10" o:spid="_x0000_s1033" type="#_x0000_t202" style="position:absolute;margin-left:-59.1pt;margin-top:415.3pt;width:557.95pt;height:45.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" filled="f" stroked="f">
                <v:textbox>
                  <w:txbxContent>
                    <w:p w14:paraId="73E2D89F" w14:textId="4FF784FE" w:rsidR="001A0CCA" w:rsidRPr="00B81398" w:rsidRDefault="001A0CCA">
                      <w:r w:rsidRPr="00B81398">
                        <w:rPr>
                          <w:b/>
                        </w:rPr>
                        <w:t xml:space="preserve">Figure 1.7 </w:t>
                      </w:r>
                      <w:r>
                        <w:t>Shows the gross disposable household income per head in Wales regions in 2012. Data source: Office for National Statistics</w:t>
                      </w:r>
                    </w:p>
                  </w:txbxContent>
                </v:textbox>
                <w10:wrap type="square"/>
              </v:shape>
            </w:pict>
          </mc:Fallback>
        </mc:AlternateContent>
      </w:r>
      <w:r>
        <w:rPr>
          <w:noProof/>
          <w:lang w:eastAsia="en-GB"/>
        </w:rPr>
        <w:drawing>
          <wp:anchor distT="0" distB="0" distL="114300" distR="114300" simplePos="0" relativeHeight="251677696" behindDoc="0" locked="0" layoutInCell="1" allowOverlap="1" wp14:anchorId="03C6AEC0" wp14:editId="4A7542F7">
            <wp:simplePos x="0" y="0"/>
            <wp:positionH relativeFrom="column">
              <wp:posOffset>-864870</wp:posOffset>
            </wp:positionH>
            <wp:positionV relativeFrom="paragraph">
              <wp:posOffset>0</wp:posOffset>
            </wp:positionV>
            <wp:extent cx="7425055" cy="5149215"/>
            <wp:effectExtent l="0" t="0" r="17145" b="6985"/>
            <wp:wrapTight wrapText="bothSides">
              <wp:wrapPolygon edited="0">
                <wp:start x="0" y="0"/>
                <wp:lineTo x="0" y="21523"/>
                <wp:lineTo x="21576" y="21523"/>
                <wp:lineTo x="21576"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3CB610CF" w14:textId="2EC57A91" w:rsidR="000A572C" w:rsidRPr="000A572C" w:rsidRDefault="000A572C" w:rsidP="000A572C"/>
    <w:p w14:paraId="0165099C" w14:textId="77E5CB23" w:rsidR="000A572C" w:rsidRPr="000A572C" w:rsidRDefault="000A572C" w:rsidP="000A572C"/>
    <w:p w14:paraId="3B609E7C" w14:textId="54DD74B7" w:rsidR="000A572C" w:rsidRPr="000A572C" w:rsidRDefault="000A572C" w:rsidP="000A572C"/>
    <w:p w14:paraId="1D0FBA89" w14:textId="3ECF7486" w:rsidR="00B5169D" w:rsidRPr="000A572C" w:rsidRDefault="00B5169D" w:rsidP="000A572C"/>
    <w:p w14:paraId="44E8CA2B" w14:textId="7D0F7279" w:rsidR="00DB0F0F" w:rsidRDefault="00DB0F0F" w:rsidP="00B5169D"/>
    <w:p w14:paraId="230C7662" w14:textId="71F749B7" w:rsidR="00DB0F0F" w:rsidRPr="00DB0F0F" w:rsidRDefault="00DB0F0F" w:rsidP="00DB0F0F"/>
    <w:p w14:paraId="48DA5412" w14:textId="60BCA552" w:rsidR="00DB0F0F" w:rsidRPr="00DB0F0F" w:rsidRDefault="00DB0F0F" w:rsidP="00DB0F0F"/>
    <w:p w14:paraId="50DEC98B" w14:textId="19C944F2" w:rsidR="00DB0F0F" w:rsidRPr="00DB0F0F" w:rsidRDefault="00DB0F0F" w:rsidP="00DB0F0F"/>
    <w:p w14:paraId="680D29CE" w14:textId="759C73EA" w:rsidR="00DB0F0F" w:rsidRPr="00DB0F0F" w:rsidRDefault="00DB0F0F" w:rsidP="00DB0F0F"/>
    <w:p w14:paraId="7D67C8AA" w14:textId="2762740A" w:rsidR="00DB0F0F" w:rsidRPr="00DB0F0F" w:rsidRDefault="00DB0F0F" w:rsidP="00DB0F0F"/>
    <w:p w14:paraId="7A03BA98" w14:textId="4203D441" w:rsidR="00DB0F0F" w:rsidRPr="00DB0F0F" w:rsidRDefault="00DB0F0F" w:rsidP="00DB0F0F"/>
    <w:p w14:paraId="1B0D68BD" w14:textId="05822537" w:rsidR="00DB0F0F" w:rsidRPr="00DB0F0F" w:rsidRDefault="00DB0F0F" w:rsidP="00DB0F0F"/>
    <w:p w14:paraId="4CD5533F" w14:textId="51DC2B3D" w:rsidR="00DB0F0F" w:rsidRPr="00DB0F0F" w:rsidRDefault="00DB0F0F" w:rsidP="00DB0F0F"/>
    <w:p w14:paraId="008CB80A" w14:textId="7040C9F7" w:rsidR="00DB0F0F" w:rsidRPr="00DB0F0F" w:rsidRDefault="00DB0F0F" w:rsidP="00DB0F0F"/>
    <w:tbl>
      <w:tblPr>
        <w:tblpPr w:leftFromText="180" w:rightFromText="180" w:vertAnchor="text" w:horzAnchor="page" w:tblpX="1990" w:tblpY="-513"/>
        <w:tblW w:w="7457" w:type="dxa"/>
        <w:tblLook w:val="04A0" w:firstRow="1" w:lastRow="0" w:firstColumn="1" w:lastColumn="0" w:noHBand="0" w:noVBand="1"/>
      </w:tblPr>
      <w:tblGrid>
        <w:gridCol w:w="4440"/>
        <w:gridCol w:w="1961"/>
        <w:gridCol w:w="1056"/>
      </w:tblGrid>
      <w:tr w:rsidR="004318B4" w:rsidRPr="009330E4" w14:paraId="7DBACD62" w14:textId="77777777" w:rsidTr="004318B4">
        <w:trPr>
          <w:trHeight w:val="217"/>
        </w:trPr>
        <w:tc>
          <w:tcPr>
            <w:tcW w:w="4440" w:type="dxa"/>
            <w:tcBorders>
              <w:top w:val="nil"/>
              <w:left w:val="nil"/>
              <w:bottom w:val="single" w:sz="12" w:space="0" w:color="FFFFFF"/>
              <w:right w:val="single" w:sz="4" w:space="0" w:color="FFFFFF"/>
            </w:tcBorders>
            <w:shd w:val="clear" w:color="4472C4" w:fill="4472C4"/>
            <w:noWrap/>
            <w:vAlign w:val="bottom"/>
            <w:hideMark/>
          </w:tcPr>
          <w:p w14:paraId="66E2E054" w14:textId="77777777" w:rsidR="004318B4" w:rsidRPr="009330E4" w:rsidRDefault="004318B4" w:rsidP="004318B4">
            <w:pPr>
              <w:rPr>
                <w:rFonts w:ascii="Verdana" w:eastAsia="Times New Roman" w:hAnsi="Verdana" w:cs="Times New Roman"/>
                <w:b/>
                <w:bCs/>
                <w:color w:val="333333"/>
                <w:lang w:eastAsia="en-GB"/>
              </w:rPr>
            </w:pPr>
            <w:r w:rsidRPr="009330E4">
              <w:rPr>
                <w:rFonts w:ascii="Verdana" w:eastAsia="Times New Roman" w:hAnsi="Verdana" w:cs="Times New Roman"/>
                <w:b/>
                <w:bCs/>
                <w:color w:val="333333"/>
                <w:lang w:eastAsia="en-GB"/>
              </w:rPr>
              <w:t xml:space="preserve">Swansea In Wales </w:t>
            </w:r>
          </w:p>
        </w:tc>
        <w:tc>
          <w:tcPr>
            <w:tcW w:w="1961" w:type="dxa"/>
            <w:tcBorders>
              <w:top w:val="nil"/>
              <w:left w:val="single" w:sz="4" w:space="0" w:color="FFFFFF"/>
              <w:bottom w:val="single" w:sz="12" w:space="0" w:color="FFFFFF"/>
              <w:right w:val="single" w:sz="4" w:space="0" w:color="FFFFFF"/>
            </w:tcBorders>
            <w:shd w:val="clear" w:color="4472C4" w:fill="4472C4"/>
            <w:noWrap/>
            <w:vAlign w:val="bottom"/>
            <w:hideMark/>
          </w:tcPr>
          <w:p w14:paraId="28C4F3F3" w14:textId="77777777" w:rsidR="004318B4" w:rsidRPr="009330E4" w:rsidRDefault="004318B4" w:rsidP="004318B4">
            <w:pPr>
              <w:rPr>
                <w:rFonts w:ascii="Verdana" w:eastAsia="Times New Roman" w:hAnsi="Verdana" w:cs="Times New Roman"/>
                <w:b/>
                <w:bCs/>
                <w:color w:val="333333"/>
                <w:lang w:eastAsia="en-GB"/>
              </w:rPr>
            </w:pPr>
            <w:r w:rsidRPr="009330E4">
              <w:rPr>
                <w:rFonts w:ascii="Verdana" w:eastAsia="Times New Roman" w:hAnsi="Verdana" w:cs="Times New Roman"/>
                <w:b/>
                <w:bCs/>
                <w:color w:val="333333"/>
                <w:lang w:eastAsia="en-GB"/>
              </w:rPr>
              <w:t>Count</w:t>
            </w:r>
          </w:p>
        </w:tc>
        <w:tc>
          <w:tcPr>
            <w:tcW w:w="1056" w:type="dxa"/>
            <w:tcBorders>
              <w:top w:val="nil"/>
              <w:left w:val="single" w:sz="4" w:space="0" w:color="FFFFFF"/>
              <w:bottom w:val="single" w:sz="12" w:space="0" w:color="FFFFFF"/>
              <w:right w:val="nil"/>
            </w:tcBorders>
            <w:shd w:val="clear" w:color="4472C4" w:fill="4472C4"/>
            <w:noWrap/>
            <w:vAlign w:val="bottom"/>
            <w:hideMark/>
          </w:tcPr>
          <w:p w14:paraId="26CF674D" w14:textId="77777777" w:rsidR="004318B4" w:rsidRPr="009330E4" w:rsidRDefault="004318B4" w:rsidP="004318B4">
            <w:pPr>
              <w:rPr>
                <w:rFonts w:ascii="Calibri" w:eastAsia="Times New Roman" w:hAnsi="Calibri" w:cs="Times New Roman"/>
                <w:b/>
                <w:bCs/>
                <w:color w:val="FFFFFF"/>
                <w:lang w:eastAsia="en-GB"/>
              </w:rPr>
            </w:pPr>
            <w:r w:rsidRPr="009330E4">
              <w:rPr>
                <w:rFonts w:ascii="Calibri" w:eastAsia="Times New Roman" w:hAnsi="Calibri" w:cs="Times New Roman"/>
                <w:b/>
                <w:bCs/>
                <w:color w:val="FFFFFF"/>
                <w:lang w:eastAsia="en-GB"/>
              </w:rPr>
              <w:t>%</w:t>
            </w:r>
          </w:p>
        </w:tc>
      </w:tr>
      <w:tr w:rsidR="004318B4" w:rsidRPr="009330E4" w14:paraId="21635B65"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B4C6E7" w:fill="B4C6E7"/>
            <w:noWrap/>
            <w:vAlign w:val="bottom"/>
            <w:hideMark/>
          </w:tcPr>
          <w:p w14:paraId="026635B2"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All usual residents aged 16 to 74</w:t>
            </w:r>
          </w:p>
        </w:tc>
        <w:tc>
          <w:tcPr>
            <w:tcW w:w="1961"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626A257"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133,925</w:t>
            </w:r>
          </w:p>
        </w:tc>
        <w:tc>
          <w:tcPr>
            <w:tcW w:w="1056" w:type="dxa"/>
            <w:tcBorders>
              <w:top w:val="single" w:sz="4" w:space="0" w:color="FFFFFF"/>
              <w:left w:val="single" w:sz="4" w:space="0" w:color="FFFFFF"/>
              <w:bottom w:val="single" w:sz="4" w:space="0" w:color="FFFFFF"/>
              <w:right w:val="nil"/>
            </w:tcBorders>
            <w:shd w:val="clear" w:color="B4C6E7" w:fill="B4C6E7"/>
            <w:noWrap/>
            <w:vAlign w:val="bottom"/>
            <w:hideMark/>
          </w:tcPr>
          <w:p w14:paraId="332EB1AF"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100</w:t>
            </w:r>
          </w:p>
        </w:tc>
      </w:tr>
      <w:tr w:rsidR="004318B4" w:rsidRPr="009330E4" w14:paraId="546E0D41"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D9E1F2" w:fill="D9E1F2"/>
            <w:noWrap/>
            <w:vAlign w:val="bottom"/>
            <w:hideMark/>
          </w:tcPr>
          <w:p w14:paraId="7BB5FCD7"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Economically active</w:t>
            </w:r>
          </w:p>
        </w:tc>
        <w:tc>
          <w:tcPr>
            <w:tcW w:w="1961"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0FB1CB6E"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82,416</w:t>
            </w:r>
          </w:p>
        </w:tc>
        <w:tc>
          <w:tcPr>
            <w:tcW w:w="1056" w:type="dxa"/>
            <w:tcBorders>
              <w:top w:val="single" w:sz="4" w:space="0" w:color="FFFFFF"/>
              <w:left w:val="single" w:sz="4" w:space="0" w:color="FFFFFF"/>
              <w:bottom w:val="single" w:sz="4" w:space="0" w:color="FFFFFF"/>
              <w:right w:val="nil"/>
            </w:tcBorders>
            <w:shd w:val="clear" w:color="D9E1F2" w:fill="D9E1F2"/>
            <w:noWrap/>
            <w:vAlign w:val="bottom"/>
            <w:hideMark/>
          </w:tcPr>
          <w:p w14:paraId="32D5F03C"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61.5</w:t>
            </w:r>
          </w:p>
        </w:tc>
      </w:tr>
      <w:tr w:rsidR="004318B4" w:rsidRPr="009330E4" w14:paraId="523A3872"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B4C6E7" w:fill="B4C6E7"/>
            <w:noWrap/>
            <w:vAlign w:val="bottom"/>
            <w:hideMark/>
          </w:tcPr>
          <w:p w14:paraId="1CFF6031"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In employment</w:t>
            </w:r>
          </w:p>
        </w:tc>
        <w:tc>
          <w:tcPr>
            <w:tcW w:w="1961"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C19E8A8"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69,811</w:t>
            </w:r>
          </w:p>
        </w:tc>
        <w:tc>
          <w:tcPr>
            <w:tcW w:w="1056" w:type="dxa"/>
            <w:tcBorders>
              <w:top w:val="single" w:sz="4" w:space="0" w:color="FFFFFF"/>
              <w:left w:val="single" w:sz="4" w:space="0" w:color="FFFFFF"/>
              <w:bottom w:val="single" w:sz="4" w:space="0" w:color="FFFFFF"/>
              <w:right w:val="nil"/>
            </w:tcBorders>
            <w:shd w:val="clear" w:color="B4C6E7" w:fill="B4C6E7"/>
            <w:noWrap/>
            <w:vAlign w:val="bottom"/>
            <w:hideMark/>
          </w:tcPr>
          <w:p w14:paraId="58FF38FD"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52.1</w:t>
            </w:r>
          </w:p>
        </w:tc>
      </w:tr>
      <w:tr w:rsidR="004318B4" w:rsidRPr="009330E4" w14:paraId="65916CC5"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D9E1F2" w:fill="D9E1F2"/>
            <w:noWrap/>
            <w:vAlign w:val="bottom"/>
            <w:hideMark/>
          </w:tcPr>
          <w:p w14:paraId="1E9454E4"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Employee: Part-time</w:t>
            </w:r>
          </w:p>
        </w:tc>
        <w:tc>
          <w:tcPr>
            <w:tcW w:w="1961"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B8982C0"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18,578</w:t>
            </w:r>
          </w:p>
        </w:tc>
        <w:tc>
          <w:tcPr>
            <w:tcW w:w="1056" w:type="dxa"/>
            <w:tcBorders>
              <w:top w:val="single" w:sz="4" w:space="0" w:color="FFFFFF"/>
              <w:left w:val="single" w:sz="4" w:space="0" w:color="FFFFFF"/>
              <w:bottom w:val="single" w:sz="4" w:space="0" w:color="FFFFFF"/>
              <w:right w:val="nil"/>
            </w:tcBorders>
            <w:shd w:val="clear" w:color="D9E1F2" w:fill="D9E1F2"/>
            <w:noWrap/>
            <w:vAlign w:val="bottom"/>
            <w:hideMark/>
          </w:tcPr>
          <w:p w14:paraId="2569C403"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13.9</w:t>
            </w:r>
          </w:p>
        </w:tc>
      </w:tr>
      <w:tr w:rsidR="004318B4" w:rsidRPr="009330E4" w14:paraId="04BC04D2"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B4C6E7" w:fill="B4C6E7"/>
            <w:noWrap/>
            <w:vAlign w:val="bottom"/>
            <w:hideMark/>
          </w:tcPr>
          <w:p w14:paraId="1706BEED"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Employee: Full-time</w:t>
            </w:r>
          </w:p>
        </w:tc>
        <w:tc>
          <w:tcPr>
            <w:tcW w:w="1961"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78D73926"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43,304</w:t>
            </w:r>
          </w:p>
        </w:tc>
        <w:tc>
          <w:tcPr>
            <w:tcW w:w="1056" w:type="dxa"/>
            <w:tcBorders>
              <w:top w:val="single" w:sz="4" w:space="0" w:color="FFFFFF"/>
              <w:left w:val="single" w:sz="4" w:space="0" w:color="FFFFFF"/>
              <w:bottom w:val="single" w:sz="4" w:space="0" w:color="FFFFFF"/>
              <w:right w:val="nil"/>
            </w:tcBorders>
            <w:shd w:val="clear" w:color="B4C6E7" w:fill="B4C6E7"/>
            <w:noWrap/>
            <w:vAlign w:val="bottom"/>
            <w:hideMark/>
          </w:tcPr>
          <w:p w14:paraId="73B869B4"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32.3</w:t>
            </w:r>
          </w:p>
        </w:tc>
      </w:tr>
      <w:tr w:rsidR="004318B4" w:rsidRPr="009330E4" w14:paraId="28635A10"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D9E1F2" w:fill="D9E1F2"/>
            <w:noWrap/>
            <w:vAlign w:val="bottom"/>
            <w:hideMark/>
          </w:tcPr>
          <w:p w14:paraId="3C11AB74"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Self-employed</w:t>
            </w:r>
          </w:p>
        </w:tc>
        <w:tc>
          <w:tcPr>
            <w:tcW w:w="1961"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0CEB5FB4"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7,929</w:t>
            </w:r>
          </w:p>
        </w:tc>
        <w:tc>
          <w:tcPr>
            <w:tcW w:w="1056" w:type="dxa"/>
            <w:tcBorders>
              <w:top w:val="single" w:sz="4" w:space="0" w:color="FFFFFF"/>
              <w:left w:val="single" w:sz="4" w:space="0" w:color="FFFFFF"/>
              <w:bottom w:val="single" w:sz="4" w:space="0" w:color="FFFFFF"/>
              <w:right w:val="nil"/>
            </w:tcBorders>
            <w:shd w:val="clear" w:color="D9E1F2" w:fill="D9E1F2"/>
            <w:noWrap/>
            <w:vAlign w:val="bottom"/>
            <w:hideMark/>
          </w:tcPr>
          <w:p w14:paraId="3CC338B5"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5.9</w:t>
            </w:r>
          </w:p>
        </w:tc>
      </w:tr>
      <w:tr w:rsidR="004318B4" w:rsidRPr="009330E4" w14:paraId="3B3D247D"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B4C6E7" w:fill="B4C6E7"/>
            <w:noWrap/>
            <w:vAlign w:val="bottom"/>
            <w:hideMark/>
          </w:tcPr>
          <w:p w14:paraId="0682D748"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Unemployed</w:t>
            </w:r>
          </w:p>
        </w:tc>
        <w:tc>
          <w:tcPr>
            <w:tcW w:w="1961"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48992DC"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5,550</w:t>
            </w:r>
          </w:p>
        </w:tc>
        <w:tc>
          <w:tcPr>
            <w:tcW w:w="1056" w:type="dxa"/>
            <w:tcBorders>
              <w:top w:val="single" w:sz="4" w:space="0" w:color="FFFFFF"/>
              <w:left w:val="single" w:sz="4" w:space="0" w:color="FFFFFF"/>
              <w:bottom w:val="single" w:sz="4" w:space="0" w:color="FFFFFF"/>
              <w:right w:val="nil"/>
            </w:tcBorders>
            <w:shd w:val="clear" w:color="B4C6E7" w:fill="B4C6E7"/>
            <w:noWrap/>
            <w:vAlign w:val="bottom"/>
            <w:hideMark/>
          </w:tcPr>
          <w:p w14:paraId="0CD3FA7C"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4.1</w:t>
            </w:r>
          </w:p>
        </w:tc>
      </w:tr>
      <w:tr w:rsidR="004318B4" w:rsidRPr="009330E4" w14:paraId="2832C42D"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D9E1F2" w:fill="D9E1F2"/>
            <w:noWrap/>
            <w:vAlign w:val="bottom"/>
            <w:hideMark/>
          </w:tcPr>
          <w:p w14:paraId="33ADA727"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Full-time student</w:t>
            </w:r>
          </w:p>
        </w:tc>
        <w:tc>
          <w:tcPr>
            <w:tcW w:w="1961"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27F2518B"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7,055</w:t>
            </w:r>
          </w:p>
        </w:tc>
        <w:tc>
          <w:tcPr>
            <w:tcW w:w="1056" w:type="dxa"/>
            <w:tcBorders>
              <w:top w:val="single" w:sz="4" w:space="0" w:color="FFFFFF"/>
              <w:left w:val="single" w:sz="4" w:space="0" w:color="FFFFFF"/>
              <w:bottom w:val="single" w:sz="4" w:space="0" w:color="FFFFFF"/>
              <w:right w:val="nil"/>
            </w:tcBorders>
            <w:shd w:val="clear" w:color="D9E1F2" w:fill="D9E1F2"/>
            <w:noWrap/>
            <w:vAlign w:val="bottom"/>
            <w:hideMark/>
          </w:tcPr>
          <w:p w14:paraId="162F1B30"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5.3</w:t>
            </w:r>
          </w:p>
        </w:tc>
      </w:tr>
      <w:tr w:rsidR="004318B4" w:rsidRPr="009330E4" w14:paraId="58B2E5CF"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B4C6E7" w:fill="B4C6E7"/>
            <w:noWrap/>
            <w:vAlign w:val="bottom"/>
            <w:hideMark/>
          </w:tcPr>
          <w:p w14:paraId="3E9CAD9E"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Economically Inactive</w:t>
            </w:r>
          </w:p>
        </w:tc>
        <w:tc>
          <w:tcPr>
            <w:tcW w:w="1961"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1BBD53E0"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51,509</w:t>
            </w:r>
          </w:p>
        </w:tc>
        <w:tc>
          <w:tcPr>
            <w:tcW w:w="1056" w:type="dxa"/>
            <w:tcBorders>
              <w:top w:val="single" w:sz="4" w:space="0" w:color="FFFFFF"/>
              <w:left w:val="single" w:sz="4" w:space="0" w:color="FFFFFF"/>
              <w:bottom w:val="single" w:sz="4" w:space="0" w:color="FFFFFF"/>
              <w:right w:val="nil"/>
            </w:tcBorders>
            <w:shd w:val="clear" w:color="B4C6E7" w:fill="B4C6E7"/>
            <w:noWrap/>
            <w:vAlign w:val="bottom"/>
            <w:hideMark/>
          </w:tcPr>
          <w:p w14:paraId="49478B2C"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38.5</w:t>
            </w:r>
          </w:p>
        </w:tc>
      </w:tr>
      <w:tr w:rsidR="004318B4" w:rsidRPr="009330E4" w14:paraId="06D424B9"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D9E1F2" w:fill="D9E1F2"/>
            <w:noWrap/>
            <w:vAlign w:val="bottom"/>
            <w:hideMark/>
          </w:tcPr>
          <w:p w14:paraId="62271355"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Retired</w:t>
            </w:r>
          </w:p>
        </w:tc>
        <w:tc>
          <w:tcPr>
            <w:tcW w:w="1961"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01D9B9E"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19,666</w:t>
            </w:r>
          </w:p>
        </w:tc>
        <w:tc>
          <w:tcPr>
            <w:tcW w:w="1056" w:type="dxa"/>
            <w:tcBorders>
              <w:top w:val="single" w:sz="4" w:space="0" w:color="FFFFFF"/>
              <w:left w:val="single" w:sz="4" w:space="0" w:color="FFFFFF"/>
              <w:bottom w:val="single" w:sz="4" w:space="0" w:color="FFFFFF"/>
              <w:right w:val="nil"/>
            </w:tcBorders>
            <w:shd w:val="clear" w:color="D9E1F2" w:fill="D9E1F2"/>
            <w:noWrap/>
            <w:vAlign w:val="bottom"/>
            <w:hideMark/>
          </w:tcPr>
          <w:p w14:paraId="5AE7B9EA"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14.7</w:t>
            </w:r>
          </w:p>
        </w:tc>
      </w:tr>
      <w:tr w:rsidR="004318B4" w:rsidRPr="009330E4" w14:paraId="7AC94CD7"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B4C6E7" w:fill="B4C6E7"/>
            <w:noWrap/>
            <w:vAlign w:val="bottom"/>
            <w:hideMark/>
          </w:tcPr>
          <w:p w14:paraId="1391711A"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Student (including full-time students)</w:t>
            </w:r>
          </w:p>
        </w:tc>
        <w:tc>
          <w:tcPr>
            <w:tcW w:w="1961"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4DACA625"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13,639</w:t>
            </w:r>
          </w:p>
        </w:tc>
        <w:tc>
          <w:tcPr>
            <w:tcW w:w="1056" w:type="dxa"/>
            <w:tcBorders>
              <w:top w:val="single" w:sz="4" w:space="0" w:color="FFFFFF"/>
              <w:left w:val="single" w:sz="4" w:space="0" w:color="FFFFFF"/>
              <w:bottom w:val="single" w:sz="4" w:space="0" w:color="FFFFFF"/>
              <w:right w:val="nil"/>
            </w:tcBorders>
            <w:shd w:val="clear" w:color="B4C6E7" w:fill="B4C6E7"/>
            <w:noWrap/>
            <w:vAlign w:val="bottom"/>
            <w:hideMark/>
          </w:tcPr>
          <w:p w14:paraId="736EC004"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10.2</w:t>
            </w:r>
          </w:p>
        </w:tc>
      </w:tr>
      <w:tr w:rsidR="004318B4" w:rsidRPr="009330E4" w14:paraId="2B9FA6A6"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D9E1F2" w:fill="D9E1F2"/>
            <w:noWrap/>
            <w:vAlign w:val="bottom"/>
            <w:hideMark/>
          </w:tcPr>
          <w:p w14:paraId="1795C9D2"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Looking after home or family</w:t>
            </w:r>
          </w:p>
        </w:tc>
        <w:tc>
          <w:tcPr>
            <w:tcW w:w="1961"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686C3E8D"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5,248</w:t>
            </w:r>
          </w:p>
        </w:tc>
        <w:tc>
          <w:tcPr>
            <w:tcW w:w="1056" w:type="dxa"/>
            <w:tcBorders>
              <w:top w:val="single" w:sz="4" w:space="0" w:color="FFFFFF"/>
              <w:left w:val="single" w:sz="4" w:space="0" w:color="FFFFFF"/>
              <w:bottom w:val="single" w:sz="4" w:space="0" w:color="FFFFFF"/>
              <w:right w:val="nil"/>
            </w:tcBorders>
            <w:shd w:val="clear" w:color="D9E1F2" w:fill="D9E1F2"/>
            <w:noWrap/>
            <w:vAlign w:val="bottom"/>
            <w:hideMark/>
          </w:tcPr>
          <w:p w14:paraId="1BA88915"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3.9</w:t>
            </w:r>
          </w:p>
        </w:tc>
      </w:tr>
      <w:tr w:rsidR="004318B4" w:rsidRPr="009330E4" w14:paraId="42C127CE"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B4C6E7" w:fill="B4C6E7"/>
            <w:noWrap/>
            <w:vAlign w:val="bottom"/>
            <w:hideMark/>
          </w:tcPr>
          <w:p w14:paraId="26C8F4BD"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Long-term sick or disabled</w:t>
            </w:r>
          </w:p>
        </w:tc>
        <w:tc>
          <w:tcPr>
            <w:tcW w:w="1961"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661C69D"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9,841</w:t>
            </w:r>
          </w:p>
        </w:tc>
        <w:tc>
          <w:tcPr>
            <w:tcW w:w="1056" w:type="dxa"/>
            <w:tcBorders>
              <w:top w:val="single" w:sz="4" w:space="0" w:color="FFFFFF"/>
              <w:left w:val="single" w:sz="4" w:space="0" w:color="FFFFFF"/>
              <w:bottom w:val="single" w:sz="4" w:space="0" w:color="FFFFFF"/>
              <w:right w:val="nil"/>
            </w:tcBorders>
            <w:shd w:val="clear" w:color="B4C6E7" w:fill="B4C6E7"/>
            <w:noWrap/>
            <w:vAlign w:val="bottom"/>
            <w:hideMark/>
          </w:tcPr>
          <w:p w14:paraId="700D213E"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7.3</w:t>
            </w:r>
          </w:p>
        </w:tc>
      </w:tr>
      <w:tr w:rsidR="004318B4" w:rsidRPr="009330E4" w14:paraId="23E1A090"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D9E1F2" w:fill="D9E1F2"/>
            <w:noWrap/>
            <w:vAlign w:val="bottom"/>
            <w:hideMark/>
          </w:tcPr>
          <w:p w14:paraId="0720F36A"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Other</w:t>
            </w:r>
          </w:p>
        </w:tc>
        <w:tc>
          <w:tcPr>
            <w:tcW w:w="1961"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626DA5D"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3,115</w:t>
            </w:r>
          </w:p>
        </w:tc>
        <w:tc>
          <w:tcPr>
            <w:tcW w:w="1056" w:type="dxa"/>
            <w:tcBorders>
              <w:top w:val="single" w:sz="4" w:space="0" w:color="FFFFFF"/>
              <w:left w:val="single" w:sz="4" w:space="0" w:color="FFFFFF"/>
              <w:bottom w:val="single" w:sz="4" w:space="0" w:color="FFFFFF"/>
              <w:right w:val="nil"/>
            </w:tcBorders>
            <w:shd w:val="clear" w:color="D9E1F2" w:fill="D9E1F2"/>
            <w:noWrap/>
            <w:vAlign w:val="bottom"/>
            <w:hideMark/>
          </w:tcPr>
          <w:p w14:paraId="6B93E5BE"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2.3</w:t>
            </w:r>
          </w:p>
        </w:tc>
      </w:tr>
      <w:tr w:rsidR="004318B4" w:rsidRPr="009330E4" w14:paraId="3AD9B7DB"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B4C6E7" w:fill="B4C6E7"/>
            <w:noWrap/>
            <w:vAlign w:val="bottom"/>
            <w:hideMark/>
          </w:tcPr>
          <w:p w14:paraId="21D97594"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Unemployed: Age 16 to 24</w:t>
            </w:r>
          </w:p>
        </w:tc>
        <w:tc>
          <w:tcPr>
            <w:tcW w:w="1961"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E806A43"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1,658</w:t>
            </w:r>
          </w:p>
        </w:tc>
        <w:tc>
          <w:tcPr>
            <w:tcW w:w="1056" w:type="dxa"/>
            <w:tcBorders>
              <w:top w:val="single" w:sz="4" w:space="0" w:color="FFFFFF"/>
              <w:left w:val="single" w:sz="4" w:space="0" w:color="FFFFFF"/>
              <w:bottom w:val="single" w:sz="4" w:space="0" w:color="FFFFFF"/>
              <w:right w:val="nil"/>
            </w:tcBorders>
            <w:shd w:val="clear" w:color="B4C6E7" w:fill="B4C6E7"/>
            <w:noWrap/>
            <w:vAlign w:val="bottom"/>
            <w:hideMark/>
          </w:tcPr>
          <w:p w14:paraId="0F79485C"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1.2</w:t>
            </w:r>
          </w:p>
        </w:tc>
      </w:tr>
      <w:tr w:rsidR="004318B4" w:rsidRPr="009330E4" w14:paraId="6A1150D3"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D9E1F2" w:fill="D9E1F2"/>
            <w:noWrap/>
            <w:vAlign w:val="bottom"/>
            <w:hideMark/>
          </w:tcPr>
          <w:p w14:paraId="4D6F1C82"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Unemployed: Age 50 to 74</w:t>
            </w:r>
          </w:p>
        </w:tc>
        <w:tc>
          <w:tcPr>
            <w:tcW w:w="1961"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AA579CC"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868</w:t>
            </w:r>
          </w:p>
        </w:tc>
        <w:tc>
          <w:tcPr>
            <w:tcW w:w="1056" w:type="dxa"/>
            <w:tcBorders>
              <w:top w:val="single" w:sz="4" w:space="0" w:color="FFFFFF"/>
              <w:left w:val="single" w:sz="4" w:space="0" w:color="FFFFFF"/>
              <w:bottom w:val="single" w:sz="4" w:space="0" w:color="FFFFFF"/>
              <w:right w:val="nil"/>
            </w:tcBorders>
            <w:shd w:val="clear" w:color="D9E1F2" w:fill="D9E1F2"/>
            <w:noWrap/>
            <w:vAlign w:val="bottom"/>
            <w:hideMark/>
          </w:tcPr>
          <w:p w14:paraId="793E6764"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0.6</w:t>
            </w:r>
          </w:p>
        </w:tc>
      </w:tr>
      <w:tr w:rsidR="004318B4" w:rsidRPr="009330E4" w14:paraId="55D2A3EC" w14:textId="77777777" w:rsidTr="004318B4">
        <w:trPr>
          <w:trHeight w:val="217"/>
        </w:trPr>
        <w:tc>
          <w:tcPr>
            <w:tcW w:w="4440" w:type="dxa"/>
            <w:tcBorders>
              <w:top w:val="single" w:sz="4" w:space="0" w:color="FFFFFF"/>
              <w:left w:val="nil"/>
              <w:bottom w:val="single" w:sz="4" w:space="0" w:color="FFFFFF"/>
              <w:right w:val="single" w:sz="4" w:space="0" w:color="FFFFFF"/>
            </w:tcBorders>
            <w:shd w:val="clear" w:color="B4C6E7" w:fill="B4C6E7"/>
            <w:noWrap/>
            <w:vAlign w:val="bottom"/>
            <w:hideMark/>
          </w:tcPr>
          <w:p w14:paraId="3556A544"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Unemployed: Never worked</w:t>
            </w:r>
          </w:p>
        </w:tc>
        <w:tc>
          <w:tcPr>
            <w:tcW w:w="1961"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580EE9C8"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835</w:t>
            </w:r>
          </w:p>
        </w:tc>
        <w:tc>
          <w:tcPr>
            <w:tcW w:w="1056" w:type="dxa"/>
            <w:tcBorders>
              <w:top w:val="single" w:sz="4" w:space="0" w:color="FFFFFF"/>
              <w:left w:val="single" w:sz="4" w:space="0" w:color="FFFFFF"/>
              <w:bottom w:val="single" w:sz="4" w:space="0" w:color="FFFFFF"/>
              <w:right w:val="nil"/>
            </w:tcBorders>
            <w:shd w:val="clear" w:color="B4C6E7" w:fill="B4C6E7"/>
            <w:noWrap/>
            <w:vAlign w:val="bottom"/>
            <w:hideMark/>
          </w:tcPr>
          <w:p w14:paraId="4F2B93D1"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0.6</w:t>
            </w:r>
          </w:p>
        </w:tc>
      </w:tr>
      <w:tr w:rsidR="004318B4" w:rsidRPr="009330E4" w14:paraId="72ABA436" w14:textId="77777777" w:rsidTr="004318B4">
        <w:trPr>
          <w:trHeight w:val="217"/>
        </w:trPr>
        <w:tc>
          <w:tcPr>
            <w:tcW w:w="4440" w:type="dxa"/>
            <w:tcBorders>
              <w:top w:val="single" w:sz="4" w:space="0" w:color="FFFFFF"/>
              <w:left w:val="nil"/>
              <w:bottom w:val="nil"/>
              <w:right w:val="single" w:sz="4" w:space="0" w:color="FFFFFF"/>
            </w:tcBorders>
            <w:shd w:val="clear" w:color="D9E1F2" w:fill="D9E1F2"/>
            <w:noWrap/>
            <w:vAlign w:val="bottom"/>
            <w:hideMark/>
          </w:tcPr>
          <w:p w14:paraId="0CE77D43" w14:textId="77777777" w:rsidR="004318B4" w:rsidRPr="009330E4" w:rsidRDefault="004318B4" w:rsidP="004318B4">
            <w:pPr>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Long-term unemployed</w:t>
            </w:r>
          </w:p>
        </w:tc>
        <w:tc>
          <w:tcPr>
            <w:tcW w:w="1961" w:type="dxa"/>
            <w:tcBorders>
              <w:top w:val="single" w:sz="4" w:space="0" w:color="FFFFFF"/>
              <w:left w:val="single" w:sz="4" w:space="0" w:color="FFFFFF"/>
              <w:bottom w:val="nil"/>
              <w:right w:val="single" w:sz="4" w:space="0" w:color="FFFFFF"/>
            </w:tcBorders>
            <w:shd w:val="clear" w:color="D9E1F2" w:fill="D9E1F2"/>
            <w:noWrap/>
            <w:vAlign w:val="bottom"/>
            <w:hideMark/>
          </w:tcPr>
          <w:p w14:paraId="27BD35BA"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2,038</w:t>
            </w:r>
          </w:p>
        </w:tc>
        <w:tc>
          <w:tcPr>
            <w:tcW w:w="1056" w:type="dxa"/>
            <w:tcBorders>
              <w:top w:val="single" w:sz="4" w:space="0" w:color="FFFFFF"/>
              <w:left w:val="single" w:sz="4" w:space="0" w:color="FFFFFF"/>
              <w:bottom w:val="nil"/>
              <w:right w:val="nil"/>
            </w:tcBorders>
            <w:shd w:val="clear" w:color="D9E1F2" w:fill="D9E1F2"/>
            <w:noWrap/>
            <w:vAlign w:val="bottom"/>
            <w:hideMark/>
          </w:tcPr>
          <w:p w14:paraId="20C2F7DD" w14:textId="77777777" w:rsidR="004318B4" w:rsidRPr="009330E4" w:rsidRDefault="004318B4" w:rsidP="004318B4">
            <w:pPr>
              <w:jc w:val="right"/>
              <w:rPr>
                <w:rFonts w:ascii="Verdana" w:eastAsia="Times New Roman" w:hAnsi="Verdana" w:cs="Times New Roman"/>
                <w:color w:val="333333"/>
                <w:lang w:eastAsia="en-GB"/>
              </w:rPr>
            </w:pPr>
            <w:r w:rsidRPr="009330E4">
              <w:rPr>
                <w:rFonts w:ascii="Verdana" w:eastAsia="Times New Roman" w:hAnsi="Verdana" w:cs="Times New Roman"/>
                <w:color w:val="333333"/>
                <w:lang w:eastAsia="en-GB"/>
              </w:rPr>
              <w:t>1.5</w:t>
            </w:r>
          </w:p>
        </w:tc>
      </w:tr>
    </w:tbl>
    <w:p w14:paraId="2428CDF8" w14:textId="51EEAF86" w:rsidR="00DB0F0F" w:rsidRPr="00DB0F0F" w:rsidRDefault="00DB0F0F" w:rsidP="00DB0F0F"/>
    <w:p w14:paraId="5C769DDB" w14:textId="4B1B5811" w:rsidR="00DB0F0F" w:rsidRPr="00DB0F0F" w:rsidRDefault="00DB0F0F" w:rsidP="00DB0F0F"/>
    <w:p w14:paraId="1335FB2A" w14:textId="6CCDFCDA" w:rsidR="00DB0F0F" w:rsidRPr="00DB0F0F" w:rsidRDefault="00DB0F0F" w:rsidP="00DB0F0F"/>
    <w:p w14:paraId="7A06995A" w14:textId="53389890" w:rsidR="00DB0F0F" w:rsidRPr="00DB0F0F" w:rsidRDefault="00DB0F0F" w:rsidP="00DB0F0F"/>
    <w:p w14:paraId="33D5BEDB" w14:textId="1AAF0EEB" w:rsidR="00DB0F0F" w:rsidRPr="00DB0F0F" w:rsidRDefault="00DB0F0F" w:rsidP="00DB0F0F"/>
    <w:p w14:paraId="04080969" w14:textId="0093A10F" w:rsidR="00DB0F0F" w:rsidRPr="00DB0F0F" w:rsidRDefault="00DB0F0F" w:rsidP="00DB0F0F"/>
    <w:p w14:paraId="7F1D4FF4" w14:textId="41305BE9" w:rsidR="00DB0F0F" w:rsidRPr="00DB0F0F" w:rsidRDefault="00DB0F0F" w:rsidP="00DB0F0F"/>
    <w:p w14:paraId="38E4B2CD" w14:textId="175804C3" w:rsidR="00DB0F0F" w:rsidRPr="00DB0F0F" w:rsidRDefault="00DB0F0F" w:rsidP="00DB0F0F"/>
    <w:p w14:paraId="00D868A3" w14:textId="5890CA89" w:rsidR="00B5169D" w:rsidRDefault="00B5169D" w:rsidP="00DB0F0F">
      <w:pPr>
        <w:jc w:val="center"/>
      </w:pPr>
    </w:p>
    <w:p w14:paraId="38AC38F1" w14:textId="4A8CD336" w:rsidR="00DB0F0F" w:rsidRDefault="00DB0F0F" w:rsidP="00DB0F0F">
      <w:pPr>
        <w:jc w:val="center"/>
      </w:pPr>
    </w:p>
    <w:p w14:paraId="4211408E" w14:textId="469198DF" w:rsidR="00DB0F0F" w:rsidRDefault="00DB0F0F" w:rsidP="00DB0F0F"/>
    <w:p w14:paraId="622ED009" w14:textId="1DBA3BCB" w:rsidR="00DB0F0F" w:rsidRDefault="00DB0F0F" w:rsidP="00DB0F0F"/>
    <w:p w14:paraId="38EFE068" w14:textId="1C735C6E" w:rsidR="00DB0F0F" w:rsidRDefault="00DB0F0F" w:rsidP="00DB0F0F"/>
    <w:p w14:paraId="6580C846" w14:textId="16D60AC1" w:rsidR="00DB0F0F" w:rsidRDefault="00DB0F0F" w:rsidP="00DB0F0F"/>
    <w:p w14:paraId="2AE65A9C" w14:textId="413F2267" w:rsidR="00DB0F0F" w:rsidRDefault="00DB0F0F" w:rsidP="00DB0F0F">
      <w:pPr>
        <w:jc w:val="center"/>
      </w:pPr>
    </w:p>
    <w:p w14:paraId="319BDA72" w14:textId="4BF5B838" w:rsidR="00DB0F0F" w:rsidRPr="00DB0F0F" w:rsidRDefault="00DB0F0F" w:rsidP="00DB0F0F"/>
    <w:p w14:paraId="0E47FD3B" w14:textId="0CB8222D" w:rsidR="00DB0F0F" w:rsidRPr="00DB0F0F" w:rsidRDefault="00DB0F0F" w:rsidP="00DB0F0F"/>
    <w:p w14:paraId="44269F4F" w14:textId="6011DEB3" w:rsidR="00DB0F0F" w:rsidRPr="00DB0F0F" w:rsidRDefault="00DB0F0F" w:rsidP="00DB0F0F"/>
    <w:p w14:paraId="41FB1D4F" w14:textId="2899526B" w:rsidR="00DB0F0F" w:rsidRPr="00DB0F0F" w:rsidRDefault="00FE40B7" w:rsidP="00DB0F0F">
      <w:r>
        <w:rPr>
          <w:noProof/>
          <w:lang w:eastAsia="en-GB"/>
        </w:rPr>
        <mc:AlternateContent>
          <mc:Choice Requires="wps">
            <w:drawing>
              <wp:anchor distT="0" distB="0" distL="114300" distR="114300" simplePos="0" relativeHeight="251679744" behindDoc="0" locked="0" layoutInCell="1" allowOverlap="1" wp14:anchorId="69C2A2FD" wp14:editId="21984279">
                <wp:simplePos x="0" y="0"/>
                <wp:positionH relativeFrom="column">
                  <wp:posOffset>279400</wp:posOffset>
                </wp:positionH>
                <wp:positionV relativeFrom="paragraph">
                  <wp:posOffset>212725</wp:posOffset>
                </wp:positionV>
                <wp:extent cx="5143500" cy="45720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51435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41061A3" w14:textId="1BC29DFF" w:rsidR="001A0CCA" w:rsidRDefault="001A0CCA">
                            <w:r w:rsidRPr="00087725">
                              <w:rPr>
                                <w:b/>
                              </w:rPr>
                              <w:t>Figure 1.8</w:t>
                            </w:r>
                            <w:r>
                              <w:t xml:space="preserve"> Table showing the employment of Swansea residents between the ages of 16-74, as of the 2011 census. Data source: www.nomisweb.co.uk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C2A2FD" id="Text Box 17" o:spid="_x0000_s1034" type="#_x0000_t202" style="position:absolute;margin-left:22pt;margin-top:16.75pt;width:405pt;height:36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" filled="f" stroked="f">
                <v:textbox>
                  <w:txbxContent>
                    <w:p w14:paraId="241061A3" w14:textId="1BC29DFF" w:rsidR="001A0CCA" w:rsidRDefault="001A0CCA">
                      <w:r w:rsidRPr="00087725">
                        <w:rPr>
                          <w:b/>
                        </w:rPr>
                        <w:t>Figure 1.8</w:t>
                      </w:r>
                      <w:r>
                        <w:t xml:space="preserve"> Table showing the employment of Swansea residents between the ages of 16-74, as of the 2011 census. Data source: www.nomisweb.co.uk</w:t>
                      </w:r>
                    </w:p>
                  </w:txbxContent>
                </v:textbox>
                <w10:wrap type="square"/>
              </v:shape>
            </w:pict>
          </mc:Fallback>
        </mc:AlternateContent>
      </w:r>
    </w:p>
    <w:tbl>
      <w:tblPr>
        <w:tblpPr w:leftFromText="180" w:rightFromText="180" w:vertAnchor="text" w:horzAnchor="page" w:tblpX="1990" w:tblpY="935"/>
        <w:tblW w:w="7460" w:type="dxa"/>
        <w:tblLook w:val="04A0" w:firstRow="1" w:lastRow="0" w:firstColumn="1" w:lastColumn="0" w:noHBand="0" w:noVBand="1"/>
      </w:tblPr>
      <w:tblGrid>
        <w:gridCol w:w="4860"/>
        <w:gridCol w:w="1300"/>
        <w:gridCol w:w="1300"/>
      </w:tblGrid>
      <w:tr w:rsidR="00B652A2" w:rsidRPr="00C72A87" w14:paraId="07A1F8FC" w14:textId="77777777" w:rsidTr="00B652A2">
        <w:trPr>
          <w:trHeight w:val="320"/>
        </w:trPr>
        <w:tc>
          <w:tcPr>
            <w:tcW w:w="4860" w:type="dxa"/>
            <w:tcBorders>
              <w:top w:val="nil"/>
              <w:left w:val="nil"/>
              <w:bottom w:val="single" w:sz="12" w:space="0" w:color="FFFFFF"/>
              <w:right w:val="single" w:sz="4" w:space="0" w:color="FFFFFF"/>
            </w:tcBorders>
            <w:shd w:val="clear" w:color="4472C4" w:fill="4472C4"/>
            <w:noWrap/>
            <w:vAlign w:val="bottom"/>
            <w:hideMark/>
          </w:tcPr>
          <w:p w14:paraId="3F575D11" w14:textId="77777777" w:rsidR="00B652A2" w:rsidRPr="00C72A87" w:rsidRDefault="00B652A2" w:rsidP="00B652A2">
            <w:pPr>
              <w:rPr>
                <w:rFonts w:ascii="Calibri" w:eastAsia="Times New Roman" w:hAnsi="Calibri" w:cs="Times New Roman"/>
                <w:b/>
                <w:bCs/>
                <w:color w:val="FFFFFF"/>
                <w:lang w:eastAsia="en-GB"/>
              </w:rPr>
            </w:pPr>
            <w:r w:rsidRPr="00C72A87">
              <w:rPr>
                <w:rFonts w:ascii="Calibri" w:eastAsia="Times New Roman" w:hAnsi="Calibri" w:cs="Times New Roman"/>
                <w:b/>
                <w:bCs/>
                <w:color w:val="FFFFFF"/>
                <w:lang w:eastAsia="en-GB"/>
              </w:rPr>
              <w:t xml:space="preserve">Males in Swansea </w:t>
            </w:r>
          </w:p>
        </w:tc>
        <w:tc>
          <w:tcPr>
            <w:tcW w:w="1300" w:type="dxa"/>
            <w:tcBorders>
              <w:top w:val="nil"/>
              <w:left w:val="single" w:sz="4" w:space="0" w:color="FFFFFF"/>
              <w:bottom w:val="single" w:sz="12" w:space="0" w:color="FFFFFF"/>
              <w:right w:val="single" w:sz="4" w:space="0" w:color="FFFFFF"/>
            </w:tcBorders>
            <w:shd w:val="clear" w:color="4472C4" w:fill="4472C4"/>
            <w:noWrap/>
            <w:vAlign w:val="bottom"/>
            <w:hideMark/>
          </w:tcPr>
          <w:p w14:paraId="159A2DAB" w14:textId="77777777" w:rsidR="00B652A2" w:rsidRPr="00C72A87" w:rsidRDefault="00B652A2" w:rsidP="00B652A2">
            <w:pPr>
              <w:rPr>
                <w:rFonts w:ascii="Calibri" w:eastAsia="Times New Roman" w:hAnsi="Calibri" w:cs="Times New Roman"/>
                <w:b/>
                <w:bCs/>
                <w:color w:val="FFFFFF"/>
                <w:lang w:eastAsia="en-GB"/>
              </w:rPr>
            </w:pPr>
            <w:r w:rsidRPr="00C72A87">
              <w:rPr>
                <w:rFonts w:ascii="Calibri" w:eastAsia="Times New Roman" w:hAnsi="Calibri" w:cs="Times New Roman"/>
                <w:b/>
                <w:bCs/>
                <w:color w:val="FFFFFF"/>
                <w:lang w:eastAsia="en-GB"/>
              </w:rPr>
              <w:t>Count</w:t>
            </w:r>
          </w:p>
        </w:tc>
        <w:tc>
          <w:tcPr>
            <w:tcW w:w="1300" w:type="dxa"/>
            <w:tcBorders>
              <w:top w:val="nil"/>
              <w:left w:val="single" w:sz="4" w:space="0" w:color="FFFFFF"/>
              <w:bottom w:val="single" w:sz="12" w:space="0" w:color="FFFFFF"/>
              <w:right w:val="nil"/>
            </w:tcBorders>
            <w:shd w:val="clear" w:color="4472C4" w:fill="4472C4"/>
            <w:noWrap/>
            <w:vAlign w:val="bottom"/>
            <w:hideMark/>
          </w:tcPr>
          <w:p w14:paraId="56D6C074" w14:textId="77777777" w:rsidR="00B652A2" w:rsidRPr="00C72A87" w:rsidRDefault="00B652A2" w:rsidP="00B652A2">
            <w:pPr>
              <w:rPr>
                <w:rFonts w:ascii="Calibri" w:eastAsia="Times New Roman" w:hAnsi="Calibri" w:cs="Times New Roman"/>
                <w:b/>
                <w:bCs/>
                <w:color w:val="FFFFFF"/>
                <w:lang w:eastAsia="en-GB"/>
              </w:rPr>
            </w:pPr>
            <w:r w:rsidRPr="00C72A87">
              <w:rPr>
                <w:rFonts w:ascii="Calibri" w:eastAsia="Times New Roman" w:hAnsi="Calibri" w:cs="Times New Roman"/>
                <w:b/>
                <w:bCs/>
                <w:color w:val="FFFFFF"/>
                <w:lang w:eastAsia="en-GB"/>
              </w:rPr>
              <w:t>%</w:t>
            </w:r>
          </w:p>
        </w:tc>
      </w:tr>
      <w:tr w:rsidR="00B652A2" w:rsidRPr="00C72A87" w14:paraId="03B63CBB"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B4C6E7" w:fill="B4C6E7"/>
            <w:noWrap/>
            <w:vAlign w:val="bottom"/>
            <w:hideMark/>
          </w:tcPr>
          <w:p w14:paraId="6BD9A307"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All usual residents aged 16 to 74</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17502853"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67,297</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7927B777"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100</w:t>
            </w:r>
          </w:p>
        </w:tc>
      </w:tr>
      <w:tr w:rsidR="00B652A2" w:rsidRPr="00C72A87" w14:paraId="60AB6BBC"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D9E1F2" w:fill="D9E1F2"/>
            <w:noWrap/>
            <w:vAlign w:val="bottom"/>
            <w:hideMark/>
          </w:tcPr>
          <w:p w14:paraId="01448603"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Economically active</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CD5DDC8"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43,804</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73AA2070"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65.1</w:t>
            </w:r>
          </w:p>
        </w:tc>
      </w:tr>
      <w:tr w:rsidR="00B652A2" w:rsidRPr="00C72A87" w14:paraId="7124F50F"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B4C6E7" w:fill="B4C6E7"/>
            <w:noWrap/>
            <w:vAlign w:val="bottom"/>
            <w:hideMark/>
          </w:tcPr>
          <w:p w14:paraId="2B50FFA9"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In employment</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5D6CD39B"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36,926</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32FEB9A6"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54.9</w:t>
            </w:r>
          </w:p>
        </w:tc>
      </w:tr>
      <w:tr w:rsidR="00B652A2" w:rsidRPr="00C72A87" w14:paraId="44BC4EF2"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D9E1F2" w:fill="D9E1F2"/>
            <w:noWrap/>
            <w:vAlign w:val="bottom"/>
            <w:hideMark/>
          </w:tcPr>
          <w:p w14:paraId="31DA45E6"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Employee: Part-time</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DB84F5D"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4,621</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42C96F36"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6.9</w:t>
            </w:r>
          </w:p>
        </w:tc>
      </w:tr>
      <w:tr w:rsidR="00B652A2" w:rsidRPr="00C72A87" w14:paraId="5EA90CE0"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B4C6E7" w:fill="B4C6E7"/>
            <w:noWrap/>
            <w:vAlign w:val="bottom"/>
            <w:hideMark/>
          </w:tcPr>
          <w:p w14:paraId="072D7C13"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Employee: Full-time</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76FD966D"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26,459</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7980D645"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39.3</w:t>
            </w:r>
          </w:p>
        </w:tc>
      </w:tr>
      <w:tr w:rsidR="00B652A2" w:rsidRPr="00C72A87" w14:paraId="4FFB85FB"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D9E1F2" w:fill="D9E1F2"/>
            <w:noWrap/>
            <w:vAlign w:val="bottom"/>
            <w:hideMark/>
          </w:tcPr>
          <w:p w14:paraId="165FD84D"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Self-employed</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5F9BD2A"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5,846</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08DAE122"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8.7</w:t>
            </w:r>
          </w:p>
        </w:tc>
      </w:tr>
      <w:tr w:rsidR="00B652A2" w:rsidRPr="00C72A87" w14:paraId="095F37A1"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B4C6E7" w:fill="B4C6E7"/>
            <w:noWrap/>
            <w:vAlign w:val="bottom"/>
            <w:hideMark/>
          </w:tcPr>
          <w:p w14:paraId="7F4FC399"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Unemployed</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20FC77C"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3,595</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2264A01D"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5.3</w:t>
            </w:r>
          </w:p>
        </w:tc>
      </w:tr>
      <w:tr w:rsidR="00B652A2" w:rsidRPr="00C72A87" w14:paraId="5EFED857"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D9E1F2" w:fill="D9E1F2"/>
            <w:noWrap/>
            <w:vAlign w:val="bottom"/>
            <w:hideMark/>
          </w:tcPr>
          <w:p w14:paraId="24E5CCB8"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Full-time student</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EEB6F49"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3,283</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4918FF16"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4.9</w:t>
            </w:r>
          </w:p>
        </w:tc>
      </w:tr>
      <w:tr w:rsidR="00B652A2" w:rsidRPr="00C72A87" w14:paraId="0A521CFA"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B4C6E7" w:fill="B4C6E7"/>
            <w:noWrap/>
            <w:vAlign w:val="bottom"/>
            <w:hideMark/>
          </w:tcPr>
          <w:p w14:paraId="71BE6A47"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Economically Inactive</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1001C7B"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23,493</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6C5169BB"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34.9</w:t>
            </w:r>
          </w:p>
        </w:tc>
      </w:tr>
      <w:tr w:rsidR="00B652A2" w:rsidRPr="00C72A87" w14:paraId="7C7E3AEF"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D9E1F2" w:fill="D9E1F2"/>
            <w:noWrap/>
            <w:vAlign w:val="bottom"/>
            <w:hideMark/>
          </w:tcPr>
          <w:p w14:paraId="0B2E67FC"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Retired</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0E57D4C3"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8,314</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5A8A08BE"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12.4</w:t>
            </w:r>
          </w:p>
        </w:tc>
      </w:tr>
      <w:tr w:rsidR="00B652A2" w:rsidRPr="00C72A87" w14:paraId="04188989"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B4C6E7" w:fill="B4C6E7"/>
            <w:noWrap/>
            <w:vAlign w:val="bottom"/>
            <w:hideMark/>
          </w:tcPr>
          <w:p w14:paraId="11A7E1D5"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Student (including full-time students)</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708F575B"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7,901</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461739FD"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11.7</w:t>
            </w:r>
          </w:p>
        </w:tc>
      </w:tr>
      <w:tr w:rsidR="00B652A2" w:rsidRPr="00C72A87" w14:paraId="15A0961B"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D9E1F2" w:fill="D9E1F2"/>
            <w:noWrap/>
            <w:vAlign w:val="bottom"/>
            <w:hideMark/>
          </w:tcPr>
          <w:p w14:paraId="3C611274"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Looking after home or family</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30DC321"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657</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7203C4C4"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1</w:t>
            </w:r>
          </w:p>
        </w:tc>
      </w:tr>
      <w:tr w:rsidR="00B652A2" w:rsidRPr="00C72A87" w14:paraId="36A61817"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B4C6E7" w:fill="B4C6E7"/>
            <w:noWrap/>
            <w:vAlign w:val="bottom"/>
            <w:hideMark/>
          </w:tcPr>
          <w:p w14:paraId="4CAB49DF"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Long-term sick or disabled</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23DD576"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5,140</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79330DD2"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7.6</w:t>
            </w:r>
          </w:p>
        </w:tc>
      </w:tr>
      <w:tr w:rsidR="00B652A2" w:rsidRPr="00C72A87" w14:paraId="13AF367A"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D9E1F2" w:fill="D9E1F2"/>
            <w:noWrap/>
            <w:vAlign w:val="bottom"/>
            <w:hideMark/>
          </w:tcPr>
          <w:p w14:paraId="1CF70C4A"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Other</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C9F35DE"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1,481</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12E26E54"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2.2</w:t>
            </w:r>
          </w:p>
        </w:tc>
      </w:tr>
      <w:tr w:rsidR="00B652A2" w:rsidRPr="00C72A87" w14:paraId="3A1BE734"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B4C6E7" w:fill="B4C6E7"/>
            <w:noWrap/>
            <w:vAlign w:val="bottom"/>
            <w:hideMark/>
          </w:tcPr>
          <w:p w14:paraId="43C9B55F"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Unemployed: Age 16 to 24</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C3FC931"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1,038</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261621D0"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1.5</w:t>
            </w:r>
          </w:p>
        </w:tc>
      </w:tr>
      <w:tr w:rsidR="00B652A2" w:rsidRPr="00C72A87" w14:paraId="187852D8"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D9E1F2" w:fill="D9E1F2"/>
            <w:noWrap/>
            <w:vAlign w:val="bottom"/>
            <w:hideMark/>
          </w:tcPr>
          <w:p w14:paraId="5B818A09"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Unemployed: Age 50 to 74</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3995470"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638</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7C490601"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0.9</w:t>
            </w:r>
          </w:p>
        </w:tc>
      </w:tr>
      <w:tr w:rsidR="00B652A2" w:rsidRPr="00C72A87" w14:paraId="5EC45697" w14:textId="77777777" w:rsidTr="00B652A2">
        <w:trPr>
          <w:trHeight w:val="320"/>
        </w:trPr>
        <w:tc>
          <w:tcPr>
            <w:tcW w:w="4860" w:type="dxa"/>
            <w:tcBorders>
              <w:top w:val="single" w:sz="4" w:space="0" w:color="FFFFFF"/>
              <w:left w:val="nil"/>
              <w:bottom w:val="single" w:sz="4" w:space="0" w:color="FFFFFF"/>
              <w:right w:val="single" w:sz="4" w:space="0" w:color="FFFFFF"/>
            </w:tcBorders>
            <w:shd w:val="clear" w:color="B4C6E7" w:fill="B4C6E7"/>
            <w:noWrap/>
            <w:vAlign w:val="bottom"/>
            <w:hideMark/>
          </w:tcPr>
          <w:p w14:paraId="5B0EF352"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Unemployed: Never worked</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7997C3C"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491</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063FF5C6"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0.7</w:t>
            </w:r>
          </w:p>
        </w:tc>
      </w:tr>
      <w:tr w:rsidR="00B652A2" w:rsidRPr="00C72A87" w14:paraId="1E22A645" w14:textId="77777777" w:rsidTr="00B652A2">
        <w:trPr>
          <w:trHeight w:val="320"/>
        </w:trPr>
        <w:tc>
          <w:tcPr>
            <w:tcW w:w="4860" w:type="dxa"/>
            <w:tcBorders>
              <w:top w:val="single" w:sz="4" w:space="0" w:color="FFFFFF"/>
              <w:left w:val="nil"/>
              <w:bottom w:val="nil"/>
              <w:right w:val="single" w:sz="4" w:space="0" w:color="FFFFFF"/>
            </w:tcBorders>
            <w:shd w:val="clear" w:color="D9E1F2" w:fill="D9E1F2"/>
            <w:noWrap/>
            <w:vAlign w:val="bottom"/>
            <w:hideMark/>
          </w:tcPr>
          <w:p w14:paraId="2D3AB865" w14:textId="77777777" w:rsidR="00B652A2" w:rsidRPr="00C72A87" w:rsidRDefault="00B652A2" w:rsidP="00B652A2">
            <w:pPr>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Long-term unemployed</w:t>
            </w:r>
          </w:p>
        </w:tc>
        <w:tc>
          <w:tcPr>
            <w:tcW w:w="1300" w:type="dxa"/>
            <w:tcBorders>
              <w:top w:val="single" w:sz="4" w:space="0" w:color="FFFFFF"/>
              <w:left w:val="single" w:sz="4" w:space="0" w:color="FFFFFF"/>
              <w:bottom w:val="nil"/>
              <w:right w:val="single" w:sz="4" w:space="0" w:color="FFFFFF"/>
            </w:tcBorders>
            <w:shd w:val="clear" w:color="D9E1F2" w:fill="D9E1F2"/>
            <w:noWrap/>
            <w:vAlign w:val="bottom"/>
            <w:hideMark/>
          </w:tcPr>
          <w:p w14:paraId="40C0D6DA"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1,233</w:t>
            </w:r>
          </w:p>
        </w:tc>
        <w:tc>
          <w:tcPr>
            <w:tcW w:w="1300" w:type="dxa"/>
            <w:tcBorders>
              <w:top w:val="single" w:sz="4" w:space="0" w:color="FFFFFF"/>
              <w:left w:val="single" w:sz="4" w:space="0" w:color="FFFFFF"/>
              <w:bottom w:val="nil"/>
              <w:right w:val="nil"/>
            </w:tcBorders>
            <w:shd w:val="clear" w:color="D9E1F2" w:fill="D9E1F2"/>
            <w:noWrap/>
            <w:vAlign w:val="bottom"/>
            <w:hideMark/>
          </w:tcPr>
          <w:p w14:paraId="40FF5312" w14:textId="77777777" w:rsidR="00B652A2" w:rsidRPr="00C72A87" w:rsidRDefault="00B652A2" w:rsidP="00B652A2">
            <w:pPr>
              <w:jc w:val="right"/>
              <w:rPr>
                <w:rFonts w:ascii="Verdana" w:eastAsia="Times New Roman" w:hAnsi="Verdana" w:cs="Times New Roman"/>
                <w:color w:val="333333"/>
                <w:lang w:eastAsia="en-GB"/>
              </w:rPr>
            </w:pPr>
            <w:r w:rsidRPr="00C72A87">
              <w:rPr>
                <w:rFonts w:ascii="Verdana" w:eastAsia="Times New Roman" w:hAnsi="Verdana" w:cs="Times New Roman"/>
                <w:color w:val="333333"/>
                <w:lang w:eastAsia="en-GB"/>
              </w:rPr>
              <w:t>1.8</w:t>
            </w:r>
          </w:p>
        </w:tc>
      </w:tr>
    </w:tbl>
    <w:p w14:paraId="70F4CA03" w14:textId="329EEDC4" w:rsidR="00DB0F0F" w:rsidRPr="00DB0F0F" w:rsidRDefault="00DB0F0F" w:rsidP="00DB0F0F"/>
    <w:p w14:paraId="0B1CCA1F" w14:textId="2B137BFE" w:rsidR="00DB0F0F" w:rsidRPr="00DB0F0F" w:rsidRDefault="00DB0F0F" w:rsidP="00DB0F0F"/>
    <w:p w14:paraId="3384FEDE" w14:textId="5B533977" w:rsidR="00DB0F0F" w:rsidRPr="00DB0F0F" w:rsidRDefault="00DB0F0F" w:rsidP="00DB0F0F"/>
    <w:p w14:paraId="78B8DBE8" w14:textId="33589A89" w:rsidR="00DB0F0F" w:rsidRPr="00DB0F0F" w:rsidRDefault="00DB0F0F" w:rsidP="00DB0F0F"/>
    <w:p w14:paraId="389E623A" w14:textId="28A77C55" w:rsidR="00DB0F0F" w:rsidRPr="00DB0F0F" w:rsidRDefault="00DB0F0F" w:rsidP="00DB0F0F"/>
    <w:p w14:paraId="2605A6E1" w14:textId="0B1D4602" w:rsidR="00DB0F0F" w:rsidRPr="00DB0F0F" w:rsidRDefault="00DB0F0F" w:rsidP="00DB0F0F"/>
    <w:p w14:paraId="3FA8DAF4" w14:textId="4C991839" w:rsidR="00DB0F0F" w:rsidRPr="00DB0F0F" w:rsidRDefault="00DB0F0F" w:rsidP="00DB0F0F"/>
    <w:p w14:paraId="1BEF50E2" w14:textId="4C9452A8" w:rsidR="00DB0F0F" w:rsidRPr="00DB0F0F" w:rsidRDefault="00DB0F0F" w:rsidP="00DB0F0F"/>
    <w:p w14:paraId="14DBC5BF" w14:textId="348D03F0" w:rsidR="00DB0F0F" w:rsidRDefault="00DB0F0F" w:rsidP="00DB0F0F"/>
    <w:p w14:paraId="35D66AE8" w14:textId="26BCECF6" w:rsidR="00DB0F0F" w:rsidRDefault="00DB0F0F" w:rsidP="00DB0F0F">
      <w:pPr>
        <w:tabs>
          <w:tab w:val="left" w:pos="2138"/>
        </w:tabs>
      </w:pPr>
      <w:r>
        <w:tab/>
      </w:r>
      <w:r>
        <w:tab/>
      </w:r>
      <w:r>
        <w:tab/>
      </w:r>
    </w:p>
    <w:p w14:paraId="4D59340F" w14:textId="430312C8" w:rsidR="00DB0F0F" w:rsidRDefault="00DB0F0F" w:rsidP="00DB0F0F">
      <w:pPr>
        <w:tabs>
          <w:tab w:val="left" w:pos="2138"/>
        </w:tabs>
      </w:pPr>
    </w:p>
    <w:p w14:paraId="722EF4BE" w14:textId="44B1B54B" w:rsidR="00DB0F0F" w:rsidRDefault="00DB0F0F" w:rsidP="00DB0F0F">
      <w:pPr>
        <w:tabs>
          <w:tab w:val="left" w:pos="2138"/>
        </w:tabs>
      </w:pPr>
    </w:p>
    <w:p w14:paraId="0E70204D" w14:textId="25D66C48" w:rsidR="00DB0F0F" w:rsidRDefault="00DB0F0F" w:rsidP="00DB0F0F">
      <w:pPr>
        <w:tabs>
          <w:tab w:val="left" w:pos="2138"/>
        </w:tabs>
      </w:pPr>
    </w:p>
    <w:p w14:paraId="7E93E670" w14:textId="5DBFF509" w:rsidR="00DB0F0F" w:rsidRDefault="00DB0F0F" w:rsidP="00DB0F0F">
      <w:pPr>
        <w:tabs>
          <w:tab w:val="left" w:pos="2138"/>
        </w:tabs>
      </w:pPr>
    </w:p>
    <w:p w14:paraId="0AFC46EF" w14:textId="0C342357" w:rsidR="00C72A87" w:rsidRDefault="00C72A87" w:rsidP="00DB0F0F">
      <w:pPr>
        <w:tabs>
          <w:tab w:val="left" w:pos="2138"/>
        </w:tabs>
      </w:pPr>
    </w:p>
    <w:p w14:paraId="4BDFD9EA" w14:textId="4D940F4B" w:rsidR="00C72A87" w:rsidRPr="00C72A87" w:rsidRDefault="00C72A87" w:rsidP="00C72A87"/>
    <w:p w14:paraId="581C18EA" w14:textId="72CFA877" w:rsidR="00C72A87" w:rsidRPr="00C72A87" w:rsidRDefault="00C72A87" w:rsidP="00C72A87"/>
    <w:p w14:paraId="6B9F75EF" w14:textId="77777777" w:rsidR="00C72A87" w:rsidRPr="00C72A87" w:rsidRDefault="00C72A87" w:rsidP="00C72A87"/>
    <w:p w14:paraId="3C83C966" w14:textId="36E7AA82" w:rsidR="00C72A87" w:rsidRPr="00C72A87" w:rsidRDefault="00C72A87" w:rsidP="00C72A87"/>
    <w:p w14:paraId="656B83B8" w14:textId="188AA742" w:rsidR="00C72A87" w:rsidRPr="00C72A87" w:rsidRDefault="00C72A87" w:rsidP="00C72A87"/>
    <w:p w14:paraId="37D0F8CE" w14:textId="1A61D66A" w:rsidR="00C72A87" w:rsidRPr="00C72A87" w:rsidRDefault="00C72A87" w:rsidP="00C72A87"/>
    <w:p w14:paraId="1A5AE4D3" w14:textId="05C78B82" w:rsidR="00C72A87" w:rsidRPr="00C72A87" w:rsidRDefault="00C72A87" w:rsidP="00C72A87"/>
    <w:p w14:paraId="75A3F62F" w14:textId="366B6212" w:rsidR="00C72A87" w:rsidRPr="00C72A87" w:rsidRDefault="00B652A2" w:rsidP="00C72A87">
      <w:r>
        <w:rPr>
          <w:noProof/>
          <w:lang w:eastAsia="en-GB"/>
        </w:rPr>
        <mc:AlternateContent>
          <mc:Choice Requires="wps">
            <w:drawing>
              <wp:anchor distT="0" distB="0" distL="114300" distR="114300" simplePos="0" relativeHeight="251681792" behindDoc="0" locked="0" layoutInCell="1" allowOverlap="1" wp14:anchorId="15CAE4A5" wp14:editId="30C40000">
                <wp:simplePos x="0" y="0"/>
                <wp:positionH relativeFrom="column">
                  <wp:posOffset>278592</wp:posOffset>
                </wp:positionH>
                <wp:positionV relativeFrom="paragraph">
                  <wp:posOffset>-293312</wp:posOffset>
                </wp:positionV>
                <wp:extent cx="4803140" cy="570230"/>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4803140" cy="5702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AD3FB75" w14:textId="3764C137" w:rsidR="001A0CCA" w:rsidRPr="0086251B" w:rsidRDefault="001A0CCA">
                            <w:r w:rsidRPr="0086251B">
                              <w:rPr>
                                <w:b/>
                              </w:rPr>
                              <w:t>Figure 1.9</w:t>
                            </w:r>
                            <w:r>
                              <w:rPr>
                                <w:b/>
                              </w:rPr>
                              <w:t xml:space="preserve"> </w:t>
                            </w:r>
                            <w:r>
                              <w:t>Table showing employment of Males in Swansea from ages 16-74 as of the 2011 census. Data Source: www.nomisweb.co.uk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CAE4A5" id="Text Box 23" o:spid="_x0000_s1035" type="#_x0000_t202" style="position:absolute;margin-left:21.95pt;margin-top:-23.05pt;width:378.2pt;height:44.9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" filled="f" stroked="f">
                <v:textbox>
                  <w:txbxContent>
                    <w:p w14:paraId="4AD3FB75" w14:textId="3764C137" w:rsidR="001A0CCA" w:rsidRPr="0086251B" w:rsidRDefault="001A0CCA">
                      <w:r w:rsidRPr="0086251B">
                        <w:rPr>
                          <w:b/>
                        </w:rPr>
                        <w:t>Figure 1.9</w:t>
                      </w:r>
                      <w:r>
                        <w:rPr>
                          <w:b/>
                        </w:rPr>
                        <w:t xml:space="preserve"> </w:t>
                      </w:r>
                      <w:r>
                        <w:t>Table showing employment of Males in Swansea from ages 16-74 as of the 2011 census. Data Source: www.nomisweb.co.uk</w:t>
                      </w:r>
                    </w:p>
                  </w:txbxContent>
                </v:textbox>
                <w10:wrap type="square"/>
              </v:shape>
            </w:pict>
          </mc:Fallback>
        </mc:AlternateContent>
      </w:r>
    </w:p>
    <w:p w14:paraId="5DE8CB4C" w14:textId="359D3394" w:rsidR="00C72A87" w:rsidRPr="00C72A87" w:rsidRDefault="00C72A87" w:rsidP="00C72A87"/>
    <w:p w14:paraId="1BD42B9D" w14:textId="378E6B38" w:rsidR="00C72A87" w:rsidRPr="00C72A87" w:rsidRDefault="00C72A87" w:rsidP="00C72A87"/>
    <w:p w14:paraId="6D11878A" w14:textId="26A6A40B" w:rsidR="00C72A87" w:rsidRPr="00C72A87" w:rsidRDefault="00C72A87" w:rsidP="00C72A87"/>
    <w:p w14:paraId="369EFFB4" w14:textId="7234FB7A" w:rsidR="00DB0F0F" w:rsidRDefault="00DB0F0F" w:rsidP="00C72A87"/>
    <w:p w14:paraId="5489B211" w14:textId="68360EC0" w:rsidR="00C72A87" w:rsidRDefault="00C72A87" w:rsidP="00C72A87"/>
    <w:p w14:paraId="4181169C" w14:textId="0AD06CD1" w:rsidR="00C72A87" w:rsidRDefault="00C72A87" w:rsidP="00C72A87"/>
    <w:p w14:paraId="104D2FBF" w14:textId="103519CC" w:rsidR="00C72A87" w:rsidRDefault="00C72A87" w:rsidP="00C72A87"/>
    <w:p w14:paraId="7C2D7A64" w14:textId="228540D2" w:rsidR="00C72A87" w:rsidRDefault="00C72A87" w:rsidP="00C72A87"/>
    <w:p w14:paraId="77BD3D85" w14:textId="3A42916A" w:rsidR="00C72A87" w:rsidRDefault="00C72A87" w:rsidP="00C72A87"/>
    <w:p w14:paraId="31EE0670" w14:textId="7C461F95" w:rsidR="00C72A87" w:rsidRDefault="00C72A87" w:rsidP="00C72A87"/>
    <w:p w14:paraId="1379B88D" w14:textId="61854948" w:rsidR="00C72A87" w:rsidRDefault="00C72A87" w:rsidP="00C72A87"/>
    <w:p w14:paraId="3FA9C619" w14:textId="173DE9E7" w:rsidR="00C72A87" w:rsidRDefault="00C72A87" w:rsidP="00C72A87"/>
    <w:p w14:paraId="6F2194DB" w14:textId="0F7D58EA" w:rsidR="00C72A87" w:rsidRDefault="00C72A87" w:rsidP="00C72A87"/>
    <w:p w14:paraId="76588559" w14:textId="3205EED6" w:rsidR="00C72A87" w:rsidRDefault="00C72A87" w:rsidP="00C72A87"/>
    <w:p w14:paraId="3D00A7D6" w14:textId="2B701F02" w:rsidR="00C72A87" w:rsidRDefault="0086251B" w:rsidP="00C72A87">
      <w:r>
        <w:rPr>
          <w:noProof/>
          <w:lang w:eastAsia="en-GB"/>
        </w:rPr>
        <mc:AlternateContent>
          <mc:Choice Requires="wps">
            <w:drawing>
              <wp:anchor distT="0" distB="0" distL="114300" distR="114300" simplePos="0" relativeHeight="251680768" behindDoc="0" locked="0" layoutInCell="1" allowOverlap="1" wp14:anchorId="4568485A" wp14:editId="0D669AB5">
                <wp:simplePos x="0" y="0"/>
                <wp:positionH relativeFrom="column">
                  <wp:posOffset>-405765</wp:posOffset>
                </wp:positionH>
                <wp:positionV relativeFrom="paragraph">
                  <wp:posOffset>147320</wp:posOffset>
                </wp:positionV>
                <wp:extent cx="571500" cy="228600"/>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5715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F684BFD" w14:textId="77777777" w:rsidR="001A0CCA" w:rsidRDefault="001A0C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68485A" id="Text Box 22" o:spid="_x0000_s1036" type="#_x0000_t202" style="position:absolute;margin-left:-31.95pt;margin-top:11.6pt;width:45pt;height:18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" filled="f" stroked="f">
                <v:textbox>
                  <w:txbxContent>
                    <w:p w14:paraId="0F684BFD" w14:textId="77777777" w:rsidR="001A0CCA" w:rsidRDefault="001A0CCA"/>
                  </w:txbxContent>
                </v:textbox>
                <w10:wrap type="square"/>
              </v:shape>
            </w:pict>
          </mc:Fallback>
        </mc:AlternateContent>
      </w:r>
    </w:p>
    <w:p w14:paraId="5D3383FF" w14:textId="13979AD2" w:rsidR="00C72A87" w:rsidRDefault="00C72A87" w:rsidP="00C72A87"/>
    <w:p w14:paraId="1C5BC3E0" w14:textId="6E2232B0" w:rsidR="00C72A87" w:rsidRDefault="00C72A87" w:rsidP="00C72A87"/>
    <w:p w14:paraId="077633FB" w14:textId="77777777" w:rsidR="00C72A87" w:rsidRDefault="00C72A87" w:rsidP="00C72A87"/>
    <w:p w14:paraId="5CB4E239" w14:textId="77777777" w:rsidR="00C72A87" w:rsidRDefault="00C72A87" w:rsidP="00C72A87"/>
    <w:p w14:paraId="22578DD5" w14:textId="3BAC18D8" w:rsidR="00C72A87" w:rsidRDefault="00C72A87" w:rsidP="00C72A87"/>
    <w:tbl>
      <w:tblPr>
        <w:tblW w:w="7580" w:type="dxa"/>
        <w:tblInd w:w="729" w:type="dxa"/>
        <w:tblLook w:val="04A0" w:firstRow="1" w:lastRow="0" w:firstColumn="1" w:lastColumn="0" w:noHBand="0" w:noVBand="1"/>
      </w:tblPr>
      <w:tblGrid>
        <w:gridCol w:w="4980"/>
        <w:gridCol w:w="1300"/>
        <w:gridCol w:w="1300"/>
      </w:tblGrid>
      <w:tr w:rsidR="002851DB" w:rsidRPr="002851DB" w14:paraId="13EA3001" w14:textId="77777777" w:rsidTr="00435A94">
        <w:trPr>
          <w:trHeight w:val="320"/>
        </w:trPr>
        <w:tc>
          <w:tcPr>
            <w:tcW w:w="4980" w:type="dxa"/>
            <w:tcBorders>
              <w:top w:val="nil"/>
              <w:left w:val="nil"/>
              <w:bottom w:val="single" w:sz="12" w:space="0" w:color="FFFFFF"/>
              <w:right w:val="single" w:sz="4" w:space="0" w:color="FFFFFF"/>
            </w:tcBorders>
            <w:shd w:val="clear" w:color="4472C4" w:fill="4472C4"/>
            <w:noWrap/>
            <w:vAlign w:val="bottom"/>
            <w:hideMark/>
          </w:tcPr>
          <w:p w14:paraId="75A52251" w14:textId="77777777" w:rsidR="002851DB" w:rsidRPr="002851DB" w:rsidRDefault="002851DB" w:rsidP="002851DB">
            <w:pPr>
              <w:rPr>
                <w:rFonts w:ascii="Calibri" w:eastAsia="Times New Roman" w:hAnsi="Calibri" w:cs="Times New Roman"/>
                <w:b/>
                <w:bCs/>
                <w:color w:val="FFFFFF"/>
                <w:lang w:eastAsia="en-GB"/>
              </w:rPr>
            </w:pPr>
            <w:r w:rsidRPr="002851DB">
              <w:rPr>
                <w:rFonts w:ascii="Calibri" w:eastAsia="Times New Roman" w:hAnsi="Calibri" w:cs="Times New Roman"/>
                <w:b/>
                <w:bCs/>
                <w:color w:val="FFFFFF"/>
                <w:lang w:eastAsia="en-GB"/>
              </w:rPr>
              <w:t>Swansea Female population</w:t>
            </w:r>
          </w:p>
        </w:tc>
        <w:tc>
          <w:tcPr>
            <w:tcW w:w="1300" w:type="dxa"/>
            <w:tcBorders>
              <w:top w:val="nil"/>
              <w:left w:val="single" w:sz="4" w:space="0" w:color="FFFFFF"/>
              <w:bottom w:val="single" w:sz="12" w:space="0" w:color="FFFFFF"/>
              <w:right w:val="single" w:sz="4" w:space="0" w:color="FFFFFF"/>
            </w:tcBorders>
            <w:shd w:val="clear" w:color="4472C4" w:fill="4472C4"/>
            <w:noWrap/>
            <w:vAlign w:val="bottom"/>
            <w:hideMark/>
          </w:tcPr>
          <w:p w14:paraId="5B2269C5" w14:textId="77777777" w:rsidR="002851DB" w:rsidRPr="002851DB" w:rsidRDefault="002851DB" w:rsidP="002851DB">
            <w:pPr>
              <w:rPr>
                <w:rFonts w:ascii="Calibri" w:eastAsia="Times New Roman" w:hAnsi="Calibri" w:cs="Times New Roman"/>
                <w:b/>
                <w:bCs/>
                <w:color w:val="FFFFFF"/>
                <w:lang w:eastAsia="en-GB"/>
              </w:rPr>
            </w:pPr>
            <w:r w:rsidRPr="002851DB">
              <w:rPr>
                <w:rFonts w:ascii="Calibri" w:eastAsia="Times New Roman" w:hAnsi="Calibri" w:cs="Times New Roman"/>
                <w:b/>
                <w:bCs/>
                <w:color w:val="FFFFFF"/>
                <w:lang w:eastAsia="en-GB"/>
              </w:rPr>
              <w:t>Count</w:t>
            </w:r>
          </w:p>
        </w:tc>
        <w:tc>
          <w:tcPr>
            <w:tcW w:w="1300" w:type="dxa"/>
            <w:tcBorders>
              <w:top w:val="nil"/>
              <w:left w:val="single" w:sz="4" w:space="0" w:color="FFFFFF"/>
              <w:bottom w:val="single" w:sz="12" w:space="0" w:color="FFFFFF"/>
              <w:right w:val="nil"/>
            </w:tcBorders>
            <w:shd w:val="clear" w:color="4472C4" w:fill="4472C4"/>
            <w:noWrap/>
            <w:vAlign w:val="bottom"/>
            <w:hideMark/>
          </w:tcPr>
          <w:p w14:paraId="52409D95" w14:textId="77777777" w:rsidR="002851DB" w:rsidRPr="002851DB" w:rsidRDefault="002851DB" w:rsidP="002851DB">
            <w:pPr>
              <w:rPr>
                <w:rFonts w:ascii="Calibri" w:eastAsia="Times New Roman" w:hAnsi="Calibri" w:cs="Times New Roman"/>
                <w:b/>
                <w:bCs/>
                <w:color w:val="FFFFFF"/>
                <w:lang w:eastAsia="en-GB"/>
              </w:rPr>
            </w:pPr>
            <w:r w:rsidRPr="002851DB">
              <w:rPr>
                <w:rFonts w:ascii="Calibri" w:eastAsia="Times New Roman" w:hAnsi="Calibri" w:cs="Times New Roman"/>
                <w:b/>
                <w:bCs/>
                <w:color w:val="FFFFFF"/>
                <w:lang w:eastAsia="en-GB"/>
              </w:rPr>
              <w:t>%</w:t>
            </w:r>
          </w:p>
        </w:tc>
      </w:tr>
      <w:tr w:rsidR="002851DB" w:rsidRPr="002851DB" w14:paraId="513AB9D9"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B4C6E7" w:fill="B4C6E7"/>
            <w:noWrap/>
            <w:vAlign w:val="bottom"/>
            <w:hideMark/>
          </w:tcPr>
          <w:p w14:paraId="1A4045CC"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All usual residents aged 16 to 74</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EC255C3"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66,628</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7060EB95"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100</w:t>
            </w:r>
          </w:p>
        </w:tc>
      </w:tr>
      <w:tr w:rsidR="002851DB" w:rsidRPr="002851DB" w14:paraId="63C9BB99"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D9E1F2" w:fill="D9E1F2"/>
            <w:noWrap/>
            <w:vAlign w:val="bottom"/>
            <w:hideMark/>
          </w:tcPr>
          <w:p w14:paraId="54F8AA73"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Economically active</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62AFD7D7"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38,612</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0EF839B0"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58</w:t>
            </w:r>
          </w:p>
        </w:tc>
      </w:tr>
      <w:tr w:rsidR="002851DB" w:rsidRPr="002851DB" w14:paraId="0C83B724"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B4C6E7" w:fill="B4C6E7"/>
            <w:noWrap/>
            <w:vAlign w:val="bottom"/>
            <w:hideMark/>
          </w:tcPr>
          <w:p w14:paraId="4D2ED24B"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In employment</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18466ECD"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32,885</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611562FF"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49.4</w:t>
            </w:r>
          </w:p>
        </w:tc>
      </w:tr>
      <w:tr w:rsidR="002851DB" w:rsidRPr="002851DB" w14:paraId="2DD7BFA9"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D9E1F2" w:fill="D9E1F2"/>
            <w:noWrap/>
            <w:vAlign w:val="bottom"/>
            <w:hideMark/>
          </w:tcPr>
          <w:p w14:paraId="3415A623"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Employee: Part-time</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D93602F"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13,957</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59DDD240"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20.9</w:t>
            </w:r>
          </w:p>
        </w:tc>
      </w:tr>
      <w:tr w:rsidR="002851DB" w:rsidRPr="002851DB" w14:paraId="046D9EFD"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B4C6E7" w:fill="B4C6E7"/>
            <w:noWrap/>
            <w:vAlign w:val="bottom"/>
            <w:hideMark/>
          </w:tcPr>
          <w:p w14:paraId="48E08B23"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Employee: Full-time</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946A843"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16,845</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56B1F76B"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25.3</w:t>
            </w:r>
          </w:p>
        </w:tc>
      </w:tr>
      <w:tr w:rsidR="002851DB" w:rsidRPr="002851DB" w14:paraId="6ABA574C"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D9E1F2" w:fill="D9E1F2"/>
            <w:noWrap/>
            <w:vAlign w:val="bottom"/>
            <w:hideMark/>
          </w:tcPr>
          <w:p w14:paraId="7C78FE96"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Self-employed</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8CBC6EA"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2,083</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4C9AD3C0"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3.1</w:t>
            </w:r>
          </w:p>
        </w:tc>
      </w:tr>
      <w:tr w:rsidR="002851DB" w:rsidRPr="002851DB" w14:paraId="414A4C43"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B4C6E7" w:fill="B4C6E7"/>
            <w:noWrap/>
            <w:vAlign w:val="bottom"/>
            <w:hideMark/>
          </w:tcPr>
          <w:p w14:paraId="09B3E3B1"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Unemployed</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5532B20D"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1,955</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14E571C5"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2.9</w:t>
            </w:r>
          </w:p>
        </w:tc>
      </w:tr>
      <w:tr w:rsidR="002851DB" w:rsidRPr="002851DB" w14:paraId="452BBE4E"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D9E1F2" w:fill="D9E1F2"/>
            <w:noWrap/>
            <w:vAlign w:val="bottom"/>
            <w:hideMark/>
          </w:tcPr>
          <w:p w14:paraId="5A5C7AEF"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Full-time student</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28E4FF70"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3,772</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742832A4"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5.7</w:t>
            </w:r>
          </w:p>
        </w:tc>
      </w:tr>
      <w:tr w:rsidR="002851DB" w:rsidRPr="002851DB" w14:paraId="44643B0B"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B4C6E7" w:fill="B4C6E7"/>
            <w:noWrap/>
            <w:vAlign w:val="bottom"/>
            <w:hideMark/>
          </w:tcPr>
          <w:p w14:paraId="3A309293"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Economically Inactive</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7473DBE1"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28,016</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1BC735B6"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42</w:t>
            </w:r>
          </w:p>
        </w:tc>
      </w:tr>
      <w:tr w:rsidR="002851DB" w:rsidRPr="002851DB" w14:paraId="50805901"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D9E1F2" w:fill="D9E1F2"/>
            <w:noWrap/>
            <w:vAlign w:val="bottom"/>
            <w:hideMark/>
          </w:tcPr>
          <w:p w14:paraId="5439EA1D"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Retired</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CD74190"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11,352</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78FB01C8"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17</w:t>
            </w:r>
          </w:p>
        </w:tc>
      </w:tr>
      <w:tr w:rsidR="002851DB" w:rsidRPr="002851DB" w14:paraId="5ED59102"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B4C6E7" w:fill="B4C6E7"/>
            <w:noWrap/>
            <w:vAlign w:val="bottom"/>
            <w:hideMark/>
          </w:tcPr>
          <w:p w14:paraId="66E3653C"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Student (including full-time students)</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CAFA1E3"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5,738</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38E25B4E"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8.6</w:t>
            </w:r>
          </w:p>
        </w:tc>
      </w:tr>
      <w:tr w:rsidR="002851DB" w:rsidRPr="002851DB" w14:paraId="1EFBC438"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D9E1F2" w:fill="D9E1F2"/>
            <w:noWrap/>
            <w:vAlign w:val="bottom"/>
            <w:hideMark/>
          </w:tcPr>
          <w:p w14:paraId="4228D31E"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Looking after home or family</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337F420"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4,591</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049D3B62"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6.9</w:t>
            </w:r>
          </w:p>
        </w:tc>
      </w:tr>
      <w:tr w:rsidR="002851DB" w:rsidRPr="002851DB" w14:paraId="1FB539C4"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B4C6E7" w:fill="B4C6E7"/>
            <w:noWrap/>
            <w:vAlign w:val="bottom"/>
            <w:hideMark/>
          </w:tcPr>
          <w:p w14:paraId="3BA352DD"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Long-term sick or disabled</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3AEBCCF"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4,701</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618E007A"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7.1</w:t>
            </w:r>
          </w:p>
        </w:tc>
      </w:tr>
      <w:tr w:rsidR="002851DB" w:rsidRPr="002851DB" w14:paraId="3D7CB27B"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D9E1F2" w:fill="D9E1F2"/>
            <w:noWrap/>
            <w:vAlign w:val="bottom"/>
            <w:hideMark/>
          </w:tcPr>
          <w:p w14:paraId="0675C7D5"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Other</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6F7FEF9F"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1,634</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1A189E46"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2.5</w:t>
            </w:r>
          </w:p>
        </w:tc>
      </w:tr>
      <w:tr w:rsidR="002851DB" w:rsidRPr="002851DB" w14:paraId="0BFB51C5"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B4C6E7" w:fill="B4C6E7"/>
            <w:noWrap/>
            <w:vAlign w:val="bottom"/>
            <w:hideMark/>
          </w:tcPr>
          <w:p w14:paraId="73D7E45C"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Unemployed: Age 16 to 24</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C6088CB"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620</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5E6CB8D3"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0.9</w:t>
            </w:r>
          </w:p>
        </w:tc>
      </w:tr>
      <w:tr w:rsidR="002851DB" w:rsidRPr="002851DB" w14:paraId="155204D7"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D9E1F2" w:fill="D9E1F2"/>
            <w:noWrap/>
            <w:vAlign w:val="bottom"/>
            <w:hideMark/>
          </w:tcPr>
          <w:p w14:paraId="437CA13F"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Unemployed: Age 50 to 74</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F42CDF2"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230</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60E39182"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0.3</w:t>
            </w:r>
          </w:p>
        </w:tc>
      </w:tr>
      <w:tr w:rsidR="002851DB" w:rsidRPr="002851DB" w14:paraId="5EFBF64E" w14:textId="77777777" w:rsidTr="00435A94">
        <w:trPr>
          <w:trHeight w:val="320"/>
        </w:trPr>
        <w:tc>
          <w:tcPr>
            <w:tcW w:w="4980" w:type="dxa"/>
            <w:tcBorders>
              <w:top w:val="single" w:sz="4" w:space="0" w:color="FFFFFF"/>
              <w:left w:val="nil"/>
              <w:bottom w:val="single" w:sz="4" w:space="0" w:color="FFFFFF"/>
              <w:right w:val="single" w:sz="4" w:space="0" w:color="FFFFFF"/>
            </w:tcBorders>
            <w:shd w:val="clear" w:color="B4C6E7" w:fill="B4C6E7"/>
            <w:noWrap/>
            <w:vAlign w:val="bottom"/>
            <w:hideMark/>
          </w:tcPr>
          <w:p w14:paraId="06907311"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Unemployed: Never worked</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E9B072C"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344</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4C6F256F"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0.5</w:t>
            </w:r>
          </w:p>
        </w:tc>
      </w:tr>
      <w:tr w:rsidR="002851DB" w:rsidRPr="002851DB" w14:paraId="5B538E02" w14:textId="77777777" w:rsidTr="00435A94">
        <w:trPr>
          <w:trHeight w:val="320"/>
        </w:trPr>
        <w:tc>
          <w:tcPr>
            <w:tcW w:w="4980" w:type="dxa"/>
            <w:tcBorders>
              <w:top w:val="single" w:sz="4" w:space="0" w:color="FFFFFF"/>
              <w:left w:val="nil"/>
              <w:bottom w:val="nil"/>
              <w:right w:val="single" w:sz="4" w:space="0" w:color="FFFFFF"/>
            </w:tcBorders>
            <w:shd w:val="clear" w:color="D9E1F2" w:fill="D9E1F2"/>
            <w:noWrap/>
            <w:vAlign w:val="bottom"/>
            <w:hideMark/>
          </w:tcPr>
          <w:p w14:paraId="0324E628" w14:textId="77777777" w:rsidR="002851DB" w:rsidRPr="002851DB" w:rsidRDefault="002851DB" w:rsidP="002851DB">
            <w:pPr>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Long-term unemployed</w:t>
            </w:r>
          </w:p>
        </w:tc>
        <w:tc>
          <w:tcPr>
            <w:tcW w:w="1300" w:type="dxa"/>
            <w:tcBorders>
              <w:top w:val="single" w:sz="4" w:space="0" w:color="FFFFFF"/>
              <w:left w:val="single" w:sz="4" w:space="0" w:color="FFFFFF"/>
              <w:bottom w:val="nil"/>
              <w:right w:val="single" w:sz="4" w:space="0" w:color="FFFFFF"/>
            </w:tcBorders>
            <w:shd w:val="clear" w:color="D9E1F2" w:fill="D9E1F2"/>
            <w:noWrap/>
            <w:vAlign w:val="bottom"/>
            <w:hideMark/>
          </w:tcPr>
          <w:p w14:paraId="399E3B83"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805</w:t>
            </w:r>
          </w:p>
        </w:tc>
        <w:tc>
          <w:tcPr>
            <w:tcW w:w="1300" w:type="dxa"/>
            <w:tcBorders>
              <w:top w:val="single" w:sz="4" w:space="0" w:color="FFFFFF"/>
              <w:left w:val="single" w:sz="4" w:space="0" w:color="FFFFFF"/>
              <w:bottom w:val="nil"/>
              <w:right w:val="nil"/>
            </w:tcBorders>
            <w:shd w:val="clear" w:color="D9E1F2" w:fill="D9E1F2"/>
            <w:noWrap/>
            <w:vAlign w:val="bottom"/>
            <w:hideMark/>
          </w:tcPr>
          <w:p w14:paraId="065DE62A" w14:textId="77777777" w:rsidR="002851DB" w:rsidRPr="002851DB" w:rsidRDefault="002851DB" w:rsidP="002851DB">
            <w:pPr>
              <w:jc w:val="right"/>
              <w:rPr>
                <w:rFonts w:ascii="Verdana" w:eastAsia="Times New Roman" w:hAnsi="Verdana" w:cs="Times New Roman"/>
                <w:color w:val="333333"/>
                <w:lang w:eastAsia="en-GB"/>
              </w:rPr>
            </w:pPr>
            <w:r w:rsidRPr="002851DB">
              <w:rPr>
                <w:rFonts w:ascii="Verdana" w:eastAsia="Times New Roman" w:hAnsi="Verdana" w:cs="Times New Roman"/>
                <w:color w:val="333333"/>
                <w:lang w:eastAsia="en-GB"/>
              </w:rPr>
              <w:t>1.2</w:t>
            </w:r>
          </w:p>
        </w:tc>
      </w:tr>
    </w:tbl>
    <w:p w14:paraId="13E8F827" w14:textId="6C23904B" w:rsidR="002851DB" w:rsidRDefault="00B652A2" w:rsidP="00C72A87">
      <w:r>
        <w:rPr>
          <w:noProof/>
          <w:lang w:eastAsia="en-GB"/>
        </w:rPr>
        <mc:AlternateContent>
          <mc:Choice Requires="wps">
            <w:drawing>
              <wp:anchor distT="0" distB="0" distL="114300" distR="114300" simplePos="0" relativeHeight="251682816" behindDoc="0" locked="0" layoutInCell="1" allowOverlap="1" wp14:anchorId="6BC72EB7" wp14:editId="1F7D2DBB">
                <wp:simplePos x="0" y="0"/>
                <wp:positionH relativeFrom="column">
                  <wp:posOffset>391795</wp:posOffset>
                </wp:positionH>
                <wp:positionV relativeFrom="paragraph">
                  <wp:posOffset>81280</wp:posOffset>
                </wp:positionV>
                <wp:extent cx="4800600" cy="452755"/>
                <wp:effectExtent l="0" t="0" r="0" b="4445"/>
                <wp:wrapSquare wrapText="bothSides"/>
                <wp:docPr id="24" name="Text Box 24"/>
                <wp:cNvGraphicFramePr/>
                <a:graphic xmlns:a="http://schemas.openxmlformats.org/drawingml/2006/main">
                  <a:graphicData uri="http://schemas.microsoft.com/office/word/2010/wordprocessingShape">
                    <wps:wsp>
                      <wps:cNvSpPr txBox="1"/>
                      <wps:spPr>
                        <a:xfrm>
                          <a:off x="0" y="0"/>
                          <a:ext cx="4800600" cy="45275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361493C" w14:textId="4FB028EC" w:rsidR="001A0CCA" w:rsidRPr="002851DB" w:rsidRDefault="001A0CCA">
                            <w:r w:rsidRPr="002851DB">
                              <w:rPr>
                                <w:b/>
                              </w:rPr>
                              <w:t>Figure 2.0</w:t>
                            </w:r>
                            <w:r>
                              <w:rPr>
                                <w:b/>
                              </w:rPr>
                              <w:t xml:space="preserve"> </w:t>
                            </w:r>
                            <w:r>
                              <w:t>Table showing employment of females in Swansea from ages 16-74 as of the 2011 census. Data Source: www.nomisweb.co.uk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C72EB7" id="Text Box 24" o:spid="_x0000_s1037" type="#_x0000_t202" style="position:absolute;margin-left:30.85pt;margin-top:6.4pt;width:378pt;height:35.6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" filled="f" stroked="f">
                <v:textbox>
                  <w:txbxContent>
                    <w:p w14:paraId="1361493C" w14:textId="4FB028EC" w:rsidR="001A0CCA" w:rsidRPr="002851DB" w:rsidRDefault="001A0CCA">
                      <w:r w:rsidRPr="002851DB">
                        <w:rPr>
                          <w:b/>
                        </w:rPr>
                        <w:t>Figure 2.0</w:t>
                      </w:r>
                      <w:r>
                        <w:rPr>
                          <w:b/>
                        </w:rPr>
                        <w:t xml:space="preserve"> </w:t>
                      </w:r>
                      <w:r>
                        <w:t>Table showing employment of females in Swansea from ages 16-74 as of the 2011 census. Data Source: www.nomisweb.co.uk</w:t>
                      </w:r>
                    </w:p>
                  </w:txbxContent>
                </v:textbox>
                <w10:wrap type="square"/>
              </v:shape>
            </w:pict>
          </mc:Fallback>
        </mc:AlternateContent>
      </w:r>
    </w:p>
    <w:p w14:paraId="31829299" w14:textId="7B1EEAD3" w:rsidR="002851DB" w:rsidRPr="002851DB" w:rsidRDefault="002851DB" w:rsidP="002851DB"/>
    <w:p w14:paraId="77CFE69B" w14:textId="3A725C3B" w:rsidR="002851DB" w:rsidRPr="002851DB" w:rsidRDefault="002851DB" w:rsidP="002851DB"/>
    <w:p w14:paraId="7E1ABBEC" w14:textId="6491C6C6" w:rsidR="002851DB" w:rsidRPr="002851DB" w:rsidRDefault="002851DB" w:rsidP="002851DB"/>
    <w:p w14:paraId="6F00D4E5" w14:textId="6F71D849" w:rsidR="002851DB" w:rsidRDefault="00811280" w:rsidP="002851DB">
      <w:r>
        <w:t xml:space="preserve">Figure 1.4 gives the employment rate in all Welsh regions in 2013. The data indicates that Swansea had the fifth worst </w:t>
      </w:r>
      <w:r w:rsidR="00314552">
        <w:t>employment rate</w:t>
      </w:r>
      <w:r w:rsidR="00CC4C6A">
        <w:t xml:space="preserve"> in</w:t>
      </w:r>
      <w:r w:rsidR="00314552">
        <w:t xml:space="preserve"> Wales. Furthermore figure 1.5 indicates that Swansea’s employment rate has fallen below the Welsh average from the year 2007 to 2013. When comparing the employment rate in Swansea to Cardiff and Rhondda Cynon Taff, which are the areas that’s population is most similar, Swansea’s employment rate was worse than both regions. Figure 1.6 gives the gross weekly earnings of all 22 of the Welsh regions in 2013. Swansea’s gross weekly earnings were the eighth worst </w:t>
      </w:r>
      <w:r w:rsidR="00087725">
        <w:t>in</w:t>
      </w:r>
      <w:r w:rsidR="00314552">
        <w:t xml:space="preserve"> 2013 and again fell below both Cardiff and the Rhondda Cynon Taff. </w:t>
      </w:r>
      <w:r w:rsidR="00087725">
        <w:t xml:space="preserve">Figure 1.7 shows the gross disposable income in Wales’ 22 regions in 2012. The data indicates that Swansea were the seventh worst region in Wales. </w:t>
      </w:r>
      <w:r w:rsidR="00153E04">
        <w:t>Cardiff had the third highest gross disposable income</w:t>
      </w:r>
      <w:r w:rsidR="00087725">
        <w:t>. This indicates that Swansea needs eco</w:t>
      </w:r>
      <w:r w:rsidR="001C4079">
        <w:t>nomic</w:t>
      </w:r>
      <w:r w:rsidR="00087725">
        <w:t xml:space="preserve"> investment, especially in the job sector as employment rates and income are at low levels when compared to other regions with similar populations. </w:t>
      </w:r>
    </w:p>
    <w:p w14:paraId="299ABCE9" w14:textId="7D835C94" w:rsidR="00087725" w:rsidRDefault="00087725" w:rsidP="002851DB">
      <w:r>
        <w:t>Figures 1.8, 1.9 and 2.0 break down the employment statistics in Swansea of people aged between 16 to 74. Fig</w:t>
      </w:r>
      <w:r w:rsidR="001C4079">
        <w:t>ure 1.8 shows that 4.1% of Swansea’s</w:t>
      </w:r>
      <w:r>
        <w:t xml:space="preserve"> </w:t>
      </w:r>
      <w:r w:rsidR="001C4079">
        <w:t>population</w:t>
      </w:r>
      <w:r>
        <w:t xml:space="preserve"> were unemployed. Furthermore Figures 1.9 </w:t>
      </w:r>
      <w:r w:rsidR="001C4079">
        <w:t xml:space="preserve">and 2.0 indicate that there was a higher percentage of males that were unemployed than </w:t>
      </w:r>
      <w:r w:rsidR="00153E04">
        <w:t>fe</w:t>
      </w:r>
      <w:r w:rsidR="001C4079">
        <w:t>males</w:t>
      </w:r>
      <w:r>
        <w:t xml:space="preserve">. </w:t>
      </w:r>
      <w:r w:rsidR="0088652F">
        <w:t xml:space="preserve">This data further indicates the need for more job opportunities and investment in Swansea. </w:t>
      </w:r>
      <w:r w:rsidR="007F4564">
        <w:t xml:space="preserve">An article by the BBC </w:t>
      </w:r>
      <w:r w:rsidR="00220D43">
        <w:t>(2012) suggests that a few of the possible reasons that Swansea’s unemployment statistics are high is because of an overreliance on the public sector for jobs and a large number of unskilled and unqualified people.</w:t>
      </w:r>
      <w:r w:rsidR="00AF5815">
        <w:t xml:space="preserve"> The data indicates that unemployment is a key issue within Swansea. </w:t>
      </w:r>
    </w:p>
    <w:p w14:paraId="79605F32" w14:textId="77777777" w:rsidR="007677BE" w:rsidRPr="002851DB" w:rsidRDefault="007677BE" w:rsidP="002851DB"/>
    <w:p w14:paraId="0E8C7B8B" w14:textId="77777777" w:rsidR="001A7C58" w:rsidRDefault="001A7C58" w:rsidP="002851DB"/>
    <w:p w14:paraId="5D3F9D6D" w14:textId="77777777" w:rsidR="00FE40B7" w:rsidRDefault="00FE40B7" w:rsidP="002851DB">
      <w:pPr>
        <w:rPr>
          <w:u w:val="single"/>
        </w:rPr>
      </w:pPr>
    </w:p>
    <w:p w14:paraId="6C87512A" w14:textId="77777777" w:rsidR="00FE40B7" w:rsidRDefault="00FE40B7" w:rsidP="002851DB">
      <w:pPr>
        <w:rPr>
          <w:u w:val="single"/>
        </w:rPr>
      </w:pPr>
    </w:p>
    <w:p w14:paraId="1E419EB0" w14:textId="77777777" w:rsidR="00FE40B7" w:rsidRDefault="00FE40B7" w:rsidP="002851DB">
      <w:pPr>
        <w:rPr>
          <w:u w:val="single"/>
        </w:rPr>
      </w:pPr>
    </w:p>
    <w:p w14:paraId="3E23BF58" w14:textId="77777777" w:rsidR="00B96A2F" w:rsidRDefault="00B96A2F" w:rsidP="002851DB">
      <w:pPr>
        <w:rPr>
          <w:u w:val="single"/>
        </w:rPr>
      </w:pPr>
    </w:p>
    <w:p w14:paraId="457E5E9F" w14:textId="77777777" w:rsidR="001C5CAF" w:rsidRPr="001C5CAF" w:rsidRDefault="001C5CAF" w:rsidP="002851DB">
      <w:pPr>
        <w:rPr>
          <w:u w:val="single"/>
        </w:rPr>
      </w:pPr>
    </w:p>
    <w:p w14:paraId="50EF4B20" w14:textId="2CCE559B" w:rsidR="002851DB" w:rsidRPr="002851DB" w:rsidRDefault="002851DB" w:rsidP="002851DB"/>
    <w:p w14:paraId="38AB6D66" w14:textId="77777777" w:rsidR="002851DB" w:rsidRDefault="002851DB" w:rsidP="002851DB"/>
    <w:p w14:paraId="74848E48" w14:textId="77777777" w:rsidR="00B96A2F" w:rsidRDefault="00B96A2F" w:rsidP="002851DB"/>
    <w:p w14:paraId="40D5FF6D" w14:textId="77777777" w:rsidR="00B96A2F" w:rsidRDefault="00B96A2F" w:rsidP="002851DB"/>
    <w:p w14:paraId="6CB4D8E1" w14:textId="77777777" w:rsidR="00B96A2F" w:rsidRDefault="00B96A2F" w:rsidP="002851DB"/>
    <w:p w14:paraId="70F1193C" w14:textId="77777777" w:rsidR="00B96A2F" w:rsidRDefault="00B96A2F" w:rsidP="002851DB"/>
    <w:p w14:paraId="6C620968" w14:textId="77777777" w:rsidR="00B96A2F" w:rsidRDefault="00B96A2F" w:rsidP="002851DB"/>
    <w:p w14:paraId="080FC94E" w14:textId="77777777" w:rsidR="00B96A2F" w:rsidRDefault="00B96A2F" w:rsidP="002851DB"/>
    <w:p w14:paraId="60AA65D0" w14:textId="77777777" w:rsidR="00B96A2F" w:rsidRDefault="00B96A2F" w:rsidP="002851DB"/>
    <w:p w14:paraId="0410CA69" w14:textId="77777777" w:rsidR="00B96A2F" w:rsidRDefault="00B96A2F" w:rsidP="002851DB"/>
    <w:p w14:paraId="1331DC90" w14:textId="77777777" w:rsidR="00B96A2F" w:rsidRDefault="00B96A2F" w:rsidP="002851DB"/>
    <w:p w14:paraId="7AE73F8C" w14:textId="77777777" w:rsidR="00B96A2F" w:rsidRDefault="00B96A2F" w:rsidP="002851DB"/>
    <w:p w14:paraId="147DE9C1" w14:textId="77777777" w:rsidR="00B96A2F" w:rsidRDefault="00B96A2F" w:rsidP="002851DB"/>
    <w:p w14:paraId="3D7D4963" w14:textId="77777777" w:rsidR="00B96A2F" w:rsidRDefault="00B96A2F" w:rsidP="002851DB"/>
    <w:p w14:paraId="0A751E41" w14:textId="77777777" w:rsidR="00B96A2F" w:rsidRDefault="00B96A2F" w:rsidP="002851DB"/>
    <w:p w14:paraId="4A165B6F" w14:textId="77777777" w:rsidR="00B96A2F" w:rsidRDefault="00B96A2F" w:rsidP="002851DB"/>
    <w:p w14:paraId="56BE9786" w14:textId="18561F48" w:rsidR="00B96A2F" w:rsidRDefault="00B96A2F" w:rsidP="002851DB"/>
    <w:p w14:paraId="68C7E697" w14:textId="30BE1E1C" w:rsidR="00B96A2F" w:rsidRDefault="00B96A2F" w:rsidP="002851DB"/>
    <w:p w14:paraId="57E612CF" w14:textId="668C1BE0" w:rsidR="00B96A2F" w:rsidRDefault="00B96A2F" w:rsidP="002851DB"/>
    <w:p w14:paraId="306C74E1" w14:textId="60B2CB9A" w:rsidR="00B96A2F" w:rsidRDefault="00B96A2F" w:rsidP="002851DB"/>
    <w:p w14:paraId="4BCCA1DF" w14:textId="13B57E7C" w:rsidR="00B96A2F" w:rsidRDefault="00B96A2F" w:rsidP="002851DB"/>
    <w:p w14:paraId="046AC274" w14:textId="575194BB" w:rsidR="00B96A2F" w:rsidRDefault="00B96A2F" w:rsidP="002851DB"/>
    <w:p w14:paraId="0EB298D6" w14:textId="28CD6259" w:rsidR="00B96A2F" w:rsidRDefault="00B96A2F" w:rsidP="002851DB"/>
    <w:p w14:paraId="749E0229" w14:textId="2DD9569D" w:rsidR="00B96A2F" w:rsidRDefault="00B96A2F" w:rsidP="002851DB"/>
    <w:p w14:paraId="6CC5D67A" w14:textId="583550BC" w:rsidR="00B96A2F" w:rsidRDefault="00B96A2F" w:rsidP="002851DB"/>
    <w:p w14:paraId="7CC2029F" w14:textId="601D508E" w:rsidR="00B96A2F" w:rsidRDefault="00B96A2F" w:rsidP="002851DB"/>
    <w:p w14:paraId="39EB9B27" w14:textId="1D906739" w:rsidR="00B96A2F" w:rsidRDefault="00B96A2F" w:rsidP="002851DB"/>
    <w:p w14:paraId="1EABF7B8" w14:textId="0112A1DE" w:rsidR="00B96A2F" w:rsidRDefault="00B96A2F" w:rsidP="002851DB"/>
    <w:p w14:paraId="464B0B6F" w14:textId="23D43A66" w:rsidR="00B96A2F" w:rsidRDefault="00B96A2F" w:rsidP="002851DB"/>
    <w:p w14:paraId="48028700" w14:textId="5F9A665A" w:rsidR="00B96A2F" w:rsidRDefault="00B96A2F" w:rsidP="002851DB"/>
    <w:p w14:paraId="2401F780" w14:textId="054340F2" w:rsidR="00B96A2F" w:rsidRDefault="00B96A2F" w:rsidP="002851DB"/>
    <w:p w14:paraId="7A809D92" w14:textId="39C834B4" w:rsidR="00B96A2F" w:rsidRDefault="00B96A2F" w:rsidP="002851DB"/>
    <w:p w14:paraId="3329F375" w14:textId="0E122E88" w:rsidR="00B96A2F" w:rsidRDefault="00B96A2F" w:rsidP="002851DB"/>
    <w:p w14:paraId="6B6DAE70" w14:textId="6B92A9CC" w:rsidR="00B96A2F" w:rsidRDefault="00B96A2F" w:rsidP="002851DB"/>
    <w:tbl>
      <w:tblPr>
        <w:tblpPr w:leftFromText="180" w:rightFromText="180" w:vertAnchor="text" w:horzAnchor="page" w:tblpX="2710" w:tblpY="2701"/>
        <w:tblW w:w="5960" w:type="dxa"/>
        <w:tblLook w:val="04A0" w:firstRow="1" w:lastRow="0" w:firstColumn="1" w:lastColumn="0" w:noHBand="0" w:noVBand="1"/>
        <w:tblDescription w:val="Age structure"/>
      </w:tblPr>
      <w:tblGrid>
        <w:gridCol w:w="3360"/>
        <w:gridCol w:w="1300"/>
        <w:gridCol w:w="1300"/>
      </w:tblGrid>
      <w:tr w:rsidR="00FE40B7" w:rsidRPr="00225620" w14:paraId="5728D0C6" w14:textId="77777777" w:rsidTr="00FE40B7">
        <w:trPr>
          <w:trHeight w:val="320"/>
        </w:trPr>
        <w:tc>
          <w:tcPr>
            <w:tcW w:w="3360" w:type="dxa"/>
            <w:tcBorders>
              <w:top w:val="nil"/>
              <w:left w:val="nil"/>
              <w:bottom w:val="single" w:sz="12" w:space="0" w:color="FFFFFF"/>
              <w:right w:val="single" w:sz="4" w:space="0" w:color="FFFFFF"/>
            </w:tcBorders>
            <w:shd w:val="clear" w:color="4472C4" w:fill="4472C4"/>
            <w:noWrap/>
            <w:vAlign w:val="bottom"/>
            <w:hideMark/>
          </w:tcPr>
          <w:p w14:paraId="0F023D8A" w14:textId="77777777" w:rsidR="00FE40B7" w:rsidRPr="00225620" w:rsidRDefault="00FE40B7" w:rsidP="00FE40B7">
            <w:pPr>
              <w:rPr>
                <w:rFonts w:ascii="Verdana" w:eastAsia="Times New Roman" w:hAnsi="Verdana" w:cs="Times New Roman"/>
                <w:b/>
                <w:bCs/>
                <w:color w:val="333333"/>
                <w:lang w:eastAsia="en-GB"/>
              </w:rPr>
            </w:pPr>
            <w:r w:rsidRPr="00225620">
              <w:rPr>
                <w:rFonts w:ascii="Verdana" w:eastAsia="Times New Roman" w:hAnsi="Verdana" w:cs="Times New Roman"/>
                <w:b/>
                <w:bCs/>
                <w:color w:val="333333"/>
                <w:lang w:eastAsia="en-GB"/>
              </w:rPr>
              <w:t xml:space="preserve">Swansea </w:t>
            </w:r>
          </w:p>
        </w:tc>
        <w:tc>
          <w:tcPr>
            <w:tcW w:w="1300" w:type="dxa"/>
            <w:tcBorders>
              <w:top w:val="nil"/>
              <w:left w:val="single" w:sz="4" w:space="0" w:color="FFFFFF"/>
              <w:bottom w:val="single" w:sz="12" w:space="0" w:color="FFFFFF"/>
              <w:right w:val="single" w:sz="4" w:space="0" w:color="FFFFFF"/>
            </w:tcBorders>
            <w:shd w:val="clear" w:color="4472C4" w:fill="4472C4"/>
            <w:noWrap/>
            <w:vAlign w:val="bottom"/>
            <w:hideMark/>
          </w:tcPr>
          <w:p w14:paraId="63FFA0EF" w14:textId="77777777" w:rsidR="00FE40B7" w:rsidRPr="00225620" w:rsidRDefault="00FE40B7" w:rsidP="00FE40B7">
            <w:pPr>
              <w:rPr>
                <w:rFonts w:ascii="Calibri" w:eastAsia="Times New Roman" w:hAnsi="Calibri" w:cs="Times New Roman"/>
                <w:b/>
                <w:bCs/>
                <w:color w:val="FFFFFF"/>
                <w:lang w:eastAsia="en-GB"/>
              </w:rPr>
            </w:pPr>
            <w:r w:rsidRPr="00225620">
              <w:rPr>
                <w:rFonts w:ascii="Calibri" w:eastAsia="Times New Roman" w:hAnsi="Calibri" w:cs="Times New Roman"/>
                <w:b/>
                <w:bCs/>
                <w:color w:val="FFFFFF"/>
                <w:lang w:eastAsia="en-GB"/>
              </w:rPr>
              <w:t>Count</w:t>
            </w:r>
          </w:p>
        </w:tc>
        <w:tc>
          <w:tcPr>
            <w:tcW w:w="1300" w:type="dxa"/>
            <w:tcBorders>
              <w:top w:val="nil"/>
              <w:left w:val="single" w:sz="4" w:space="0" w:color="FFFFFF"/>
              <w:bottom w:val="single" w:sz="12" w:space="0" w:color="FFFFFF"/>
              <w:right w:val="nil"/>
            </w:tcBorders>
            <w:shd w:val="clear" w:color="4472C4" w:fill="4472C4"/>
            <w:noWrap/>
            <w:vAlign w:val="bottom"/>
            <w:hideMark/>
          </w:tcPr>
          <w:p w14:paraId="60CDEDCE" w14:textId="77777777" w:rsidR="00FE40B7" w:rsidRPr="00225620" w:rsidRDefault="00FE40B7" w:rsidP="00FE40B7">
            <w:pPr>
              <w:rPr>
                <w:rFonts w:ascii="Calibri" w:eastAsia="Times New Roman" w:hAnsi="Calibri" w:cs="Times New Roman"/>
                <w:b/>
                <w:bCs/>
                <w:color w:val="FFFFFF"/>
                <w:lang w:eastAsia="en-GB"/>
              </w:rPr>
            </w:pPr>
            <w:r w:rsidRPr="00225620">
              <w:rPr>
                <w:rFonts w:ascii="Calibri" w:eastAsia="Times New Roman" w:hAnsi="Calibri" w:cs="Times New Roman"/>
                <w:b/>
                <w:bCs/>
                <w:color w:val="FFFFFF"/>
                <w:lang w:eastAsia="en-GB"/>
              </w:rPr>
              <w:t>%</w:t>
            </w:r>
          </w:p>
        </w:tc>
      </w:tr>
      <w:tr w:rsidR="00FE40B7" w:rsidRPr="00225620" w14:paraId="2999FF83"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B4C6E7" w:fill="B4C6E7"/>
            <w:noWrap/>
            <w:vAlign w:val="bottom"/>
            <w:hideMark/>
          </w:tcPr>
          <w:p w14:paraId="53DE2D12"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All usual residents</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D73F005"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179,485</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33CBB98C"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100</w:t>
            </w:r>
          </w:p>
        </w:tc>
      </w:tr>
      <w:tr w:rsidR="00FE40B7" w:rsidRPr="00225620" w14:paraId="636AD4A6"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D9E1F2" w:fill="D9E1F2"/>
            <w:noWrap/>
            <w:vAlign w:val="bottom"/>
            <w:hideMark/>
          </w:tcPr>
          <w:p w14:paraId="13EBFB4A"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0 to 4</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5F141049"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9,916</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1FC1A886"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5.5</w:t>
            </w:r>
          </w:p>
        </w:tc>
      </w:tr>
      <w:tr w:rsidR="00FE40B7" w:rsidRPr="00225620" w14:paraId="2AFAD17F"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B4C6E7" w:fill="B4C6E7"/>
            <w:noWrap/>
            <w:vAlign w:val="bottom"/>
            <w:hideMark/>
          </w:tcPr>
          <w:p w14:paraId="146CD872"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5 to 7</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EB855B9"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5,447</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70BD588B"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3</w:t>
            </w:r>
          </w:p>
        </w:tc>
      </w:tr>
      <w:tr w:rsidR="00FE40B7" w:rsidRPr="00225620" w14:paraId="02D95966"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D9E1F2" w:fill="D9E1F2"/>
            <w:noWrap/>
            <w:vAlign w:val="bottom"/>
            <w:hideMark/>
          </w:tcPr>
          <w:p w14:paraId="7343B87F"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8 to 9</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0809C54B"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3,573</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79E28A1C"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2</w:t>
            </w:r>
          </w:p>
        </w:tc>
      </w:tr>
      <w:tr w:rsidR="00FE40B7" w:rsidRPr="00225620" w14:paraId="66D8477F"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B4C6E7" w:fill="B4C6E7"/>
            <w:noWrap/>
            <w:vAlign w:val="bottom"/>
            <w:hideMark/>
          </w:tcPr>
          <w:p w14:paraId="67475008"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10 to 14</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5D622AB"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9,545</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72FCC9D8"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5.3</w:t>
            </w:r>
          </w:p>
        </w:tc>
      </w:tr>
      <w:tr w:rsidR="00FE40B7" w:rsidRPr="00225620" w14:paraId="59A7DF94"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D9E1F2" w:fill="D9E1F2"/>
            <w:noWrap/>
            <w:vAlign w:val="bottom"/>
            <w:hideMark/>
          </w:tcPr>
          <w:p w14:paraId="123BBFDC"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15</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93C23E8"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1,919</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333A2B9C"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1.1</w:t>
            </w:r>
          </w:p>
        </w:tc>
      </w:tr>
      <w:tr w:rsidR="00FE40B7" w:rsidRPr="00225620" w14:paraId="2DA4BC8A"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B4C6E7" w:fill="B4C6E7"/>
            <w:noWrap/>
            <w:vAlign w:val="bottom"/>
            <w:hideMark/>
          </w:tcPr>
          <w:p w14:paraId="18391DCA"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16 to 17</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62388CDF"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3,958</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2E813396"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2.2</w:t>
            </w:r>
          </w:p>
        </w:tc>
      </w:tr>
      <w:tr w:rsidR="00FE40B7" w:rsidRPr="00225620" w14:paraId="2110CD70"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D9E1F2" w:fill="D9E1F2"/>
            <w:noWrap/>
            <w:vAlign w:val="bottom"/>
            <w:hideMark/>
          </w:tcPr>
          <w:p w14:paraId="23E1B2B5"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18 to 19</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2491828D"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6,759</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7D4A28EB"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3.8</w:t>
            </w:r>
          </w:p>
        </w:tc>
      </w:tr>
      <w:tr w:rsidR="00FE40B7" w:rsidRPr="00225620" w14:paraId="2A307DFA"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B4C6E7" w:fill="B4C6E7"/>
            <w:noWrap/>
            <w:vAlign w:val="bottom"/>
            <w:hideMark/>
          </w:tcPr>
          <w:p w14:paraId="1CA60427"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20 to 24</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27FA0411"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17,679</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3D7AC6FC"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9.8</w:t>
            </w:r>
          </w:p>
        </w:tc>
      </w:tr>
      <w:tr w:rsidR="00FE40B7" w:rsidRPr="00225620" w14:paraId="5D745878"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D9E1F2" w:fill="D9E1F2"/>
            <w:noWrap/>
            <w:vAlign w:val="bottom"/>
            <w:hideMark/>
          </w:tcPr>
          <w:p w14:paraId="215D9DCA"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25 to 29</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1F7B0A2E"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12,449</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4E42383D"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6.9</w:t>
            </w:r>
          </w:p>
        </w:tc>
      </w:tr>
      <w:tr w:rsidR="00FE40B7" w:rsidRPr="00225620" w14:paraId="55A447F3"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B4C6E7" w:fill="B4C6E7"/>
            <w:noWrap/>
            <w:vAlign w:val="bottom"/>
            <w:hideMark/>
          </w:tcPr>
          <w:p w14:paraId="5372EB67"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30 to 44</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7ABDB943"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33,567</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5B79404A"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18.7</w:t>
            </w:r>
          </w:p>
        </w:tc>
      </w:tr>
      <w:tr w:rsidR="00FE40B7" w:rsidRPr="00225620" w14:paraId="6D5F511F"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D9E1F2" w:fill="D9E1F2"/>
            <w:noWrap/>
            <w:vAlign w:val="bottom"/>
            <w:hideMark/>
          </w:tcPr>
          <w:p w14:paraId="1A6912CA"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45 to 59</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C029D3C"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32,976</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1B56D613"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18.4</w:t>
            </w:r>
          </w:p>
        </w:tc>
      </w:tr>
      <w:tr w:rsidR="00FE40B7" w:rsidRPr="00225620" w14:paraId="2B3BA5F9"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B4C6E7" w:fill="B4C6E7"/>
            <w:noWrap/>
            <w:vAlign w:val="bottom"/>
            <w:hideMark/>
          </w:tcPr>
          <w:p w14:paraId="7CB7F144"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60 to 64</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7AFCA32"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10,713</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6DECA9D1"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6</w:t>
            </w:r>
          </w:p>
        </w:tc>
      </w:tr>
      <w:tr w:rsidR="00FE40B7" w:rsidRPr="00225620" w14:paraId="181B109F"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D9E1F2" w:fill="D9E1F2"/>
            <w:noWrap/>
            <w:vAlign w:val="bottom"/>
            <w:hideMark/>
          </w:tcPr>
          <w:p w14:paraId="2A5AFC6D"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65 to 74</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7F92B98F"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15,824</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3AE5AC98"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8.8</w:t>
            </w:r>
          </w:p>
        </w:tc>
      </w:tr>
      <w:tr w:rsidR="00FE40B7" w:rsidRPr="00225620" w14:paraId="7C3C69B0"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B4C6E7" w:fill="B4C6E7"/>
            <w:noWrap/>
            <w:vAlign w:val="bottom"/>
            <w:hideMark/>
          </w:tcPr>
          <w:p w14:paraId="61596F96"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75 to 84</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3F1AC6CD"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10,979</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0149833D"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6.1</w:t>
            </w:r>
          </w:p>
        </w:tc>
      </w:tr>
      <w:tr w:rsidR="00FE40B7" w:rsidRPr="00225620" w14:paraId="6CF26394"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D9E1F2" w:fill="D9E1F2"/>
            <w:noWrap/>
            <w:vAlign w:val="bottom"/>
            <w:hideMark/>
          </w:tcPr>
          <w:p w14:paraId="34AF7D6D"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85 to 89</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4B6B809C"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2,789</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7631BB7B"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1.6</w:t>
            </w:r>
          </w:p>
        </w:tc>
      </w:tr>
      <w:tr w:rsidR="00FE40B7" w:rsidRPr="00225620" w14:paraId="752BF428"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B4C6E7" w:fill="B4C6E7"/>
            <w:noWrap/>
            <w:vAlign w:val="bottom"/>
            <w:hideMark/>
          </w:tcPr>
          <w:p w14:paraId="29E31562"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Age 90 and over</w:t>
            </w:r>
          </w:p>
        </w:tc>
        <w:tc>
          <w:tcPr>
            <w:tcW w:w="1300" w:type="dxa"/>
            <w:tcBorders>
              <w:top w:val="single" w:sz="4" w:space="0" w:color="FFFFFF"/>
              <w:left w:val="single" w:sz="4" w:space="0" w:color="FFFFFF"/>
              <w:bottom w:val="single" w:sz="4" w:space="0" w:color="FFFFFF"/>
              <w:right w:val="single" w:sz="4" w:space="0" w:color="FFFFFF"/>
            </w:tcBorders>
            <w:shd w:val="clear" w:color="B4C6E7" w:fill="B4C6E7"/>
            <w:noWrap/>
            <w:vAlign w:val="bottom"/>
            <w:hideMark/>
          </w:tcPr>
          <w:p w14:paraId="07B82ABE"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1,392</w:t>
            </w:r>
          </w:p>
        </w:tc>
        <w:tc>
          <w:tcPr>
            <w:tcW w:w="1300" w:type="dxa"/>
            <w:tcBorders>
              <w:top w:val="single" w:sz="4" w:space="0" w:color="FFFFFF"/>
              <w:left w:val="single" w:sz="4" w:space="0" w:color="FFFFFF"/>
              <w:bottom w:val="single" w:sz="4" w:space="0" w:color="FFFFFF"/>
              <w:right w:val="nil"/>
            </w:tcBorders>
            <w:shd w:val="clear" w:color="B4C6E7" w:fill="B4C6E7"/>
            <w:noWrap/>
            <w:vAlign w:val="bottom"/>
            <w:hideMark/>
          </w:tcPr>
          <w:p w14:paraId="3F4C8235"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0.8</w:t>
            </w:r>
          </w:p>
        </w:tc>
      </w:tr>
      <w:tr w:rsidR="00FE40B7" w:rsidRPr="00225620" w14:paraId="1452FDE7" w14:textId="77777777" w:rsidTr="00FE40B7">
        <w:trPr>
          <w:trHeight w:val="320"/>
        </w:trPr>
        <w:tc>
          <w:tcPr>
            <w:tcW w:w="3360" w:type="dxa"/>
            <w:tcBorders>
              <w:top w:val="single" w:sz="4" w:space="0" w:color="FFFFFF"/>
              <w:left w:val="nil"/>
              <w:bottom w:val="single" w:sz="4" w:space="0" w:color="FFFFFF"/>
              <w:right w:val="single" w:sz="4" w:space="0" w:color="FFFFFF"/>
            </w:tcBorders>
            <w:shd w:val="clear" w:color="D9E1F2" w:fill="D9E1F2"/>
            <w:noWrap/>
            <w:vAlign w:val="bottom"/>
            <w:hideMark/>
          </w:tcPr>
          <w:p w14:paraId="3242989F"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Mean Age</w:t>
            </w:r>
          </w:p>
        </w:tc>
        <w:tc>
          <w:tcPr>
            <w:tcW w:w="1300" w:type="dxa"/>
            <w:tcBorders>
              <w:top w:val="single" w:sz="4" w:space="0" w:color="FFFFFF"/>
              <w:left w:val="single" w:sz="4" w:space="0" w:color="FFFFFF"/>
              <w:bottom w:val="single" w:sz="4" w:space="0" w:color="FFFFFF"/>
              <w:right w:val="single" w:sz="4" w:space="0" w:color="FFFFFF"/>
            </w:tcBorders>
            <w:shd w:val="clear" w:color="D9E1F2" w:fill="D9E1F2"/>
            <w:noWrap/>
            <w:vAlign w:val="bottom"/>
            <w:hideMark/>
          </w:tcPr>
          <w:p w14:paraId="3FE5C96E"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39.5</w:t>
            </w:r>
          </w:p>
        </w:tc>
        <w:tc>
          <w:tcPr>
            <w:tcW w:w="1300" w:type="dxa"/>
            <w:tcBorders>
              <w:top w:val="single" w:sz="4" w:space="0" w:color="FFFFFF"/>
              <w:left w:val="single" w:sz="4" w:space="0" w:color="FFFFFF"/>
              <w:bottom w:val="single" w:sz="4" w:space="0" w:color="FFFFFF"/>
              <w:right w:val="nil"/>
            </w:tcBorders>
            <w:shd w:val="clear" w:color="D9E1F2" w:fill="D9E1F2"/>
            <w:noWrap/>
            <w:vAlign w:val="bottom"/>
            <w:hideMark/>
          </w:tcPr>
          <w:p w14:paraId="6D6D473E" w14:textId="77777777" w:rsidR="00FE40B7" w:rsidRPr="00225620" w:rsidRDefault="00FE40B7" w:rsidP="00FE40B7">
            <w:pPr>
              <w:rPr>
                <w:rFonts w:ascii="Verdana" w:eastAsia="Times New Roman" w:hAnsi="Verdana" w:cs="Times New Roman"/>
                <w:color w:val="333333"/>
                <w:sz w:val="17"/>
                <w:szCs w:val="17"/>
                <w:lang w:eastAsia="en-GB"/>
              </w:rPr>
            </w:pPr>
            <w:r w:rsidRPr="00225620">
              <w:rPr>
                <w:rFonts w:ascii="Verdana" w:eastAsia="Times New Roman" w:hAnsi="Verdana" w:cs="Times New Roman"/>
                <w:color w:val="333333"/>
                <w:sz w:val="17"/>
                <w:szCs w:val="17"/>
                <w:lang w:eastAsia="en-GB"/>
              </w:rPr>
              <w:t>-</w:t>
            </w:r>
          </w:p>
        </w:tc>
      </w:tr>
      <w:tr w:rsidR="00FE40B7" w:rsidRPr="00225620" w14:paraId="71A7AA7C" w14:textId="77777777" w:rsidTr="00FE40B7">
        <w:trPr>
          <w:trHeight w:val="320"/>
        </w:trPr>
        <w:tc>
          <w:tcPr>
            <w:tcW w:w="3360" w:type="dxa"/>
            <w:tcBorders>
              <w:top w:val="single" w:sz="4" w:space="0" w:color="FFFFFF"/>
              <w:left w:val="nil"/>
              <w:bottom w:val="nil"/>
              <w:right w:val="single" w:sz="4" w:space="0" w:color="FFFFFF"/>
            </w:tcBorders>
            <w:shd w:val="clear" w:color="B4C6E7" w:fill="B4C6E7"/>
            <w:noWrap/>
            <w:vAlign w:val="bottom"/>
            <w:hideMark/>
          </w:tcPr>
          <w:p w14:paraId="4EE33B71" w14:textId="77777777" w:rsidR="00FE40B7" w:rsidRPr="00225620" w:rsidRDefault="00FE40B7" w:rsidP="00FE40B7">
            <w:pPr>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Median Age</w:t>
            </w:r>
          </w:p>
        </w:tc>
        <w:tc>
          <w:tcPr>
            <w:tcW w:w="1300" w:type="dxa"/>
            <w:tcBorders>
              <w:top w:val="single" w:sz="4" w:space="0" w:color="FFFFFF"/>
              <w:left w:val="single" w:sz="4" w:space="0" w:color="FFFFFF"/>
              <w:bottom w:val="nil"/>
              <w:right w:val="single" w:sz="4" w:space="0" w:color="FFFFFF"/>
            </w:tcBorders>
            <w:shd w:val="clear" w:color="B4C6E7" w:fill="B4C6E7"/>
            <w:noWrap/>
            <w:vAlign w:val="bottom"/>
            <w:hideMark/>
          </w:tcPr>
          <w:p w14:paraId="7E6C448D" w14:textId="77777777" w:rsidR="00FE40B7" w:rsidRPr="00225620" w:rsidRDefault="00FE40B7" w:rsidP="00FE40B7">
            <w:pPr>
              <w:jc w:val="right"/>
              <w:rPr>
                <w:rFonts w:ascii="Verdana" w:eastAsia="Times New Roman" w:hAnsi="Verdana" w:cs="Times New Roman"/>
                <w:color w:val="333333"/>
                <w:lang w:eastAsia="en-GB"/>
              </w:rPr>
            </w:pPr>
            <w:r w:rsidRPr="00225620">
              <w:rPr>
                <w:rFonts w:ascii="Verdana" w:eastAsia="Times New Roman" w:hAnsi="Verdana" w:cs="Times New Roman"/>
                <w:color w:val="333333"/>
                <w:lang w:eastAsia="en-GB"/>
              </w:rPr>
              <w:t>38</w:t>
            </w:r>
          </w:p>
        </w:tc>
        <w:tc>
          <w:tcPr>
            <w:tcW w:w="1300" w:type="dxa"/>
            <w:tcBorders>
              <w:top w:val="single" w:sz="4" w:space="0" w:color="FFFFFF"/>
              <w:left w:val="single" w:sz="4" w:space="0" w:color="FFFFFF"/>
              <w:bottom w:val="nil"/>
              <w:right w:val="nil"/>
            </w:tcBorders>
            <w:shd w:val="clear" w:color="B4C6E7" w:fill="B4C6E7"/>
            <w:noWrap/>
            <w:vAlign w:val="bottom"/>
            <w:hideMark/>
          </w:tcPr>
          <w:p w14:paraId="1A8EC1A6" w14:textId="77777777" w:rsidR="00FE40B7" w:rsidRPr="00225620" w:rsidRDefault="00FE40B7" w:rsidP="00FE40B7">
            <w:pPr>
              <w:jc w:val="right"/>
              <w:rPr>
                <w:rFonts w:ascii="Verdana" w:eastAsia="Times New Roman" w:hAnsi="Verdana" w:cs="Times New Roman"/>
                <w:color w:val="333333"/>
                <w:lang w:eastAsia="en-GB"/>
              </w:rPr>
            </w:pPr>
          </w:p>
        </w:tc>
      </w:tr>
    </w:tbl>
    <w:p w14:paraId="69C9DDD8" w14:textId="31429920" w:rsidR="00B96A2F" w:rsidRDefault="00B96A2F" w:rsidP="002851DB"/>
    <w:p w14:paraId="00509BB0" w14:textId="17655F37" w:rsidR="00B96A2F" w:rsidRDefault="00B96A2F" w:rsidP="002851DB"/>
    <w:p w14:paraId="2F7157DA" w14:textId="00C03B82" w:rsidR="00B96A2F" w:rsidRDefault="00B96A2F" w:rsidP="002851DB"/>
    <w:p w14:paraId="2A44006B" w14:textId="628E816F" w:rsidR="00B96A2F" w:rsidRDefault="00B96A2F" w:rsidP="002851DB"/>
    <w:p w14:paraId="1EC4B241" w14:textId="7F5B7CA0" w:rsidR="00B96A2F" w:rsidRDefault="00B96A2F" w:rsidP="002851DB"/>
    <w:p w14:paraId="7AF71936" w14:textId="0B16C17F" w:rsidR="00B96A2F" w:rsidRDefault="00B96A2F" w:rsidP="002851DB"/>
    <w:p w14:paraId="352175BE" w14:textId="109C6D13" w:rsidR="00B96A2F" w:rsidRPr="00FE40B7" w:rsidRDefault="00B652A2" w:rsidP="007956F7">
      <w:pPr>
        <w:outlineLvl w:val="0"/>
        <w:rPr>
          <w:u w:val="single"/>
        </w:rPr>
      </w:pPr>
      <w:r>
        <w:rPr>
          <w:u w:val="single"/>
        </w:rPr>
        <w:t>A</w:t>
      </w:r>
      <w:r w:rsidR="00FE40B7" w:rsidRPr="00FE40B7">
        <w:rPr>
          <w:u w:val="single"/>
        </w:rPr>
        <w:t>ge and Wellbeing</w:t>
      </w:r>
    </w:p>
    <w:p w14:paraId="5FAEC5ED" w14:textId="470D4EEF" w:rsidR="00B96A2F" w:rsidRDefault="00435A94" w:rsidP="002851DB">
      <w:r>
        <w:rPr>
          <w:noProof/>
          <w:lang w:eastAsia="en-GB"/>
        </w:rPr>
        <mc:AlternateContent>
          <mc:Choice Requires="wps">
            <w:drawing>
              <wp:anchor distT="0" distB="0" distL="114300" distR="114300" simplePos="0" relativeHeight="251686912" behindDoc="0" locked="0" layoutInCell="1" allowOverlap="1" wp14:anchorId="165BEE4E" wp14:editId="016E5086">
                <wp:simplePos x="0" y="0"/>
                <wp:positionH relativeFrom="column">
                  <wp:posOffset>-406400</wp:posOffset>
                </wp:positionH>
                <wp:positionV relativeFrom="paragraph">
                  <wp:posOffset>4926965</wp:posOffset>
                </wp:positionV>
                <wp:extent cx="6517640" cy="342900"/>
                <wp:effectExtent l="0" t="0" r="0" b="12700"/>
                <wp:wrapSquare wrapText="bothSides"/>
                <wp:docPr id="20" name="Text Box 20"/>
                <wp:cNvGraphicFramePr/>
                <a:graphic xmlns:a="http://schemas.openxmlformats.org/drawingml/2006/main">
                  <a:graphicData uri="http://schemas.microsoft.com/office/word/2010/wordprocessingShape">
                    <wps:wsp>
                      <wps:cNvSpPr txBox="1"/>
                      <wps:spPr>
                        <a:xfrm>
                          <a:off x="0" y="0"/>
                          <a:ext cx="651764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ADB5B4B" w14:textId="7FAD5124" w:rsidR="001A0CCA" w:rsidRPr="00497980" w:rsidRDefault="001A0CCA">
                            <w:r w:rsidRPr="00497980">
                              <w:rPr>
                                <w:b/>
                              </w:rPr>
                              <w:t>Figure 2.2</w:t>
                            </w:r>
                            <w:r>
                              <w:rPr>
                                <w:b/>
                              </w:rPr>
                              <w:t xml:space="preserve"> </w:t>
                            </w:r>
                            <w:r>
                              <w:t xml:space="preserve">Shows the age structure in Swansea in 2011. Data Source: Office for National Statistics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65BEE4E" id="Text Box 20" o:spid="_x0000_s1038" type="#_x0000_t202" style="position:absolute;margin-left:-32pt;margin-top:387.95pt;width:513.2pt;height:27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" filled="f" stroked="f">
                <v:textbox>
                  <w:txbxContent>
                    <w:p w14:paraId="1ADB5B4B" w14:textId="7FAD5124" w:rsidR="001A0CCA" w:rsidRPr="00497980" w:rsidRDefault="001A0CCA">
                      <w:r w:rsidRPr="00497980">
                        <w:rPr>
                          <w:b/>
                        </w:rPr>
                        <w:t>Figure 2.2</w:t>
                      </w:r>
                      <w:r>
                        <w:rPr>
                          <w:b/>
                        </w:rPr>
                        <w:t xml:space="preserve"> </w:t>
                      </w:r>
                      <w:r>
                        <w:t xml:space="preserve">Shows the age structure in Swansea in 2011. Data Source: Office for National Statistics </w:t>
                      </w:r>
                    </w:p>
                  </w:txbxContent>
                </v:textbox>
                <w10:wrap type="square"/>
              </v:shape>
            </w:pict>
          </mc:Fallback>
        </mc:AlternateContent>
      </w:r>
      <w:r>
        <w:rPr>
          <w:noProof/>
          <w:lang w:eastAsia="en-GB"/>
        </w:rPr>
        <w:drawing>
          <wp:anchor distT="0" distB="0" distL="114300" distR="114300" simplePos="0" relativeHeight="251684864" behindDoc="0" locked="0" layoutInCell="1" allowOverlap="1" wp14:anchorId="5F3C06FB" wp14:editId="6499FD97">
            <wp:simplePos x="0" y="0"/>
            <wp:positionH relativeFrom="column">
              <wp:posOffset>-406400</wp:posOffset>
            </wp:positionH>
            <wp:positionV relativeFrom="paragraph">
              <wp:posOffset>0</wp:posOffset>
            </wp:positionV>
            <wp:extent cx="6624955" cy="4803140"/>
            <wp:effectExtent l="0" t="0" r="4445" b="22860"/>
            <wp:wrapTight wrapText="bothSides">
              <wp:wrapPolygon edited="0">
                <wp:start x="0" y="0"/>
                <wp:lineTo x="0" y="21589"/>
                <wp:lineTo x="21532" y="21589"/>
                <wp:lineTo x="21532" y="0"/>
                <wp:lineTo x="0" y="0"/>
              </wp:wrapPolygon>
            </wp:wrapTight>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4EEBEF03" w14:textId="01092B11" w:rsidR="00B96A2F" w:rsidRDefault="00B96A2F" w:rsidP="002851DB"/>
    <w:p w14:paraId="4C3D1EBB" w14:textId="6BCA55A6" w:rsidR="00B96A2F" w:rsidRDefault="00B96A2F" w:rsidP="002851DB"/>
    <w:p w14:paraId="5FD0C133" w14:textId="7BE8DA2C" w:rsidR="00B96A2F" w:rsidRPr="002851DB" w:rsidRDefault="00B96A2F" w:rsidP="002851DB"/>
    <w:p w14:paraId="7EC7DCED" w14:textId="031AB803" w:rsidR="002851DB" w:rsidRPr="002851DB" w:rsidRDefault="002851DB" w:rsidP="002851DB"/>
    <w:p w14:paraId="6A467B8D" w14:textId="4ADDACD0" w:rsidR="002851DB" w:rsidRPr="002851DB" w:rsidRDefault="002851DB" w:rsidP="002851DB"/>
    <w:p w14:paraId="41F70C2A" w14:textId="57F91C1D" w:rsidR="002851DB" w:rsidRPr="002851DB" w:rsidRDefault="002851DB" w:rsidP="002851DB"/>
    <w:p w14:paraId="18C551CE" w14:textId="41FAB7E4" w:rsidR="00C72A87" w:rsidRDefault="00C72A87" w:rsidP="002851DB"/>
    <w:p w14:paraId="3D9A7E2D" w14:textId="6FCDC800" w:rsidR="002851DB" w:rsidRDefault="002851DB" w:rsidP="002851DB"/>
    <w:p w14:paraId="6AE752CC" w14:textId="781850C0" w:rsidR="002851DB" w:rsidRDefault="002851DB" w:rsidP="002851DB"/>
    <w:p w14:paraId="47603CC4" w14:textId="7DA57070" w:rsidR="002851DB" w:rsidRDefault="002851DB" w:rsidP="002851DB"/>
    <w:p w14:paraId="52081154" w14:textId="16B51B43" w:rsidR="002851DB" w:rsidRDefault="002851DB" w:rsidP="002851DB"/>
    <w:p w14:paraId="1A8DB376" w14:textId="54958AB7" w:rsidR="002851DB" w:rsidRDefault="002851DB" w:rsidP="002851DB"/>
    <w:p w14:paraId="492A7794" w14:textId="403D2DE3" w:rsidR="002851DB" w:rsidRDefault="002851DB" w:rsidP="002851DB"/>
    <w:p w14:paraId="7D3A4E11" w14:textId="6F472DF9" w:rsidR="002851DB" w:rsidRDefault="002851DB" w:rsidP="002851DB"/>
    <w:p w14:paraId="40D1D232" w14:textId="0AE09250" w:rsidR="002851DB" w:rsidRDefault="002851DB" w:rsidP="002851DB"/>
    <w:p w14:paraId="4C7990EB" w14:textId="4C1DCBC0" w:rsidR="002851DB" w:rsidRDefault="002851DB" w:rsidP="002851DB"/>
    <w:p w14:paraId="79C8E07B" w14:textId="77777777" w:rsidR="008A5C03" w:rsidRDefault="008A5C03" w:rsidP="002851DB"/>
    <w:p w14:paraId="2A58B723" w14:textId="034A5684" w:rsidR="008A5C03" w:rsidRDefault="00435A94" w:rsidP="002851DB">
      <w:r>
        <w:rPr>
          <w:noProof/>
          <w:lang w:eastAsia="en-GB"/>
        </w:rPr>
        <mc:AlternateContent>
          <mc:Choice Requires="wps">
            <w:drawing>
              <wp:anchor distT="0" distB="0" distL="114300" distR="114300" simplePos="0" relativeHeight="251688960" behindDoc="0" locked="0" layoutInCell="1" allowOverlap="1" wp14:anchorId="3B26F0C6" wp14:editId="5DA93CFB">
                <wp:simplePos x="0" y="0"/>
                <wp:positionH relativeFrom="column">
                  <wp:posOffset>-175895</wp:posOffset>
                </wp:positionH>
                <wp:positionV relativeFrom="paragraph">
                  <wp:posOffset>4474210</wp:posOffset>
                </wp:positionV>
                <wp:extent cx="5715000" cy="459740"/>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5715000" cy="459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68D68D1" w14:textId="334577FE" w:rsidR="001A0CCA" w:rsidRPr="009E27C0" w:rsidRDefault="001A0CCA">
                            <w:r w:rsidRPr="009E27C0">
                              <w:rPr>
                                <w:b/>
                              </w:rPr>
                              <w:t>Figure 2.3</w:t>
                            </w:r>
                            <w:r>
                              <w:rPr>
                                <w:b/>
                              </w:rPr>
                              <w:t xml:space="preserve"> </w:t>
                            </w:r>
                            <w:r>
                              <w:t>Graph showing older people supported in the community in Wales regions in 2013-2014 Data source: www.gov.wales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26F0C6" id="Text Box 26" o:spid="_x0000_s1039" type="#_x0000_t202" style="position:absolute;margin-left:-13.85pt;margin-top:352.3pt;width:450pt;height:36.2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" filled="f" stroked="f">
                <v:textbox>
                  <w:txbxContent>
                    <w:p w14:paraId="668D68D1" w14:textId="334577FE" w:rsidR="001A0CCA" w:rsidRPr="009E27C0" w:rsidRDefault="001A0CCA">
                      <w:r w:rsidRPr="009E27C0">
                        <w:rPr>
                          <w:b/>
                        </w:rPr>
                        <w:t>Figure 2.3</w:t>
                      </w:r>
                      <w:r>
                        <w:rPr>
                          <w:b/>
                        </w:rPr>
                        <w:t xml:space="preserve"> </w:t>
                      </w:r>
                      <w:r>
                        <w:t>Graph showing older people supported in the community in Wales regions in 2013-2014 Data source: www.gov.wales</w:t>
                      </w:r>
                    </w:p>
                  </w:txbxContent>
                </v:textbox>
                <w10:wrap type="square"/>
              </v:shape>
            </w:pict>
          </mc:Fallback>
        </mc:AlternateContent>
      </w:r>
      <w:r>
        <w:rPr>
          <w:noProof/>
          <w:lang w:eastAsia="en-GB"/>
        </w:rPr>
        <w:drawing>
          <wp:anchor distT="0" distB="0" distL="114300" distR="114300" simplePos="0" relativeHeight="251687936" behindDoc="0" locked="0" layoutInCell="1" allowOverlap="1" wp14:anchorId="154AAD38" wp14:editId="3E68D1B5">
            <wp:simplePos x="0" y="0"/>
            <wp:positionH relativeFrom="column">
              <wp:posOffset>-174625</wp:posOffset>
            </wp:positionH>
            <wp:positionV relativeFrom="paragraph">
              <wp:posOffset>0</wp:posOffset>
            </wp:positionV>
            <wp:extent cx="6057265" cy="4439285"/>
            <wp:effectExtent l="0" t="0" r="13335" b="5715"/>
            <wp:wrapTight wrapText="bothSides">
              <wp:wrapPolygon edited="0">
                <wp:start x="0" y="0"/>
                <wp:lineTo x="0" y="21504"/>
                <wp:lineTo x="21557" y="21504"/>
                <wp:lineTo x="21557" y="0"/>
                <wp:lineTo x="0" y="0"/>
              </wp:wrapPolygon>
            </wp:wrapTight>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6A19C4F6" w14:textId="74B29D52" w:rsidR="008A5C03" w:rsidRDefault="008A5C03" w:rsidP="002851DB"/>
    <w:p w14:paraId="6FD803EB" w14:textId="0234CCB0" w:rsidR="008A5C03" w:rsidRDefault="008A5C03">
      <w:r>
        <w:br w:type="page"/>
      </w:r>
    </w:p>
    <w:p w14:paraId="6EB96F85" w14:textId="2F21AFC9" w:rsidR="001A7C58" w:rsidRDefault="00435A94" w:rsidP="002851DB">
      <w:r>
        <w:rPr>
          <w:noProof/>
          <w:lang w:eastAsia="en-GB"/>
        </w:rPr>
        <mc:AlternateContent>
          <mc:Choice Requires="wps">
            <w:drawing>
              <wp:anchor distT="0" distB="0" distL="114300" distR="114300" simplePos="0" relativeHeight="251691008" behindDoc="0" locked="0" layoutInCell="1" allowOverlap="1" wp14:anchorId="01B7E5FD" wp14:editId="104ED23E">
                <wp:simplePos x="0" y="0"/>
                <wp:positionH relativeFrom="column">
                  <wp:posOffset>49530</wp:posOffset>
                </wp:positionH>
                <wp:positionV relativeFrom="paragraph">
                  <wp:posOffset>3556000</wp:posOffset>
                </wp:positionV>
                <wp:extent cx="5715000" cy="457200"/>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57150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15A16E5" w14:textId="5745A9A2" w:rsidR="001A0CCA" w:rsidRPr="00B6698E" w:rsidRDefault="001A0CCA">
                            <w:r w:rsidRPr="00B6698E">
                              <w:rPr>
                                <w:b/>
                              </w:rPr>
                              <w:t>Figure 2.4</w:t>
                            </w:r>
                            <w:r>
                              <w:rPr>
                                <w:b/>
                              </w:rPr>
                              <w:t xml:space="preserve"> </w:t>
                            </w:r>
                            <w:r>
                              <w:t>Graph showing mid-year estimates of Swansea’s population in 2016. Data source: www.swansea.gov.uk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B7E5FD" id="Text Box 28" o:spid="_x0000_s1040" type="#_x0000_t202" style="position:absolute;margin-left:3.9pt;margin-top:280pt;width:450pt;height:36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" filled="f" stroked="f">
                <v:textbox>
                  <w:txbxContent>
                    <w:p w14:paraId="515A16E5" w14:textId="5745A9A2" w:rsidR="001A0CCA" w:rsidRPr="00B6698E" w:rsidRDefault="001A0CCA">
                      <w:r w:rsidRPr="00B6698E">
                        <w:rPr>
                          <w:b/>
                        </w:rPr>
                        <w:t>Figure 2.4</w:t>
                      </w:r>
                      <w:r>
                        <w:rPr>
                          <w:b/>
                        </w:rPr>
                        <w:t xml:space="preserve"> </w:t>
                      </w:r>
                      <w:r>
                        <w:t>Graph showing mid-year estimates of Swansea’s population in 2016. Data source: www.swansea.gov.uk</w:t>
                      </w:r>
                    </w:p>
                  </w:txbxContent>
                </v:textbox>
                <w10:wrap type="square"/>
              </v:shape>
            </w:pict>
          </mc:Fallback>
        </mc:AlternateContent>
      </w:r>
      <w:r>
        <w:rPr>
          <w:noProof/>
          <w:lang w:eastAsia="en-GB"/>
        </w:rPr>
        <w:drawing>
          <wp:anchor distT="0" distB="0" distL="114300" distR="114300" simplePos="0" relativeHeight="251689984" behindDoc="0" locked="0" layoutInCell="1" allowOverlap="1" wp14:anchorId="4E83A9CF" wp14:editId="3A617023">
            <wp:simplePos x="0" y="0"/>
            <wp:positionH relativeFrom="column">
              <wp:posOffset>53340</wp:posOffset>
            </wp:positionH>
            <wp:positionV relativeFrom="paragraph">
              <wp:posOffset>12700</wp:posOffset>
            </wp:positionV>
            <wp:extent cx="5727700" cy="3542030"/>
            <wp:effectExtent l="0" t="0" r="12700" b="13970"/>
            <wp:wrapTight wrapText="bothSides">
              <wp:wrapPolygon edited="0">
                <wp:start x="0" y="0"/>
                <wp:lineTo x="0" y="21530"/>
                <wp:lineTo x="21552" y="21530"/>
                <wp:lineTo x="21552" y="0"/>
                <wp:lineTo x="0" y="0"/>
              </wp:wrapPolygon>
            </wp:wrapTight>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497980">
        <w:rPr>
          <w:noProof/>
          <w:lang w:eastAsia="en-GB"/>
        </w:rPr>
        <mc:AlternateContent>
          <mc:Choice Requires="wps">
            <w:drawing>
              <wp:anchor distT="0" distB="0" distL="114300" distR="114300" simplePos="0" relativeHeight="251685888" behindDoc="0" locked="0" layoutInCell="1" allowOverlap="1" wp14:anchorId="23EB46C8" wp14:editId="37137DC7">
                <wp:simplePos x="0" y="0"/>
                <wp:positionH relativeFrom="column">
                  <wp:posOffset>-289560</wp:posOffset>
                </wp:positionH>
                <wp:positionV relativeFrom="paragraph">
                  <wp:posOffset>267335</wp:posOffset>
                </wp:positionV>
                <wp:extent cx="2400300" cy="342900"/>
                <wp:effectExtent l="0" t="0" r="0" b="12700"/>
                <wp:wrapSquare wrapText="bothSides"/>
                <wp:docPr id="18" name="Text Box 18"/>
                <wp:cNvGraphicFramePr/>
                <a:graphic xmlns:a="http://schemas.openxmlformats.org/drawingml/2006/main">
                  <a:graphicData uri="http://schemas.microsoft.com/office/word/2010/wordprocessingShape">
                    <wps:wsp>
                      <wps:cNvSpPr txBox="1"/>
                      <wps:spPr>
                        <a:xfrm>
                          <a:off x="0" y="0"/>
                          <a:ext cx="24003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24A7A95" w14:textId="77777777" w:rsidR="001A0CCA" w:rsidRDefault="001A0C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EB46C8" id="Text Box 18" o:spid="_x0000_s1041" type="#_x0000_t202" style="position:absolute;margin-left:-22.8pt;margin-top:21.05pt;width:189pt;height:27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" filled="f" stroked="f">
                <v:textbox>
                  <w:txbxContent>
                    <w:p w14:paraId="724A7A95" w14:textId="77777777" w:rsidR="001A0CCA" w:rsidRDefault="001A0CCA"/>
                  </w:txbxContent>
                </v:textbox>
                <w10:wrap type="square"/>
              </v:shape>
            </w:pict>
          </mc:Fallback>
        </mc:AlternateContent>
      </w:r>
    </w:p>
    <w:p w14:paraId="799FC1DA" w14:textId="77777777" w:rsidR="001A7C58" w:rsidRPr="001A7C58" w:rsidRDefault="001A7C58" w:rsidP="001A7C58"/>
    <w:p w14:paraId="2DED263D" w14:textId="77777777" w:rsidR="001A7C58" w:rsidRPr="001A7C58" w:rsidRDefault="001A7C58" w:rsidP="001A7C58"/>
    <w:p w14:paraId="3B5D4007" w14:textId="1A460CD7" w:rsidR="001A7C58" w:rsidRDefault="00866C98" w:rsidP="001A7C58">
      <w:pPr>
        <w:tabs>
          <w:tab w:val="left" w:pos="2869"/>
        </w:tabs>
      </w:pPr>
      <w:r>
        <w:t xml:space="preserve">Figure 2.2 shows the age structure within Swansea as of the 2011 census. The graph indicates that the two largest age groups within Swansea are ages 30-44 and 45-59. Both age groups combined account for </w:t>
      </w:r>
      <w:r w:rsidR="00AF5815">
        <w:t>37% of Swansea</w:t>
      </w:r>
      <w:r w:rsidR="00153E04">
        <w:t>’s</w:t>
      </w:r>
      <w:r w:rsidR="00AF5815">
        <w:t xml:space="preserve"> population. The data in figure 2.2 also indicates that Swansea has a large number of elderly people, as 14.9% of the population are over the age of 65. A more recent estimation shown in figure 2.4 puts the number of citizens in Swansea over the age of 65 nearer to 20% of the population. This indicates that Swansea has an ageing population. </w:t>
      </w:r>
      <w:r w:rsidR="007B32CD">
        <w:t xml:space="preserve">Figure 2.3 also shows that for every 1000 people Swansea have 66 older people that are supported in some way. </w:t>
      </w:r>
      <w:r w:rsidR="00DD29ED">
        <w:t xml:space="preserve">An ageing can mean an increase in demand on health and social services. </w:t>
      </w:r>
    </w:p>
    <w:p w14:paraId="28BE3760" w14:textId="77777777" w:rsidR="004A3B6E" w:rsidRDefault="004A3B6E" w:rsidP="001A7C58">
      <w:pPr>
        <w:tabs>
          <w:tab w:val="left" w:pos="2869"/>
        </w:tabs>
      </w:pPr>
    </w:p>
    <w:p w14:paraId="245F2A4E" w14:textId="77777777" w:rsidR="004A3B6E" w:rsidRDefault="004A3B6E" w:rsidP="001A7C58">
      <w:pPr>
        <w:tabs>
          <w:tab w:val="left" w:pos="2869"/>
        </w:tabs>
      </w:pPr>
    </w:p>
    <w:p w14:paraId="71E6B04D" w14:textId="77777777" w:rsidR="004A3B6E" w:rsidRDefault="004A3B6E" w:rsidP="001A7C58">
      <w:pPr>
        <w:tabs>
          <w:tab w:val="left" w:pos="2869"/>
        </w:tabs>
      </w:pPr>
    </w:p>
    <w:p w14:paraId="3A065C21" w14:textId="77777777" w:rsidR="004A3B6E" w:rsidRDefault="004A3B6E" w:rsidP="001A7C58">
      <w:pPr>
        <w:tabs>
          <w:tab w:val="left" w:pos="2869"/>
        </w:tabs>
      </w:pPr>
    </w:p>
    <w:p w14:paraId="21093608" w14:textId="77777777" w:rsidR="004A3B6E" w:rsidRDefault="004A3B6E" w:rsidP="001A7C58">
      <w:pPr>
        <w:tabs>
          <w:tab w:val="left" w:pos="2869"/>
        </w:tabs>
      </w:pPr>
    </w:p>
    <w:p w14:paraId="796A94CA" w14:textId="77777777" w:rsidR="004A3B6E" w:rsidRDefault="004A3B6E" w:rsidP="001A7C58">
      <w:pPr>
        <w:tabs>
          <w:tab w:val="left" w:pos="2869"/>
        </w:tabs>
      </w:pPr>
    </w:p>
    <w:p w14:paraId="08DAF8F4" w14:textId="77777777" w:rsidR="004A3B6E" w:rsidRDefault="004A3B6E" w:rsidP="001A7C58">
      <w:pPr>
        <w:tabs>
          <w:tab w:val="left" w:pos="2869"/>
        </w:tabs>
      </w:pPr>
    </w:p>
    <w:p w14:paraId="538D6DF3" w14:textId="77777777" w:rsidR="004A3B6E" w:rsidRDefault="004A3B6E" w:rsidP="001A7C58">
      <w:pPr>
        <w:tabs>
          <w:tab w:val="left" w:pos="2869"/>
        </w:tabs>
      </w:pPr>
    </w:p>
    <w:p w14:paraId="73BFDDCA" w14:textId="77777777" w:rsidR="004A3B6E" w:rsidRDefault="004A3B6E" w:rsidP="001A7C58">
      <w:pPr>
        <w:tabs>
          <w:tab w:val="left" w:pos="2869"/>
        </w:tabs>
      </w:pPr>
    </w:p>
    <w:p w14:paraId="22AC7869" w14:textId="77777777" w:rsidR="004A3B6E" w:rsidRDefault="004A3B6E" w:rsidP="001A7C58">
      <w:pPr>
        <w:tabs>
          <w:tab w:val="left" w:pos="2869"/>
        </w:tabs>
      </w:pPr>
    </w:p>
    <w:p w14:paraId="4D940885" w14:textId="77777777" w:rsidR="004A3B6E" w:rsidRDefault="004A3B6E" w:rsidP="001A7C58">
      <w:pPr>
        <w:tabs>
          <w:tab w:val="left" w:pos="2869"/>
        </w:tabs>
      </w:pPr>
    </w:p>
    <w:p w14:paraId="63A65C23" w14:textId="77777777" w:rsidR="004A3B6E" w:rsidRDefault="004A3B6E" w:rsidP="001A7C58">
      <w:pPr>
        <w:tabs>
          <w:tab w:val="left" w:pos="2869"/>
        </w:tabs>
      </w:pPr>
    </w:p>
    <w:p w14:paraId="002998F0" w14:textId="55C0B0AF" w:rsidR="004A3B6E" w:rsidRDefault="005268F0" w:rsidP="001A7C58">
      <w:pPr>
        <w:tabs>
          <w:tab w:val="left" w:pos="2869"/>
        </w:tabs>
      </w:pPr>
      <w:r>
        <w:rPr>
          <w:noProof/>
          <w:lang w:eastAsia="en-GB"/>
        </w:rPr>
        <mc:AlternateContent>
          <mc:Choice Requires="wps">
            <w:drawing>
              <wp:anchor distT="0" distB="0" distL="114300" distR="114300" simplePos="0" relativeHeight="251695104" behindDoc="0" locked="0" layoutInCell="1" allowOverlap="1" wp14:anchorId="5C471505" wp14:editId="109CD8EF">
                <wp:simplePos x="0" y="0"/>
                <wp:positionH relativeFrom="column">
                  <wp:posOffset>-62345</wp:posOffset>
                </wp:positionH>
                <wp:positionV relativeFrom="paragraph">
                  <wp:posOffset>8190519</wp:posOffset>
                </wp:positionV>
                <wp:extent cx="5485880" cy="570576"/>
                <wp:effectExtent l="0" t="0" r="0" b="0"/>
                <wp:wrapSquare wrapText="bothSides"/>
                <wp:docPr id="32" name="Text Box 32"/>
                <wp:cNvGraphicFramePr/>
                <a:graphic xmlns:a="http://schemas.openxmlformats.org/drawingml/2006/main">
                  <a:graphicData uri="http://schemas.microsoft.com/office/word/2010/wordprocessingShape">
                    <wps:wsp>
                      <wps:cNvSpPr txBox="1"/>
                      <wps:spPr>
                        <a:xfrm>
                          <a:off x="0" y="0"/>
                          <a:ext cx="5485880" cy="570576"/>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DA6BC51" w14:textId="2F5AF739" w:rsidR="001A0CCA" w:rsidRPr="005268F0" w:rsidRDefault="001A0CCA">
                            <w:r w:rsidRPr="005268F0">
                              <w:rPr>
                                <w:b/>
                              </w:rPr>
                              <w:t>Figure 2.6</w:t>
                            </w:r>
                            <w:r>
                              <w:rPr>
                                <w:b/>
                              </w:rPr>
                              <w:t xml:space="preserve"> </w:t>
                            </w:r>
                            <w:r>
                              <w:t>Shows the total admissions to mental health facilities by local health board in 2015-2016. Data source: statswales.gov.wales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471505" id="Text Box 32" o:spid="_x0000_s1042" type="#_x0000_t202" style="position:absolute;margin-left:-4.9pt;margin-top:644.9pt;width:431.95pt;height:44.9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" filled="f" stroked="f">
                <v:textbox>
                  <w:txbxContent>
                    <w:p w14:paraId="6DA6BC51" w14:textId="2F5AF739" w:rsidR="001A0CCA" w:rsidRPr="005268F0" w:rsidRDefault="001A0CCA">
                      <w:r w:rsidRPr="005268F0">
                        <w:rPr>
                          <w:b/>
                        </w:rPr>
                        <w:t>Figure 2.6</w:t>
                      </w:r>
                      <w:r>
                        <w:rPr>
                          <w:b/>
                        </w:rPr>
                        <w:t xml:space="preserve"> </w:t>
                      </w:r>
                      <w:r>
                        <w:t>Shows the total admissions to mental health facilities by local health board in 2015-2016. Data source: statswales.gov.wales</w:t>
                      </w:r>
                    </w:p>
                  </w:txbxContent>
                </v:textbox>
                <w10:wrap type="square"/>
              </v:shape>
            </w:pict>
          </mc:Fallback>
        </mc:AlternateContent>
      </w:r>
      <w:r>
        <w:rPr>
          <w:noProof/>
          <w:lang w:eastAsia="en-GB"/>
        </w:rPr>
        <w:drawing>
          <wp:anchor distT="0" distB="0" distL="114300" distR="114300" simplePos="0" relativeHeight="251694080" behindDoc="0" locked="0" layoutInCell="1" allowOverlap="1" wp14:anchorId="50B614C4" wp14:editId="5B4F42F7">
            <wp:simplePos x="0" y="0"/>
            <wp:positionH relativeFrom="column">
              <wp:posOffset>-63500</wp:posOffset>
            </wp:positionH>
            <wp:positionV relativeFrom="paragraph">
              <wp:posOffset>4587240</wp:posOffset>
            </wp:positionV>
            <wp:extent cx="5727700" cy="3580765"/>
            <wp:effectExtent l="0" t="0" r="12700" b="635"/>
            <wp:wrapTight wrapText="bothSides">
              <wp:wrapPolygon edited="0">
                <wp:start x="0" y="0"/>
                <wp:lineTo x="0" y="21451"/>
                <wp:lineTo x="21552" y="21451"/>
                <wp:lineTo x="21552" y="0"/>
                <wp:lineTo x="0" y="0"/>
              </wp:wrapPolygon>
            </wp:wrapTight>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sidR="00AF4660">
        <w:rPr>
          <w:noProof/>
          <w:lang w:eastAsia="en-GB"/>
        </w:rPr>
        <mc:AlternateContent>
          <mc:Choice Requires="wps">
            <w:drawing>
              <wp:anchor distT="0" distB="0" distL="114300" distR="114300" simplePos="0" relativeHeight="251693056" behindDoc="0" locked="0" layoutInCell="1" allowOverlap="1" wp14:anchorId="2DD27C71" wp14:editId="0B669021">
                <wp:simplePos x="0" y="0"/>
                <wp:positionH relativeFrom="column">
                  <wp:posOffset>-62865</wp:posOffset>
                </wp:positionH>
                <wp:positionV relativeFrom="paragraph">
                  <wp:posOffset>3902710</wp:posOffset>
                </wp:positionV>
                <wp:extent cx="5715000" cy="684530"/>
                <wp:effectExtent l="0" t="0" r="0" b="1270"/>
                <wp:wrapSquare wrapText="bothSides"/>
                <wp:docPr id="30" name="Text Box 30"/>
                <wp:cNvGraphicFramePr/>
                <a:graphic xmlns:a="http://schemas.openxmlformats.org/drawingml/2006/main">
                  <a:graphicData uri="http://schemas.microsoft.com/office/word/2010/wordprocessingShape">
                    <wps:wsp>
                      <wps:cNvSpPr txBox="1"/>
                      <wps:spPr>
                        <a:xfrm>
                          <a:off x="0" y="0"/>
                          <a:ext cx="5715000" cy="6845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C084A61" w14:textId="04A89899" w:rsidR="001A0CCA" w:rsidRPr="00AF4660" w:rsidRDefault="001A0CCA">
                            <w:r w:rsidRPr="00AF4660">
                              <w:rPr>
                                <w:b/>
                              </w:rPr>
                              <w:t>Figure 2.5</w:t>
                            </w:r>
                            <w:r>
                              <w:rPr>
                                <w:b/>
                              </w:rPr>
                              <w:t xml:space="preserve"> </w:t>
                            </w:r>
                            <w:r>
                              <w:t>Graph showing mental component summary score in Wales regions in 2012 and 2013. The lower the score the worse mental health and wellbeing in the area. Data source: www.gov.wales.co.uk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D27C71" id="Text Box 30" o:spid="_x0000_s1043" type="#_x0000_t202" style="position:absolute;margin-left:-4.95pt;margin-top:307.3pt;width:450pt;height:53.9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" filled="f" stroked="f">
                <v:textbox>
                  <w:txbxContent>
                    <w:p w14:paraId="0C084A61" w14:textId="04A89899" w:rsidR="001A0CCA" w:rsidRPr="00AF4660" w:rsidRDefault="001A0CCA">
                      <w:r w:rsidRPr="00AF4660">
                        <w:rPr>
                          <w:b/>
                        </w:rPr>
                        <w:t>Figure 2.5</w:t>
                      </w:r>
                      <w:r>
                        <w:rPr>
                          <w:b/>
                        </w:rPr>
                        <w:t xml:space="preserve"> </w:t>
                      </w:r>
                      <w:r>
                        <w:t>Graph showing mental component summary score in Wales regions in 2012 and 2013. The lower the score the worse mental health and wellbeing in the area. Data source: www.gov.wales.co.uk</w:t>
                      </w:r>
                    </w:p>
                  </w:txbxContent>
                </v:textbox>
                <w10:wrap type="square"/>
              </v:shape>
            </w:pict>
          </mc:Fallback>
        </mc:AlternateContent>
      </w:r>
      <w:r w:rsidR="00F4543C">
        <w:rPr>
          <w:noProof/>
          <w:lang w:eastAsia="en-GB"/>
        </w:rPr>
        <w:drawing>
          <wp:anchor distT="0" distB="0" distL="114300" distR="114300" simplePos="0" relativeHeight="251692032" behindDoc="0" locked="0" layoutInCell="1" allowOverlap="1" wp14:anchorId="582281DF" wp14:editId="142830E7">
            <wp:simplePos x="0" y="0"/>
            <wp:positionH relativeFrom="column">
              <wp:posOffset>-62230</wp:posOffset>
            </wp:positionH>
            <wp:positionV relativeFrom="paragraph">
              <wp:posOffset>13335</wp:posOffset>
            </wp:positionV>
            <wp:extent cx="5727700" cy="3728085"/>
            <wp:effectExtent l="0" t="0" r="12700" b="5715"/>
            <wp:wrapTight wrapText="bothSides">
              <wp:wrapPolygon edited="0">
                <wp:start x="0" y="0"/>
                <wp:lineTo x="0" y="21486"/>
                <wp:lineTo x="21552" y="21486"/>
                <wp:lineTo x="21552" y="0"/>
                <wp:lineTo x="0" y="0"/>
              </wp:wrapPolygon>
            </wp:wrapTight>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56DCEA14" w14:textId="331F928F" w:rsidR="004A3B6E" w:rsidRDefault="005750F3" w:rsidP="001A7C58">
      <w:pPr>
        <w:tabs>
          <w:tab w:val="left" w:pos="2869"/>
        </w:tabs>
      </w:pPr>
      <w:r>
        <w:t xml:space="preserve">The World Health Organisation (WHO, 2014) defines mental health </w:t>
      </w:r>
      <w:r w:rsidR="00A56F51">
        <w:t xml:space="preserve">as a state of well-being, in which every individual realises his or her own potential, can cope with the normal stresses of life, can work productively or fruitfully, and is able to make a contribution to her or his community. </w:t>
      </w:r>
      <w:r w:rsidR="00DF650B">
        <w:t xml:space="preserve">The Mental Health Foundation (2016) state that in Wales </w:t>
      </w:r>
      <w:r w:rsidR="00371631">
        <w:t xml:space="preserve">13% of adults over the age of 16 had received treatment for a mental health problem. This was an increase from the previous year. Figure 2.5 shows the mental </w:t>
      </w:r>
      <w:r w:rsidR="00DD29ED">
        <w:t>component summary score in the regions of Wales</w:t>
      </w:r>
      <w:r w:rsidR="00371631">
        <w:t xml:space="preserve"> in 2012 and 2</w:t>
      </w:r>
      <w:r w:rsidR="007307FD">
        <w:t>013. A lower score means that mental health and wellbeing is worse. Swansea’s mean score was the second worse in Wales. This indicates that there is an issue with mental health and wellbeing in Swansea. Furthermore figure 2.6 shows that Abertawe Bro Morgannwg University Health Board</w:t>
      </w:r>
      <w:r w:rsidR="005D07F0">
        <w:t xml:space="preserve">, which is the health board for Swansea admitted the most patients for mental health reasons. The issue of mental health in Swansea may be connected to the employment issues and ageing population. </w:t>
      </w:r>
      <w:r w:rsidR="00787CE8">
        <w:t>The reason for this is that the lack of employment opportunities can lead to mental health problems like depression or low self-esteem</w:t>
      </w:r>
      <w:r w:rsidR="009A3C2E">
        <w:t>, this is supported by Goldsmith and Diette (2012)</w:t>
      </w:r>
      <w:r w:rsidR="00787CE8">
        <w:t xml:space="preserve">.  </w:t>
      </w:r>
    </w:p>
    <w:p w14:paraId="740CF8A0" w14:textId="08EBEFF7" w:rsidR="004A3B6E" w:rsidRDefault="009A3C2E" w:rsidP="001A7C58">
      <w:pPr>
        <w:tabs>
          <w:tab w:val="left" w:pos="2869"/>
        </w:tabs>
      </w:pPr>
      <w:r>
        <w:t xml:space="preserve"> </w:t>
      </w:r>
    </w:p>
    <w:p w14:paraId="47A3C714" w14:textId="77777777" w:rsidR="001A0CCA" w:rsidRDefault="001A0CCA" w:rsidP="001A7C58">
      <w:pPr>
        <w:tabs>
          <w:tab w:val="left" w:pos="2869"/>
        </w:tabs>
      </w:pPr>
    </w:p>
    <w:p w14:paraId="0BFDAC72" w14:textId="77777777" w:rsidR="00186B95" w:rsidRDefault="00186B95" w:rsidP="001A7C58">
      <w:pPr>
        <w:tabs>
          <w:tab w:val="left" w:pos="2869"/>
        </w:tabs>
      </w:pPr>
    </w:p>
    <w:p w14:paraId="1DCD46D7" w14:textId="77777777" w:rsidR="00186B95" w:rsidRDefault="00186B95" w:rsidP="001A7C58">
      <w:pPr>
        <w:tabs>
          <w:tab w:val="left" w:pos="2869"/>
        </w:tabs>
      </w:pPr>
    </w:p>
    <w:p w14:paraId="67236D23" w14:textId="77777777" w:rsidR="00186B95" w:rsidRDefault="00186B95" w:rsidP="001A7C58">
      <w:pPr>
        <w:tabs>
          <w:tab w:val="left" w:pos="2869"/>
        </w:tabs>
      </w:pPr>
    </w:p>
    <w:p w14:paraId="551EB90C" w14:textId="77777777" w:rsidR="00186B95" w:rsidRDefault="00186B95" w:rsidP="001A7C58">
      <w:pPr>
        <w:tabs>
          <w:tab w:val="left" w:pos="2869"/>
        </w:tabs>
      </w:pPr>
    </w:p>
    <w:p w14:paraId="16ADD954" w14:textId="77777777" w:rsidR="00186B95" w:rsidRDefault="00186B95" w:rsidP="001A7C58">
      <w:pPr>
        <w:tabs>
          <w:tab w:val="left" w:pos="2869"/>
        </w:tabs>
      </w:pPr>
    </w:p>
    <w:p w14:paraId="2677286F" w14:textId="77777777" w:rsidR="00186B95" w:rsidRDefault="00186B95" w:rsidP="001A7C58">
      <w:pPr>
        <w:tabs>
          <w:tab w:val="left" w:pos="2869"/>
        </w:tabs>
      </w:pPr>
    </w:p>
    <w:p w14:paraId="4456F7A6" w14:textId="77777777" w:rsidR="00186B95" w:rsidRDefault="00186B95" w:rsidP="001A7C58">
      <w:pPr>
        <w:tabs>
          <w:tab w:val="left" w:pos="2869"/>
        </w:tabs>
      </w:pPr>
    </w:p>
    <w:p w14:paraId="57678687" w14:textId="77777777" w:rsidR="00186B95" w:rsidRDefault="00186B95" w:rsidP="001A7C58">
      <w:pPr>
        <w:tabs>
          <w:tab w:val="left" w:pos="2869"/>
        </w:tabs>
      </w:pPr>
    </w:p>
    <w:p w14:paraId="39A0C01C" w14:textId="77777777" w:rsidR="00186B95" w:rsidRDefault="00186B95" w:rsidP="001A7C58">
      <w:pPr>
        <w:tabs>
          <w:tab w:val="left" w:pos="2869"/>
        </w:tabs>
      </w:pPr>
    </w:p>
    <w:p w14:paraId="66F6CE8E" w14:textId="77777777" w:rsidR="00186B95" w:rsidRDefault="00186B95" w:rsidP="001A7C58">
      <w:pPr>
        <w:tabs>
          <w:tab w:val="left" w:pos="2869"/>
        </w:tabs>
      </w:pPr>
    </w:p>
    <w:p w14:paraId="255F1C5E" w14:textId="77777777" w:rsidR="00186B95" w:rsidRDefault="00186B95" w:rsidP="001A7C58">
      <w:pPr>
        <w:tabs>
          <w:tab w:val="left" w:pos="2869"/>
        </w:tabs>
      </w:pPr>
    </w:p>
    <w:p w14:paraId="4CD00283" w14:textId="77777777" w:rsidR="00186B95" w:rsidRDefault="00186B95" w:rsidP="001A7C58">
      <w:pPr>
        <w:tabs>
          <w:tab w:val="left" w:pos="2869"/>
        </w:tabs>
      </w:pPr>
    </w:p>
    <w:p w14:paraId="62FD368D" w14:textId="77777777" w:rsidR="00186B95" w:rsidRDefault="00186B95" w:rsidP="001A7C58">
      <w:pPr>
        <w:tabs>
          <w:tab w:val="left" w:pos="2869"/>
        </w:tabs>
      </w:pPr>
    </w:p>
    <w:p w14:paraId="2722ACB2" w14:textId="77777777" w:rsidR="00186B95" w:rsidRDefault="00186B95" w:rsidP="001A7C58">
      <w:pPr>
        <w:tabs>
          <w:tab w:val="left" w:pos="2869"/>
        </w:tabs>
      </w:pPr>
    </w:p>
    <w:p w14:paraId="7847EA99" w14:textId="77777777" w:rsidR="00186B95" w:rsidRDefault="00186B95" w:rsidP="001A7C58">
      <w:pPr>
        <w:tabs>
          <w:tab w:val="left" w:pos="2869"/>
        </w:tabs>
      </w:pPr>
    </w:p>
    <w:p w14:paraId="79FFE9C9" w14:textId="77777777" w:rsidR="00186B95" w:rsidRDefault="00186B95" w:rsidP="001A7C58">
      <w:pPr>
        <w:tabs>
          <w:tab w:val="left" w:pos="2869"/>
        </w:tabs>
      </w:pPr>
    </w:p>
    <w:p w14:paraId="4CFAEC59" w14:textId="77777777" w:rsidR="00186B95" w:rsidRDefault="00186B95" w:rsidP="001A7C58">
      <w:pPr>
        <w:tabs>
          <w:tab w:val="left" w:pos="2869"/>
        </w:tabs>
      </w:pPr>
    </w:p>
    <w:p w14:paraId="5149ED12" w14:textId="77777777" w:rsidR="00186B95" w:rsidRDefault="00186B95" w:rsidP="001A7C58">
      <w:pPr>
        <w:tabs>
          <w:tab w:val="left" w:pos="2869"/>
        </w:tabs>
      </w:pPr>
    </w:p>
    <w:p w14:paraId="1C18A41B" w14:textId="77777777" w:rsidR="00186B95" w:rsidRDefault="00186B95" w:rsidP="001A7C58">
      <w:pPr>
        <w:tabs>
          <w:tab w:val="left" w:pos="2869"/>
        </w:tabs>
      </w:pPr>
    </w:p>
    <w:p w14:paraId="785C6E1B" w14:textId="77777777" w:rsidR="00186B95" w:rsidRDefault="00186B95" w:rsidP="001A7C58">
      <w:pPr>
        <w:tabs>
          <w:tab w:val="left" w:pos="2869"/>
        </w:tabs>
      </w:pPr>
    </w:p>
    <w:p w14:paraId="0CF8FAE5" w14:textId="77777777" w:rsidR="00186B95" w:rsidRDefault="00186B95" w:rsidP="001A7C58">
      <w:pPr>
        <w:tabs>
          <w:tab w:val="left" w:pos="2869"/>
        </w:tabs>
      </w:pPr>
    </w:p>
    <w:p w14:paraId="46BDEB0C" w14:textId="77777777" w:rsidR="00186B95" w:rsidRDefault="00186B95" w:rsidP="001A7C58">
      <w:pPr>
        <w:tabs>
          <w:tab w:val="left" w:pos="2869"/>
        </w:tabs>
      </w:pPr>
    </w:p>
    <w:p w14:paraId="7EEF0C9D" w14:textId="77777777" w:rsidR="00186B95" w:rsidRDefault="00186B95" w:rsidP="001A7C58">
      <w:pPr>
        <w:tabs>
          <w:tab w:val="left" w:pos="2869"/>
        </w:tabs>
      </w:pPr>
    </w:p>
    <w:p w14:paraId="33C3DA66" w14:textId="77777777" w:rsidR="00186B95" w:rsidRDefault="00186B95" w:rsidP="001A7C58">
      <w:pPr>
        <w:tabs>
          <w:tab w:val="left" w:pos="2869"/>
        </w:tabs>
      </w:pPr>
    </w:p>
    <w:p w14:paraId="7B9E3C2A" w14:textId="77777777" w:rsidR="00186B95" w:rsidRDefault="00186B95" w:rsidP="001A7C58">
      <w:pPr>
        <w:tabs>
          <w:tab w:val="left" w:pos="2869"/>
        </w:tabs>
      </w:pPr>
    </w:p>
    <w:p w14:paraId="0077118C" w14:textId="77777777" w:rsidR="00186B95" w:rsidRDefault="00186B95" w:rsidP="001A7C58">
      <w:pPr>
        <w:tabs>
          <w:tab w:val="left" w:pos="2869"/>
        </w:tabs>
      </w:pPr>
    </w:p>
    <w:p w14:paraId="72E8C5C1" w14:textId="77777777" w:rsidR="00186B95" w:rsidRDefault="00186B95" w:rsidP="001A7C58">
      <w:pPr>
        <w:tabs>
          <w:tab w:val="left" w:pos="2869"/>
        </w:tabs>
      </w:pPr>
    </w:p>
    <w:p w14:paraId="66F76929" w14:textId="77777777" w:rsidR="00186B95" w:rsidRDefault="00186B95" w:rsidP="001A7C58">
      <w:pPr>
        <w:tabs>
          <w:tab w:val="left" w:pos="2869"/>
        </w:tabs>
      </w:pPr>
    </w:p>
    <w:p w14:paraId="3C8A2C6D" w14:textId="77777777" w:rsidR="00186B95" w:rsidRDefault="00186B95" w:rsidP="001A7C58">
      <w:pPr>
        <w:tabs>
          <w:tab w:val="left" w:pos="2869"/>
        </w:tabs>
      </w:pPr>
    </w:p>
    <w:p w14:paraId="1BD725F8" w14:textId="77777777" w:rsidR="00186B95" w:rsidRDefault="00186B95" w:rsidP="001A7C58">
      <w:pPr>
        <w:tabs>
          <w:tab w:val="left" w:pos="2869"/>
        </w:tabs>
      </w:pPr>
    </w:p>
    <w:p w14:paraId="27D862CD" w14:textId="77777777" w:rsidR="00186B95" w:rsidRDefault="00186B95" w:rsidP="001A7C58">
      <w:pPr>
        <w:tabs>
          <w:tab w:val="left" w:pos="2869"/>
        </w:tabs>
      </w:pPr>
    </w:p>
    <w:p w14:paraId="335325CB" w14:textId="50F6BA41" w:rsidR="00186B95" w:rsidRDefault="00235F43" w:rsidP="001A7C58">
      <w:pPr>
        <w:tabs>
          <w:tab w:val="left" w:pos="2869"/>
        </w:tabs>
      </w:pPr>
      <w:r>
        <w:rPr>
          <w:noProof/>
          <w:lang w:eastAsia="en-GB"/>
        </w:rPr>
        <mc:AlternateContent>
          <mc:Choice Requires="wps">
            <w:drawing>
              <wp:anchor distT="0" distB="0" distL="114300" distR="114300" simplePos="0" relativeHeight="251697152" behindDoc="0" locked="0" layoutInCell="1" allowOverlap="1" wp14:anchorId="245425B5" wp14:editId="08EFCCDB">
                <wp:simplePos x="0" y="0"/>
                <wp:positionH relativeFrom="column">
                  <wp:posOffset>-291465</wp:posOffset>
                </wp:positionH>
                <wp:positionV relativeFrom="paragraph">
                  <wp:posOffset>4359275</wp:posOffset>
                </wp:positionV>
                <wp:extent cx="6286500" cy="457200"/>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62865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1E900BA" w14:textId="15E182A0" w:rsidR="00235F43" w:rsidRPr="00235F43" w:rsidRDefault="00235F43">
                            <w:r>
                              <w:rPr>
                                <w:b/>
                              </w:rPr>
                              <w:t xml:space="preserve">Figure 2.7 </w:t>
                            </w:r>
                            <w:r>
                              <w:t>Graph showing the percentage of welsh speakers aged 3+ in 2011. Data source: gov.wales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5425B5" id="Text Box 34" o:spid="_x0000_s1044" type="#_x0000_t202" style="position:absolute;margin-left:-22.95pt;margin-top:343.25pt;width:495pt;height:36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" filled="f" stroked="f">
                <v:textbox>
                  <w:txbxContent>
                    <w:p w14:paraId="41E900BA" w14:textId="15E182A0" w:rsidR="00235F43" w:rsidRPr="00235F43" w:rsidRDefault="00235F43">
                      <w:r>
                        <w:rPr>
                          <w:b/>
                        </w:rPr>
                        <w:t xml:space="preserve">Figure 2.7 </w:t>
                      </w:r>
                      <w:r>
                        <w:t>Graph showing the percentage of welsh speakers aged 3+ in 2011. Data source: gov.wales</w:t>
                      </w:r>
                    </w:p>
                  </w:txbxContent>
                </v:textbox>
                <w10:wrap type="square"/>
              </v:shape>
            </w:pict>
          </mc:Fallback>
        </mc:AlternateContent>
      </w:r>
      <w:r>
        <w:rPr>
          <w:noProof/>
          <w:lang w:eastAsia="en-GB"/>
        </w:rPr>
        <w:drawing>
          <wp:anchor distT="0" distB="0" distL="114300" distR="114300" simplePos="0" relativeHeight="251696128" behindDoc="0" locked="0" layoutInCell="1" allowOverlap="1" wp14:anchorId="1B9E7F36" wp14:editId="38ABE458">
            <wp:simplePos x="0" y="0"/>
            <wp:positionH relativeFrom="column">
              <wp:posOffset>-291465</wp:posOffset>
            </wp:positionH>
            <wp:positionV relativeFrom="paragraph">
              <wp:posOffset>16799</wp:posOffset>
            </wp:positionV>
            <wp:extent cx="6286385" cy="4228176"/>
            <wp:effectExtent l="0" t="0" r="13335" b="13970"/>
            <wp:wrapTight wrapText="bothSides">
              <wp:wrapPolygon edited="0">
                <wp:start x="0" y="0"/>
                <wp:lineTo x="0" y="21542"/>
                <wp:lineTo x="21559" y="21542"/>
                <wp:lineTo x="21559" y="0"/>
                <wp:lineTo x="0" y="0"/>
              </wp:wrapPolygon>
            </wp:wrapTight>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17DDB5FD" w14:textId="65BD986C" w:rsidR="00186B95" w:rsidRDefault="00186B95" w:rsidP="001A7C58">
      <w:pPr>
        <w:tabs>
          <w:tab w:val="left" w:pos="2869"/>
        </w:tabs>
      </w:pPr>
    </w:p>
    <w:p w14:paraId="2565DF8F" w14:textId="77777777" w:rsidR="00E075ED" w:rsidRDefault="00E075ED" w:rsidP="001A7C58">
      <w:pPr>
        <w:tabs>
          <w:tab w:val="left" w:pos="2869"/>
        </w:tabs>
      </w:pPr>
    </w:p>
    <w:p w14:paraId="503E46F7" w14:textId="77777777" w:rsidR="00E075ED" w:rsidRDefault="00E075ED" w:rsidP="001A7C58">
      <w:pPr>
        <w:tabs>
          <w:tab w:val="left" w:pos="2869"/>
        </w:tabs>
      </w:pPr>
    </w:p>
    <w:p w14:paraId="00355FA8" w14:textId="77777777" w:rsidR="00E075ED" w:rsidRDefault="00E075ED" w:rsidP="001A7C58">
      <w:pPr>
        <w:tabs>
          <w:tab w:val="left" w:pos="2869"/>
        </w:tabs>
      </w:pPr>
    </w:p>
    <w:p w14:paraId="1AA34F0E" w14:textId="77777777" w:rsidR="00E075ED" w:rsidRDefault="00E075ED" w:rsidP="001A7C58">
      <w:pPr>
        <w:tabs>
          <w:tab w:val="left" w:pos="2869"/>
        </w:tabs>
      </w:pPr>
    </w:p>
    <w:p w14:paraId="061C8736" w14:textId="77777777" w:rsidR="00E075ED" w:rsidRDefault="00E075ED" w:rsidP="001A7C58">
      <w:pPr>
        <w:tabs>
          <w:tab w:val="left" w:pos="2869"/>
        </w:tabs>
      </w:pPr>
    </w:p>
    <w:p w14:paraId="0F7BCA2A" w14:textId="77777777" w:rsidR="00E075ED" w:rsidRDefault="00E075ED" w:rsidP="001A7C58">
      <w:pPr>
        <w:tabs>
          <w:tab w:val="left" w:pos="2869"/>
        </w:tabs>
      </w:pPr>
    </w:p>
    <w:p w14:paraId="1B0764FD" w14:textId="77777777" w:rsidR="00E075ED" w:rsidRDefault="00E075ED" w:rsidP="001A7C58">
      <w:pPr>
        <w:tabs>
          <w:tab w:val="left" w:pos="2869"/>
        </w:tabs>
      </w:pPr>
    </w:p>
    <w:p w14:paraId="05B9FEA2" w14:textId="77777777" w:rsidR="00E075ED" w:rsidRDefault="00E075ED" w:rsidP="001A7C58">
      <w:pPr>
        <w:tabs>
          <w:tab w:val="left" w:pos="2869"/>
        </w:tabs>
      </w:pPr>
    </w:p>
    <w:p w14:paraId="4B6A45CC" w14:textId="77777777" w:rsidR="00E075ED" w:rsidRDefault="00E075ED" w:rsidP="001A7C58">
      <w:pPr>
        <w:tabs>
          <w:tab w:val="left" w:pos="2869"/>
        </w:tabs>
      </w:pPr>
    </w:p>
    <w:p w14:paraId="47047EBF" w14:textId="77777777" w:rsidR="00E075ED" w:rsidRDefault="00E075ED" w:rsidP="001A7C58">
      <w:pPr>
        <w:tabs>
          <w:tab w:val="left" w:pos="2869"/>
        </w:tabs>
      </w:pPr>
    </w:p>
    <w:p w14:paraId="127F44D9" w14:textId="77777777" w:rsidR="00E075ED" w:rsidRDefault="00E075ED" w:rsidP="001A7C58">
      <w:pPr>
        <w:tabs>
          <w:tab w:val="left" w:pos="2869"/>
        </w:tabs>
      </w:pPr>
    </w:p>
    <w:p w14:paraId="3780FC0B" w14:textId="77777777" w:rsidR="00E075ED" w:rsidRDefault="00E075ED" w:rsidP="001A7C58">
      <w:pPr>
        <w:tabs>
          <w:tab w:val="left" w:pos="2869"/>
        </w:tabs>
      </w:pPr>
    </w:p>
    <w:p w14:paraId="6A520936" w14:textId="77777777" w:rsidR="00E075ED" w:rsidRDefault="00E075ED" w:rsidP="001A7C58">
      <w:pPr>
        <w:tabs>
          <w:tab w:val="left" w:pos="2869"/>
        </w:tabs>
      </w:pPr>
    </w:p>
    <w:p w14:paraId="267F089F" w14:textId="77777777" w:rsidR="00E31CE4" w:rsidRDefault="00E31CE4" w:rsidP="001A7C58">
      <w:pPr>
        <w:tabs>
          <w:tab w:val="left" w:pos="2869"/>
        </w:tabs>
      </w:pPr>
    </w:p>
    <w:p w14:paraId="727A7D9F" w14:textId="77777777" w:rsidR="00E31CE4" w:rsidRDefault="00E31CE4" w:rsidP="001A7C58">
      <w:pPr>
        <w:tabs>
          <w:tab w:val="left" w:pos="2869"/>
        </w:tabs>
      </w:pPr>
    </w:p>
    <w:p w14:paraId="60323B80" w14:textId="77777777" w:rsidR="00E31CE4" w:rsidRDefault="00E31CE4" w:rsidP="001A7C58">
      <w:pPr>
        <w:tabs>
          <w:tab w:val="left" w:pos="2869"/>
        </w:tabs>
      </w:pPr>
    </w:p>
    <w:p w14:paraId="022193F7" w14:textId="77777777" w:rsidR="00E31CE4" w:rsidRDefault="00E31CE4" w:rsidP="001A7C58">
      <w:pPr>
        <w:tabs>
          <w:tab w:val="left" w:pos="2869"/>
        </w:tabs>
      </w:pPr>
    </w:p>
    <w:p w14:paraId="5D3624E0" w14:textId="77777777" w:rsidR="00E31CE4" w:rsidRDefault="00E31CE4" w:rsidP="001A7C58">
      <w:pPr>
        <w:tabs>
          <w:tab w:val="left" w:pos="2869"/>
        </w:tabs>
      </w:pPr>
    </w:p>
    <w:p w14:paraId="01317D6C" w14:textId="77777777" w:rsidR="00E31CE4" w:rsidRDefault="00E31CE4" w:rsidP="001A7C58">
      <w:pPr>
        <w:tabs>
          <w:tab w:val="left" w:pos="2869"/>
        </w:tabs>
      </w:pPr>
    </w:p>
    <w:p w14:paraId="62A54CC2" w14:textId="1F85D083" w:rsidR="00E31CE4" w:rsidRDefault="00816D0B" w:rsidP="001A7C58">
      <w:pPr>
        <w:tabs>
          <w:tab w:val="left" w:pos="2869"/>
        </w:tabs>
      </w:pPr>
      <w:r>
        <w:rPr>
          <w:noProof/>
          <w:lang w:eastAsia="en-GB"/>
        </w:rPr>
        <mc:AlternateContent>
          <mc:Choice Requires="wps">
            <w:drawing>
              <wp:anchor distT="0" distB="0" distL="114300" distR="114300" simplePos="0" relativeHeight="251703296" behindDoc="0" locked="0" layoutInCell="1" allowOverlap="1" wp14:anchorId="18700227" wp14:editId="216B8564">
                <wp:simplePos x="0" y="0"/>
                <wp:positionH relativeFrom="column">
                  <wp:posOffset>-291465</wp:posOffset>
                </wp:positionH>
                <wp:positionV relativeFrom="paragraph">
                  <wp:posOffset>8246110</wp:posOffset>
                </wp:positionV>
                <wp:extent cx="6285865" cy="455930"/>
                <wp:effectExtent l="0" t="0" r="0" b="1270"/>
                <wp:wrapSquare wrapText="bothSides"/>
                <wp:docPr id="40" name="Text Box 40"/>
                <wp:cNvGraphicFramePr/>
                <a:graphic xmlns:a="http://schemas.openxmlformats.org/drawingml/2006/main">
                  <a:graphicData uri="http://schemas.microsoft.com/office/word/2010/wordprocessingShape">
                    <wps:wsp>
                      <wps:cNvSpPr txBox="1"/>
                      <wps:spPr>
                        <a:xfrm>
                          <a:off x="0" y="0"/>
                          <a:ext cx="6285865" cy="4559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0F4B3EF" w14:textId="1842EC53" w:rsidR="00816D0B" w:rsidRPr="00816D0B" w:rsidRDefault="00816D0B">
                            <w:r w:rsidRPr="00816D0B">
                              <w:rPr>
                                <w:b/>
                              </w:rPr>
                              <w:t>F</w:t>
                            </w:r>
                            <w:r w:rsidR="001B5AD0">
                              <w:rPr>
                                <w:b/>
                              </w:rPr>
                              <w:t xml:space="preserve">igure 2.9 </w:t>
                            </w:r>
                            <w:r>
                              <w:t>Graph showing the percentage of Swansea residents that can sp</w:t>
                            </w:r>
                            <w:r w:rsidR="00006FAC">
                              <w:t>eak, read and write W</w:t>
                            </w:r>
                            <w:r>
                              <w:t xml:space="preserve">elsh as of the 2011 census. Data source: Office for National Statistics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00227" id="Text Box 40" o:spid="_x0000_s1045" type="#_x0000_t202" style="position:absolute;margin-left:-22.95pt;margin-top:649.3pt;width:494.95pt;height:35.9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" filled="f" stroked="f">
                <v:textbox>
                  <w:txbxContent>
                    <w:p w14:paraId="50F4B3EF" w14:textId="1842EC53" w:rsidR="00816D0B" w:rsidRPr="00816D0B" w:rsidRDefault="00816D0B">
                      <w:r w:rsidRPr="00816D0B">
                        <w:rPr>
                          <w:b/>
                        </w:rPr>
                        <w:t>F</w:t>
                      </w:r>
                      <w:r w:rsidR="001B5AD0">
                        <w:rPr>
                          <w:b/>
                        </w:rPr>
                        <w:t xml:space="preserve">igure 2.9 </w:t>
                      </w:r>
                      <w:r>
                        <w:t>Graph showing the percentage of Swansea residents that can sp</w:t>
                      </w:r>
                      <w:r w:rsidR="00006FAC">
                        <w:t>eak, read and write W</w:t>
                      </w:r>
                      <w:r>
                        <w:t xml:space="preserve">elsh as of the 2011 census. Data source: Office for National Statistics </w:t>
                      </w:r>
                    </w:p>
                  </w:txbxContent>
                </v:textbox>
                <w10:wrap type="square"/>
              </v:shape>
            </w:pict>
          </mc:Fallback>
        </mc:AlternateContent>
      </w:r>
      <w:r>
        <w:rPr>
          <w:noProof/>
          <w:lang w:eastAsia="en-GB"/>
        </w:rPr>
        <w:drawing>
          <wp:anchor distT="0" distB="0" distL="114300" distR="114300" simplePos="0" relativeHeight="251702272" behindDoc="0" locked="0" layoutInCell="1" allowOverlap="1" wp14:anchorId="250CE1A1" wp14:editId="00C58ED0">
            <wp:simplePos x="0" y="0"/>
            <wp:positionH relativeFrom="column">
              <wp:posOffset>-291465</wp:posOffset>
            </wp:positionH>
            <wp:positionV relativeFrom="paragraph">
              <wp:posOffset>4816475</wp:posOffset>
            </wp:positionV>
            <wp:extent cx="6285865" cy="3278505"/>
            <wp:effectExtent l="0" t="0" r="13335" b="23495"/>
            <wp:wrapTight wrapText="bothSides">
              <wp:wrapPolygon edited="0">
                <wp:start x="0" y="0"/>
                <wp:lineTo x="0" y="21587"/>
                <wp:lineTo x="21559" y="21587"/>
                <wp:lineTo x="21559" y="0"/>
                <wp:lineTo x="0" y="0"/>
              </wp:wrapPolygon>
            </wp:wrapTight>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sidR="00824726">
        <w:rPr>
          <w:noProof/>
          <w:lang w:eastAsia="en-GB"/>
        </w:rPr>
        <mc:AlternateContent>
          <mc:Choice Requires="wps">
            <w:drawing>
              <wp:anchor distT="0" distB="0" distL="114300" distR="114300" simplePos="0" relativeHeight="251701248" behindDoc="0" locked="0" layoutInCell="1" allowOverlap="1" wp14:anchorId="0531F3C5" wp14:editId="17863653">
                <wp:simplePos x="0" y="0"/>
                <wp:positionH relativeFrom="column">
                  <wp:posOffset>-288925</wp:posOffset>
                </wp:positionH>
                <wp:positionV relativeFrom="paragraph">
                  <wp:posOffset>4128135</wp:posOffset>
                </wp:positionV>
                <wp:extent cx="6172200" cy="457200"/>
                <wp:effectExtent l="0" t="0" r="0" b="0"/>
                <wp:wrapSquare wrapText="bothSides"/>
                <wp:docPr id="38" name="Text Box 38"/>
                <wp:cNvGraphicFramePr/>
                <a:graphic xmlns:a="http://schemas.openxmlformats.org/drawingml/2006/main">
                  <a:graphicData uri="http://schemas.microsoft.com/office/word/2010/wordprocessingShape">
                    <wps:wsp>
                      <wps:cNvSpPr txBox="1"/>
                      <wps:spPr>
                        <a:xfrm>
                          <a:off x="0" y="0"/>
                          <a:ext cx="61722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2CF83B1" w14:textId="3A70506F" w:rsidR="00E075ED" w:rsidRPr="00E075ED" w:rsidRDefault="00E075ED">
                            <w:r w:rsidRPr="00E075ED">
                              <w:rPr>
                                <w:b/>
                              </w:rPr>
                              <w:t>F</w:t>
                            </w:r>
                            <w:r w:rsidR="001B5AD0">
                              <w:rPr>
                                <w:b/>
                              </w:rPr>
                              <w:t>igure 2.8</w:t>
                            </w:r>
                            <w:r w:rsidRPr="00E075ED">
                              <w:rPr>
                                <w:b/>
                              </w:rPr>
                              <w:t xml:space="preserve"> </w:t>
                            </w:r>
                            <w:r>
                              <w:t xml:space="preserve">Graph to show the number of Swansea residents </w:t>
                            </w:r>
                            <w:r w:rsidR="00006FAC">
                              <w:t>that can speak, read and write W</w:t>
                            </w:r>
                            <w:r>
                              <w:t xml:space="preserve">elsh compared to usual resident population. Data source: </w:t>
                            </w:r>
                            <w:r w:rsidR="00E31CE4">
                              <w:t xml:space="preserve">Office for National Statistics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31F3C5" id="Text Box 38" o:spid="_x0000_s1046" type="#_x0000_t202" style="position:absolute;margin-left:-22.75pt;margin-top:325.05pt;width:486pt;height:36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" filled="f" stroked="f">
                <v:textbox>
                  <w:txbxContent>
                    <w:p w14:paraId="32CF83B1" w14:textId="3A70506F" w:rsidR="00E075ED" w:rsidRPr="00E075ED" w:rsidRDefault="00E075ED">
                      <w:r w:rsidRPr="00E075ED">
                        <w:rPr>
                          <w:b/>
                        </w:rPr>
                        <w:t>F</w:t>
                      </w:r>
                      <w:r w:rsidR="001B5AD0">
                        <w:rPr>
                          <w:b/>
                        </w:rPr>
                        <w:t>igure 2.8</w:t>
                      </w:r>
                      <w:r w:rsidRPr="00E075ED">
                        <w:rPr>
                          <w:b/>
                        </w:rPr>
                        <w:t xml:space="preserve"> </w:t>
                      </w:r>
                      <w:r>
                        <w:t xml:space="preserve">Graph to show the number of Swansea residents </w:t>
                      </w:r>
                      <w:r w:rsidR="00006FAC">
                        <w:t>that can speak, read and write W</w:t>
                      </w:r>
                      <w:r>
                        <w:t xml:space="preserve">elsh compared to usual resident population. Data source: </w:t>
                      </w:r>
                      <w:r w:rsidR="00E31CE4">
                        <w:t xml:space="preserve">Office for National Statistics </w:t>
                      </w:r>
                    </w:p>
                  </w:txbxContent>
                </v:textbox>
                <w10:wrap type="square"/>
              </v:shape>
            </w:pict>
          </mc:Fallback>
        </mc:AlternateContent>
      </w:r>
      <w:r w:rsidR="00824726">
        <w:rPr>
          <w:noProof/>
          <w:lang w:eastAsia="en-GB"/>
        </w:rPr>
        <w:drawing>
          <wp:anchor distT="0" distB="0" distL="114300" distR="114300" simplePos="0" relativeHeight="251700224" behindDoc="0" locked="0" layoutInCell="1" allowOverlap="1" wp14:anchorId="18C040CD" wp14:editId="578061EC">
            <wp:simplePos x="0" y="0"/>
            <wp:positionH relativeFrom="column">
              <wp:posOffset>-298450</wp:posOffset>
            </wp:positionH>
            <wp:positionV relativeFrom="paragraph">
              <wp:posOffset>2540</wp:posOffset>
            </wp:positionV>
            <wp:extent cx="6292850" cy="4013200"/>
            <wp:effectExtent l="0" t="0" r="6350" b="0"/>
            <wp:wrapTight wrapText="bothSides">
              <wp:wrapPolygon edited="0">
                <wp:start x="0" y="0"/>
                <wp:lineTo x="0" y="21463"/>
                <wp:lineTo x="21535" y="21463"/>
                <wp:lineTo x="21535" y="0"/>
                <wp:lineTo x="0" y="0"/>
              </wp:wrapPolygon>
            </wp:wrapTight>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r w:rsidR="00824726">
        <w:rPr>
          <w:noProof/>
          <w:lang w:eastAsia="en-GB"/>
        </w:rPr>
        <mc:AlternateContent>
          <mc:Choice Requires="wps">
            <w:drawing>
              <wp:anchor distT="0" distB="0" distL="114300" distR="114300" simplePos="0" relativeHeight="251699200" behindDoc="0" locked="0" layoutInCell="1" allowOverlap="1" wp14:anchorId="3479F99C" wp14:editId="65BA2DA3">
                <wp:simplePos x="0" y="0"/>
                <wp:positionH relativeFrom="column">
                  <wp:posOffset>53975</wp:posOffset>
                </wp:positionH>
                <wp:positionV relativeFrom="paragraph">
                  <wp:posOffset>3557905</wp:posOffset>
                </wp:positionV>
                <wp:extent cx="5600700" cy="457200"/>
                <wp:effectExtent l="0" t="0" r="0" b="0"/>
                <wp:wrapSquare wrapText="bothSides"/>
                <wp:docPr id="36" name="Text Box 36"/>
                <wp:cNvGraphicFramePr/>
                <a:graphic xmlns:a="http://schemas.openxmlformats.org/drawingml/2006/main">
                  <a:graphicData uri="http://schemas.microsoft.com/office/word/2010/wordprocessingShape">
                    <wps:wsp>
                      <wps:cNvSpPr txBox="1"/>
                      <wps:spPr>
                        <a:xfrm>
                          <a:off x="0" y="0"/>
                          <a:ext cx="56007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00F26C1" w14:textId="77AB9ABD" w:rsidR="009A084F" w:rsidRPr="009A084F" w:rsidRDefault="009A084F">
                            <w:r w:rsidRPr="009A084F">
                              <w:rPr>
                                <w:b/>
                              </w:rPr>
                              <w:t>Figure 2.8</w:t>
                            </w:r>
                            <w:r>
                              <w:rPr>
                                <w:b/>
                              </w:rPr>
                              <w:t xml:space="preserve"> </w:t>
                            </w:r>
                            <w:r>
                              <w:t xml:space="preserve">Graph showing the percentage of welsh speakers </w:t>
                            </w:r>
                            <w:r w:rsidR="00DD416E">
                              <w:t>in Wales and Swansea from 2001 – 2013. Data source: gov.wales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79F99C" id="Text Box 36" o:spid="_x0000_s1047" type="#_x0000_t202" style="position:absolute;margin-left:4.25pt;margin-top:280.15pt;width:441pt;height:36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" filled="f" stroked="f">
                <v:textbox>
                  <w:txbxContent>
                    <w:p w14:paraId="100F26C1" w14:textId="77AB9ABD" w:rsidR="009A084F" w:rsidRPr="009A084F" w:rsidRDefault="009A084F">
                      <w:r w:rsidRPr="009A084F">
                        <w:rPr>
                          <w:b/>
                        </w:rPr>
                        <w:t>Figure 2.8</w:t>
                      </w:r>
                      <w:r>
                        <w:rPr>
                          <w:b/>
                        </w:rPr>
                        <w:t xml:space="preserve"> </w:t>
                      </w:r>
                      <w:r>
                        <w:t xml:space="preserve">Graph showing the percentage of welsh speakers </w:t>
                      </w:r>
                      <w:r w:rsidR="00DD416E">
                        <w:t>in Wales and Swansea from 2001 – 2013. Data source: gov.wales</w:t>
                      </w:r>
                    </w:p>
                  </w:txbxContent>
                </v:textbox>
                <w10:wrap type="square"/>
              </v:shape>
            </w:pict>
          </mc:Fallback>
        </mc:AlternateContent>
      </w:r>
      <w:r w:rsidR="00824726">
        <w:rPr>
          <w:noProof/>
          <w:lang w:eastAsia="en-GB"/>
        </w:rPr>
        <w:drawing>
          <wp:anchor distT="0" distB="0" distL="114300" distR="114300" simplePos="0" relativeHeight="251698176" behindDoc="0" locked="0" layoutInCell="1" allowOverlap="1" wp14:anchorId="2DEAEE64" wp14:editId="1C26BBDE">
            <wp:simplePos x="0" y="0"/>
            <wp:positionH relativeFrom="column">
              <wp:posOffset>-62865</wp:posOffset>
            </wp:positionH>
            <wp:positionV relativeFrom="paragraph">
              <wp:posOffset>2540</wp:posOffset>
            </wp:positionV>
            <wp:extent cx="5828665" cy="3556000"/>
            <wp:effectExtent l="0" t="0" r="13335" b="0"/>
            <wp:wrapTight wrapText="bothSides">
              <wp:wrapPolygon edited="0">
                <wp:start x="0" y="0"/>
                <wp:lineTo x="0" y="21446"/>
                <wp:lineTo x="21555" y="21446"/>
                <wp:lineTo x="21555" y="0"/>
                <wp:lineTo x="0" y="0"/>
              </wp:wrapPolygon>
            </wp:wrapTight>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p w14:paraId="7A7E94FA" w14:textId="5975D41E" w:rsidR="00E31CE4" w:rsidRDefault="00261B0A" w:rsidP="001A7C58">
      <w:pPr>
        <w:tabs>
          <w:tab w:val="left" w:pos="2869"/>
        </w:tabs>
      </w:pPr>
      <w:r>
        <w:t>Figure 2.7 shows the percentage of welsh speakers per region in Wales in 2011.</w:t>
      </w:r>
      <w:r w:rsidR="00A34AAE">
        <w:t xml:space="preserve"> </w:t>
      </w:r>
      <w:r w:rsidR="0004232C">
        <w:t>The graph shows that the whole of Wales has less than half of their population speaking Welsh with the exception of the Isle of Anglesey.</w:t>
      </w:r>
      <w:r>
        <w:t xml:space="preserve"> Swansea has the eighth worst percentage of Welsh </w:t>
      </w:r>
      <w:r w:rsidR="0004232C">
        <w:t>speakers in Wales with 11 percent</w:t>
      </w:r>
      <w:r>
        <w:t xml:space="preserve">. </w:t>
      </w:r>
      <w:r w:rsidR="0004232C">
        <w:t xml:space="preserve">Figure 2.9 breaks down the number of residents in Swansea </w:t>
      </w:r>
      <w:r w:rsidR="00006FAC">
        <w:t>that can speak, read and write W</w:t>
      </w:r>
      <w:r w:rsidR="0004232C">
        <w:t>elsh. The data indicates that every ward in Swansea has a minute percentage of residents that can speak, read and write welsh. The only wards in Swansea that have more than 20 percent are Townhill and Landore. The data implicates a possible issue in both Wales and Swansea as the numbers of welsh speakers are extremely l</w:t>
      </w:r>
      <w:r w:rsidR="00AB5199">
        <w:t>ow. The residents of Swansea are missing out on the potential benefits of learning the Welsh language. Firstly, learning languages can improve brain function and the ability to learn. Also knowing another language can reduce mental decline as people get older, this is supported by Devine (2016).</w:t>
      </w:r>
      <w:r w:rsidR="001C1F95">
        <w:t xml:space="preserve"> This suggests that an increase </w:t>
      </w:r>
      <w:r w:rsidR="00006FAC">
        <w:t>in uptake of the W</w:t>
      </w:r>
      <w:r w:rsidR="001C1F95">
        <w:t xml:space="preserve">elsh language in Swansea could have a positive effect on the poor mental health. </w:t>
      </w:r>
      <w:r w:rsidR="00AB5199">
        <w:t xml:space="preserve"> </w:t>
      </w:r>
      <w:r w:rsidR="00155472">
        <w:t>Furthermore, on top of improving attention</w:t>
      </w:r>
      <w:r w:rsidR="00006FAC">
        <w:t xml:space="preserve"> spans and brain activity, the W</w:t>
      </w:r>
      <w:r w:rsidR="00155472">
        <w:t>elsh language is part of the culture, the low number of welsh speakers in Swansea signifies a loss of c</w:t>
      </w:r>
      <w:r w:rsidR="001C1F95">
        <w:t>ultural i</w:t>
      </w:r>
      <w:r w:rsidR="00006FAC">
        <w:t>dentity. The popularity of the W</w:t>
      </w:r>
      <w:r w:rsidR="001C1F95">
        <w:t xml:space="preserve">elsh language </w:t>
      </w:r>
      <w:r w:rsidR="00155472">
        <w:t xml:space="preserve">is a key issue in Swansea that needs to be addressed. </w:t>
      </w:r>
      <w:r w:rsidR="00006FAC">
        <w:t>Finally speaking W</w:t>
      </w:r>
      <w:r w:rsidR="00B8188E">
        <w:t xml:space="preserve">elsh can improve employability as it is part of welsh law that both English and welsh be treated </w:t>
      </w:r>
      <w:r w:rsidR="00006FAC">
        <w:t>equally,</w:t>
      </w:r>
      <w:r w:rsidR="00B8188E">
        <w:t xml:space="preserve"> this is supported by </w:t>
      </w:r>
      <w:r w:rsidR="00006FAC">
        <w:t>Cymraeg.gov.wales (2015)</w:t>
      </w:r>
      <w:r w:rsidR="00B8188E">
        <w:t xml:space="preserve">. An increase in Welsh speakers could have a positive effect on the poor employment in Swansea. </w:t>
      </w:r>
    </w:p>
    <w:p w14:paraId="652632B4" w14:textId="179D4D34" w:rsidR="00E31CE4" w:rsidRDefault="00E31CE4" w:rsidP="001A7C58">
      <w:pPr>
        <w:tabs>
          <w:tab w:val="left" w:pos="2869"/>
        </w:tabs>
      </w:pPr>
    </w:p>
    <w:p w14:paraId="30F0404A" w14:textId="77777777" w:rsidR="00414BA8" w:rsidRDefault="00414BA8" w:rsidP="001A7C58">
      <w:pPr>
        <w:tabs>
          <w:tab w:val="left" w:pos="2869"/>
        </w:tabs>
      </w:pPr>
    </w:p>
    <w:p w14:paraId="0BDF2F3A" w14:textId="77777777" w:rsidR="00414BA8" w:rsidRDefault="00414BA8" w:rsidP="001A7C58">
      <w:pPr>
        <w:tabs>
          <w:tab w:val="left" w:pos="2869"/>
        </w:tabs>
      </w:pPr>
    </w:p>
    <w:p w14:paraId="0C237D78" w14:textId="77777777" w:rsidR="00414BA8" w:rsidRDefault="00414BA8" w:rsidP="001A7C58">
      <w:pPr>
        <w:tabs>
          <w:tab w:val="left" w:pos="2869"/>
        </w:tabs>
      </w:pPr>
    </w:p>
    <w:p w14:paraId="48911D50" w14:textId="77777777" w:rsidR="00414BA8" w:rsidRDefault="00414BA8" w:rsidP="001A7C58">
      <w:pPr>
        <w:tabs>
          <w:tab w:val="left" w:pos="2869"/>
        </w:tabs>
      </w:pPr>
    </w:p>
    <w:p w14:paraId="021E732A" w14:textId="77777777" w:rsidR="00414BA8" w:rsidRDefault="00414BA8" w:rsidP="001A7C58">
      <w:pPr>
        <w:tabs>
          <w:tab w:val="left" w:pos="2869"/>
        </w:tabs>
      </w:pPr>
    </w:p>
    <w:p w14:paraId="6534B15A" w14:textId="77777777" w:rsidR="00414BA8" w:rsidRDefault="00414BA8" w:rsidP="001A7C58">
      <w:pPr>
        <w:tabs>
          <w:tab w:val="left" w:pos="2869"/>
        </w:tabs>
      </w:pPr>
    </w:p>
    <w:p w14:paraId="3184B226" w14:textId="77777777" w:rsidR="00414BA8" w:rsidRDefault="00414BA8" w:rsidP="001A7C58">
      <w:pPr>
        <w:tabs>
          <w:tab w:val="left" w:pos="2869"/>
        </w:tabs>
      </w:pPr>
    </w:p>
    <w:p w14:paraId="4AB32E3A" w14:textId="77777777" w:rsidR="00414BA8" w:rsidRDefault="00414BA8" w:rsidP="001A7C58">
      <w:pPr>
        <w:tabs>
          <w:tab w:val="left" w:pos="2869"/>
        </w:tabs>
      </w:pPr>
    </w:p>
    <w:p w14:paraId="5701396A" w14:textId="77777777" w:rsidR="00414BA8" w:rsidRDefault="00414BA8" w:rsidP="001A7C58">
      <w:pPr>
        <w:tabs>
          <w:tab w:val="left" w:pos="2869"/>
        </w:tabs>
      </w:pPr>
    </w:p>
    <w:p w14:paraId="6504893F" w14:textId="77777777" w:rsidR="00414BA8" w:rsidRDefault="00414BA8" w:rsidP="001A7C58">
      <w:pPr>
        <w:tabs>
          <w:tab w:val="left" w:pos="2869"/>
        </w:tabs>
      </w:pPr>
    </w:p>
    <w:p w14:paraId="7A122BBF" w14:textId="77777777" w:rsidR="00414BA8" w:rsidRDefault="00414BA8" w:rsidP="001A7C58">
      <w:pPr>
        <w:tabs>
          <w:tab w:val="left" w:pos="2869"/>
        </w:tabs>
      </w:pPr>
    </w:p>
    <w:p w14:paraId="262533E0" w14:textId="77777777" w:rsidR="00414BA8" w:rsidRDefault="00414BA8" w:rsidP="001A7C58">
      <w:pPr>
        <w:tabs>
          <w:tab w:val="left" w:pos="2869"/>
        </w:tabs>
      </w:pPr>
    </w:p>
    <w:p w14:paraId="7C43EB04" w14:textId="77777777" w:rsidR="00414BA8" w:rsidRDefault="00414BA8" w:rsidP="001A7C58">
      <w:pPr>
        <w:tabs>
          <w:tab w:val="left" w:pos="2869"/>
        </w:tabs>
      </w:pPr>
    </w:p>
    <w:p w14:paraId="549C0611" w14:textId="77777777" w:rsidR="00414BA8" w:rsidRDefault="00414BA8" w:rsidP="001A7C58">
      <w:pPr>
        <w:tabs>
          <w:tab w:val="left" w:pos="2869"/>
        </w:tabs>
      </w:pPr>
    </w:p>
    <w:p w14:paraId="00A19FB5" w14:textId="77777777" w:rsidR="00414BA8" w:rsidRDefault="00414BA8" w:rsidP="001A7C58">
      <w:pPr>
        <w:tabs>
          <w:tab w:val="left" w:pos="2869"/>
        </w:tabs>
      </w:pPr>
    </w:p>
    <w:p w14:paraId="53789AF3" w14:textId="77777777" w:rsidR="00414BA8" w:rsidRDefault="00414BA8" w:rsidP="001A7C58">
      <w:pPr>
        <w:tabs>
          <w:tab w:val="left" w:pos="2869"/>
        </w:tabs>
      </w:pPr>
    </w:p>
    <w:p w14:paraId="54DD3EF5" w14:textId="77777777" w:rsidR="00414BA8" w:rsidRDefault="00414BA8" w:rsidP="001A7C58">
      <w:pPr>
        <w:tabs>
          <w:tab w:val="left" w:pos="2869"/>
        </w:tabs>
      </w:pPr>
    </w:p>
    <w:p w14:paraId="46C52AC6" w14:textId="77777777" w:rsidR="00414BA8" w:rsidRDefault="00414BA8" w:rsidP="001A7C58">
      <w:pPr>
        <w:tabs>
          <w:tab w:val="left" w:pos="2869"/>
        </w:tabs>
      </w:pPr>
    </w:p>
    <w:p w14:paraId="1506CBBE" w14:textId="77777777" w:rsidR="00414BA8" w:rsidRDefault="00414BA8" w:rsidP="001A7C58">
      <w:pPr>
        <w:tabs>
          <w:tab w:val="left" w:pos="2869"/>
        </w:tabs>
      </w:pPr>
    </w:p>
    <w:p w14:paraId="40C2FB62" w14:textId="77777777" w:rsidR="00414BA8" w:rsidRDefault="00414BA8" w:rsidP="001A7C58">
      <w:pPr>
        <w:tabs>
          <w:tab w:val="left" w:pos="2869"/>
        </w:tabs>
      </w:pPr>
    </w:p>
    <w:p w14:paraId="1332C3C2" w14:textId="77777777" w:rsidR="00414BA8" w:rsidRDefault="00414BA8" w:rsidP="001A7C58">
      <w:pPr>
        <w:tabs>
          <w:tab w:val="left" w:pos="2869"/>
        </w:tabs>
      </w:pPr>
    </w:p>
    <w:p w14:paraId="1D8CA532" w14:textId="77777777" w:rsidR="00414BA8" w:rsidRDefault="00414BA8" w:rsidP="001A7C58">
      <w:pPr>
        <w:tabs>
          <w:tab w:val="left" w:pos="2869"/>
        </w:tabs>
      </w:pPr>
    </w:p>
    <w:p w14:paraId="37AA4016" w14:textId="77777777" w:rsidR="00414BA8" w:rsidRDefault="00414BA8" w:rsidP="001A7C58">
      <w:pPr>
        <w:tabs>
          <w:tab w:val="left" w:pos="2869"/>
        </w:tabs>
      </w:pPr>
    </w:p>
    <w:p w14:paraId="19696C6D" w14:textId="77777777" w:rsidR="00414BA8" w:rsidRDefault="00414BA8" w:rsidP="001A7C58">
      <w:pPr>
        <w:tabs>
          <w:tab w:val="left" w:pos="2869"/>
        </w:tabs>
      </w:pPr>
    </w:p>
    <w:p w14:paraId="7C7162AB" w14:textId="77777777" w:rsidR="00414BA8" w:rsidRDefault="00414BA8" w:rsidP="001A7C58">
      <w:pPr>
        <w:tabs>
          <w:tab w:val="left" w:pos="2869"/>
        </w:tabs>
      </w:pPr>
    </w:p>
    <w:p w14:paraId="24E3287E" w14:textId="77777777" w:rsidR="00414BA8" w:rsidRDefault="00414BA8" w:rsidP="001A7C58">
      <w:pPr>
        <w:tabs>
          <w:tab w:val="left" w:pos="2869"/>
        </w:tabs>
      </w:pPr>
    </w:p>
    <w:p w14:paraId="67EB10DA" w14:textId="299A07F7" w:rsidR="00414BA8" w:rsidRDefault="00183FFF" w:rsidP="007956F7">
      <w:pPr>
        <w:tabs>
          <w:tab w:val="left" w:pos="2869"/>
        </w:tabs>
        <w:outlineLvl w:val="0"/>
        <w:rPr>
          <w:u w:val="single"/>
        </w:rPr>
      </w:pPr>
      <w:r>
        <w:rPr>
          <w:noProof/>
          <w:lang w:eastAsia="en-GB"/>
        </w:rPr>
        <w:drawing>
          <wp:anchor distT="0" distB="0" distL="114300" distR="114300" simplePos="0" relativeHeight="251704320" behindDoc="0" locked="0" layoutInCell="1" allowOverlap="1" wp14:anchorId="091590E6" wp14:editId="3CE70EF0">
            <wp:simplePos x="0" y="0"/>
            <wp:positionH relativeFrom="column">
              <wp:posOffset>-637540</wp:posOffset>
            </wp:positionH>
            <wp:positionV relativeFrom="paragraph">
              <wp:posOffset>245110</wp:posOffset>
            </wp:positionV>
            <wp:extent cx="7089140" cy="5142230"/>
            <wp:effectExtent l="0" t="0" r="22860" b="13970"/>
            <wp:wrapTight wrapText="bothSides">
              <wp:wrapPolygon edited="0">
                <wp:start x="0" y="0"/>
                <wp:lineTo x="0" y="21552"/>
                <wp:lineTo x="21592" y="21552"/>
                <wp:lineTo x="21592" y="0"/>
                <wp:lineTo x="0" y="0"/>
              </wp:wrapPolygon>
            </wp:wrapTight>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r w:rsidR="00414BA8" w:rsidRPr="00414BA8">
        <w:rPr>
          <w:u w:val="single"/>
        </w:rPr>
        <w:t>Homelessness</w:t>
      </w:r>
    </w:p>
    <w:p w14:paraId="51868B7B" w14:textId="63B64060" w:rsidR="00414BA8" w:rsidRDefault="00AB5BC4" w:rsidP="001A7C58">
      <w:pPr>
        <w:tabs>
          <w:tab w:val="left" w:pos="2869"/>
        </w:tabs>
        <w:rPr>
          <w:u w:val="single"/>
        </w:rPr>
      </w:pPr>
      <w:r>
        <w:rPr>
          <w:noProof/>
          <w:u w:val="single"/>
          <w:lang w:eastAsia="en-GB"/>
        </w:rPr>
        <mc:AlternateContent>
          <mc:Choice Requires="wps">
            <w:drawing>
              <wp:anchor distT="0" distB="0" distL="114300" distR="114300" simplePos="0" relativeHeight="251705344" behindDoc="0" locked="0" layoutInCell="1" allowOverlap="1" wp14:anchorId="632F6487" wp14:editId="1B916D80">
                <wp:simplePos x="0" y="0"/>
                <wp:positionH relativeFrom="column">
                  <wp:posOffset>-634365</wp:posOffset>
                </wp:positionH>
                <wp:positionV relativeFrom="paragraph">
                  <wp:posOffset>5316220</wp:posOffset>
                </wp:positionV>
                <wp:extent cx="7086600" cy="457200"/>
                <wp:effectExtent l="0" t="0" r="0" b="0"/>
                <wp:wrapSquare wrapText="bothSides"/>
                <wp:docPr id="42" name="Text Box 42"/>
                <wp:cNvGraphicFramePr/>
                <a:graphic xmlns:a="http://schemas.openxmlformats.org/drawingml/2006/main">
                  <a:graphicData uri="http://schemas.microsoft.com/office/word/2010/wordprocessingShape">
                    <wps:wsp>
                      <wps:cNvSpPr txBox="1"/>
                      <wps:spPr>
                        <a:xfrm>
                          <a:off x="0" y="0"/>
                          <a:ext cx="70866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AC2736E" w14:textId="33D6044E" w:rsidR="00AB5BC4" w:rsidRPr="00AB5BC4" w:rsidRDefault="00AB5BC4">
                            <w:r w:rsidRPr="00AB5BC4">
                              <w:rPr>
                                <w:b/>
                              </w:rPr>
                              <w:t>F</w:t>
                            </w:r>
                            <w:r w:rsidR="001B5AD0">
                              <w:rPr>
                                <w:b/>
                              </w:rPr>
                              <w:t>igure 3.0</w:t>
                            </w:r>
                            <w:r>
                              <w:rPr>
                                <w:b/>
                              </w:rPr>
                              <w:t xml:space="preserve"> </w:t>
                            </w:r>
                            <w:r>
                              <w:t>Shows the monthly mean number of rough sleepers in Swansea contacted per day. Data source: www.thewallich.com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2F6487" id="Text Box 42" o:spid="_x0000_s1048" type="#_x0000_t202" style="position:absolute;margin-left:-49.95pt;margin-top:418.6pt;width:558pt;height:36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" filled="f" stroked="f">
                <v:textbox>
                  <w:txbxContent>
                    <w:p w14:paraId="0AC2736E" w14:textId="33D6044E" w:rsidR="00AB5BC4" w:rsidRPr="00AB5BC4" w:rsidRDefault="00AB5BC4">
                      <w:r w:rsidRPr="00AB5BC4">
                        <w:rPr>
                          <w:b/>
                        </w:rPr>
                        <w:t>F</w:t>
                      </w:r>
                      <w:r w:rsidR="001B5AD0">
                        <w:rPr>
                          <w:b/>
                        </w:rPr>
                        <w:t>igure 3.0</w:t>
                      </w:r>
                      <w:r>
                        <w:rPr>
                          <w:b/>
                        </w:rPr>
                        <w:t xml:space="preserve"> </w:t>
                      </w:r>
                      <w:r>
                        <w:t>Shows the monthly mean number of rough sleepers in Swansea contacted per day. Data source: www.thewallich.com</w:t>
                      </w:r>
                    </w:p>
                  </w:txbxContent>
                </v:textbox>
                <w10:wrap type="square"/>
              </v:shape>
            </w:pict>
          </mc:Fallback>
        </mc:AlternateContent>
      </w:r>
    </w:p>
    <w:p w14:paraId="31A1C87F" w14:textId="77777777" w:rsidR="00414BA8" w:rsidRPr="00414BA8" w:rsidRDefault="00414BA8" w:rsidP="001A7C58">
      <w:pPr>
        <w:tabs>
          <w:tab w:val="left" w:pos="2869"/>
        </w:tabs>
      </w:pPr>
    </w:p>
    <w:p w14:paraId="05741536" w14:textId="28C929BC" w:rsidR="00E31CE4" w:rsidRDefault="00E31CE4" w:rsidP="001A7C58">
      <w:pPr>
        <w:tabs>
          <w:tab w:val="left" w:pos="2869"/>
        </w:tabs>
      </w:pPr>
    </w:p>
    <w:p w14:paraId="515E68B8" w14:textId="6070C3C3" w:rsidR="00E31CE4" w:rsidRDefault="00E31CE4" w:rsidP="001A7C58">
      <w:pPr>
        <w:tabs>
          <w:tab w:val="left" w:pos="2869"/>
        </w:tabs>
      </w:pPr>
    </w:p>
    <w:p w14:paraId="104236C8" w14:textId="77777777" w:rsidR="000D7518" w:rsidRDefault="000D7518" w:rsidP="001A7C58">
      <w:pPr>
        <w:tabs>
          <w:tab w:val="left" w:pos="2869"/>
        </w:tabs>
      </w:pPr>
    </w:p>
    <w:p w14:paraId="573C4F9A" w14:textId="77777777" w:rsidR="000D7518" w:rsidRDefault="000D7518" w:rsidP="001A7C58">
      <w:pPr>
        <w:tabs>
          <w:tab w:val="left" w:pos="2869"/>
        </w:tabs>
      </w:pPr>
    </w:p>
    <w:p w14:paraId="3FC6A295" w14:textId="77777777" w:rsidR="000D7518" w:rsidRDefault="000D7518" w:rsidP="001A7C58">
      <w:pPr>
        <w:tabs>
          <w:tab w:val="left" w:pos="2869"/>
        </w:tabs>
      </w:pPr>
    </w:p>
    <w:p w14:paraId="42580D96" w14:textId="77777777" w:rsidR="000D7518" w:rsidRDefault="000D7518" w:rsidP="001A7C58">
      <w:pPr>
        <w:tabs>
          <w:tab w:val="left" w:pos="2869"/>
        </w:tabs>
      </w:pPr>
    </w:p>
    <w:p w14:paraId="470E1D11" w14:textId="77777777" w:rsidR="000D7518" w:rsidRDefault="000D7518" w:rsidP="001A7C58">
      <w:pPr>
        <w:tabs>
          <w:tab w:val="left" w:pos="2869"/>
        </w:tabs>
      </w:pPr>
    </w:p>
    <w:p w14:paraId="037DEC65" w14:textId="77777777" w:rsidR="000D7518" w:rsidRDefault="000D7518" w:rsidP="001A7C58">
      <w:pPr>
        <w:tabs>
          <w:tab w:val="left" w:pos="2869"/>
        </w:tabs>
      </w:pPr>
    </w:p>
    <w:p w14:paraId="10E2A2A8" w14:textId="77777777" w:rsidR="000D7518" w:rsidRDefault="000D7518" w:rsidP="001A7C58">
      <w:pPr>
        <w:tabs>
          <w:tab w:val="left" w:pos="2869"/>
        </w:tabs>
      </w:pPr>
    </w:p>
    <w:p w14:paraId="6186B0D7" w14:textId="77777777" w:rsidR="000D7518" w:rsidRDefault="000D7518" w:rsidP="001A7C58">
      <w:pPr>
        <w:tabs>
          <w:tab w:val="left" w:pos="2869"/>
        </w:tabs>
      </w:pPr>
    </w:p>
    <w:p w14:paraId="073B0F96" w14:textId="77777777" w:rsidR="000D7518" w:rsidRDefault="000D7518" w:rsidP="001A7C58">
      <w:pPr>
        <w:tabs>
          <w:tab w:val="left" w:pos="2869"/>
        </w:tabs>
      </w:pPr>
    </w:p>
    <w:p w14:paraId="7FD19B0C" w14:textId="77777777" w:rsidR="000D7518" w:rsidRDefault="000D7518" w:rsidP="001A7C58">
      <w:pPr>
        <w:tabs>
          <w:tab w:val="left" w:pos="2869"/>
        </w:tabs>
      </w:pPr>
    </w:p>
    <w:p w14:paraId="273605FC" w14:textId="77777777" w:rsidR="000D7518" w:rsidRDefault="000D7518" w:rsidP="001A7C58">
      <w:pPr>
        <w:tabs>
          <w:tab w:val="left" w:pos="2869"/>
        </w:tabs>
      </w:pPr>
    </w:p>
    <w:p w14:paraId="5E905A4E" w14:textId="10D9E50F" w:rsidR="000D7518" w:rsidRDefault="001B5AD0" w:rsidP="001A7C58">
      <w:pPr>
        <w:tabs>
          <w:tab w:val="left" w:pos="2869"/>
        </w:tabs>
      </w:pPr>
      <w:r>
        <w:rPr>
          <w:noProof/>
          <w:lang w:eastAsia="en-GB"/>
        </w:rPr>
        <mc:AlternateContent>
          <mc:Choice Requires="wps">
            <w:drawing>
              <wp:anchor distT="0" distB="0" distL="114300" distR="114300" simplePos="0" relativeHeight="251710464" behindDoc="0" locked="0" layoutInCell="1" allowOverlap="1" wp14:anchorId="12352D4B" wp14:editId="3F76EDB3">
                <wp:simplePos x="0" y="0"/>
                <wp:positionH relativeFrom="column">
                  <wp:posOffset>-62865</wp:posOffset>
                </wp:positionH>
                <wp:positionV relativeFrom="paragraph">
                  <wp:posOffset>7673975</wp:posOffset>
                </wp:positionV>
                <wp:extent cx="5829300" cy="571500"/>
                <wp:effectExtent l="0" t="0" r="0" b="12700"/>
                <wp:wrapSquare wrapText="bothSides"/>
                <wp:docPr id="46" name="Text Box 46"/>
                <wp:cNvGraphicFramePr/>
                <a:graphic xmlns:a="http://schemas.openxmlformats.org/drawingml/2006/main">
                  <a:graphicData uri="http://schemas.microsoft.com/office/word/2010/wordprocessingShape">
                    <wps:wsp>
                      <wps:cNvSpPr txBox="1"/>
                      <wps:spPr>
                        <a:xfrm>
                          <a:off x="0" y="0"/>
                          <a:ext cx="5829300" cy="571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9E24094" w14:textId="63A76ED3" w:rsidR="001B5AD0" w:rsidRPr="001B5AD0" w:rsidRDefault="001B5AD0">
                            <w:r w:rsidRPr="001B5AD0">
                              <w:rPr>
                                <w:b/>
                              </w:rPr>
                              <w:t>Figure 3.2</w:t>
                            </w:r>
                            <w:r>
                              <w:rPr>
                                <w:b/>
                              </w:rPr>
                              <w:t xml:space="preserve"> </w:t>
                            </w:r>
                            <w:r>
                              <w:t>Graph showing the estimated number of rough sleepers in Wales by local authority in 2011. Data Source: stats.Wales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352D4B" id="Text Box 46" o:spid="_x0000_s1049" type="#_x0000_t202" style="position:absolute;margin-left:-4.95pt;margin-top:604.25pt;width:459pt;height:4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" filled="f" stroked="f">
                <v:textbox>
                  <w:txbxContent>
                    <w:p w14:paraId="09E24094" w14:textId="63A76ED3" w:rsidR="001B5AD0" w:rsidRPr="001B5AD0" w:rsidRDefault="001B5AD0">
                      <w:r w:rsidRPr="001B5AD0">
                        <w:rPr>
                          <w:b/>
                        </w:rPr>
                        <w:t>Figure 3.2</w:t>
                      </w:r>
                      <w:r>
                        <w:rPr>
                          <w:b/>
                        </w:rPr>
                        <w:t xml:space="preserve"> </w:t>
                      </w:r>
                      <w:r>
                        <w:t>Graph showing the estimated number of rough sleepers in Wales by local authority in 2011. Data Source: stats.Wales</w:t>
                      </w:r>
                    </w:p>
                  </w:txbxContent>
                </v:textbox>
                <w10:wrap type="square"/>
              </v:shape>
            </w:pict>
          </mc:Fallback>
        </mc:AlternateContent>
      </w:r>
      <w:r>
        <w:rPr>
          <w:noProof/>
          <w:lang w:eastAsia="en-GB"/>
        </w:rPr>
        <w:drawing>
          <wp:anchor distT="0" distB="0" distL="114300" distR="114300" simplePos="0" relativeHeight="251709440" behindDoc="0" locked="0" layoutInCell="1" allowOverlap="1" wp14:anchorId="6790BEC2" wp14:editId="66BAF528">
            <wp:simplePos x="0" y="0"/>
            <wp:positionH relativeFrom="column">
              <wp:posOffset>-62865</wp:posOffset>
            </wp:positionH>
            <wp:positionV relativeFrom="paragraph">
              <wp:posOffset>4016375</wp:posOffset>
            </wp:positionV>
            <wp:extent cx="5828665" cy="3511550"/>
            <wp:effectExtent l="0" t="0" r="13335" b="19050"/>
            <wp:wrapTight wrapText="bothSides">
              <wp:wrapPolygon edited="0">
                <wp:start x="0" y="0"/>
                <wp:lineTo x="0" y="21561"/>
                <wp:lineTo x="21555" y="21561"/>
                <wp:lineTo x="21555" y="0"/>
                <wp:lineTo x="0" y="0"/>
              </wp:wrapPolygon>
            </wp:wrapTight>
            <wp:docPr id="45" name="Chart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r w:rsidR="002C4EEE">
        <w:rPr>
          <w:noProof/>
          <w:lang w:eastAsia="en-GB"/>
        </w:rPr>
        <mc:AlternateContent>
          <mc:Choice Requires="wps">
            <w:drawing>
              <wp:anchor distT="0" distB="0" distL="114300" distR="114300" simplePos="0" relativeHeight="251708416" behindDoc="0" locked="0" layoutInCell="1" allowOverlap="1" wp14:anchorId="3A178457" wp14:editId="51789865">
                <wp:simplePos x="0" y="0"/>
                <wp:positionH relativeFrom="column">
                  <wp:posOffset>-63500</wp:posOffset>
                </wp:positionH>
                <wp:positionV relativeFrom="paragraph">
                  <wp:posOffset>3333115</wp:posOffset>
                </wp:positionV>
                <wp:extent cx="5600700" cy="457200"/>
                <wp:effectExtent l="0" t="0" r="0" b="0"/>
                <wp:wrapSquare wrapText="bothSides"/>
                <wp:docPr id="44" name="Text Box 44"/>
                <wp:cNvGraphicFramePr/>
                <a:graphic xmlns:a="http://schemas.openxmlformats.org/drawingml/2006/main">
                  <a:graphicData uri="http://schemas.microsoft.com/office/word/2010/wordprocessingShape">
                    <wps:wsp>
                      <wps:cNvSpPr txBox="1"/>
                      <wps:spPr>
                        <a:xfrm>
                          <a:off x="0" y="0"/>
                          <a:ext cx="56007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663E786" w14:textId="2E8215D3" w:rsidR="002C4EEE" w:rsidRPr="001B5AD0" w:rsidRDefault="002C4EEE">
                            <w:r w:rsidRPr="002C4EEE">
                              <w:rPr>
                                <w:b/>
                              </w:rPr>
                              <w:t>Figure 3.1</w:t>
                            </w:r>
                            <w:r w:rsidR="001B5AD0">
                              <w:rPr>
                                <w:b/>
                              </w:rPr>
                              <w:t xml:space="preserve"> </w:t>
                            </w:r>
                            <w:r w:rsidR="001B5AD0">
                              <w:t>Graph showing newly homeless households in Wales by local authority in 2011. Data source: Stats.Wales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178457" id="Text Box 44" o:spid="_x0000_s1050" type="#_x0000_t202" style="position:absolute;margin-left:-5pt;margin-top:262.45pt;width:441pt;height:36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" filled="f" stroked="f">
                <v:textbox>
                  <w:txbxContent>
                    <w:p w14:paraId="4663E786" w14:textId="2E8215D3" w:rsidR="002C4EEE" w:rsidRPr="001B5AD0" w:rsidRDefault="002C4EEE">
                      <w:r w:rsidRPr="002C4EEE">
                        <w:rPr>
                          <w:b/>
                        </w:rPr>
                        <w:t>Figure 3.1</w:t>
                      </w:r>
                      <w:r w:rsidR="001B5AD0">
                        <w:rPr>
                          <w:b/>
                        </w:rPr>
                        <w:t xml:space="preserve"> </w:t>
                      </w:r>
                      <w:r w:rsidR="001B5AD0">
                        <w:t>Graph showing newly homeless households in Wales by local authority in 2011. Data source: Stats.Wales</w:t>
                      </w:r>
                    </w:p>
                  </w:txbxContent>
                </v:textbox>
                <w10:wrap type="square"/>
              </v:shape>
            </w:pict>
          </mc:Fallback>
        </mc:AlternateContent>
      </w:r>
      <w:r w:rsidR="000D7518">
        <w:rPr>
          <w:noProof/>
          <w:lang w:eastAsia="en-GB"/>
        </w:rPr>
        <w:drawing>
          <wp:anchor distT="0" distB="0" distL="114300" distR="114300" simplePos="0" relativeHeight="251706368" behindDoc="0" locked="0" layoutInCell="1" allowOverlap="1" wp14:anchorId="75D3DC48" wp14:editId="43838A61">
            <wp:simplePos x="0" y="0"/>
            <wp:positionH relativeFrom="column">
              <wp:posOffset>-62865</wp:posOffset>
            </wp:positionH>
            <wp:positionV relativeFrom="paragraph">
              <wp:posOffset>16510</wp:posOffset>
            </wp:positionV>
            <wp:extent cx="5828665" cy="3199130"/>
            <wp:effectExtent l="0" t="0" r="13335" b="1270"/>
            <wp:wrapTight wrapText="bothSides">
              <wp:wrapPolygon edited="0">
                <wp:start x="0" y="0"/>
                <wp:lineTo x="0" y="21437"/>
                <wp:lineTo x="21555" y="21437"/>
                <wp:lineTo x="21555" y="0"/>
                <wp:lineTo x="0" y="0"/>
              </wp:wrapPolygon>
            </wp:wrapTight>
            <wp:docPr id="43" name="Chart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p>
    <w:p w14:paraId="62E5404B" w14:textId="4AC7C4EE" w:rsidR="000D7518" w:rsidRDefault="000D7518" w:rsidP="001A7C58">
      <w:pPr>
        <w:tabs>
          <w:tab w:val="left" w:pos="2869"/>
        </w:tabs>
      </w:pPr>
    </w:p>
    <w:p w14:paraId="2DE44C36" w14:textId="488FE531" w:rsidR="00E31CE4" w:rsidRDefault="00E31CE4" w:rsidP="001A7C58">
      <w:pPr>
        <w:tabs>
          <w:tab w:val="left" w:pos="2869"/>
        </w:tabs>
      </w:pPr>
    </w:p>
    <w:p w14:paraId="2A4C86A4" w14:textId="7EB50D31" w:rsidR="00E31CE4" w:rsidRDefault="001B5AD0" w:rsidP="001A7C58">
      <w:pPr>
        <w:tabs>
          <w:tab w:val="left" w:pos="2869"/>
        </w:tabs>
      </w:pPr>
      <w:r>
        <w:t xml:space="preserve">Figure 3.0 shows the mean monthly number of rough sleepers in Swansea per day, from October 2013 to December 2017. The data shows that the number of rough </w:t>
      </w:r>
      <w:r w:rsidR="0097328F">
        <w:t>sleeper</w:t>
      </w:r>
      <w:r w:rsidR="00C07CE1">
        <w:t>s</w:t>
      </w:r>
      <w:r w:rsidR="0097328F">
        <w:t xml:space="preserve"> in Swansea has increased steadily from 2013 to 2017. This indicates that homelessness is an issue in Swansea. Furthermore </w:t>
      </w:r>
      <w:r w:rsidR="0022683A">
        <w:t>figure 3.1 shows that Swansea had the highest number of newly homeless household</w:t>
      </w:r>
      <w:r w:rsidR="00C07CE1">
        <w:t xml:space="preserve">s in Wales in 2011.More recent data shown in figure 3.2 shows that Swansea had the fifth largest number of rough sleepers in 2016-17. The issue of homelessness in Swansea </w:t>
      </w:r>
      <w:r w:rsidR="00364399">
        <w:t>needs addressing as it</w:t>
      </w:r>
      <w:r w:rsidR="00C07CE1">
        <w:t xml:space="preserve"> can affect mental healt</w:t>
      </w:r>
      <w:r w:rsidR="005447DD">
        <w:t>h. Figure 2.5 supports this as It shows that Swansea has the second worst mental health and wellb</w:t>
      </w:r>
      <w:r w:rsidR="001752BD">
        <w:t>eing in Wales. Furthermore, homelessness is linked to</w:t>
      </w:r>
      <w:r w:rsidR="007E0EB0">
        <w:t xml:space="preserve"> high levels of unemployment. Figure 2.5 shows that Wales</w:t>
      </w:r>
      <w:r w:rsidR="0086364B">
        <w:t>’</w:t>
      </w:r>
      <w:r w:rsidR="007E0EB0">
        <w:t xml:space="preserve"> employment rate has continuously fallen below the Welsh average since 2007, which may be linked to the increase in homelessness. </w:t>
      </w:r>
      <w:r w:rsidR="005447DD">
        <w:t xml:space="preserve"> </w:t>
      </w:r>
      <w:r w:rsidR="00C07CE1">
        <w:t xml:space="preserve"> </w:t>
      </w:r>
    </w:p>
    <w:p w14:paraId="54D5FEF2" w14:textId="6F7B4D15" w:rsidR="00E31CE4" w:rsidRDefault="00E31CE4" w:rsidP="001A7C58">
      <w:pPr>
        <w:tabs>
          <w:tab w:val="left" w:pos="2869"/>
        </w:tabs>
      </w:pPr>
    </w:p>
    <w:p w14:paraId="60D5EEAD" w14:textId="1C81E6DD" w:rsidR="004A3B6E" w:rsidRDefault="007E0EB0" w:rsidP="001A7C58">
      <w:pPr>
        <w:tabs>
          <w:tab w:val="left" w:pos="2869"/>
        </w:tabs>
      </w:pPr>
      <w:r>
        <w:t>In conclusion, this needs assessment has highlighted a few of the key issues</w:t>
      </w:r>
      <w:r w:rsidR="0086364B">
        <w:t xml:space="preserve"> that</w:t>
      </w:r>
      <w:r>
        <w:t xml:space="preserve"> Swansea is currently experiencing. Firstly, although Swansea’s population is a fraction of the United Kingdoms, it is the second most populated region in Wales. In terms of employment, Swansea has fallen below the Welsh average since 2007. Furthermore, the data has indicated that Swansea’s mental health and wellbeing is the second worst in Wales, which may be linked to the low levels of employment. Secondly the amount of Welsh speakers in Swansea is extremely low, indicating that the language may be dying out in the region. Homelessness within Swansea is an issue that has been increasing since 2013. The number of rough sleepers in Swansea at the end of 2017 was the </w:t>
      </w:r>
      <w:r w:rsidR="0086364B">
        <w:t>highest recorded in four years.</w:t>
      </w:r>
      <w:r>
        <w:t xml:space="preserve"> </w:t>
      </w:r>
      <w:r w:rsidR="00310AB5">
        <w:t>Swansea recorded the highest number of newly homeless households in Wales in 2011.</w:t>
      </w:r>
      <w:r w:rsidR="00153E04">
        <w:t xml:space="preserve"> Finally, the data has indicated that Swansea has an ageing population with almost one fifth being over the age of 65. The possible implications of this are that the National Health and Social services will have an increased demand.</w:t>
      </w:r>
      <w:r w:rsidR="0086364B">
        <w:t xml:space="preserve"> </w:t>
      </w:r>
      <w:r w:rsidR="00153E04">
        <w:t xml:space="preserve">The issues highlighted in this needs assessment are some of the major issues being experienced in Swansea currently. </w:t>
      </w:r>
    </w:p>
    <w:p w14:paraId="2B6ED5C9" w14:textId="77777777" w:rsidR="007956F7" w:rsidRDefault="007956F7" w:rsidP="001A7C58">
      <w:pPr>
        <w:tabs>
          <w:tab w:val="left" w:pos="2869"/>
        </w:tabs>
      </w:pPr>
    </w:p>
    <w:p w14:paraId="560C390A" w14:textId="77777777" w:rsidR="007956F7" w:rsidRDefault="007956F7" w:rsidP="001A7C58">
      <w:pPr>
        <w:tabs>
          <w:tab w:val="left" w:pos="2869"/>
        </w:tabs>
      </w:pPr>
    </w:p>
    <w:p w14:paraId="2DF5173D" w14:textId="77777777" w:rsidR="007956F7" w:rsidRDefault="007956F7" w:rsidP="001A7C58">
      <w:pPr>
        <w:tabs>
          <w:tab w:val="left" w:pos="2869"/>
        </w:tabs>
      </w:pPr>
    </w:p>
    <w:p w14:paraId="2E895A80" w14:textId="77777777" w:rsidR="007956F7" w:rsidRDefault="007956F7" w:rsidP="001A7C58">
      <w:pPr>
        <w:tabs>
          <w:tab w:val="left" w:pos="2869"/>
        </w:tabs>
      </w:pPr>
    </w:p>
    <w:p w14:paraId="6661A415" w14:textId="77777777" w:rsidR="007956F7" w:rsidRDefault="007956F7" w:rsidP="001A7C58">
      <w:pPr>
        <w:tabs>
          <w:tab w:val="left" w:pos="2869"/>
        </w:tabs>
      </w:pPr>
    </w:p>
    <w:p w14:paraId="4AE0B3B0" w14:textId="77777777" w:rsidR="007956F7" w:rsidRDefault="007956F7" w:rsidP="001A7C58">
      <w:pPr>
        <w:tabs>
          <w:tab w:val="left" w:pos="2869"/>
        </w:tabs>
      </w:pPr>
    </w:p>
    <w:p w14:paraId="295A3CA8" w14:textId="77777777" w:rsidR="007956F7" w:rsidRDefault="007956F7" w:rsidP="001A7C58">
      <w:pPr>
        <w:tabs>
          <w:tab w:val="left" w:pos="2869"/>
        </w:tabs>
      </w:pPr>
    </w:p>
    <w:p w14:paraId="05D5CB15" w14:textId="77777777" w:rsidR="007956F7" w:rsidRDefault="007956F7" w:rsidP="001A7C58">
      <w:pPr>
        <w:tabs>
          <w:tab w:val="left" w:pos="2869"/>
        </w:tabs>
      </w:pPr>
    </w:p>
    <w:p w14:paraId="75DC9421" w14:textId="77777777" w:rsidR="007956F7" w:rsidRDefault="007956F7" w:rsidP="001A7C58">
      <w:pPr>
        <w:tabs>
          <w:tab w:val="left" w:pos="2869"/>
        </w:tabs>
      </w:pPr>
    </w:p>
    <w:p w14:paraId="2A2BBC56" w14:textId="77777777" w:rsidR="007956F7" w:rsidRDefault="007956F7" w:rsidP="001A7C58">
      <w:pPr>
        <w:tabs>
          <w:tab w:val="left" w:pos="2869"/>
        </w:tabs>
      </w:pPr>
    </w:p>
    <w:p w14:paraId="6AE4FCF1" w14:textId="77777777" w:rsidR="007956F7" w:rsidRDefault="007956F7" w:rsidP="001A7C58">
      <w:pPr>
        <w:tabs>
          <w:tab w:val="left" w:pos="2869"/>
        </w:tabs>
      </w:pPr>
    </w:p>
    <w:p w14:paraId="6DC89140" w14:textId="77777777" w:rsidR="007956F7" w:rsidRDefault="007956F7" w:rsidP="001A7C58">
      <w:pPr>
        <w:tabs>
          <w:tab w:val="left" w:pos="2869"/>
        </w:tabs>
      </w:pPr>
    </w:p>
    <w:p w14:paraId="42792D13" w14:textId="77777777" w:rsidR="007956F7" w:rsidRDefault="007956F7" w:rsidP="001A7C58">
      <w:pPr>
        <w:tabs>
          <w:tab w:val="left" w:pos="2869"/>
        </w:tabs>
      </w:pPr>
    </w:p>
    <w:p w14:paraId="3DC3103D" w14:textId="77777777" w:rsidR="007956F7" w:rsidRDefault="007956F7" w:rsidP="001A7C58">
      <w:pPr>
        <w:tabs>
          <w:tab w:val="left" w:pos="2869"/>
        </w:tabs>
      </w:pPr>
    </w:p>
    <w:p w14:paraId="7F52C1EF" w14:textId="77777777" w:rsidR="007956F7" w:rsidRDefault="007956F7" w:rsidP="001A7C58">
      <w:pPr>
        <w:tabs>
          <w:tab w:val="left" w:pos="2869"/>
        </w:tabs>
      </w:pPr>
    </w:p>
    <w:p w14:paraId="24E6DC7F" w14:textId="77777777" w:rsidR="007956F7" w:rsidRDefault="007956F7" w:rsidP="001A7C58">
      <w:pPr>
        <w:tabs>
          <w:tab w:val="left" w:pos="2869"/>
        </w:tabs>
      </w:pPr>
    </w:p>
    <w:p w14:paraId="47A5B28D" w14:textId="77777777" w:rsidR="007956F7" w:rsidRDefault="007956F7" w:rsidP="001A7C58">
      <w:pPr>
        <w:tabs>
          <w:tab w:val="left" w:pos="2869"/>
        </w:tabs>
      </w:pPr>
    </w:p>
    <w:p w14:paraId="3ABFB0D3" w14:textId="77777777" w:rsidR="007956F7" w:rsidRDefault="007956F7" w:rsidP="001A7C58">
      <w:pPr>
        <w:tabs>
          <w:tab w:val="left" w:pos="2869"/>
        </w:tabs>
      </w:pPr>
    </w:p>
    <w:p w14:paraId="66EF742E" w14:textId="77777777" w:rsidR="007956F7" w:rsidRDefault="007956F7" w:rsidP="001A7C58">
      <w:pPr>
        <w:tabs>
          <w:tab w:val="left" w:pos="2869"/>
        </w:tabs>
      </w:pPr>
    </w:p>
    <w:p w14:paraId="0B48E746" w14:textId="77777777" w:rsidR="007956F7" w:rsidRDefault="007956F7" w:rsidP="001A7C58">
      <w:pPr>
        <w:tabs>
          <w:tab w:val="left" w:pos="2869"/>
        </w:tabs>
      </w:pPr>
    </w:p>
    <w:p w14:paraId="06DD24C0" w14:textId="77777777" w:rsidR="007956F7" w:rsidRDefault="007956F7" w:rsidP="001A7C58">
      <w:pPr>
        <w:tabs>
          <w:tab w:val="left" w:pos="2869"/>
        </w:tabs>
      </w:pPr>
    </w:p>
    <w:p w14:paraId="241FF323" w14:textId="77777777" w:rsidR="007956F7" w:rsidRDefault="007956F7" w:rsidP="007956F7">
      <w:pPr>
        <w:tabs>
          <w:tab w:val="left" w:pos="2869"/>
        </w:tabs>
        <w:rPr>
          <w:u w:val="single"/>
        </w:rPr>
      </w:pPr>
      <w:r w:rsidRPr="00F746E6">
        <w:rPr>
          <w:u w:val="single"/>
        </w:rPr>
        <w:t>Reference List</w:t>
      </w:r>
      <w:r>
        <w:rPr>
          <w:u w:val="single"/>
        </w:rPr>
        <w:t xml:space="preserve"> </w:t>
      </w:r>
    </w:p>
    <w:p w14:paraId="78BF4F37" w14:textId="77777777" w:rsidR="007956F7" w:rsidRDefault="007956F7" w:rsidP="007956F7">
      <w:pPr>
        <w:tabs>
          <w:tab w:val="left" w:pos="2869"/>
        </w:tabs>
        <w:rPr>
          <w:u w:val="single"/>
        </w:rPr>
      </w:pPr>
    </w:p>
    <w:p w14:paraId="5E4EF873" w14:textId="77777777" w:rsidR="007956F7" w:rsidRPr="00F746E6" w:rsidRDefault="007956F7" w:rsidP="007956F7">
      <w:pPr>
        <w:tabs>
          <w:tab w:val="left" w:pos="2869"/>
        </w:tabs>
        <w:rPr>
          <w:u w:val="single"/>
        </w:rPr>
      </w:pPr>
    </w:p>
    <w:p w14:paraId="17CC0D30" w14:textId="77777777" w:rsidR="007956F7" w:rsidRDefault="007956F7" w:rsidP="007956F7">
      <w:pPr>
        <w:rPr>
          <w:rFonts w:eastAsia="Times New Roman" w:cs="Arial"/>
          <w:color w:val="000000" w:themeColor="text1"/>
          <w:shd w:val="clear" w:color="auto" w:fill="FFFFFF"/>
          <w:lang w:eastAsia="en-GB"/>
        </w:rPr>
      </w:pPr>
      <w:r w:rsidRPr="00007610">
        <w:rPr>
          <w:rFonts w:eastAsia="Times New Roman" w:cs="Arial"/>
          <w:color w:val="000000" w:themeColor="text1"/>
          <w:shd w:val="clear" w:color="auto" w:fill="FFFFFF"/>
          <w:lang w:eastAsia="en-GB"/>
        </w:rPr>
        <w:t>BBC News. (2018). </w:t>
      </w:r>
      <w:r w:rsidRPr="00007610">
        <w:rPr>
          <w:rFonts w:eastAsia="Times New Roman" w:cs="Arial"/>
          <w:i/>
          <w:iCs/>
          <w:color w:val="000000" w:themeColor="text1"/>
          <w:lang w:eastAsia="en-GB"/>
        </w:rPr>
        <w:t>Cities face 'wider' economy gap</w:t>
      </w:r>
      <w:r w:rsidRPr="00007610">
        <w:rPr>
          <w:rFonts w:eastAsia="Times New Roman" w:cs="Arial"/>
          <w:color w:val="000000" w:themeColor="text1"/>
          <w:shd w:val="clear" w:color="auto" w:fill="FFFFFF"/>
          <w:lang w:eastAsia="en-GB"/>
        </w:rPr>
        <w:t>. [online] Available at: http://www.bbc.co.uk/news/uk-wales-16676564 [Accessed 10 Jan. 2018].</w:t>
      </w:r>
    </w:p>
    <w:p w14:paraId="0A22B9DD" w14:textId="77777777" w:rsidR="007956F7" w:rsidRDefault="007956F7" w:rsidP="007956F7">
      <w:pPr>
        <w:rPr>
          <w:rFonts w:eastAsia="Times New Roman" w:cs="Arial"/>
          <w:color w:val="000000" w:themeColor="text1"/>
          <w:shd w:val="clear" w:color="auto" w:fill="FFFFFF"/>
          <w:lang w:eastAsia="en-GB"/>
        </w:rPr>
      </w:pPr>
    </w:p>
    <w:p w14:paraId="71411B70" w14:textId="77777777" w:rsidR="007956F7" w:rsidRDefault="007956F7" w:rsidP="007956F7">
      <w:pPr>
        <w:rPr>
          <w:rFonts w:eastAsia="Times New Roman" w:cs="Arial"/>
          <w:color w:val="000000" w:themeColor="text1"/>
          <w:shd w:val="clear" w:color="auto" w:fill="FFFFFF"/>
          <w:lang w:eastAsia="en-GB"/>
        </w:rPr>
      </w:pPr>
    </w:p>
    <w:p w14:paraId="69C694D1" w14:textId="77777777" w:rsidR="007956F7" w:rsidRDefault="007956F7" w:rsidP="007956F7">
      <w:pPr>
        <w:rPr>
          <w:rFonts w:eastAsia="Times New Roman" w:cs="Arial"/>
          <w:color w:val="000000" w:themeColor="text1"/>
          <w:shd w:val="clear" w:color="auto" w:fill="FFFFFF"/>
          <w:lang w:eastAsia="en-GB"/>
        </w:rPr>
      </w:pPr>
      <w:r w:rsidRPr="00007610">
        <w:rPr>
          <w:rFonts w:eastAsia="Times New Roman" w:cs="Arial"/>
          <w:color w:val="000000" w:themeColor="text1"/>
          <w:shd w:val="clear" w:color="auto" w:fill="FFFFFF"/>
          <w:lang w:eastAsia="en-GB"/>
        </w:rPr>
        <w:t>Cpa.org.uk. (2018). </w:t>
      </w:r>
      <w:r w:rsidRPr="00007610">
        <w:rPr>
          <w:rFonts w:eastAsia="Times New Roman" w:cs="Arial"/>
          <w:i/>
          <w:iCs/>
          <w:color w:val="000000" w:themeColor="text1"/>
          <w:lang w:eastAsia="en-GB"/>
        </w:rPr>
        <w:t>Ageing well in Wales 2014-19</w:t>
      </w:r>
      <w:r w:rsidRPr="00007610">
        <w:rPr>
          <w:rFonts w:eastAsia="Times New Roman" w:cs="Arial"/>
          <w:color w:val="000000" w:themeColor="text1"/>
          <w:shd w:val="clear" w:color="auto" w:fill="FFFFFF"/>
          <w:lang w:eastAsia="en-GB"/>
        </w:rPr>
        <w:t>. [online] Available at: http://www.cpa.org.uk/cpa-lga-evidence/Merthyr_Tydfil_County_Borough_Council/Ageing_Well_in_Wales_Programme.pdf [Accessed 10 Jan. 2018].</w:t>
      </w:r>
    </w:p>
    <w:p w14:paraId="0247FCF5" w14:textId="77777777" w:rsidR="007956F7" w:rsidRDefault="007956F7" w:rsidP="007956F7">
      <w:pPr>
        <w:rPr>
          <w:rFonts w:eastAsia="Times New Roman" w:cs="Arial"/>
          <w:color w:val="000000" w:themeColor="text1"/>
          <w:shd w:val="clear" w:color="auto" w:fill="FFFFFF"/>
          <w:lang w:eastAsia="en-GB"/>
        </w:rPr>
      </w:pPr>
    </w:p>
    <w:p w14:paraId="1EBFED1E" w14:textId="77777777" w:rsidR="007956F7" w:rsidRDefault="007956F7" w:rsidP="007956F7">
      <w:pPr>
        <w:rPr>
          <w:rFonts w:ascii="Arial" w:eastAsia="Times New Roman" w:hAnsi="Arial" w:cs="Arial"/>
          <w:b/>
          <w:bCs/>
          <w:color w:val="666666"/>
          <w:sz w:val="20"/>
          <w:szCs w:val="20"/>
          <w:lang w:eastAsia="en-GB"/>
        </w:rPr>
      </w:pPr>
    </w:p>
    <w:p w14:paraId="43F84E86" w14:textId="77777777" w:rsidR="007956F7" w:rsidRDefault="007956F7" w:rsidP="007956F7">
      <w:pPr>
        <w:rPr>
          <w:rFonts w:eastAsia="Times New Roman" w:cs="Arial"/>
          <w:color w:val="000000" w:themeColor="text1"/>
          <w:lang w:eastAsia="en-GB"/>
        </w:rPr>
      </w:pPr>
      <w:r w:rsidRPr="00007610">
        <w:rPr>
          <w:rFonts w:ascii="Arial" w:eastAsia="Times New Roman" w:hAnsi="Arial" w:cs="Arial"/>
          <w:b/>
          <w:bCs/>
          <w:color w:val="666666"/>
          <w:sz w:val="20"/>
          <w:szCs w:val="20"/>
          <w:lang w:eastAsia="en-GB"/>
        </w:rPr>
        <w:t> </w:t>
      </w:r>
      <w:r w:rsidRPr="00007610">
        <w:rPr>
          <w:rFonts w:eastAsia="Times New Roman" w:cs="Arial"/>
          <w:color w:val="000000" w:themeColor="text1"/>
          <w:lang w:eastAsia="en-GB"/>
        </w:rPr>
        <w:t>Mentalhealth.org.uk. (2018). </w:t>
      </w:r>
      <w:r w:rsidRPr="00007610">
        <w:rPr>
          <w:rFonts w:eastAsia="Times New Roman" w:cs="Arial"/>
          <w:i/>
          <w:iCs/>
          <w:color w:val="000000" w:themeColor="text1"/>
          <w:lang w:eastAsia="en-GB"/>
        </w:rPr>
        <w:t>Mental Health in Wales: Fundamental Facts 2016</w:t>
      </w:r>
      <w:r w:rsidRPr="00007610">
        <w:rPr>
          <w:rFonts w:eastAsia="Times New Roman" w:cs="Arial"/>
          <w:color w:val="000000" w:themeColor="text1"/>
          <w:lang w:eastAsia="en-GB"/>
        </w:rPr>
        <w:t>. [online] Available at: https://www.mentalhealth.org.uk/sites/default/files/FF16%20Wales.pdf [Accessed 10 Jan. 2018].</w:t>
      </w:r>
    </w:p>
    <w:p w14:paraId="27E9451F" w14:textId="77777777" w:rsidR="007956F7" w:rsidRDefault="007956F7" w:rsidP="007956F7">
      <w:pPr>
        <w:rPr>
          <w:rFonts w:eastAsia="Times New Roman" w:cs="Arial"/>
          <w:color w:val="000000" w:themeColor="text1"/>
          <w:lang w:eastAsia="en-GB"/>
        </w:rPr>
      </w:pPr>
    </w:p>
    <w:p w14:paraId="3B0D72F4" w14:textId="77777777" w:rsidR="007956F7" w:rsidRDefault="007956F7" w:rsidP="007956F7">
      <w:pPr>
        <w:rPr>
          <w:rFonts w:eastAsia="Times New Roman" w:cs="Arial"/>
          <w:color w:val="000000" w:themeColor="text1"/>
          <w:shd w:val="clear" w:color="auto" w:fill="FFFFFF"/>
          <w:lang w:eastAsia="en-GB"/>
        </w:rPr>
      </w:pPr>
    </w:p>
    <w:p w14:paraId="0DFFD96E" w14:textId="77777777" w:rsidR="007956F7" w:rsidRPr="00AC5C05" w:rsidRDefault="007956F7" w:rsidP="007956F7">
      <w:pPr>
        <w:rPr>
          <w:rFonts w:eastAsia="Times New Roman" w:cs="Times New Roman"/>
          <w:color w:val="000000" w:themeColor="text1"/>
          <w:lang w:eastAsia="en-GB"/>
        </w:rPr>
      </w:pPr>
      <w:r w:rsidRPr="00AC5C05">
        <w:rPr>
          <w:rFonts w:eastAsia="Times New Roman" w:cs="Arial"/>
          <w:color w:val="000000" w:themeColor="text1"/>
          <w:shd w:val="clear" w:color="auto" w:fill="FFFFFF"/>
          <w:lang w:eastAsia="en-GB"/>
        </w:rPr>
        <w:t>Who.int. (2018). </w:t>
      </w:r>
      <w:r w:rsidRPr="00AC5C05">
        <w:rPr>
          <w:rFonts w:eastAsia="Times New Roman" w:cs="Arial"/>
          <w:i/>
          <w:iCs/>
          <w:color w:val="000000" w:themeColor="text1"/>
          <w:lang w:eastAsia="en-GB"/>
        </w:rPr>
        <w:t>WHO | Mental health: a state of well-being</w:t>
      </w:r>
      <w:r w:rsidRPr="00AC5C05">
        <w:rPr>
          <w:rFonts w:eastAsia="Times New Roman" w:cs="Arial"/>
          <w:color w:val="000000" w:themeColor="text1"/>
          <w:shd w:val="clear" w:color="auto" w:fill="FFFFFF"/>
          <w:lang w:eastAsia="en-GB"/>
        </w:rPr>
        <w:t>. [online] Available at: http://www.who.int/features/factfiles/mental_health/en/ [Accessed 10 Jan. 2018].</w:t>
      </w:r>
    </w:p>
    <w:p w14:paraId="2B44FBD2" w14:textId="77777777" w:rsidR="007956F7" w:rsidRDefault="007956F7" w:rsidP="007956F7">
      <w:pPr>
        <w:rPr>
          <w:rFonts w:eastAsia="Times New Roman" w:cs="Times New Roman"/>
          <w:color w:val="000000" w:themeColor="text1"/>
          <w:lang w:eastAsia="en-GB"/>
        </w:rPr>
      </w:pPr>
    </w:p>
    <w:p w14:paraId="107D7D3C" w14:textId="77777777" w:rsidR="007956F7" w:rsidRDefault="007956F7" w:rsidP="007956F7">
      <w:pPr>
        <w:rPr>
          <w:rFonts w:eastAsia="Times New Roman" w:cs="Arial"/>
          <w:color w:val="000000" w:themeColor="text1"/>
          <w:shd w:val="clear" w:color="auto" w:fill="FFFFFF"/>
          <w:lang w:eastAsia="en-GB"/>
        </w:rPr>
      </w:pPr>
    </w:p>
    <w:p w14:paraId="393A2763" w14:textId="77777777" w:rsidR="007956F7" w:rsidRPr="00AC5C05" w:rsidRDefault="007956F7" w:rsidP="007956F7">
      <w:pPr>
        <w:rPr>
          <w:rFonts w:eastAsia="Times New Roman" w:cs="Times New Roman"/>
          <w:color w:val="000000" w:themeColor="text1"/>
          <w:lang w:eastAsia="en-GB"/>
        </w:rPr>
      </w:pPr>
      <w:r w:rsidRPr="00AC5C05">
        <w:rPr>
          <w:rFonts w:eastAsia="Times New Roman" w:cs="Arial"/>
          <w:color w:val="000000" w:themeColor="text1"/>
          <w:shd w:val="clear" w:color="auto" w:fill="FFFFFF"/>
          <w:lang w:eastAsia="en-GB"/>
        </w:rPr>
        <w:t>Statswales.gov.wales. (2018). [online] Available at: https://statswales.gov.wales/Catalogue/Health-and-Social-Care/Mental-Health/Admissions-to-Mental-Health-Facilities/admissionstomentalhealthfacilitiesbylhb [Accessed 10 Jan. 2018].</w:t>
      </w:r>
    </w:p>
    <w:p w14:paraId="0705CA79" w14:textId="77777777" w:rsidR="007956F7" w:rsidRDefault="007956F7" w:rsidP="007956F7">
      <w:pPr>
        <w:rPr>
          <w:rFonts w:eastAsia="Times New Roman" w:cs="Times New Roman"/>
          <w:color w:val="000000" w:themeColor="text1"/>
          <w:lang w:eastAsia="en-GB"/>
        </w:rPr>
      </w:pPr>
    </w:p>
    <w:p w14:paraId="04353EB4" w14:textId="77777777" w:rsidR="007956F7" w:rsidRDefault="007956F7" w:rsidP="007956F7">
      <w:pPr>
        <w:rPr>
          <w:rFonts w:eastAsia="Times New Roman" w:cs="Arial"/>
          <w:color w:val="000000" w:themeColor="text1"/>
          <w:shd w:val="clear" w:color="auto" w:fill="FFFFFF"/>
          <w:lang w:eastAsia="en-GB"/>
        </w:rPr>
      </w:pPr>
    </w:p>
    <w:p w14:paraId="09B34275" w14:textId="77777777" w:rsidR="007956F7" w:rsidRPr="00AC5C05" w:rsidRDefault="007956F7" w:rsidP="007956F7">
      <w:pPr>
        <w:rPr>
          <w:rFonts w:eastAsia="Times New Roman" w:cs="Times New Roman"/>
          <w:color w:val="000000" w:themeColor="text1"/>
          <w:lang w:eastAsia="en-GB"/>
        </w:rPr>
      </w:pPr>
      <w:r w:rsidRPr="00AC5C05">
        <w:rPr>
          <w:rFonts w:eastAsia="Times New Roman" w:cs="Arial"/>
          <w:color w:val="000000" w:themeColor="text1"/>
          <w:shd w:val="clear" w:color="auto" w:fill="FFFFFF"/>
          <w:lang w:eastAsia="en-GB"/>
        </w:rPr>
        <w:t>Devine, D. (2018). </w:t>
      </w:r>
      <w:r w:rsidRPr="00AC5C05">
        <w:rPr>
          <w:rFonts w:eastAsia="Times New Roman" w:cs="Arial"/>
          <w:i/>
          <w:iCs/>
          <w:color w:val="000000" w:themeColor="text1"/>
          <w:lang w:eastAsia="en-GB"/>
        </w:rPr>
        <w:t>Why speaking Welsh is good for your health and the language must be saved</w:t>
      </w:r>
      <w:r w:rsidRPr="00AC5C05">
        <w:rPr>
          <w:rFonts w:eastAsia="Times New Roman" w:cs="Arial"/>
          <w:color w:val="000000" w:themeColor="text1"/>
          <w:shd w:val="clear" w:color="auto" w:fill="FFFFFF"/>
          <w:lang w:eastAsia="en-GB"/>
        </w:rPr>
        <w:t>. [online] walesonline. Available at: http://www.walesonline.co.uk/news/health/speaking-welsh-good-your-health-10890612 [Accessed 10 Jan. 2018].</w:t>
      </w:r>
    </w:p>
    <w:p w14:paraId="3D09256C" w14:textId="77777777" w:rsidR="007956F7" w:rsidRDefault="007956F7" w:rsidP="007956F7">
      <w:pPr>
        <w:rPr>
          <w:rFonts w:eastAsia="Times New Roman" w:cs="Times New Roman"/>
          <w:color w:val="000000" w:themeColor="text1"/>
          <w:lang w:eastAsia="en-GB"/>
        </w:rPr>
      </w:pPr>
    </w:p>
    <w:p w14:paraId="22ED6C70" w14:textId="77777777" w:rsidR="007956F7" w:rsidRDefault="007956F7" w:rsidP="007956F7">
      <w:pPr>
        <w:rPr>
          <w:rFonts w:eastAsia="Times New Roman" w:cs="Times New Roman"/>
          <w:color w:val="000000" w:themeColor="text1"/>
          <w:lang w:eastAsia="en-GB"/>
        </w:rPr>
      </w:pPr>
    </w:p>
    <w:p w14:paraId="0965D41D" w14:textId="77777777" w:rsidR="007956F7" w:rsidRPr="00AC5C05" w:rsidRDefault="007956F7" w:rsidP="007956F7">
      <w:pPr>
        <w:rPr>
          <w:rFonts w:eastAsia="Times New Roman" w:cs="Times New Roman"/>
          <w:color w:val="000000" w:themeColor="text1"/>
          <w:lang w:eastAsia="en-GB"/>
        </w:rPr>
      </w:pPr>
      <w:r w:rsidRPr="00AC5C05">
        <w:rPr>
          <w:rFonts w:eastAsia="Times New Roman" w:cs="Arial"/>
          <w:color w:val="000000" w:themeColor="text1"/>
          <w:shd w:val="clear" w:color="auto" w:fill="FFFFFF"/>
          <w:lang w:eastAsia="en-GB"/>
        </w:rPr>
        <w:t>Thewallich.com. (2018). </w:t>
      </w:r>
      <w:r w:rsidRPr="00AC5C05">
        <w:rPr>
          <w:rFonts w:eastAsia="Times New Roman" w:cs="Arial"/>
          <w:i/>
          <w:iCs/>
          <w:color w:val="000000" w:themeColor="text1"/>
          <w:lang w:eastAsia="en-GB"/>
        </w:rPr>
        <w:t>Preventing Homelessness in Wales</w:t>
      </w:r>
      <w:r w:rsidRPr="00AC5C05">
        <w:rPr>
          <w:rFonts w:eastAsia="Times New Roman" w:cs="Arial"/>
          <w:color w:val="000000" w:themeColor="text1"/>
          <w:shd w:val="clear" w:color="auto" w:fill="FFFFFF"/>
          <w:lang w:eastAsia="en-GB"/>
        </w:rPr>
        <w:t>. [online] Available at: https://thewallich.com/wp-content/uploads/2016/02/RSIT_Swansea_Dec_17.jpg [Accessed 10 Jan. 2018].</w:t>
      </w:r>
    </w:p>
    <w:p w14:paraId="228724B1" w14:textId="77777777" w:rsidR="007956F7" w:rsidRPr="00007610" w:rsidRDefault="007956F7" w:rsidP="007956F7">
      <w:pPr>
        <w:rPr>
          <w:rFonts w:eastAsia="Times New Roman" w:cs="Times New Roman"/>
          <w:color w:val="000000" w:themeColor="text1"/>
          <w:lang w:eastAsia="en-GB"/>
        </w:rPr>
      </w:pPr>
    </w:p>
    <w:p w14:paraId="35977112" w14:textId="77777777" w:rsidR="007956F7" w:rsidRPr="00AC5C05" w:rsidRDefault="007956F7" w:rsidP="007956F7">
      <w:pPr>
        <w:rPr>
          <w:rFonts w:eastAsia="Times New Roman" w:cs="Arial"/>
          <w:color w:val="000000" w:themeColor="text1"/>
          <w:shd w:val="clear" w:color="auto" w:fill="FFFFFF"/>
          <w:lang w:eastAsia="en-GB"/>
        </w:rPr>
      </w:pPr>
    </w:p>
    <w:p w14:paraId="0DD9800E" w14:textId="77777777" w:rsidR="007956F7" w:rsidRPr="00007610" w:rsidRDefault="007956F7" w:rsidP="007956F7">
      <w:pPr>
        <w:rPr>
          <w:rFonts w:eastAsia="Times New Roman" w:cs="Times New Roman"/>
          <w:color w:val="000000" w:themeColor="text1"/>
          <w:lang w:eastAsia="en-GB"/>
        </w:rPr>
      </w:pPr>
    </w:p>
    <w:p w14:paraId="6C125B9F" w14:textId="77777777" w:rsidR="007956F7" w:rsidRDefault="007956F7" w:rsidP="007956F7">
      <w:pPr>
        <w:rPr>
          <w:rFonts w:eastAsia="Times New Roman" w:cs="Arial"/>
          <w:color w:val="000000" w:themeColor="text1"/>
          <w:shd w:val="clear" w:color="auto" w:fill="FFFFFF"/>
          <w:lang w:eastAsia="en-GB"/>
        </w:rPr>
      </w:pPr>
      <w:r w:rsidRPr="00AC5C05">
        <w:rPr>
          <w:rFonts w:eastAsia="Times New Roman" w:cs="Arial"/>
          <w:color w:val="000000" w:themeColor="text1"/>
          <w:shd w:val="clear" w:color="auto" w:fill="FFFFFF"/>
          <w:lang w:eastAsia="en-GB"/>
        </w:rPr>
        <w:t>Gov.wales. (2018). </w:t>
      </w:r>
      <w:r w:rsidRPr="00AC5C05">
        <w:rPr>
          <w:rFonts w:eastAsia="Times New Roman" w:cs="Arial"/>
          <w:i/>
          <w:iCs/>
          <w:color w:val="000000" w:themeColor="text1"/>
          <w:lang w:eastAsia="en-GB"/>
        </w:rPr>
        <w:t>Welsh Health survey 2015: Health status, illnesses and other conditions</w:t>
      </w:r>
      <w:r w:rsidRPr="00AC5C05">
        <w:rPr>
          <w:rFonts w:eastAsia="Times New Roman" w:cs="Arial"/>
          <w:color w:val="000000" w:themeColor="text1"/>
          <w:shd w:val="clear" w:color="auto" w:fill="FFFFFF"/>
          <w:lang w:eastAsia="en-GB"/>
        </w:rPr>
        <w:t>. [online] Available at: http://gov.wales/docs/statistics/2016/160622-welsh-health-survey-2015-health-status-illnesses-other-conditions-en.pdf [Accessed 10 Jan. 2018].</w:t>
      </w:r>
    </w:p>
    <w:p w14:paraId="1751C7FE" w14:textId="77777777" w:rsidR="007956F7" w:rsidRDefault="007956F7" w:rsidP="007956F7">
      <w:pPr>
        <w:rPr>
          <w:rFonts w:eastAsia="Times New Roman" w:cs="Arial"/>
          <w:color w:val="000000" w:themeColor="text1"/>
          <w:shd w:val="clear" w:color="auto" w:fill="FFFFFF"/>
          <w:lang w:eastAsia="en-GB"/>
        </w:rPr>
      </w:pPr>
    </w:p>
    <w:p w14:paraId="37721E09" w14:textId="77777777" w:rsidR="007956F7" w:rsidRDefault="007956F7" w:rsidP="007956F7">
      <w:pPr>
        <w:rPr>
          <w:rFonts w:eastAsia="Times New Roman" w:cs="Arial"/>
          <w:color w:val="000000" w:themeColor="text1"/>
          <w:shd w:val="clear" w:color="auto" w:fill="FFFFFF"/>
          <w:lang w:eastAsia="en-GB"/>
        </w:rPr>
      </w:pPr>
    </w:p>
    <w:p w14:paraId="2FF7130A" w14:textId="77777777" w:rsidR="007956F7" w:rsidRPr="00AC5C05" w:rsidRDefault="007956F7" w:rsidP="007956F7">
      <w:pPr>
        <w:rPr>
          <w:rFonts w:eastAsia="Times New Roman" w:cs="Times New Roman"/>
          <w:color w:val="000000" w:themeColor="text1"/>
          <w:lang w:eastAsia="en-GB"/>
        </w:rPr>
      </w:pPr>
      <w:r w:rsidRPr="00AC5C05">
        <w:rPr>
          <w:rFonts w:eastAsia="Times New Roman" w:cs="Arial"/>
          <w:color w:val="000000" w:themeColor="text1"/>
          <w:shd w:val="clear" w:color="auto" w:fill="FFFFFF"/>
          <w:lang w:eastAsia="en-GB"/>
        </w:rPr>
        <w:t>Nomisweb.co.uk. (2018). </w:t>
      </w:r>
      <w:r w:rsidRPr="00AC5C05">
        <w:rPr>
          <w:rFonts w:eastAsia="Times New Roman" w:cs="Arial"/>
          <w:i/>
          <w:iCs/>
          <w:color w:val="000000" w:themeColor="text1"/>
          <w:lang w:eastAsia="en-GB"/>
        </w:rPr>
        <w:t>Nomis - Nomis - Official Labour Market Statistics</w:t>
      </w:r>
      <w:r w:rsidRPr="00AC5C05">
        <w:rPr>
          <w:rFonts w:eastAsia="Times New Roman" w:cs="Arial"/>
          <w:color w:val="000000" w:themeColor="text1"/>
          <w:shd w:val="clear" w:color="auto" w:fill="FFFFFF"/>
          <w:lang w:eastAsia="en-GB"/>
        </w:rPr>
        <w:t>. [online] Available at: https://www.nomisweb.co.uk [Accessed 10 Jan. 2018].</w:t>
      </w:r>
    </w:p>
    <w:p w14:paraId="34A24352" w14:textId="77777777" w:rsidR="007956F7" w:rsidRDefault="007956F7" w:rsidP="007956F7">
      <w:pPr>
        <w:rPr>
          <w:rFonts w:eastAsia="Times New Roman" w:cs="Times New Roman"/>
          <w:color w:val="000000" w:themeColor="text1"/>
          <w:lang w:eastAsia="en-GB"/>
        </w:rPr>
      </w:pPr>
    </w:p>
    <w:p w14:paraId="4FFD6EB7" w14:textId="77777777" w:rsidR="007956F7" w:rsidRDefault="007956F7" w:rsidP="007956F7">
      <w:pPr>
        <w:rPr>
          <w:rFonts w:eastAsia="Times New Roman" w:cs="Times New Roman"/>
          <w:color w:val="000000" w:themeColor="text1"/>
          <w:lang w:eastAsia="en-GB"/>
        </w:rPr>
      </w:pPr>
    </w:p>
    <w:p w14:paraId="488D38B9" w14:textId="77777777" w:rsidR="007956F7" w:rsidRDefault="007956F7" w:rsidP="007956F7">
      <w:pPr>
        <w:rPr>
          <w:rFonts w:eastAsia="Times New Roman" w:cs="Arial"/>
          <w:color w:val="000000" w:themeColor="text1"/>
          <w:shd w:val="clear" w:color="auto" w:fill="FFFFFF"/>
          <w:lang w:eastAsia="en-GB"/>
        </w:rPr>
      </w:pPr>
      <w:r w:rsidRPr="00AC5C05">
        <w:rPr>
          <w:rFonts w:eastAsia="Times New Roman" w:cs="Arial"/>
          <w:color w:val="000000" w:themeColor="text1"/>
          <w:shd w:val="clear" w:color="auto" w:fill="FFFFFF"/>
          <w:lang w:eastAsia="en-GB"/>
        </w:rPr>
        <w:t>Ons.gov.uk. (2018). </w:t>
      </w:r>
      <w:r w:rsidRPr="00AC5C05">
        <w:rPr>
          <w:rFonts w:eastAsia="Times New Roman" w:cs="Arial"/>
          <w:i/>
          <w:iCs/>
          <w:color w:val="000000" w:themeColor="text1"/>
          <w:lang w:eastAsia="en-GB"/>
        </w:rPr>
        <w:t>Home - Office for National Statistics</w:t>
      </w:r>
      <w:r w:rsidRPr="00AC5C05">
        <w:rPr>
          <w:rFonts w:eastAsia="Times New Roman" w:cs="Arial"/>
          <w:color w:val="000000" w:themeColor="text1"/>
          <w:shd w:val="clear" w:color="auto" w:fill="FFFFFF"/>
          <w:lang w:eastAsia="en-GB"/>
        </w:rPr>
        <w:t>. [online] Available at: https://www.ons.gov.uk [Accessed 10 Jan. 2018].</w:t>
      </w:r>
    </w:p>
    <w:p w14:paraId="6CC5EDAB" w14:textId="77777777" w:rsidR="007956F7" w:rsidRDefault="007956F7" w:rsidP="007956F7">
      <w:pPr>
        <w:rPr>
          <w:rFonts w:eastAsia="Times New Roman" w:cs="Arial"/>
          <w:color w:val="000000" w:themeColor="text1"/>
          <w:shd w:val="clear" w:color="auto" w:fill="FFFFFF"/>
          <w:lang w:eastAsia="en-GB"/>
        </w:rPr>
      </w:pPr>
    </w:p>
    <w:p w14:paraId="003B9882" w14:textId="77777777" w:rsidR="007956F7" w:rsidRDefault="007956F7" w:rsidP="007956F7">
      <w:pPr>
        <w:rPr>
          <w:rFonts w:eastAsia="Times New Roman" w:cs="Arial"/>
          <w:color w:val="000000" w:themeColor="text1"/>
          <w:shd w:val="clear" w:color="auto" w:fill="FFFFFF"/>
          <w:lang w:eastAsia="en-GB"/>
        </w:rPr>
      </w:pPr>
    </w:p>
    <w:p w14:paraId="09566F8C" w14:textId="77777777" w:rsidR="007956F7" w:rsidRPr="00AC5C05" w:rsidRDefault="007956F7" w:rsidP="007956F7">
      <w:pPr>
        <w:rPr>
          <w:rFonts w:eastAsia="Times New Roman" w:cs="Times New Roman"/>
          <w:color w:val="000000" w:themeColor="text1"/>
          <w:lang w:eastAsia="en-GB"/>
        </w:rPr>
      </w:pPr>
      <w:r w:rsidRPr="00AC5C05">
        <w:rPr>
          <w:rFonts w:eastAsia="Times New Roman" w:cs="Arial"/>
          <w:color w:val="000000" w:themeColor="text1"/>
          <w:shd w:val="clear" w:color="auto" w:fill="FFFFFF"/>
          <w:lang w:eastAsia="en-GB"/>
        </w:rPr>
        <w:t>Statswales.gov.wales. (2018). [online] Available at: https://statswales.gov.wales [Accessed 10 Jan. 2018].</w:t>
      </w:r>
    </w:p>
    <w:p w14:paraId="540209CD" w14:textId="77777777" w:rsidR="007956F7" w:rsidRPr="00AC5C05" w:rsidRDefault="007956F7" w:rsidP="007956F7">
      <w:pPr>
        <w:rPr>
          <w:rFonts w:eastAsia="Times New Roman" w:cs="Times New Roman"/>
          <w:color w:val="000000" w:themeColor="text1"/>
          <w:lang w:eastAsia="en-GB"/>
        </w:rPr>
      </w:pPr>
    </w:p>
    <w:p w14:paraId="6D3EF1AD" w14:textId="77777777" w:rsidR="007956F7" w:rsidRPr="00AC5C05" w:rsidRDefault="007956F7" w:rsidP="007956F7">
      <w:pPr>
        <w:rPr>
          <w:rFonts w:eastAsia="Times New Roman" w:cs="Times New Roman"/>
          <w:color w:val="000000" w:themeColor="text1"/>
          <w:lang w:eastAsia="en-GB"/>
        </w:rPr>
      </w:pPr>
    </w:p>
    <w:p w14:paraId="22CA6034" w14:textId="77777777" w:rsidR="007956F7" w:rsidRPr="00AC5C05" w:rsidRDefault="007956F7" w:rsidP="007956F7">
      <w:pPr>
        <w:tabs>
          <w:tab w:val="left" w:pos="2869"/>
        </w:tabs>
        <w:rPr>
          <w:color w:val="000000" w:themeColor="text1"/>
        </w:rPr>
      </w:pPr>
    </w:p>
    <w:p w14:paraId="48D96329" w14:textId="77777777" w:rsidR="007956F7" w:rsidRDefault="007956F7" w:rsidP="007956F7"/>
    <w:p w14:paraId="6CD795B1" w14:textId="77777777" w:rsidR="007956F7" w:rsidRDefault="007956F7" w:rsidP="001A7C58">
      <w:pPr>
        <w:tabs>
          <w:tab w:val="left" w:pos="2869"/>
        </w:tabs>
      </w:pPr>
    </w:p>
    <w:p w14:paraId="078641E0" w14:textId="77777777" w:rsidR="003F02DD" w:rsidRDefault="003F02DD" w:rsidP="001A7C58">
      <w:pPr>
        <w:tabs>
          <w:tab w:val="left" w:pos="2869"/>
        </w:tabs>
      </w:pPr>
    </w:p>
    <w:p w14:paraId="4499D99C" w14:textId="77777777" w:rsidR="003F02DD" w:rsidRDefault="003F02DD" w:rsidP="001A7C58">
      <w:pPr>
        <w:tabs>
          <w:tab w:val="left" w:pos="2869"/>
        </w:tabs>
      </w:pPr>
    </w:p>
    <w:p w14:paraId="5D3E1F16" w14:textId="77777777" w:rsidR="003F02DD" w:rsidRPr="001A7C58" w:rsidRDefault="003F02DD" w:rsidP="001A7C58">
      <w:pPr>
        <w:tabs>
          <w:tab w:val="left" w:pos="2869"/>
        </w:tabs>
      </w:pPr>
    </w:p>
    <w:sectPr w:rsidR="003F02DD" w:rsidRPr="001A7C58" w:rsidSect="003D3C30">
      <w:headerReference w:type="default" r:id="rId24"/>
      <w:footerReference w:type="even" r:id="rId25"/>
      <w:footerReference w:type="default" r:id="rId2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B313D2" w14:textId="77777777" w:rsidR="00E229F1" w:rsidRDefault="00E229F1" w:rsidP="006578D6">
      <w:r>
        <w:separator/>
      </w:r>
    </w:p>
  </w:endnote>
  <w:endnote w:type="continuationSeparator" w:id="0">
    <w:p w14:paraId="72D6D3C2" w14:textId="77777777" w:rsidR="00E229F1" w:rsidRDefault="00E229F1" w:rsidP="006578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2543CF" w14:textId="77777777" w:rsidR="001A0CCA" w:rsidRDefault="001A0CCA" w:rsidP="001A0CC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B01E7C4" w14:textId="77777777" w:rsidR="001A0CCA" w:rsidRDefault="001A0CCA" w:rsidP="0039591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B1D9B" w14:textId="77777777" w:rsidR="001A0CCA" w:rsidRDefault="001A0CCA" w:rsidP="001A0CC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229F1">
      <w:rPr>
        <w:rStyle w:val="PageNumber"/>
        <w:noProof/>
      </w:rPr>
      <w:t>1</w:t>
    </w:r>
    <w:r>
      <w:rPr>
        <w:rStyle w:val="PageNumber"/>
      </w:rPr>
      <w:fldChar w:fldCharType="end"/>
    </w:r>
  </w:p>
  <w:p w14:paraId="696E5A4D" w14:textId="77777777" w:rsidR="001A0CCA" w:rsidRDefault="001A0CCA" w:rsidP="0039591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55C6CD" w14:textId="77777777" w:rsidR="00E229F1" w:rsidRDefault="00E229F1" w:rsidP="006578D6">
      <w:r>
        <w:separator/>
      </w:r>
    </w:p>
  </w:footnote>
  <w:footnote w:type="continuationSeparator" w:id="0">
    <w:p w14:paraId="7FB7FEE6" w14:textId="77777777" w:rsidR="00E229F1" w:rsidRDefault="00E229F1" w:rsidP="006578D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C610C7" w14:textId="1F066502" w:rsidR="001A0CCA" w:rsidRDefault="001A0CCA">
    <w:pPr>
      <w:pStyle w:val="Header"/>
    </w:pPr>
    <w:r>
      <w:t>P148069</w:t>
    </w:r>
  </w:p>
  <w:p w14:paraId="03CE5E5A" w14:textId="77777777" w:rsidR="001A0CCA" w:rsidRDefault="001A0CCA">
    <w:pPr>
      <w:pStyle w:val="Header"/>
    </w:pPr>
  </w:p>
  <w:p w14:paraId="2BB7512C" w14:textId="77777777" w:rsidR="001A0CCA" w:rsidRDefault="001A0CC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4CDA"/>
    <w:rsid w:val="00001990"/>
    <w:rsid w:val="00006FAC"/>
    <w:rsid w:val="00030E47"/>
    <w:rsid w:val="00037D31"/>
    <w:rsid w:val="0004232C"/>
    <w:rsid w:val="0005546F"/>
    <w:rsid w:val="000749BF"/>
    <w:rsid w:val="00087725"/>
    <w:rsid w:val="000908BE"/>
    <w:rsid w:val="000A4BF7"/>
    <w:rsid w:val="000A572C"/>
    <w:rsid w:val="000A5BF7"/>
    <w:rsid w:val="000C11D2"/>
    <w:rsid w:val="000C5889"/>
    <w:rsid w:val="000D7518"/>
    <w:rsid w:val="000F054C"/>
    <w:rsid w:val="00143A8D"/>
    <w:rsid w:val="00153E04"/>
    <w:rsid w:val="00154B98"/>
    <w:rsid w:val="00155472"/>
    <w:rsid w:val="001752BD"/>
    <w:rsid w:val="00183FFF"/>
    <w:rsid w:val="00186B95"/>
    <w:rsid w:val="001A0CCA"/>
    <w:rsid w:val="001A7C58"/>
    <w:rsid w:val="001B5AD0"/>
    <w:rsid w:val="001C1F95"/>
    <w:rsid w:val="001C4079"/>
    <w:rsid w:val="001C5CAF"/>
    <w:rsid w:val="001D5073"/>
    <w:rsid w:val="001E61DB"/>
    <w:rsid w:val="001F06BA"/>
    <w:rsid w:val="00220D43"/>
    <w:rsid w:val="00225620"/>
    <w:rsid w:val="0022683A"/>
    <w:rsid w:val="00235F43"/>
    <w:rsid w:val="00236CD5"/>
    <w:rsid w:val="00261B0A"/>
    <w:rsid w:val="002851DB"/>
    <w:rsid w:val="002C4EEE"/>
    <w:rsid w:val="002C7A92"/>
    <w:rsid w:val="00310AB5"/>
    <w:rsid w:val="00310FB6"/>
    <w:rsid w:val="00312475"/>
    <w:rsid w:val="00314552"/>
    <w:rsid w:val="00364399"/>
    <w:rsid w:val="00371631"/>
    <w:rsid w:val="00395910"/>
    <w:rsid w:val="003B5246"/>
    <w:rsid w:val="003C16BC"/>
    <w:rsid w:val="003D3C30"/>
    <w:rsid w:val="003E2D85"/>
    <w:rsid w:val="003F02DD"/>
    <w:rsid w:val="00403B95"/>
    <w:rsid w:val="00414BA8"/>
    <w:rsid w:val="004318B4"/>
    <w:rsid w:val="004359C1"/>
    <w:rsid w:val="00435A94"/>
    <w:rsid w:val="00461877"/>
    <w:rsid w:val="00497980"/>
    <w:rsid w:val="004A3B6E"/>
    <w:rsid w:val="004B5A5B"/>
    <w:rsid w:val="004C321D"/>
    <w:rsid w:val="004C3C17"/>
    <w:rsid w:val="004C5B32"/>
    <w:rsid w:val="004C78D7"/>
    <w:rsid w:val="005018C0"/>
    <w:rsid w:val="0050552B"/>
    <w:rsid w:val="005268F0"/>
    <w:rsid w:val="005354CF"/>
    <w:rsid w:val="005447DD"/>
    <w:rsid w:val="005750F3"/>
    <w:rsid w:val="00585B96"/>
    <w:rsid w:val="005919BF"/>
    <w:rsid w:val="005A1C83"/>
    <w:rsid w:val="005B16AB"/>
    <w:rsid w:val="005C081F"/>
    <w:rsid w:val="005D07F0"/>
    <w:rsid w:val="00645FA5"/>
    <w:rsid w:val="006578D6"/>
    <w:rsid w:val="0069108F"/>
    <w:rsid w:val="00691509"/>
    <w:rsid w:val="006B4CDA"/>
    <w:rsid w:val="006D38D5"/>
    <w:rsid w:val="007239AC"/>
    <w:rsid w:val="007307FD"/>
    <w:rsid w:val="007536A8"/>
    <w:rsid w:val="007677BE"/>
    <w:rsid w:val="00773AFF"/>
    <w:rsid w:val="00781811"/>
    <w:rsid w:val="00787CE8"/>
    <w:rsid w:val="007956F7"/>
    <w:rsid w:val="007B32CD"/>
    <w:rsid w:val="007B3A8B"/>
    <w:rsid w:val="007D4093"/>
    <w:rsid w:val="007E0EB0"/>
    <w:rsid w:val="007F4564"/>
    <w:rsid w:val="00807289"/>
    <w:rsid w:val="00811280"/>
    <w:rsid w:val="00816D0B"/>
    <w:rsid w:val="00824726"/>
    <w:rsid w:val="00842261"/>
    <w:rsid w:val="008607CE"/>
    <w:rsid w:val="008616E3"/>
    <w:rsid w:val="0086251B"/>
    <w:rsid w:val="0086364B"/>
    <w:rsid w:val="00866C98"/>
    <w:rsid w:val="00884AE0"/>
    <w:rsid w:val="0088652F"/>
    <w:rsid w:val="00893CAE"/>
    <w:rsid w:val="008A50C4"/>
    <w:rsid w:val="008A5C03"/>
    <w:rsid w:val="008B551C"/>
    <w:rsid w:val="008C520E"/>
    <w:rsid w:val="008E7BD9"/>
    <w:rsid w:val="00901CEA"/>
    <w:rsid w:val="00931E90"/>
    <w:rsid w:val="009330E4"/>
    <w:rsid w:val="00941EDE"/>
    <w:rsid w:val="0096352E"/>
    <w:rsid w:val="0097328F"/>
    <w:rsid w:val="009A084F"/>
    <w:rsid w:val="009A3C2E"/>
    <w:rsid w:val="009C33DC"/>
    <w:rsid w:val="009D45D4"/>
    <w:rsid w:val="009E0CFB"/>
    <w:rsid w:val="009E27C0"/>
    <w:rsid w:val="009F63D5"/>
    <w:rsid w:val="00A1217A"/>
    <w:rsid w:val="00A207BB"/>
    <w:rsid w:val="00A34AAE"/>
    <w:rsid w:val="00A35D12"/>
    <w:rsid w:val="00A56F51"/>
    <w:rsid w:val="00A9670B"/>
    <w:rsid w:val="00AB5199"/>
    <w:rsid w:val="00AB5BC4"/>
    <w:rsid w:val="00AC57C5"/>
    <w:rsid w:val="00AC64F9"/>
    <w:rsid w:val="00AE1CC1"/>
    <w:rsid w:val="00AF4660"/>
    <w:rsid w:val="00AF5815"/>
    <w:rsid w:val="00B25602"/>
    <w:rsid w:val="00B5169D"/>
    <w:rsid w:val="00B53B78"/>
    <w:rsid w:val="00B652A2"/>
    <w:rsid w:val="00B6698E"/>
    <w:rsid w:val="00B71237"/>
    <w:rsid w:val="00B81398"/>
    <w:rsid w:val="00B8188E"/>
    <w:rsid w:val="00B82D50"/>
    <w:rsid w:val="00B9412A"/>
    <w:rsid w:val="00B96A2F"/>
    <w:rsid w:val="00BA235E"/>
    <w:rsid w:val="00C00086"/>
    <w:rsid w:val="00C07CE1"/>
    <w:rsid w:val="00C34A6C"/>
    <w:rsid w:val="00C57412"/>
    <w:rsid w:val="00C72A87"/>
    <w:rsid w:val="00C75E57"/>
    <w:rsid w:val="00C921A4"/>
    <w:rsid w:val="00CC4C6A"/>
    <w:rsid w:val="00D13D3F"/>
    <w:rsid w:val="00D16AB9"/>
    <w:rsid w:val="00D6613D"/>
    <w:rsid w:val="00DA1E05"/>
    <w:rsid w:val="00DB0F0F"/>
    <w:rsid w:val="00DD29ED"/>
    <w:rsid w:val="00DD416E"/>
    <w:rsid w:val="00DF650B"/>
    <w:rsid w:val="00E075ED"/>
    <w:rsid w:val="00E110E7"/>
    <w:rsid w:val="00E13202"/>
    <w:rsid w:val="00E15657"/>
    <w:rsid w:val="00E229F1"/>
    <w:rsid w:val="00E31CE4"/>
    <w:rsid w:val="00E55A64"/>
    <w:rsid w:val="00E97153"/>
    <w:rsid w:val="00EA1126"/>
    <w:rsid w:val="00EA2B7E"/>
    <w:rsid w:val="00EA32E1"/>
    <w:rsid w:val="00EB72E1"/>
    <w:rsid w:val="00ED04B8"/>
    <w:rsid w:val="00ED2168"/>
    <w:rsid w:val="00F02EC0"/>
    <w:rsid w:val="00F2488E"/>
    <w:rsid w:val="00F26023"/>
    <w:rsid w:val="00F2668F"/>
    <w:rsid w:val="00F424E9"/>
    <w:rsid w:val="00F4543C"/>
    <w:rsid w:val="00F45CA3"/>
    <w:rsid w:val="00F57FD0"/>
    <w:rsid w:val="00F83AAA"/>
    <w:rsid w:val="00F83C20"/>
    <w:rsid w:val="00FE24FC"/>
    <w:rsid w:val="00FE40B7"/>
    <w:rsid w:val="00FF1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2994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78D6"/>
    <w:pPr>
      <w:tabs>
        <w:tab w:val="center" w:pos="4513"/>
        <w:tab w:val="right" w:pos="9026"/>
      </w:tabs>
    </w:pPr>
  </w:style>
  <w:style w:type="character" w:customStyle="1" w:styleId="HeaderChar">
    <w:name w:val="Header Char"/>
    <w:basedOn w:val="DefaultParagraphFont"/>
    <w:link w:val="Header"/>
    <w:uiPriority w:val="99"/>
    <w:rsid w:val="006578D6"/>
  </w:style>
  <w:style w:type="paragraph" w:styleId="Footer">
    <w:name w:val="footer"/>
    <w:basedOn w:val="Normal"/>
    <w:link w:val="FooterChar"/>
    <w:uiPriority w:val="99"/>
    <w:unhideWhenUsed/>
    <w:rsid w:val="006578D6"/>
    <w:pPr>
      <w:tabs>
        <w:tab w:val="center" w:pos="4513"/>
        <w:tab w:val="right" w:pos="9026"/>
      </w:tabs>
    </w:pPr>
  </w:style>
  <w:style w:type="character" w:customStyle="1" w:styleId="FooterChar">
    <w:name w:val="Footer Char"/>
    <w:basedOn w:val="DefaultParagraphFont"/>
    <w:link w:val="Footer"/>
    <w:uiPriority w:val="99"/>
    <w:rsid w:val="006578D6"/>
  </w:style>
  <w:style w:type="character" w:styleId="PageNumber">
    <w:name w:val="page number"/>
    <w:basedOn w:val="DefaultParagraphFont"/>
    <w:uiPriority w:val="99"/>
    <w:semiHidden/>
    <w:unhideWhenUsed/>
    <w:rsid w:val="003959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5460539">
      <w:bodyDiv w:val="1"/>
      <w:marLeft w:val="0"/>
      <w:marRight w:val="0"/>
      <w:marTop w:val="0"/>
      <w:marBottom w:val="0"/>
      <w:divBdr>
        <w:top w:val="none" w:sz="0" w:space="0" w:color="auto"/>
        <w:left w:val="none" w:sz="0" w:space="0" w:color="auto"/>
        <w:bottom w:val="none" w:sz="0" w:space="0" w:color="auto"/>
        <w:right w:val="none" w:sz="0" w:space="0" w:color="auto"/>
      </w:divBdr>
    </w:div>
    <w:div w:id="968438925">
      <w:bodyDiv w:val="1"/>
      <w:marLeft w:val="0"/>
      <w:marRight w:val="0"/>
      <w:marTop w:val="0"/>
      <w:marBottom w:val="0"/>
      <w:divBdr>
        <w:top w:val="none" w:sz="0" w:space="0" w:color="auto"/>
        <w:left w:val="none" w:sz="0" w:space="0" w:color="auto"/>
        <w:bottom w:val="none" w:sz="0" w:space="0" w:color="auto"/>
        <w:right w:val="none" w:sz="0" w:space="0" w:color="auto"/>
      </w:divBdr>
    </w:div>
    <w:div w:id="995304462">
      <w:bodyDiv w:val="1"/>
      <w:marLeft w:val="0"/>
      <w:marRight w:val="0"/>
      <w:marTop w:val="0"/>
      <w:marBottom w:val="0"/>
      <w:divBdr>
        <w:top w:val="none" w:sz="0" w:space="0" w:color="auto"/>
        <w:left w:val="none" w:sz="0" w:space="0" w:color="auto"/>
        <w:bottom w:val="none" w:sz="0" w:space="0" w:color="auto"/>
        <w:right w:val="none" w:sz="0" w:space="0" w:color="auto"/>
      </w:divBdr>
    </w:div>
    <w:div w:id="1465269997">
      <w:bodyDiv w:val="1"/>
      <w:marLeft w:val="0"/>
      <w:marRight w:val="0"/>
      <w:marTop w:val="0"/>
      <w:marBottom w:val="0"/>
      <w:divBdr>
        <w:top w:val="none" w:sz="0" w:space="0" w:color="auto"/>
        <w:left w:val="none" w:sz="0" w:space="0" w:color="auto"/>
        <w:bottom w:val="none" w:sz="0" w:space="0" w:color="auto"/>
        <w:right w:val="none" w:sz="0" w:space="0" w:color="auto"/>
      </w:divBdr>
    </w:div>
    <w:div w:id="1769346687">
      <w:bodyDiv w:val="1"/>
      <w:marLeft w:val="0"/>
      <w:marRight w:val="0"/>
      <w:marTop w:val="0"/>
      <w:marBottom w:val="0"/>
      <w:divBdr>
        <w:top w:val="none" w:sz="0" w:space="0" w:color="auto"/>
        <w:left w:val="none" w:sz="0" w:space="0" w:color="auto"/>
        <w:bottom w:val="none" w:sz="0" w:space="0" w:color="auto"/>
        <w:right w:val="none" w:sz="0" w:space="0" w:color="auto"/>
      </w:divBdr>
    </w:div>
    <w:div w:id="1813520898">
      <w:bodyDiv w:val="1"/>
      <w:marLeft w:val="0"/>
      <w:marRight w:val="0"/>
      <w:marTop w:val="0"/>
      <w:marBottom w:val="0"/>
      <w:divBdr>
        <w:top w:val="none" w:sz="0" w:space="0" w:color="auto"/>
        <w:left w:val="none" w:sz="0" w:space="0" w:color="auto"/>
        <w:bottom w:val="none" w:sz="0" w:space="0" w:color="auto"/>
        <w:right w:val="none" w:sz="0" w:space="0" w:color="auto"/>
      </w:divBdr>
    </w:div>
    <w:div w:id="193759509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chart" Target="charts/chart4.xml"/><Relationship Id="rId20" Type="http://schemas.openxmlformats.org/officeDocument/2006/relationships/chart" Target="charts/chart15.xml"/><Relationship Id="rId21" Type="http://schemas.openxmlformats.org/officeDocument/2006/relationships/chart" Target="charts/chart16.xml"/><Relationship Id="rId22" Type="http://schemas.openxmlformats.org/officeDocument/2006/relationships/chart" Target="charts/chart17.xml"/><Relationship Id="rId23" Type="http://schemas.openxmlformats.org/officeDocument/2006/relationships/chart" Target="charts/chart18.xml"/><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chart" Target="charts/chart5.xml"/><Relationship Id="rId11" Type="http://schemas.openxmlformats.org/officeDocument/2006/relationships/chart" Target="charts/chart6.xml"/><Relationship Id="rId12" Type="http://schemas.openxmlformats.org/officeDocument/2006/relationships/chart" Target="charts/chart7.xml"/><Relationship Id="rId13" Type="http://schemas.openxmlformats.org/officeDocument/2006/relationships/chart" Target="charts/chart8.xml"/><Relationship Id="rId14" Type="http://schemas.openxmlformats.org/officeDocument/2006/relationships/chart" Target="charts/chart9.xml"/><Relationship Id="rId15" Type="http://schemas.openxmlformats.org/officeDocument/2006/relationships/chart" Target="charts/chart10.xml"/><Relationship Id="rId16" Type="http://schemas.openxmlformats.org/officeDocument/2006/relationships/chart" Target="charts/chart11.xml"/><Relationship Id="rId17" Type="http://schemas.openxmlformats.org/officeDocument/2006/relationships/chart" Target="charts/chart12.xml"/><Relationship Id="rId18" Type="http://schemas.openxmlformats.org/officeDocument/2006/relationships/chart" Target="charts/chart13.xml"/><Relationship Id="rId19" Type="http://schemas.openxmlformats.org/officeDocument/2006/relationships/chart" Target="charts/chart14.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chart" Target="charts/chart1.xml"/><Relationship Id="rId7" Type="http://schemas.openxmlformats.org/officeDocument/2006/relationships/chart" Target="charts/chart2.xml"/><Relationship Id="rId8" Type="http://schemas.openxmlformats.org/officeDocument/2006/relationships/chart" Target="charts/chart3.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Users/Lewis/Documents/excel%20graph%202.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Workbook2"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Users/Lewis/Documents/excel%20graph%202.xlsx"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file:////Users/Lewis/Documents/excel%20graph%202.xlsx"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file:////Users/Lewis/Documents/excel%20graph%202.xlsx" TargetMode="External"/></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file:////Users/Lewis/Documents/excel%20graph%202.xlsx" TargetMode="External"/></Relationships>
</file>

<file path=word/charts/_rels/chart7.xml.rels><?xml version="1.0" encoding="UTF-8" standalone="yes"?>
<Relationships xmlns="http://schemas.openxmlformats.org/package/2006/relationships"><Relationship Id="rId1" Type="http://schemas.microsoft.com/office/2011/relationships/chartStyle" Target="style7.xml"/><Relationship Id="rId2" Type="http://schemas.microsoft.com/office/2011/relationships/chartColorStyle" Target="colors7.xml"/><Relationship Id="rId3" Type="http://schemas.openxmlformats.org/officeDocument/2006/relationships/oleObject" Target="file:////Users/Lewis/Documents/excel%20graph%202.xlsx" TargetMode="External"/></Relationships>
</file>

<file path=word/charts/_rels/chart8.xml.rels><?xml version="1.0" encoding="UTF-8" standalone="yes"?>
<Relationships xmlns="http://schemas.openxmlformats.org/package/2006/relationships"><Relationship Id="rId1" Type="http://schemas.microsoft.com/office/2011/relationships/chartStyle" Target="style8.xml"/><Relationship Id="rId2" Type="http://schemas.microsoft.com/office/2011/relationships/chartColorStyle" Target="colors8.xml"/><Relationship Id="rId3" Type="http://schemas.openxmlformats.org/officeDocument/2006/relationships/oleObject" Target="file:////Users/Lewis/Documents/excel%20graph%202.xlsx" TargetMode="External"/></Relationships>
</file>

<file path=word/charts/_rels/chart9.xml.rels><?xml version="1.0" encoding="UTF-8" standalone="yes"?>
<Relationships xmlns="http://schemas.openxmlformats.org/package/2006/relationships"><Relationship Id="rId1" Type="http://schemas.microsoft.com/office/2011/relationships/chartStyle" Target="style9.xml"/><Relationship Id="rId2" Type="http://schemas.microsoft.com/office/2011/relationships/chartColorStyle" Target="colors9.xml"/><Relationship Id="rId3" Type="http://schemas.openxmlformats.org/officeDocument/2006/relationships/oleObject" Target="file:////Users/Lewis/Documents/excel%20graph%202.xlsx" TargetMode="External"/></Relationships>
</file>

<file path=word/charts/_rels/chart10.xml.rels><?xml version="1.0" encoding="UTF-8" standalone="yes"?>
<Relationships xmlns="http://schemas.openxmlformats.org/package/2006/relationships"><Relationship Id="rId1" Type="http://schemas.microsoft.com/office/2011/relationships/chartStyle" Target="style10.xml"/><Relationship Id="rId2" Type="http://schemas.microsoft.com/office/2011/relationships/chartColorStyle" Target="colors10.xml"/><Relationship Id="rId3" Type="http://schemas.openxmlformats.org/officeDocument/2006/relationships/oleObject" Target="file:////Users/Lewis/Documents/excel%20graph%202.xlsx" TargetMode="External"/></Relationships>
</file>

<file path=word/charts/_rels/chart11.xml.rels><?xml version="1.0" encoding="UTF-8" standalone="yes"?>
<Relationships xmlns="http://schemas.openxmlformats.org/package/2006/relationships"><Relationship Id="rId1" Type="http://schemas.microsoft.com/office/2011/relationships/chartStyle" Target="style11.xml"/><Relationship Id="rId2" Type="http://schemas.microsoft.com/office/2011/relationships/chartColorStyle" Target="colors11.xml"/><Relationship Id="rId3" Type="http://schemas.openxmlformats.org/officeDocument/2006/relationships/oleObject" Target="file:////Users/Lewis/Documents/excel%20graph%202.xlsx" TargetMode="External"/></Relationships>
</file>

<file path=word/charts/_rels/chart12.xml.rels><?xml version="1.0" encoding="UTF-8" standalone="yes"?>
<Relationships xmlns="http://schemas.openxmlformats.org/package/2006/relationships"><Relationship Id="rId1" Type="http://schemas.microsoft.com/office/2011/relationships/chartStyle" Target="style12.xml"/><Relationship Id="rId2" Type="http://schemas.microsoft.com/office/2011/relationships/chartColorStyle" Target="colors12.xml"/><Relationship Id="rId3" Type="http://schemas.openxmlformats.org/officeDocument/2006/relationships/oleObject" Target="file:////Users/Lewis/Documents/excel%20graph%202.xlsx" TargetMode="External"/></Relationships>
</file>

<file path=word/charts/_rels/chart13.xml.rels><?xml version="1.0" encoding="UTF-8" standalone="yes"?>
<Relationships xmlns="http://schemas.openxmlformats.org/package/2006/relationships"><Relationship Id="rId1" Type="http://schemas.microsoft.com/office/2011/relationships/chartStyle" Target="style13.xml"/><Relationship Id="rId2" Type="http://schemas.microsoft.com/office/2011/relationships/chartColorStyle" Target="colors13.xml"/><Relationship Id="rId3" Type="http://schemas.openxmlformats.org/officeDocument/2006/relationships/oleObject" Target="file:////Users/Lewis/Documents/excel%20graph%202.xlsx" TargetMode="External"/></Relationships>
</file>

<file path=word/charts/_rels/chart14.xml.rels><?xml version="1.0" encoding="UTF-8" standalone="yes"?>
<Relationships xmlns="http://schemas.openxmlformats.org/package/2006/relationships"><Relationship Id="rId1" Type="http://schemas.microsoft.com/office/2011/relationships/chartStyle" Target="style14.xml"/><Relationship Id="rId2" Type="http://schemas.microsoft.com/office/2011/relationships/chartColorStyle" Target="colors14.xml"/><Relationship Id="rId3" Type="http://schemas.openxmlformats.org/officeDocument/2006/relationships/oleObject" Target="file:////Users/Lewis/Documents/excel%20graph%202.xlsx" TargetMode="External"/></Relationships>
</file>

<file path=word/charts/_rels/chart15.xml.rels><?xml version="1.0" encoding="UTF-8" standalone="yes"?>
<Relationships xmlns="http://schemas.openxmlformats.org/package/2006/relationships"><Relationship Id="rId1" Type="http://schemas.microsoft.com/office/2011/relationships/chartStyle" Target="style15.xml"/><Relationship Id="rId2" Type="http://schemas.microsoft.com/office/2011/relationships/chartColorStyle" Target="colors15.xml"/><Relationship Id="rId3" Type="http://schemas.openxmlformats.org/officeDocument/2006/relationships/oleObject" Target="file:////Users/Lewis/Documents/excel%20graph%202.xlsx" TargetMode="External"/></Relationships>
</file>

<file path=word/charts/_rels/chart16.xml.rels><?xml version="1.0" encoding="UTF-8" standalone="yes"?>
<Relationships xmlns="http://schemas.openxmlformats.org/package/2006/relationships"><Relationship Id="rId1" Type="http://schemas.microsoft.com/office/2011/relationships/chartStyle" Target="style16.xml"/><Relationship Id="rId2" Type="http://schemas.microsoft.com/office/2011/relationships/chartColorStyle" Target="colors16.xml"/><Relationship Id="rId3" Type="http://schemas.openxmlformats.org/officeDocument/2006/relationships/oleObject" Target="file:////Users/Lewis/Documents/excel%20graph%202.xlsx" TargetMode="External"/></Relationships>
</file>

<file path=word/charts/_rels/chart17.xml.rels><?xml version="1.0" encoding="UTF-8" standalone="yes"?>
<Relationships xmlns="http://schemas.openxmlformats.org/package/2006/relationships"><Relationship Id="rId1" Type="http://schemas.microsoft.com/office/2011/relationships/chartStyle" Target="style17.xml"/><Relationship Id="rId2" Type="http://schemas.microsoft.com/office/2011/relationships/chartColorStyle" Target="colors17.xml"/><Relationship Id="rId3" Type="http://schemas.openxmlformats.org/officeDocument/2006/relationships/oleObject" Target="file:////Users/Lewis/Documents/excel%20graph%202.xlsx" TargetMode="External"/></Relationships>
</file>

<file path=word/charts/_rels/chart18.xml.rels><?xml version="1.0" encoding="UTF-8" standalone="yes"?>
<Relationships xmlns="http://schemas.openxmlformats.org/package/2006/relationships"><Relationship Id="rId1" Type="http://schemas.microsoft.com/office/2011/relationships/chartStyle" Target="style18.xml"/><Relationship Id="rId2" Type="http://schemas.microsoft.com/office/2011/relationships/chartColorStyle" Target="colors18.xml"/><Relationship Id="rId3" Type="http://schemas.openxmlformats.org/officeDocument/2006/relationships/oleObject" Target="file:////Users/Lewis/Documents/excel%20graph%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United Kingdom population mid-year</a:t>
            </a:r>
            <a:r>
              <a:rPr lang="en-US" baseline="0"/>
              <a:t> estimate from 1995 - 2016</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spPr>
            <a:ln w="28575" cap="rnd">
              <a:solidFill>
                <a:srgbClr val="00B050"/>
              </a:solidFill>
              <a:round/>
            </a:ln>
            <a:effectLst/>
          </c:spPr>
          <c:marker>
            <c:symbol val="none"/>
          </c:marker>
          <c:cat>
            <c:numRef>
              <c:f>Sheet1!$Q$1:$Q$8</c:f>
              <c:numCache>
                <c:formatCode>General</c:formatCode>
                <c:ptCount val="8"/>
                <c:pt idx="0">
                  <c:v>1995.0</c:v>
                </c:pt>
                <c:pt idx="1">
                  <c:v>1998.0</c:v>
                </c:pt>
                <c:pt idx="2">
                  <c:v>2001.0</c:v>
                </c:pt>
                <c:pt idx="3">
                  <c:v>2004.0</c:v>
                </c:pt>
                <c:pt idx="4">
                  <c:v>2007.0</c:v>
                </c:pt>
                <c:pt idx="5">
                  <c:v>2010.0</c:v>
                </c:pt>
                <c:pt idx="6">
                  <c:v>2013.0</c:v>
                </c:pt>
                <c:pt idx="7">
                  <c:v>2016.0</c:v>
                </c:pt>
              </c:numCache>
            </c:numRef>
          </c:cat>
          <c:val>
            <c:numRef>
              <c:f>Sheet1!$R$1:$R$8</c:f>
              <c:numCache>
                <c:formatCode>General</c:formatCode>
                <c:ptCount val="8"/>
                <c:pt idx="0">
                  <c:v>58.0</c:v>
                </c:pt>
                <c:pt idx="1">
                  <c:v>59.0</c:v>
                </c:pt>
                <c:pt idx="2">
                  <c:v>60.0</c:v>
                </c:pt>
                <c:pt idx="3">
                  <c:v>60.0</c:v>
                </c:pt>
                <c:pt idx="4">
                  <c:v>61.0</c:v>
                </c:pt>
                <c:pt idx="5">
                  <c:v>63.0</c:v>
                </c:pt>
                <c:pt idx="6">
                  <c:v>64.0</c:v>
                </c:pt>
                <c:pt idx="7">
                  <c:v>65.0</c:v>
                </c:pt>
              </c:numCache>
            </c:numRef>
          </c:val>
          <c:smooth val="0"/>
        </c:ser>
        <c:dLbls>
          <c:showLegendKey val="0"/>
          <c:showVal val="0"/>
          <c:showCatName val="0"/>
          <c:showSerName val="0"/>
          <c:showPercent val="0"/>
          <c:showBubbleSize val="0"/>
        </c:dLbls>
        <c:smooth val="0"/>
        <c:axId val="1212719424"/>
        <c:axId val="1397943472"/>
      </c:lineChart>
      <c:catAx>
        <c:axId val="12127194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7943472"/>
        <c:crosses val="autoZero"/>
        <c:auto val="1"/>
        <c:lblAlgn val="ctr"/>
        <c:lblOffset val="100"/>
        <c:noMultiLvlLbl val="0"/>
      </c:catAx>
      <c:valAx>
        <c:axId val="13979434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Population</a:t>
                </a:r>
                <a:r>
                  <a:rPr lang="en-US" baseline="0"/>
                  <a:t> in millions</a:t>
                </a:r>
                <a:endParaRPr lang="en-US"/>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2127194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 to</a:t>
            </a:r>
            <a:r>
              <a:rPr lang="en-US" baseline="0"/>
              <a:t> show population estimates in Wales regions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Mid-year 1991</c:v>
                </c:pt>
              </c:strCache>
            </c:strRef>
          </c:tx>
          <c:spPr>
            <a:solidFill>
              <a:schemeClr val="accent1"/>
            </a:solidFill>
            <a:ln>
              <a:noFill/>
            </a:ln>
            <a:effectLst/>
          </c:spPr>
          <c:invertIfNegative val="0"/>
          <c:cat>
            <c:strRef>
              <c:f>Sheet1!$A$2:$A$23</c:f>
              <c:strCache>
                <c:ptCount val="22"/>
                <c:pt idx="0">
                  <c:v>Isle of Anglesey</c:v>
                </c:pt>
                <c:pt idx="1">
                  <c:v>Gwynedd</c:v>
                </c:pt>
                <c:pt idx="2">
                  <c:v>Conwy</c:v>
                </c:pt>
                <c:pt idx="3">
                  <c:v>Denbighshire</c:v>
                </c:pt>
                <c:pt idx="4">
                  <c:v>Flintshire</c:v>
                </c:pt>
                <c:pt idx="5">
                  <c:v>Wrexham</c:v>
                </c:pt>
                <c:pt idx="6">
                  <c:v>Powys</c:v>
                </c:pt>
                <c:pt idx="7">
                  <c:v>Ceredigion</c:v>
                </c:pt>
                <c:pt idx="8">
                  <c:v>Pembrokeshire</c:v>
                </c:pt>
                <c:pt idx="9">
                  <c:v>Carmarthenshire</c:v>
                </c:pt>
                <c:pt idx="10">
                  <c:v>Swansea</c:v>
                </c:pt>
                <c:pt idx="11">
                  <c:v>Neath Port Talbot</c:v>
                </c:pt>
                <c:pt idx="12">
                  <c:v>Bridgend</c:v>
                </c:pt>
                <c:pt idx="13">
                  <c:v>Vale of Glamorgan</c:v>
                </c:pt>
                <c:pt idx="14">
                  <c:v>Cardiff</c:v>
                </c:pt>
                <c:pt idx="15">
                  <c:v>Rhondda Cynon Taf</c:v>
                </c:pt>
                <c:pt idx="16">
                  <c:v>Merthyr Tydfil</c:v>
                </c:pt>
                <c:pt idx="17">
                  <c:v>Caerphilly</c:v>
                </c:pt>
                <c:pt idx="18">
                  <c:v>Blaenau Gwent</c:v>
                </c:pt>
                <c:pt idx="19">
                  <c:v>Torfaen</c:v>
                </c:pt>
                <c:pt idx="20">
                  <c:v>Monmouthshire</c:v>
                </c:pt>
                <c:pt idx="21">
                  <c:v>Newport</c:v>
                </c:pt>
              </c:strCache>
            </c:strRef>
          </c:cat>
          <c:val>
            <c:numRef>
              <c:f>Sheet1!$B$2:$B$23</c:f>
              <c:numCache>
                <c:formatCode>#,##0</c:formatCode>
                <c:ptCount val="22"/>
                <c:pt idx="0">
                  <c:v>69123.0</c:v>
                </c:pt>
                <c:pt idx="1">
                  <c:v>115007.0</c:v>
                </c:pt>
                <c:pt idx="2">
                  <c:v>107951.0</c:v>
                </c:pt>
                <c:pt idx="3">
                  <c:v>89395.0</c:v>
                </c:pt>
                <c:pt idx="4">
                  <c:v>142036.0</c:v>
                </c:pt>
                <c:pt idx="5">
                  <c:v>124180.0</c:v>
                </c:pt>
                <c:pt idx="6">
                  <c:v>119703.0</c:v>
                </c:pt>
                <c:pt idx="7">
                  <c:v>65933.0</c:v>
                </c:pt>
                <c:pt idx="8">
                  <c:v>112446.0</c:v>
                </c:pt>
                <c:pt idx="9">
                  <c:v>169725.0</c:v>
                </c:pt>
                <c:pt idx="10">
                  <c:v>229743.0</c:v>
                </c:pt>
                <c:pt idx="11">
                  <c:v>138844.0</c:v>
                </c:pt>
                <c:pt idx="12">
                  <c:v>129477.0</c:v>
                </c:pt>
                <c:pt idx="13">
                  <c:v>118053.0</c:v>
                </c:pt>
                <c:pt idx="14">
                  <c:v>296941.0</c:v>
                </c:pt>
                <c:pt idx="15">
                  <c:v>234917.0</c:v>
                </c:pt>
                <c:pt idx="16">
                  <c:v>59594.0</c:v>
                </c:pt>
                <c:pt idx="17">
                  <c:v>170615.0</c:v>
                </c:pt>
                <c:pt idx="18">
                  <c:v>72666.0</c:v>
                </c:pt>
                <c:pt idx="19">
                  <c:v>90961.0</c:v>
                </c:pt>
                <c:pt idx="20">
                  <c:v>80209.0</c:v>
                </c:pt>
                <c:pt idx="21">
                  <c:v>135479.0</c:v>
                </c:pt>
              </c:numCache>
            </c:numRef>
          </c:val>
        </c:ser>
        <c:ser>
          <c:idx val="1"/>
          <c:order val="1"/>
          <c:tx>
            <c:strRef>
              <c:f>Sheet1!$C$1</c:f>
              <c:strCache>
                <c:ptCount val="1"/>
                <c:pt idx="0">
                  <c:v>Mid-year 2001</c:v>
                </c:pt>
              </c:strCache>
            </c:strRef>
          </c:tx>
          <c:spPr>
            <a:solidFill>
              <a:schemeClr val="accent2"/>
            </a:solidFill>
            <a:ln>
              <a:noFill/>
            </a:ln>
            <a:effectLst/>
          </c:spPr>
          <c:invertIfNegative val="0"/>
          <c:cat>
            <c:strRef>
              <c:f>Sheet1!$A$2:$A$23</c:f>
              <c:strCache>
                <c:ptCount val="22"/>
                <c:pt idx="0">
                  <c:v>Isle of Anglesey</c:v>
                </c:pt>
                <c:pt idx="1">
                  <c:v>Gwynedd</c:v>
                </c:pt>
                <c:pt idx="2">
                  <c:v>Conwy</c:v>
                </c:pt>
                <c:pt idx="3">
                  <c:v>Denbighshire</c:v>
                </c:pt>
                <c:pt idx="4">
                  <c:v>Flintshire</c:v>
                </c:pt>
                <c:pt idx="5">
                  <c:v>Wrexham</c:v>
                </c:pt>
                <c:pt idx="6">
                  <c:v>Powys</c:v>
                </c:pt>
                <c:pt idx="7">
                  <c:v>Ceredigion</c:v>
                </c:pt>
                <c:pt idx="8">
                  <c:v>Pembrokeshire</c:v>
                </c:pt>
                <c:pt idx="9">
                  <c:v>Carmarthenshire</c:v>
                </c:pt>
                <c:pt idx="10">
                  <c:v>Swansea</c:v>
                </c:pt>
                <c:pt idx="11">
                  <c:v>Neath Port Talbot</c:v>
                </c:pt>
                <c:pt idx="12">
                  <c:v>Bridgend</c:v>
                </c:pt>
                <c:pt idx="13">
                  <c:v>Vale of Glamorgan</c:v>
                </c:pt>
                <c:pt idx="14">
                  <c:v>Cardiff</c:v>
                </c:pt>
                <c:pt idx="15">
                  <c:v>Rhondda Cynon Taf</c:v>
                </c:pt>
                <c:pt idx="16">
                  <c:v>Merthyr Tydfil</c:v>
                </c:pt>
                <c:pt idx="17">
                  <c:v>Caerphilly</c:v>
                </c:pt>
                <c:pt idx="18">
                  <c:v>Blaenau Gwent</c:v>
                </c:pt>
                <c:pt idx="19">
                  <c:v>Torfaen</c:v>
                </c:pt>
                <c:pt idx="20">
                  <c:v>Monmouthshire</c:v>
                </c:pt>
                <c:pt idx="21">
                  <c:v>Newport</c:v>
                </c:pt>
              </c:strCache>
            </c:strRef>
          </c:cat>
          <c:val>
            <c:numRef>
              <c:f>Sheet1!$C$2:$C$23</c:f>
              <c:numCache>
                <c:formatCode>#,##0</c:formatCode>
                <c:ptCount val="22"/>
                <c:pt idx="0">
                  <c:v>67806.0</c:v>
                </c:pt>
                <c:pt idx="1">
                  <c:v>116844.0</c:v>
                </c:pt>
                <c:pt idx="2">
                  <c:v>109674.0</c:v>
                </c:pt>
                <c:pt idx="3">
                  <c:v>93070.0</c:v>
                </c:pt>
                <c:pt idx="4">
                  <c:v>148629.0</c:v>
                </c:pt>
                <c:pt idx="5">
                  <c:v>128540.0</c:v>
                </c:pt>
                <c:pt idx="6">
                  <c:v>126398.0</c:v>
                </c:pt>
                <c:pt idx="7">
                  <c:v>75417.0</c:v>
                </c:pt>
                <c:pt idx="8">
                  <c:v>113058.0</c:v>
                </c:pt>
                <c:pt idx="9">
                  <c:v>173652.0</c:v>
                </c:pt>
                <c:pt idx="10">
                  <c:v>223463.0</c:v>
                </c:pt>
                <c:pt idx="11">
                  <c:v>134380.0</c:v>
                </c:pt>
                <c:pt idx="12">
                  <c:v>128735.0</c:v>
                </c:pt>
                <c:pt idx="13">
                  <c:v>119277.0</c:v>
                </c:pt>
                <c:pt idx="14">
                  <c:v>310088.0</c:v>
                </c:pt>
                <c:pt idx="15">
                  <c:v>231910.0</c:v>
                </c:pt>
                <c:pt idx="16">
                  <c:v>56207.0</c:v>
                </c:pt>
                <c:pt idx="17">
                  <c:v>169546.0</c:v>
                </c:pt>
                <c:pt idx="18">
                  <c:v>70000.0</c:v>
                </c:pt>
                <c:pt idx="19">
                  <c:v>90912.0</c:v>
                </c:pt>
                <c:pt idx="20">
                  <c:v>84984.0</c:v>
                </c:pt>
                <c:pt idx="21">
                  <c:v>137642.0</c:v>
                </c:pt>
              </c:numCache>
            </c:numRef>
          </c:val>
        </c:ser>
        <c:ser>
          <c:idx val="2"/>
          <c:order val="2"/>
          <c:tx>
            <c:strRef>
              <c:f>Sheet1!$D$1</c:f>
              <c:strCache>
                <c:ptCount val="1"/>
                <c:pt idx="0">
                  <c:v>Mid-year 2011</c:v>
                </c:pt>
              </c:strCache>
            </c:strRef>
          </c:tx>
          <c:spPr>
            <a:solidFill>
              <a:schemeClr val="accent3"/>
            </a:solidFill>
            <a:ln>
              <a:noFill/>
            </a:ln>
            <a:effectLst/>
          </c:spPr>
          <c:invertIfNegative val="0"/>
          <c:cat>
            <c:strRef>
              <c:f>Sheet1!$A$2:$A$23</c:f>
              <c:strCache>
                <c:ptCount val="22"/>
                <c:pt idx="0">
                  <c:v>Isle of Anglesey</c:v>
                </c:pt>
                <c:pt idx="1">
                  <c:v>Gwynedd</c:v>
                </c:pt>
                <c:pt idx="2">
                  <c:v>Conwy</c:v>
                </c:pt>
                <c:pt idx="3">
                  <c:v>Denbighshire</c:v>
                </c:pt>
                <c:pt idx="4">
                  <c:v>Flintshire</c:v>
                </c:pt>
                <c:pt idx="5">
                  <c:v>Wrexham</c:v>
                </c:pt>
                <c:pt idx="6">
                  <c:v>Powys</c:v>
                </c:pt>
                <c:pt idx="7">
                  <c:v>Ceredigion</c:v>
                </c:pt>
                <c:pt idx="8">
                  <c:v>Pembrokeshire</c:v>
                </c:pt>
                <c:pt idx="9">
                  <c:v>Carmarthenshire</c:v>
                </c:pt>
                <c:pt idx="10">
                  <c:v>Swansea</c:v>
                </c:pt>
                <c:pt idx="11">
                  <c:v>Neath Port Talbot</c:v>
                </c:pt>
                <c:pt idx="12">
                  <c:v>Bridgend</c:v>
                </c:pt>
                <c:pt idx="13">
                  <c:v>Vale of Glamorgan</c:v>
                </c:pt>
                <c:pt idx="14">
                  <c:v>Cardiff</c:v>
                </c:pt>
                <c:pt idx="15">
                  <c:v>Rhondda Cynon Taf</c:v>
                </c:pt>
                <c:pt idx="16">
                  <c:v>Merthyr Tydfil</c:v>
                </c:pt>
                <c:pt idx="17">
                  <c:v>Caerphilly</c:v>
                </c:pt>
                <c:pt idx="18">
                  <c:v>Blaenau Gwent</c:v>
                </c:pt>
                <c:pt idx="19">
                  <c:v>Torfaen</c:v>
                </c:pt>
                <c:pt idx="20">
                  <c:v>Monmouthshire</c:v>
                </c:pt>
                <c:pt idx="21">
                  <c:v>Newport</c:v>
                </c:pt>
              </c:strCache>
            </c:strRef>
          </c:cat>
          <c:val>
            <c:numRef>
              <c:f>Sheet1!$D$2:$D$23</c:f>
              <c:numCache>
                <c:formatCode>#,##0</c:formatCode>
                <c:ptCount val="22"/>
                <c:pt idx="0">
                  <c:v>69913.0</c:v>
                </c:pt>
                <c:pt idx="1">
                  <c:v>121523.0</c:v>
                </c:pt>
                <c:pt idx="2">
                  <c:v>115326.0</c:v>
                </c:pt>
                <c:pt idx="3">
                  <c:v>93919.0</c:v>
                </c:pt>
                <c:pt idx="4">
                  <c:v>152666.0</c:v>
                </c:pt>
                <c:pt idx="5">
                  <c:v>135070.0</c:v>
                </c:pt>
                <c:pt idx="6">
                  <c:v>133071.0</c:v>
                </c:pt>
                <c:pt idx="7">
                  <c:v>75293.0</c:v>
                </c:pt>
                <c:pt idx="8">
                  <c:v>122613.0</c:v>
                </c:pt>
                <c:pt idx="9">
                  <c:v>183961.0</c:v>
                </c:pt>
                <c:pt idx="10">
                  <c:v>238691.0</c:v>
                </c:pt>
                <c:pt idx="11">
                  <c:v>139880.0</c:v>
                </c:pt>
                <c:pt idx="12">
                  <c:v>139410.0</c:v>
                </c:pt>
                <c:pt idx="13">
                  <c:v>126679.0</c:v>
                </c:pt>
                <c:pt idx="14">
                  <c:v>345442.0</c:v>
                </c:pt>
                <c:pt idx="15">
                  <c:v>234373.0</c:v>
                </c:pt>
                <c:pt idx="16">
                  <c:v>58851.0</c:v>
                </c:pt>
                <c:pt idx="17">
                  <c:v>178782.0</c:v>
                </c:pt>
                <c:pt idx="18">
                  <c:v>69812.0</c:v>
                </c:pt>
                <c:pt idx="19">
                  <c:v>91190.0</c:v>
                </c:pt>
                <c:pt idx="20">
                  <c:v>91508.0</c:v>
                </c:pt>
                <c:pt idx="21">
                  <c:v>145785.0</c:v>
                </c:pt>
              </c:numCache>
            </c:numRef>
          </c:val>
        </c:ser>
        <c:ser>
          <c:idx val="3"/>
          <c:order val="3"/>
          <c:tx>
            <c:strRef>
              <c:f>Sheet1!$E$1</c:f>
              <c:strCache>
                <c:ptCount val="1"/>
                <c:pt idx="0">
                  <c:v>Mid-year 2012</c:v>
                </c:pt>
              </c:strCache>
            </c:strRef>
          </c:tx>
          <c:spPr>
            <a:solidFill>
              <a:schemeClr val="accent4"/>
            </a:solidFill>
            <a:ln>
              <a:noFill/>
            </a:ln>
            <a:effectLst/>
          </c:spPr>
          <c:invertIfNegative val="0"/>
          <c:cat>
            <c:strRef>
              <c:f>Sheet1!$A$2:$A$23</c:f>
              <c:strCache>
                <c:ptCount val="22"/>
                <c:pt idx="0">
                  <c:v>Isle of Anglesey</c:v>
                </c:pt>
                <c:pt idx="1">
                  <c:v>Gwynedd</c:v>
                </c:pt>
                <c:pt idx="2">
                  <c:v>Conwy</c:v>
                </c:pt>
                <c:pt idx="3">
                  <c:v>Denbighshire</c:v>
                </c:pt>
                <c:pt idx="4">
                  <c:v>Flintshire</c:v>
                </c:pt>
                <c:pt idx="5">
                  <c:v>Wrexham</c:v>
                </c:pt>
                <c:pt idx="6">
                  <c:v>Powys</c:v>
                </c:pt>
                <c:pt idx="7">
                  <c:v>Ceredigion</c:v>
                </c:pt>
                <c:pt idx="8">
                  <c:v>Pembrokeshire</c:v>
                </c:pt>
                <c:pt idx="9">
                  <c:v>Carmarthenshire</c:v>
                </c:pt>
                <c:pt idx="10">
                  <c:v>Swansea</c:v>
                </c:pt>
                <c:pt idx="11">
                  <c:v>Neath Port Talbot</c:v>
                </c:pt>
                <c:pt idx="12">
                  <c:v>Bridgend</c:v>
                </c:pt>
                <c:pt idx="13">
                  <c:v>Vale of Glamorgan</c:v>
                </c:pt>
                <c:pt idx="14">
                  <c:v>Cardiff</c:v>
                </c:pt>
                <c:pt idx="15">
                  <c:v>Rhondda Cynon Taf</c:v>
                </c:pt>
                <c:pt idx="16">
                  <c:v>Merthyr Tydfil</c:v>
                </c:pt>
                <c:pt idx="17">
                  <c:v>Caerphilly</c:v>
                </c:pt>
                <c:pt idx="18">
                  <c:v>Blaenau Gwent</c:v>
                </c:pt>
                <c:pt idx="19">
                  <c:v>Torfaen</c:v>
                </c:pt>
                <c:pt idx="20">
                  <c:v>Monmouthshire</c:v>
                </c:pt>
                <c:pt idx="21">
                  <c:v>Newport</c:v>
                </c:pt>
              </c:strCache>
            </c:strRef>
          </c:cat>
          <c:val>
            <c:numRef>
              <c:f>Sheet1!$E$2:$E$23</c:f>
              <c:numCache>
                <c:formatCode>#,##0</c:formatCode>
                <c:ptCount val="22"/>
                <c:pt idx="0">
                  <c:v>70049.0</c:v>
                </c:pt>
                <c:pt idx="1">
                  <c:v>122142.0</c:v>
                </c:pt>
                <c:pt idx="2">
                  <c:v>115515.0</c:v>
                </c:pt>
                <c:pt idx="3">
                  <c:v>94066.0</c:v>
                </c:pt>
                <c:pt idx="4">
                  <c:v>152743.0</c:v>
                </c:pt>
                <c:pt idx="5">
                  <c:v>135919.0</c:v>
                </c:pt>
                <c:pt idx="6">
                  <c:v>132952.0</c:v>
                </c:pt>
                <c:pt idx="7">
                  <c:v>76046.0</c:v>
                </c:pt>
                <c:pt idx="8">
                  <c:v>123035.0</c:v>
                </c:pt>
                <c:pt idx="9">
                  <c:v>184317.0</c:v>
                </c:pt>
                <c:pt idx="10">
                  <c:v>239633.0</c:v>
                </c:pt>
                <c:pt idx="11">
                  <c:v>140108.0</c:v>
                </c:pt>
                <c:pt idx="12">
                  <c:v>139740.0</c:v>
                </c:pt>
                <c:pt idx="13">
                  <c:v>126831.0</c:v>
                </c:pt>
                <c:pt idx="14">
                  <c:v>348493.0</c:v>
                </c:pt>
                <c:pt idx="15">
                  <c:v>235599.0</c:v>
                </c:pt>
                <c:pt idx="16">
                  <c:v>58898.0</c:v>
                </c:pt>
                <c:pt idx="17">
                  <c:v>179022.0</c:v>
                </c:pt>
                <c:pt idx="18">
                  <c:v>69822.0</c:v>
                </c:pt>
                <c:pt idx="19">
                  <c:v>91372.0</c:v>
                </c:pt>
                <c:pt idx="20">
                  <c:v>91659.0</c:v>
                </c:pt>
                <c:pt idx="21">
                  <c:v>146106.0</c:v>
                </c:pt>
              </c:numCache>
            </c:numRef>
          </c:val>
        </c:ser>
        <c:ser>
          <c:idx val="4"/>
          <c:order val="4"/>
          <c:tx>
            <c:strRef>
              <c:f>Sheet1!$F$1</c:f>
              <c:strCache>
                <c:ptCount val="1"/>
                <c:pt idx="0">
                  <c:v>Mid-year 2013</c:v>
                </c:pt>
              </c:strCache>
            </c:strRef>
          </c:tx>
          <c:spPr>
            <a:solidFill>
              <a:schemeClr val="accent5"/>
            </a:solidFill>
            <a:ln>
              <a:noFill/>
            </a:ln>
            <a:effectLst/>
          </c:spPr>
          <c:invertIfNegative val="0"/>
          <c:cat>
            <c:strRef>
              <c:f>Sheet1!$A$2:$A$23</c:f>
              <c:strCache>
                <c:ptCount val="22"/>
                <c:pt idx="0">
                  <c:v>Isle of Anglesey</c:v>
                </c:pt>
                <c:pt idx="1">
                  <c:v>Gwynedd</c:v>
                </c:pt>
                <c:pt idx="2">
                  <c:v>Conwy</c:v>
                </c:pt>
                <c:pt idx="3">
                  <c:v>Denbighshire</c:v>
                </c:pt>
                <c:pt idx="4">
                  <c:v>Flintshire</c:v>
                </c:pt>
                <c:pt idx="5">
                  <c:v>Wrexham</c:v>
                </c:pt>
                <c:pt idx="6">
                  <c:v>Powys</c:v>
                </c:pt>
                <c:pt idx="7">
                  <c:v>Ceredigion</c:v>
                </c:pt>
                <c:pt idx="8">
                  <c:v>Pembrokeshire</c:v>
                </c:pt>
                <c:pt idx="9">
                  <c:v>Carmarthenshire</c:v>
                </c:pt>
                <c:pt idx="10">
                  <c:v>Swansea</c:v>
                </c:pt>
                <c:pt idx="11">
                  <c:v>Neath Port Talbot</c:v>
                </c:pt>
                <c:pt idx="12">
                  <c:v>Bridgend</c:v>
                </c:pt>
                <c:pt idx="13">
                  <c:v>Vale of Glamorgan</c:v>
                </c:pt>
                <c:pt idx="14">
                  <c:v>Cardiff</c:v>
                </c:pt>
                <c:pt idx="15">
                  <c:v>Rhondda Cynon Taf</c:v>
                </c:pt>
                <c:pt idx="16">
                  <c:v>Merthyr Tydfil</c:v>
                </c:pt>
                <c:pt idx="17">
                  <c:v>Caerphilly</c:v>
                </c:pt>
                <c:pt idx="18">
                  <c:v>Blaenau Gwent</c:v>
                </c:pt>
                <c:pt idx="19">
                  <c:v>Torfaen</c:v>
                </c:pt>
                <c:pt idx="20">
                  <c:v>Monmouthshire</c:v>
                </c:pt>
                <c:pt idx="21">
                  <c:v>Newport</c:v>
                </c:pt>
              </c:strCache>
            </c:strRef>
          </c:cat>
          <c:val>
            <c:numRef>
              <c:f>Sheet1!$F$2:$F$23</c:f>
              <c:numCache>
                <c:formatCode>#,##0</c:formatCode>
                <c:ptCount val="22"/>
                <c:pt idx="0">
                  <c:v>70091.0</c:v>
                </c:pt>
                <c:pt idx="1">
                  <c:v>121911.0</c:v>
                </c:pt>
                <c:pt idx="2">
                  <c:v>115835.0</c:v>
                </c:pt>
                <c:pt idx="3">
                  <c:v>94510.0</c:v>
                </c:pt>
                <c:pt idx="4">
                  <c:v>153240.0</c:v>
                </c:pt>
                <c:pt idx="5">
                  <c:v>136399.0</c:v>
                </c:pt>
                <c:pt idx="6">
                  <c:v>132705.0</c:v>
                </c:pt>
                <c:pt idx="7">
                  <c:v>75964.0</c:v>
                </c:pt>
                <c:pt idx="8">
                  <c:v>123261.0</c:v>
                </c:pt>
                <c:pt idx="9">
                  <c:v>184681.0</c:v>
                </c:pt>
                <c:pt idx="10">
                  <c:v>240332.0</c:v>
                </c:pt>
                <c:pt idx="11">
                  <c:v>139898.0</c:v>
                </c:pt>
                <c:pt idx="12">
                  <c:v>140480.0</c:v>
                </c:pt>
                <c:pt idx="13">
                  <c:v>127159.0</c:v>
                </c:pt>
                <c:pt idx="14">
                  <c:v>351710.0</c:v>
                </c:pt>
                <c:pt idx="15">
                  <c:v>236114.0</c:v>
                </c:pt>
                <c:pt idx="16">
                  <c:v>59021.0</c:v>
                </c:pt>
                <c:pt idx="17">
                  <c:v>179247.0</c:v>
                </c:pt>
                <c:pt idx="18">
                  <c:v>69789.0</c:v>
                </c:pt>
                <c:pt idx="19">
                  <c:v>91407.0</c:v>
                </c:pt>
                <c:pt idx="20">
                  <c:v>92100.0</c:v>
                </c:pt>
                <c:pt idx="21">
                  <c:v>146558.0</c:v>
                </c:pt>
              </c:numCache>
            </c:numRef>
          </c:val>
        </c:ser>
        <c:ser>
          <c:idx val="5"/>
          <c:order val="5"/>
          <c:tx>
            <c:strRef>
              <c:f>Sheet1!$G$1</c:f>
              <c:strCache>
                <c:ptCount val="1"/>
                <c:pt idx="0">
                  <c:v>Mid-year 2014</c:v>
                </c:pt>
              </c:strCache>
            </c:strRef>
          </c:tx>
          <c:spPr>
            <a:solidFill>
              <a:schemeClr val="accent6"/>
            </a:solidFill>
            <a:ln>
              <a:noFill/>
            </a:ln>
            <a:effectLst/>
          </c:spPr>
          <c:invertIfNegative val="0"/>
          <c:cat>
            <c:strRef>
              <c:f>Sheet1!$A$2:$A$23</c:f>
              <c:strCache>
                <c:ptCount val="22"/>
                <c:pt idx="0">
                  <c:v>Isle of Anglesey</c:v>
                </c:pt>
                <c:pt idx="1">
                  <c:v>Gwynedd</c:v>
                </c:pt>
                <c:pt idx="2">
                  <c:v>Conwy</c:v>
                </c:pt>
                <c:pt idx="3">
                  <c:v>Denbighshire</c:v>
                </c:pt>
                <c:pt idx="4">
                  <c:v>Flintshire</c:v>
                </c:pt>
                <c:pt idx="5">
                  <c:v>Wrexham</c:v>
                </c:pt>
                <c:pt idx="6">
                  <c:v>Powys</c:v>
                </c:pt>
                <c:pt idx="7">
                  <c:v>Ceredigion</c:v>
                </c:pt>
                <c:pt idx="8">
                  <c:v>Pembrokeshire</c:v>
                </c:pt>
                <c:pt idx="9">
                  <c:v>Carmarthenshire</c:v>
                </c:pt>
                <c:pt idx="10">
                  <c:v>Swansea</c:v>
                </c:pt>
                <c:pt idx="11">
                  <c:v>Neath Port Talbot</c:v>
                </c:pt>
                <c:pt idx="12">
                  <c:v>Bridgend</c:v>
                </c:pt>
                <c:pt idx="13">
                  <c:v>Vale of Glamorgan</c:v>
                </c:pt>
                <c:pt idx="14">
                  <c:v>Cardiff</c:v>
                </c:pt>
                <c:pt idx="15">
                  <c:v>Rhondda Cynon Taf</c:v>
                </c:pt>
                <c:pt idx="16">
                  <c:v>Merthyr Tydfil</c:v>
                </c:pt>
                <c:pt idx="17">
                  <c:v>Caerphilly</c:v>
                </c:pt>
                <c:pt idx="18">
                  <c:v>Blaenau Gwent</c:v>
                </c:pt>
                <c:pt idx="19">
                  <c:v>Torfaen</c:v>
                </c:pt>
                <c:pt idx="20">
                  <c:v>Monmouthshire</c:v>
                </c:pt>
                <c:pt idx="21">
                  <c:v>Newport</c:v>
                </c:pt>
              </c:strCache>
            </c:strRef>
          </c:cat>
          <c:val>
            <c:numRef>
              <c:f>Sheet1!$G$2:$G$23</c:f>
              <c:numCache>
                <c:formatCode>#,##0</c:formatCode>
                <c:ptCount val="22"/>
                <c:pt idx="0">
                  <c:v>70169.0</c:v>
                </c:pt>
                <c:pt idx="1">
                  <c:v>122273.0</c:v>
                </c:pt>
                <c:pt idx="2">
                  <c:v>116287.0</c:v>
                </c:pt>
                <c:pt idx="3">
                  <c:v>94791.0</c:v>
                </c:pt>
                <c:pt idx="4">
                  <c:v>153804.0</c:v>
                </c:pt>
                <c:pt idx="5">
                  <c:v>136714.0</c:v>
                </c:pt>
                <c:pt idx="6">
                  <c:v>132675.0</c:v>
                </c:pt>
                <c:pt idx="7">
                  <c:v>75425.0</c:v>
                </c:pt>
                <c:pt idx="8">
                  <c:v>123666.0</c:v>
                </c:pt>
                <c:pt idx="9">
                  <c:v>184898.0</c:v>
                </c:pt>
                <c:pt idx="10">
                  <c:v>241297.0</c:v>
                </c:pt>
                <c:pt idx="11">
                  <c:v>140490.0</c:v>
                </c:pt>
                <c:pt idx="12">
                  <c:v>141214.0</c:v>
                </c:pt>
                <c:pt idx="13">
                  <c:v>127685.0</c:v>
                </c:pt>
                <c:pt idx="14">
                  <c:v>354294.0</c:v>
                </c:pt>
                <c:pt idx="15">
                  <c:v>236888.0</c:v>
                </c:pt>
                <c:pt idx="16">
                  <c:v>59065.0</c:v>
                </c:pt>
                <c:pt idx="17">
                  <c:v>179941.0</c:v>
                </c:pt>
                <c:pt idx="18">
                  <c:v>69674.0</c:v>
                </c:pt>
                <c:pt idx="19">
                  <c:v>91609.0</c:v>
                </c:pt>
                <c:pt idx="20">
                  <c:v>92336.0</c:v>
                </c:pt>
                <c:pt idx="21">
                  <c:v>146841.0</c:v>
                </c:pt>
              </c:numCache>
            </c:numRef>
          </c:val>
        </c:ser>
        <c:ser>
          <c:idx val="6"/>
          <c:order val="6"/>
          <c:tx>
            <c:strRef>
              <c:f>Sheet1!$H$1</c:f>
              <c:strCache>
                <c:ptCount val="1"/>
                <c:pt idx="0">
                  <c:v>Mid-year 2015</c:v>
                </c:pt>
              </c:strCache>
            </c:strRef>
          </c:tx>
          <c:spPr>
            <a:solidFill>
              <a:schemeClr val="accent1">
                <a:lumMod val="60000"/>
              </a:schemeClr>
            </a:solidFill>
            <a:ln>
              <a:noFill/>
            </a:ln>
            <a:effectLst/>
          </c:spPr>
          <c:invertIfNegative val="0"/>
          <c:cat>
            <c:strRef>
              <c:f>Sheet1!$A$2:$A$23</c:f>
              <c:strCache>
                <c:ptCount val="22"/>
                <c:pt idx="0">
                  <c:v>Isle of Anglesey</c:v>
                </c:pt>
                <c:pt idx="1">
                  <c:v>Gwynedd</c:v>
                </c:pt>
                <c:pt idx="2">
                  <c:v>Conwy</c:v>
                </c:pt>
                <c:pt idx="3">
                  <c:v>Denbighshire</c:v>
                </c:pt>
                <c:pt idx="4">
                  <c:v>Flintshire</c:v>
                </c:pt>
                <c:pt idx="5">
                  <c:v>Wrexham</c:v>
                </c:pt>
                <c:pt idx="6">
                  <c:v>Powys</c:v>
                </c:pt>
                <c:pt idx="7">
                  <c:v>Ceredigion</c:v>
                </c:pt>
                <c:pt idx="8">
                  <c:v>Pembrokeshire</c:v>
                </c:pt>
                <c:pt idx="9">
                  <c:v>Carmarthenshire</c:v>
                </c:pt>
                <c:pt idx="10">
                  <c:v>Swansea</c:v>
                </c:pt>
                <c:pt idx="11">
                  <c:v>Neath Port Talbot</c:v>
                </c:pt>
                <c:pt idx="12">
                  <c:v>Bridgend</c:v>
                </c:pt>
                <c:pt idx="13">
                  <c:v>Vale of Glamorgan</c:v>
                </c:pt>
                <c:pt idx="14">
                  <c:v>Cardiff</c:v>
                </c:pt>
                <c:pt idx="15">
                  <c:v>Rhondda Cynon Taf</c:v>
                </c:pt>
                <c:pt idx="16">
                  <c:v>Merthyr Tydfil</c:v>
                </c:pt>
                <c:pt idx="17">
                  <c:v>Caerphilly</c:v>
                </c:pt>
                <c:pt idx="18">
                  <c:v>Blaenau Gwent</c:v>
                </c:pt>
                <c:pt idx="19">
                  <c:v>Torfaen</c:v>
                </c:pt>
                <c:pt idx="20">
                  <c:v>Monmouthshire</c:v>
                </c:pt>
                <c:pt idx="21">
                  <c:v>Newport</c:v>
                </c:pt>
              </c:strCache>
            </c:strRef>
          </c:cat>
          <c:val>
            <c:numRef>
              <c:f>Sheet1!$H$2:$H$23</c:f>
              <c:numCache>
                <c:formatCode>#,##0</c:formatCode>
                <c:ptCount val="22"/>
                <c:pt idx="0">
                  <c:v>69979.0</c:v>
                </c:pt>
                <c:pt idx="1">
                  <c:v>122864.0</c:v>
                </c:pt>
                <c:pt idx="2">
                  <c:v>116218.0</c:v>
                </c:pt>
                <c:pt idx="3">
                  <c:v>94691.0</c:v>
                </c:pt>
                <c:pt idx="4">
                  <c:v>154074.0</c:v>
                </c:pt>
                <c:pt idx="5">
                  <c:v>136647.0</c:v>
                </c:pt>
                <c:pt idx="6">
                  <c:v>132642.0</c:v>
                </c:pt>
                <c:pt idx="7">
                  <c:v>74642.0</c:v>
                </c:pt>
                <c:pt idx="8">
                  <c:v>123464.0</c:v>
                </c:pt>
                <c:pt idx="9">
                  <c:v>185123.0</c:v>
                </c:pt>
                <c:pt idx="10">
                  <c:v>242382.0</c:v>
                </c:pt>
                <c:pt idx="11">
                  <c:v>140992.0</c:v>
                </c:pt>
                <c:pt idx="12">
                  <c:v>142092.0</c:v>
                </c:pt>
                <c:pt idx="13">
                  <c:v>127592.0</c:v>
                </c:pt>
                <c:pt idx="14">
                  <c:v>357160.0</c:v>
                </c:pt>
                <c:pt idx="15">
                  <c:v>237411.0</c:v>
                </c:pt>
                <c:pt idx="16">
                  <c:v>59324.0</c:v>
                </c:pt>
                <c:pt idx="17">
                  <c:v>180164.0</c:v>
                </c:pt>
                <c:pt idx="18">
                  <c:v>69544.0</c:v>
                </c:pt>
                <c:pt idx="19">
                  <c:v>91836.0</c:v>
                </c:pt>
                <c:pt idx="20">
                  <c:v>92476.0</c:v>
                </c:pt>
                <c:pt idx="21">
                  <c:v>147769.0</c:v>
                </c:pt>
              </c:numCache>
            </c:numRef>
          </c:val>
        </c:ser>
        <c:ser>
          <c:idx val="7"/>
          <c:order val="7"/>
          <c:tx>
            <c:strRef>
              <c:f>Sheet1!$I$1</c:f>
              <c:strCache>
                <c:ptCount val="1"/>
                <c:pt idx="0">
                  <c:v>Mid-year 2016</c:v>
                </c:pt>
              </c:strCache>
            </c:strRef>
          </c:tx>
          <c:spPr>
            <a:solidFill>
              <a:schemeClr val="accent2">
                <a:lumMod val="60000"/>
              </a:schemeClr>
            </a:solidFill>
            <a:ln>
              <a:noFill/>
            </a:ln>
            <a:effectLst/>
          </c:spPr>
          <c:invertIfNegative val="0"/>
          <c:cat>
            <c:strRef>
              <c:f>Sheet1!$A$2:$A$23</c:f>
              <c:strCache>
                <c:ptCount val="22"/>
                <c:pt idx="0">
                  <c:v>Isle of Anglesey</c:v>
                </c:pt>
                <c:pt idx="1">
                  <c:v>Gwynedd</c:v>
                </c:pt>
                <c:pt idx="2">
                  <c:v>Conwy</c:v>
                </c:pt>
                <c:pt idx="3">
                  <c:v>Denbighshire</c:v>
                </c:pt>
                <c:pt idx="4">
                  <c:v>Flintshire</c:v>
                </c:pt>
                <c:pt idx="5">
                  <c:v>Wrexham</c:v>
                </c:pt>
                <c:pt idx="6">
                  <c:v>Powys</c:v>
                </c:pt>
                <c:pt idx="7">
                  <c:v>Ceredigion</c:v>
                </c:pt>
                <c:pt idx="8">
                  <c:v>Pembrokeshire</c:v>
                </c:pt>
                <c:pt idx="9">
                  <c:v>Carmarthenshire</c:v>
                </c:pt>
                <c:pt idx="10">
                  <c:v>Swansea</c:v>
                </c:pt>
                <c:pt idx="11">
                  <c:v>Neath Port Talbot</c:v>
                </c:pt>
                <c:pt idx="12">
                  <c:v>Bridgend</c:v>
                </c:pt>
                <c:pt idx="13">
                  <c:v>Vale of Glamorgan</c:v>
                </c:pt>
                <c:pt idx="14">
                  <c:v>Cardiff</c:v>
                </c:pt>
                <c:pt idx="15">
                  <c:v>Rhondda Cynon Taf</c:v>
                </c:pt>
                <c:pt idx="16">
                  <c:v>Merthyr Tydfil</c:v>
                </c:pt>
                <c:pt idx="17">
                  <c:v>Caerphilly</c:v>
                </c:pt>
                <c:pt idx="18">
                  <c:v>Blaenau Gwent</c:v>
                </c:pt>
                <c:pt idx="19">
                  <c:v>Torfaen</c:v>
                </c:pt>
                <c:pt idx="20">
                  <c:v>Monmouthshire</c:v>
                </c:pt>
                <c:pt idx="21">
                  <c:v>Newport</c:v>
                </c:pt>
              </c:strCache>
            </c:strRef>
          </c:cat>
          <c:val>
            <c:numRef>
              <c:f>Sheet1!$I$2:$I$23</c:f>
              <c:numCache>
                <c:formatCode>#,##0</c:formatCode>
                <c:ptCount val="22"/>
                <c:pt idx="0">
                  <c:v>69723.0</c:v>
                </c:pt>
                <c:pt idx="1">
                  <c:v>123627.0</c:v>
                </c:pt>
                <c:pt idx="2">
                  <c:v>116538.0</c:v>
                </c:pt>
                <c:pt idx="3">
                  <c:v>94805.0</c:v>
                </c:pt>
                <c:pt idx="4">
                  <c:v>154419.0</c:v>
                </c:pt>
                <c:pt idx="5">
                  <c:v>136710.0</c:v>
                </c:pt>
                <c:pt idx="6">
                  <c:v>132160.0</c:v>
                </c:pt>
                <c:pt idx="7">
                  <c:v>74146.0</c:v>
                </c:pt>
                <c:pt idx="8">
                  <c:v>123954.0</c:v>
                </c:pt>
                <c:pt idx="9">
                  <c:v>185610.0</c:v>
                </c:pt>
                <c:pt idx="10">
                  <c:v>244513.0</c:v>
                </c:pt>
                <c:pt idx="11">
                  <c:v>141588.0</c:v>
                </c:pt>
                <c:pt idx="12">
                  <c:v>143177.0</c:v>
                </c:pt>
                <c:pt idx="13">
                  <c:v>128463.0</c:v>
                </c:pt>
                <c:pt idx="14">
                  <c:v>361468.0</c:v>
                </c:pt>
                <c:pt idx="15">
                  <c:v>238306.0</c:v>
                </c:pt>
                <c:pt idx="16">
                  <c:v>59810.0</c:v>
                </c:pt>
                <c:pt idx="17">
                  <c:v>180462.0</c:v>
                </c:pt>
                <c:pt idx="18">
                  <c:v>69628.0</c:v>
                </c:pt>
                <c:pt idx="19">
                  <c:v>92052.0</c:v>
                </c:pt>
                <c:pt idx="20">
                  <c:v>92843.0</c:v>
                </c:pt>
                <c:pt idx="21">
                  <c:v>149148.0</c:v>
                </c:pt>
              </c:numCache>
            </c:numRef>
          </c:val>
        </c:ser>
        <c:dLbls>
          <c:showLegendKey val="0"/>
          <c:showVal val="0"/>
          <c:showCatName val="0"/>
          <c:showSerName val="0"/>
          <c:showPercent val="0"/>
          <c:showBubbleSize val="0"/>
        </c:dLbls>
        <c:gapWidth val="219"/>
        <c:overlap val="-27"/>
        <c:axId val="1398043856"/>
        <c:axId val="1398047760"/>
      </c:barChart>
      <c:catAx>
        <c:axId val="1398043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Wales</a:t>
                </a:r>
                <a:r>
                  <a:rPr lang="en-US" baseline="0"/>
                  <a:t> Regions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8047760"/>
        <c:crosses val="autoZero"/>
        <c:auto val="1"/>
        <c:lblAlgn val="ctr"/>
        <c:lblOffset val="100"/>
        <c:noMultiLvlLbl val="0"/>
      </c:catAx>
      <c:valAx>
        <c:axId val="1398047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Population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8043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a:t>
            </a:r>
            <a:r>
              <a:rPr lang="en-US" baseline="0"/>
              <a:t> to show employment rates in Wales regions as of 2013</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2"/>
            </a:solidFill>
            <a:ln>
              <a:noFill/>
            </a:ln>
            <a:effectLst/>
          </c:spPr>
          <c:invertIfNegative val="0"/>
          <c:dPt>
            <c:idx val="0"/>
            <c:invertIfNegative val="0"/>
            <c:bubble3D val="0"/>
            <c:spPr>
              <a:solidFill>
                <a:srgbClr val="00B0F0"/>
              </a:solidFill>
              <a:ln>
                <a:noFill/>
              </a:ln>
              <a:effectLst/>
            </c:spPr>
          </c:dPt>
          <c:dPt>
            <c:idx val="1"/>
            <c:invertIfNegative val="0"/>
            <c:bubble3D val="0"/>
            <c:spPr>
              <a:solidFill>
                <a:srgbClr val="ED656E"/>
              </a:solidFill>
              <a:ln>
                <a:noFill/>
              </a:ln>
              <a:effectLst/>
            </c:spPr>
          </c:dPt>
          <c:dPt>
            <c:idx val="2"/>
            <c:invertIfNegative val="0"/>
            <c:bubble3D val="0"/>
            <c:spPr>
              <a:solidFill>
                <a:srgbClr val="7030A0"/>
              </a:solidFill>
              <a:ln>
                <a:noFill/>
              </a:ln>
              <a:effectLst/>
            </c:spPr>
          </c:dPt>
          <c:dPt>
            <c:idx val="3"/>
            <c:invertIfNegative val="0"/>
            <c:bubble3D val="0"/>
            <c:spPr>
              <a:solidFill>
                <a:srgbClr val="C00000"/>
              </a:solidFill>
              <a:ln>
                <a:noFill/>
              </a:ln>
              <a:effectLst/>
            </c:spPr>
          </c:dPt>
          <c:dPt>
            <c:idx val="4"/>
            <c:invertIfNegative val="0"/>
            <c:bubble3D val="0"/>
            <c:spPr>
              <a:solidFill>
                <a:schemeClr val="accent1">
                  <a:lumMod val="60000"/>
                  <a:lumOff val="40000"/>
                </a:schemeClr>
              </a:solidFill>
              <a:ln>
                <a:noFill/>
              </a:ln>
              <a:effectLst/>
            </c:spPr>
          </c:dPt>
          <c:dPt>
            <c:idx val="5"/>
            <c:invertIfNegative val="0"/>
            <c:bubble3D val="0"/>
            <c:spPr>
              <a:solidFill>
                <a:schemeClr val="accent6"/>
              </a:solidFill>
              <a:ln>
                <a:noFill/>
              </a:ln>
              <a:effectLst/>
            </c:spPr>
          </c:dPt>
          <c:dPt>
            <c:idx val="6"/>
            <c:invertIfNegative val="0"/>
            <c:bubble3D val="0"/>
            <c:spPr>
              <a:solidFill>
                <a:schemeClr val="accent4"/>
              </a:solidFill>
              <a:ln>
                <a:noFill/>
              </a:ln>
              <a:effectLst/>
            </c:spPr>
          </c:dPt>
          <c:dPt>
            <c:idx val="7"/>
            <c:invertIfNegative val="0"/>
            <c:bubble3D val="0"/>
            <c:spPr>
              <a:solidFill>
                <a:schemeClr val="accent1"/>
              </a:solidFill>
              <a:ln>
                <a:noFill/>
              </a:ln>
              <a:effectLst/>
            </c:spPr>
          </c:dPt>
          <c:dPt>
            <c:idx val="8"/>
            <c:invertIfNegative val="0"/>
            <c:bubble3D val="0"/>
            <c:spPr>
              <a:solidFill>
                <a:schemeClr val="accent4">
                  <a:lumMod val="75000"/>
                </a:schemeClr>
              </a:solidFill>
              <a:ln>
                <a:noFill/>
              </a:ln>
              <a:effectLst/>
            </c:spPr>
          </c:dPt>
          <c:dPt>
            <c:idx val="10"/>
            <c:invertIfNegative val="0"/>
            <c:bubble3D val="0"/>
            <c:spPr>
              <a:solidFill>
                <a:srgbClr val="002060"/>
              </a:solidFill>
              <a:ln>
                <a:noFill/>
              </a:ln>
              <a:effectLst/>
            </c:spPr>
          </c:dPt>
          <c:dPt>
            <c:idx val="11"/>
            <c:invertIfNegative val="0"/>
            <c:bubble3D val="0"/>
            <c:spPr>
              <a:solidFill>
                <a:srgbClr val="5B0F0A"/>
              </a:solidFill>
              <a:ln>
                <a:noFill/>
              </a:ln>
              <a:effectLst/>
            </c:spPr>
          </c:dPt>
          <c:dPt>
            <c:idx val="12"/>
            <c:invertIfNegative val="0"/>
            <c:bubble3D val="0"/>
            <c:spPr>
              <a:solidFill>
                <a:srgbClr val="E39BED"/>
              </a:solidFill>
              <a:ln>
                <a:noFill/>
              </a:ln>
              <a:effectLst/>
            </c:spPr>
          </c:dPt>
          <c:dPt>
            <c:idx val="13"/>
            <c:invertIfNegative val="0"/>
            <c:bubble3D val="0"/>
            <c:spPr>
              <a:solidFill>
                <a:srgbClr val="202BCC"/>
              </a:solidFill>
              <a:ln>
                <a:noFill/>
              </a:ln>
              <a:effectLst/>
            </c:spPr>
          </c:dPt>
          <c:dPt>
            <c:idx val="14"/>
            <c:invertIfNegative val="0"/>
            <c:bubble3D val="0"/>
            <c:spPr>
              <a:solidFill>
                <a:schemeClr val="accent3"/>
              </a:solidFill>
              <a:ln>
                <a:noFill/>
              </a:ln>
              <a:effectLst/>
            </c:spPr>
          </c:dPt>
          <c:dPt>
            <c:idx val="15"/>
            <c:invertIfNegative val="0"/>
            <c:bubble3D val="0"/>
            <c:spPr>
              <a:solidFill>
                <a:srgbClr val="23E5ED"/>
              </a:solidFill>
              <a:ln>
                <a:noFill/>
              </a:ln>
              <a:effectLst/>
            </c:spPr>
          </c:dPt>
          <c:dPt>
            <c:idx val="16"/>
            <c:invertIfNegative val="0"/>
            <c:bubble3D val="0"/>
            <c:spPr>
              <a:solidFill>
                <a:srgbClr val="FF09EE"/>
              </a:solidFill>
              <a:ln>
                <a:noFill/>
              </a:ln>
              <a:effectLst/>
            </c:spPr>
          </c:dPt>
          <c:dPt>
            <c:idx val="17"/>
            <c:invertIfNegative val="0"/>
            <c:bubble3D val="0"/>
            <c:spPr>
              <a:solidFill>
                <a:srgbClr val="0B5731"/>
              </a:solidFill>
              <a:ln>
                <a:noFill/>
              </a:ln>
              <a:effectLst/>
            </c:spPr>
          </c:dPt>
          <c:dPt>
            <c:idx val="18"/>
            <c:invertIfNegative val="0"/>
            <c:bubble3D val="0"/>
            <c:spPr>
              <a:solidFill>
                <a:srgbClr val="84B876"/>
              </a:solidFill>
              <a:ln>
                <a:noFill/>
              </a:ln>
              <a:effectLst/>
            </c:spPr>
          </c:dPt>
          <c:dPt>
            <c:idx val="19"/>
            <c:invertIfNegative val="0"/>
            <c:bubble3D val="0"/>
            <c:spPr>
              <a:solidFill>
                <a:schemeClr val="tx1">
                  <a:lumMod val="95000"/>
                  <a:lumOff val="5000"/>
                </a:schemeClr>
              </a:solidFill>
              <a:ln>
                <a:noFill/>
              </a:ln>
              <a:effectLst/>
            </c:spPr>
          </c:dPt>
          <c:dPt>
            <c:idx val="20"/>
            <c:invertIfNegative val="0"/>
            <c:bubble3D val="0"/>
            <c:spPr>
              <a:solidFill>
                <a:schemeClr val="tx2">
                  <a:lumMod val="75000"/>
                </a:schemeClr>
              </a:solidFill>
              <a:ln>
                <a:noFill/>
              </a:ln>
              <a:effectLst/>
            </c:spPr>
          </c:dPt>
          <c:cat>
            <c:strRef>
              <c:f>Sheet1!$A$2:$A$23</c:f>
              <c:strCache>
                <c:ptCount val="22"/>
                <c:pt idx="0">
                  <c:v>Powys</c:v>
                </c:pt>
                <c:pt idx="1">
                  <c:v>Monmouthshire</c:v>
                </c:pt>
                <c:pt idx="2">
                  <c:v>Wrexham</c:v>
                </c:pt>
                <c:pt idx="3">
                  <c:v>Flintshire</c:v>
                </c:pt>
                <c:pt idx="4">
                  <c:v>Bridgend</c:v>
                </c:pt>
                <c:pt idx="5">
                  <c:v>Conwy</c:v>
                </c:pt>
                <c:pt idx="6">
                  <c:v>Denbighshire</c:v>
                </c:pt>
                <c:pt idx="7">
                  <c:v>Gwynedd</c:v>
                </c:pt>
                <c:pt idx="8">
                  <c:v>Caerphilly</c:v>
                </c:pt>
                <c:pt idx="9">
                  <c:v>Isle of Anglesey</c:v>
                </c:pt>
                <c:pt idx="10">
                  <c:v>Pembrokeshire</c:v>
                </c:pt>
                <c:pt idx="11">
                  <c:v>Cardiff</c:v>
                </c:pt>
                <c:pt idx="12">
                  <c:v>Carmarthenshire</c:v>
                </c:pt>
                <c:pt idx="13">
                  <c:v>Newport</c:v>
                </c:pt>
                <c:pt idx="14">
                  <c:v>Neath Port Talbot</c:v>
                </c:pt>
                <c:pt idx="15">
                  <c:v>Torfaen</c:v>
                </c:pt>
                <c:pt idx="16">
                  <c:v>Rhondda Cynon Taf</c:v>
                </c:pt>
                <c:pt idx="17">
                  <c:v>Swansea</c:v>
                </c:pt>
                <c:pt idx="18">
                  <c:v>Merthyr Tydfil</c:v>
                </c:pt>
                <c:pt idx="19">
                  <c:v>Ceredigion</c:v>
                </c:pt>
                <c:pt idx="20">
                  <c:v>Blaenau Gwent</c:v>
                </c:pt>
                <c:pt idx="21">
                  <c:v>Vale of Glamorgan</c:v>
                </c:pt>
              </c:strCache>
            </c:strRef>
          </c:cat>
          <c:val>
            <c:numRef>
              <c:f>Sheet1!$B$2:$B$23</c:f>
              <c:numCache>
                <c:formatCode>#,##0</c:formatCode>
                <c:ptCount val="22"/>
                <c:pt idx="0">
                  <c:v>76.0</c:v>
                </c:pt>
                <c:pt idx="1">
                  <c:v>75.0</c:v>
                </c:pt>
                <c:pt idx="2">
                  <c:v>74.0</c:v>
                </c:pt>
                <c:pt idx="3">
                  <c:v>73.0</c:v>
                </c:pt>
                <c:pt idx="4">
                  <c:v>72.0</c:v>
                </c:pt>
                <c:pt idx="5">
                  <c:v>71.0</c:v>
                </c:pt>
                <c:pt idx="6">
                  <c:v>71.0</c:v>
                </c:pt>
                <c:pt idx="7">
                  <c:v>70.0</c:v>
                </c:pt>
                <c:pt idx="8">
                  <c:v>70.0</c:v>
                </c:pt>
                <c:pt idx="9">
                  <c:v>69.0</c:v>
                </c:pt>
                <c:pt idx="10">
                  <c:v>69.0</c:v>
                </c:pt>
                <c:pt idx="11">
                  <c:v>68.0</c:v>
                </c:pt>
                <c:pt idx="12">
                  <c:v>67.0</c:v>
                </c:pt>
                <c:pt idx="13">
                  <c:v>67.0</c:v>
                </c:pt>
                <c:pt idx="14">
                  <c:v>66.0</c:v>
                </c:pt>
                <c:pt idx="15">
                  <c:v>66.0</c:v>
                </c:pt>
                <c:pt idx="16">
                  <c:v>65.0</c:v>
                </c:pt>
                <c:pt idx="17">
                  <c:v>64.0</c:v>
                </c:pt>
                <c:pt idx="18">
                  <c:v>63.0</c:v>
                </c:pt>
                <c:pt idx="19">
                  <c:v>62.0</c:v>
                </c:pt>
                <c:pt idx="20">
                  <c:v>61.0</c:v>
                </c:pt>
              </c:numCache>
            </c:numRef>
          </c:val>
        </c:ser>
        <c:dLbls>
          <c:showLegendKey val="0"/>
          <c:showVal val="0"/>
          <c:showCatName val="0"/>
          <c:showSerName val="0"/>
          <c:showPercent val="0"/>
          <c:showBubbleSize val="0"/>
        </c:dLbls>
        <c:gapWidth val="219"/>
        <c:overlap val="-27"/>
        <c:axId val="1303664000"/>
        <c:axId val="1303667056"/>
      </c:barChart>
      <c:catAx>
        <c:axId val="13036640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Wales</a:t>
                </a:r>
                <a:r>
                  <a:rPr lang="en-US" baseline="0"/>
                  <a:t> Regions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03667056"/>
        <c:crosses val="autoZero"/>
        <c:auto val="1"/>
        <c:lblAlgn val="ctr"/>
        <c:lblOffset val="100"/>
        <c:noMultiLvlLbl val="0"/>
      </c:catAx>
      <c:valAx>
        <c:axId val="13036670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a:t>
                </a:r>
                <a:r>
                  <a:rPr lang="en-US" baseline="0"/>
                  <a:t> of working age population</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036640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a:t>
            </a:r>
            <a:r>
              <a:rPr lang="en-US" baseline="0"/>
              <a:t> to show employment rates in Wales and Swansea from 2001 to 2013</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Sheet1!$M$1</c:f>
              <c:strCache>
                <c:ptCount val="1"/>
                <c:pt idx="0">
                  <c:v>Wales</c:v>
                </c:pt>
              </c:strCache>
            </c:strRef>
          </c:tx>
          <c:spPr>
            <a:ln w="28575" cap="rnd">
              <a:solidFill>
                <a:schemeClr val="accent1"/>
              </a:solidFill>
              <a:round/>
            </a:ln>
            <a:effectLst/>
          </c:spPr>
          <c:marker>
            <c:symbol val="none"/>
          </c:marker>
          <c:cat>
            <c:numRef>
              <c:f>Sheet1!$L$2:$L$14</c:f>
              <c:numCache>
                <c:formatCode>General</c:formatCode>
                <c:ptCount val="13"/>
                <c:pt idx="0">
                  <c:v>2001.0</c:v>
                </c:pt>
                <c:pt idx="1">
                  <c:v>2002.0</c:v>
                </c:pt>
                <c:pt idx="2">
                  <c:v>2003.0</c:v>
                </c:pt>
                <c:pt idx="3">
                  <c:v>2004.0</c:v>
                </c:pt>
                <c:pt idx="4">
                  <c:v>2005.0</c:v>
                </c:pt>
                <c:pt idx="5">
                  <c:v>2006.0</c:v>
                </c:pt>
                <c:pt idx="6">
                  <c:v>2007.0</c:v>
                </c:pt>
                <c:pt idx="7">
                  <c:v>2008.0</c:v>
                </c:pt>
                <c:pt idx="8">
                  <c:v>2009.0</c:v>
                </c:pt>
                <c:pt idx="9">
                  <c:v>2010.0</c:v>
                </c:pt>
                <c:pt idx="10">
                  <c:v>2011.0</c:v>
                </c:pt>
                <c:pt idx="11">
                  <c:v>2012.0</c:v>
                </c:pt>
                <c:pt idx="12">
                  <c:v>2013.0</c:v>
                </c:pt>
              </c:numCache>
            </c:numRef>
          </c:cat>
          <c:val>
            <c:numRef>
              <c:f>Sheet1!$M$2:$M$14</c:f>
              <c:numCache>
                <c:formatCode>General</c:formatCode>
                <c:ptCount val="13"/>
                <c:pt idx="0">
                  <c:v>66.0</c:v>
                </c:pt>
                <c:pt idx="1">
                  <c:v>68.0</c:v>
                </c:pt>
                <c:pt idx="2">
                  <c:v>68.0</c:v>
                </c:pt>
                <c:pt idx="3">
                  <c:v>69.0</c:v>
                </c:pt>
                <c:pt idx="4">
                  <c:v>69.0</c:v>
                </c:pt>
                <c:pt idx="5">
                  <c:v>69.0</c:v>
                </c:pt>
                <c:pt idx="6">
                  <c:v>69.0</c:v>
                </c:pt>
                <c:pt idx="7">
                  <c:v>68.0</c:v>
                </c:pt>
                <c:pt idx="8">
                  <c:v>66.0</c:v>
                </c:pt>
                <c:pt idx="9">
                  <c:v>66.0</c:v>
                </c:pt>
                <c:pt idx="10">
                  <c:v>66.0</c:v>
                </c:pt>
                <c:pt idx="11">
                  <c:v>67.0</c:v>
                </c:pt>
                <c:pt idx="12">
                  <c:v>68.0</c:v>
                </c:pt>
              </c:numCache>
            </c:numRef>
          </c:val>
          <c:smooth val="0"/>
        </c:ser>
        <c:ser>
          <c:idx val="1"/>
          <c:order val="1"/>
          <c:tx>
            <c:strRef>
              <c:f>Sheet1!$N$1</c:f>
              <c:strCache>
                <c:ptCount val="1"/>
                <c:pt idx="0">
                  <c:v>Swansea</c:v>
                </c:pt>
              </c:strCache>
            </c:strRef>
          </c:tx>
          <c:spPr>
            <a:ln w="28575" cap="rnd">
              <a:solidFill>
                <a:schemeClr val="accent2"/>
              </a:solidFill>
              <a:round/>
            </a:ln>
            <a:effectLst/>
          </c:spPr>
          <c:marker>
            <c:symbol val="none"/>
          </c:marker>
          <c:cat>
            <c:numRef>
              <c:f>Sheet1!$L$2:$L$14</c:f>
              <c:numCache>
                <c:formatCode>General</c:formatCode>
                <c:ptCount val="13"/>
                <c:pt idx="0">
                  <c:v>2001.0</c:v>
                </c:pt>
                <c:pt idx="1">
                  <c:v>2002.0</c:v>
                </c:pt>
                <c:pt idx="2">
                  <c:v>2003.0</c:v>
                </c:pt>
                <c:pt idx="3">
                  <c:v>2004.0</c:v>
                </c:pt>
                <c:pt idx="4">
                  <c:v>2005.0</c:v>
                </c:pt>
                <c:pt idx="5">
                  <c:v>2006.0</c:v>
                </c:pt>
                <c:pt idx="6">
                  <c:v>2007.0</c:v>
                </c:pt>
                <c:pt idx="7">
                  <c:v>2008.0</c:v>
                </c:pt>
                <c:pt idx="8">
                  <c:v>2009.0</c:v>
                </c:pt>
                <c:pt idx="9">
                  <c:v>2010.0</c:v>
                </c:pt>
                <c:pt idx="10">
                  <c:v>2011.0</c:v>
                </c:pt>
                <c:pt idx="11">
                  <c:v>2012.0</c:v>
                </c:pt>
                <c:pt idx="12">
                  <c:v>2013.0</c:v>
                </c:pt>
              </c:numCache>
            </c:numRef>
          </c:cat>
          <c:val>
            <c:numRef>
              <c:f>Sheet1!$N$2:$N$14</c:f>
              <c:numCache>
                <c:formatCode>General</c:formatCode>
                <c:ptCount val="13"/>
                <c:pt idx="0">
                  <c:v>68.0</c:v>
                </c:pt>
                <c:pt idx="1">
                  <c:v>68.0</c:v>
                </c:pt>
                <c:pt idx="2">
                  <c:v>69.0</c:v>
                </c:pt>
                <c:pt idx="3">
                  <c:v>70.0</c:v>
                </c:pt>
                <c:pt idx="4">
                  <c:v>68.0</c:v>
                </c:pt>
                <c:pt idx="5">
                  <c:v>68.0</c:v>
                </c:pt>
                <c:pt idx="6">
                  <c:v>69.0</c:v>
                </c:pt>
                <c:pt idx="7">
                  <c:v>65.0</c:v>
                </c:pt>
                <c:pt idx="8">
                  <c:v>64.0</c:v>
                </c:pt>
                <c:pt idx="9">
                  <c:v>60.0</c:v>
                </c:pt>
                <c:pt idx="10">
                  <c:v>63.0</c:v>
                </c:pt>
                <c:pt idx="11">
                  <c:v>63.0</c:v>
                </c:pt>
                <c:pt idx="12">
                  <c:v>64.0</c:v>
                </c:pt>
              </c:numCache>
            </c:numRef>
          </c:val>
          <c:smooth val="0"/>
        </c:ser>
        <c:dLbls>
          <c:showLegendKey val="0"/>
          <c:showVal val="0"/>
          <c:showCatName val="0"/>
          <c:showSerName val="0"/>
          <c:showPercent val="0"/>
          <c:showBubbleSize val="0"/>
        </c:dLbls>
        <c:smooth val="0"/>
        <c:axId val="1394360256"/>
        <c:axId val="1394297184"/>
      </c:lineChart>
      <c:catAx>
        <c:axId val="13943602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297184"/>
        <c:crosses val="autoZero"/>
        <c:auto val="1"/>
        <c:lblAlgn val="ctr"/>
        <c:lblOffset val="100"/>
        <c:noMultiLvlLbl val="0"/>
      </c:catAx>
      <c:valAx>
        <c:axId val="1394297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a:t>
                </a:r>
                <a:r>
                  <a:rPr lang="en-US" baseline="0"/>
                  <a:t> of working age population</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3602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a:t>
            </a:r>
            <a:r>
              <a:rPr lang="en-US" baseline="0"/>
              <a:t> to show average gross weekly full time earnings in Wales regions as of 2013</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dPt>
            <c:idx val="1"/>
            <c:invertIfNegative val="0"/>
            <c:bubble3D val="0"/>
            <c:spPr>
              <a:solidFill>
                <a:schemeClr val="tx1"/>
              </a:solidFill>
              <a:ln>
                <a:noFill/>
              </a:ln>
              <a:effectLst/>
            </c:spPr>
          </c:dPt>
          <c:dPt>
            <c:idx val="2"/>
            <c:invertIfNegative val="0"/>
            <c:bubble3D val="0"/>
            <c:spPr>
              <a:solidFill>
                <a:schemeClr val="bg2">
                  <a:lumMod val="75000"/>
                </a:schemeClr>
              </a:solidFill>
              <a:ln>
                <a:noFill/>
              </a:ln>
              <a:effectLst/>
            </c:spPr>
          </c:dPt>
          <c:dPt>
            <c:idx val="3"/>
            <c:invertIfNegative val="0"/>
            <c:bubble3D val="0"/>
            <c:spPr>
              <a:solidFill>
                <a:schemeClr val="tx2"/>
              </a:solidFill>
              <a:ln>
                <a:noFill/>
              </a:ln>
              <a:effectLst/>
            </c:spPr>
          </c:dPt>
          <c:dPt>
            <c:idx val="4"/>
            <c:invertIfNegative val="0"/>
            <c:bubble3D val="0"/>
            <c:spPr>
              <a:solidFill>
                <a:schemeClr val="accent2"/>
              </a:solidFill>
              <a:ln>
                <a:noFill/>
              </a:ln>
              <a:effectLst/>
            </c:spPr>
          </c:dPt>
          <c:dPt>
            <c:idx val="5"/>
            <c:invertIfNegative val="0"/>
            <c:bubble3D val="0"/>
            <c:spPr>
              <a:solidFill>
                <a:schemeClr val="accent3">
                  <a:lumMod val="50000"/>
                </a:schemeClr>
              </a:solidFill>
              <a:ln>
                <a:noFill/>
              </a:ln>
              <a:effectLst/>
            </c:spPr>
          </c:dPt>
          <c:dPt>
            <c:idx val="6"/>
            <c:invertIfNegative val="0"/>
            <c:bubble3D val="0"/>
            <c:spPr>
              <a:solidFill>
                <a:schemeClr val="accent4"/>
              </a:solidFill>
              <a:ln>
                <a:noFill/>
              </a:ln>
              <a:effectLst/>
            </c:spPr>
          </c:dPt>
          <c:dPt>
            <c:idx val="7"/>
            <c:invertIfNegative val="0"/>
            <c:bubble3D val="0"/>
            <c:spPr>
              <a:solidFill>
                <a:schemeClr val="accent5"/>
              </a:solidFill>
              <a:ln>
                <a:noFill/>
              </a:ln>
              <a:effectLst/>
            </c:spPr>
          </c:dPt>
          <c:dPt>
            <c:idx val="8"/>
            <c:invertIfNegative val="0"/>
            <c:bubble3D val="0"/>
            <c:spPr>
              <a:solidFill>
                <a:schemeClr val="accent6"/>
              </a:solidFill>
              <a:ln>
                <a:noFill/>
              </a:ln>
              <a:effectLst/>
            </c:spPr>
          </c:dPt>
          <c:dPt>
            <c:idx val="9"/>
            <c:invertIfNegative val="0"/>
            <c:bubble3D val="0"/>
            <c:spPr>
              <a:solidFill>
                <a:srgbClr val="202BCC"/>
              </a:solidFill>
              <a:ln>
                <a:noFill/>
              </a:ln>
              <a:effectLst/>
            </c:spPr>
          </c:dPt>
          <c:dPt>
            <c:idx val="10"/>
            <c:invertIfNegative val="0"/>
            <c:bubble3D val="0"/>
            <c:spPr>
              <a:solidFill>
                <a:srgbClr val="ED656E"/>
              </a:solidFill>
              <a:ln>
                <a:noFill/>
              </a:ln>
              <a:effectLst/>
            </c:spPr>
          </c:dPt>
          <c:dPt>
            <c:idx val="11"/>
            <c:invertIfNegative val="0"/>
            <c:bubble3D val="0"/>
            <c:spPr>
              <a:solidFill>
                <a:srgbClr val="23E5ED"/>
              </a:solidFill>
              <a:ln>
                <a:noFill/>
              </a:ln>
              <a:effectLst/>
            </c:spPr>
          </c:dPt>
          <c:dPt>
            <c:idx val="12"/>
            <c:invertIfNegative val="0"/>
            <c:bubble3D val="0"/>
            <c:spPr>
              <a:solidFill>
                <a:srgbClr val="202BCC"/>
              </a:solidFill>
              <a:ln>
                <a:noFill/>
              </a:ln>
              <a:effectLst/>
            </c:spPr>
          </c:dPt>
          <c:dPt>
            <c:idx val="13"/>
            <c:invertIfNegative val="0"/>
            <c:bubble3D val="0"/>
            <c:spPr>
              <a:solidFill>
                <a:srgbClr val="572E12"/>
              </a:solidFill>
              <a:ln>
                <a:noFill/>
              </a:ln>
              <a:effectLst/>
            </c:spPr>
          </c:dPt>
          <c:dPt>
            <c:idx val="14"/>
            <c:invertIfNegative val="0"/>
            <c:bubble3D val="0"/>
            <c:spPr>
              <a:solidFill>
                <a:srgbClr val="84B876"/>
              </a:solidFill>
              <a:ln>
                <a:noFill/>
              </a:ln>
              <a:effectLst/>
            </c:spPr>
          </c:dPt>
          <c:dPt>
            <c:idx val="15"/>
            <c:invertIfNegative val="0"/>
            <c:bubble3D val="0"/>
            <c:spPr>
              <a:solidFill>
                <a:srgbClr val="BB6327"/>
              </a:solidFill>
              <a:ln>
                <a:noFill/>
              </a:ln>
              <a:effectLst/>
            </c:spPr>
          </c:dPt>
          <c:dPt>
            <c:idx val="16"/>
            <c:invertIfNegative val="0"/>
            <c:bubble3D val="0"/>
            <c:spPr>
              <a:solidFill>
                <a:srgbClr val="FF09EE"/>
              </a:solidFill>
              <a:ln>
                <a:noFill/>
              </a:ln>
              <a:effectLst/>
            </c:spPr>
          </c:dPt>
          <c:dPt>
            <c:idx val="17"/>
            <c:invertIfNegative val="0"/>
            <c:bubble3D val="0"/>
            <c:spPr>
              <a:solidFill>
                <a:srgbClr val="0B054E"/>
              </a:solidFill>
              <a:ln>
                <a:noFill/>
              </a:ln>
              <a:effectLst/>
            </c:spPr>
          </c:dPt>
          <c:dPt>
            <c:idx val="18"/>
            <c:invertIfNegative val="0"/>
            <c:bubble3D val="0"/>
            <c:spPr>
              <a:solidFill>
                <a:srgbClr val="0B5731"/>
              </a:solidFill>
              <a:ln>
                <a:noFill/>
              </a:ln>
              <a:effectLst/>
            </c:spPr>
          </c:dPt>
          <c:dPt>
            <c:idx val="19"/>
            <c:invertIfNegative val="0"/>
            <c:bubble3D val="0"/>
            <c:spPr>
              <a:solidFill>
                <a:srgbClr val="FF0000"/>
              </a:solidFill>
              <a:ln>
                <a:noFill/>
              </a:ln>
              <a:effectLst/>
            </c:spPr>
          </c:dPt>
          <c:dPt>
            <c:idx val="20"/>
            <c:invertIfNegative val="0"/>
            <c:bubble3D val="0"/>
            <c:spPr>
              <a:solidFill>
                <a:srgbClr val="7030A0"/>
              </a:solidFill>
              <a:ln>
                <a:noFill/>
              </a:ln>
              <a:effectLst/>
            </c:spPr>
          </c:dPt>
          <c:dPt>
            <c:idx val="21"/>
            <c:invertIfNegative val="0"/>
            <c:bubble3D val="0"/>
            <c:spPr>
              <a:solidFill>
                <a:srgbClr val="FFC000"/>
              </a:solidFill>
              <a:ln>
                <a:noFill/>
              </a:ln>
              <a:effectLst/>
            </c:spPr>
          </c:dPt>
          <c:trendline>
            <c:spPr>
              <a:ln w="19050" cap="rnd">
                <a:solidFill>
                  <a:schemeClr val="accent1"/>
                </a:solidFill>
                <a:prstDash val="sysDot"/>
              </a:ln>
              <a:effectLst/>
            </c:spPr>
            <c:trendlineType val="linear"/>
            <c:dispRSqr val="0"/>
            <c:dispEq val="0"/>
          </c:trendline>
          <c:cat>
            <c:strRef>
              <c:f>Sheet1!$AJ$1:$AJ$22</c:f>
              <c:strCache>
                <c:ptCount val="22"/>
                <c:pt idx="0">
                  <c:v>Cardiff</c:v>
                </c:pt>
                <c:pt idx="1">
                  <c:v>Vale of Glamorgan</c:v>
                </c:pt>
                <c:pt idx="2">
                  <c:v>Flintshire</c:v>
                </c:pt>
                <c:pt idx="3">
                  <c:v>Denbighshire</c:v>
                </c:pt>
                <c:pt idx="4">
                  <c:v>Pembrokeshire</c:v>
                </c:pt>
                <c:pt idx="5">
                  <c:v>Newport</c:v>
                </c:pt>
                <c:pt idx="6">
                  <c:v>Neath Port Talbot</c:v>
                </c:pt>
                <c:pt idx="7">
                  <c:v>Bridgend</c:v>
                </c:pt>
                <c:pt idx="8">
                  <c:v>Rhondda Cynon Taf</c:v>
                </c:pt>
                <c:pt idx="9">
                  <c:v>Caerphilly</c:v>
                </c:pt>
                <c:pt idx="10">
                  <c:v>Torfaen</c:v>
                </c:pt>
                <c:pt idx="11">
                  <c:v>Carmarthenshire</c:v>
                </c:pt>
                <c:pt idx="12">
                  <c:v>Conwy</c:v>
                </c:pt>
                <c:pt idx="13">
                  <c:v>Wrexham</c:v>
                </c:pt>
                <c:pt idx="14">
                  <c:v>Swansea</c:v>
                </c:pt>
                <c:pt idx="15">
                  <c:v>Isle of Anglesey</c:v>
                </c:pt>
                <c:pt idx="16">
                  <c:v>Ceredigion</c:v>
                </c:pt>
                <c:pt idx="17">
                  <c:v>Gwynedd</c:v>
                </c:pt>
                <c:pt idx="18">
                  <c:v>Merthyr Tydfil</c:v>
                </c:pt>
                <c:pt idx="19">
                  <c:v>Powys</c:v>
                </c:pt>
                <c:pt idx="20">
                  <c:v>Monmouthshire</c:v>
                </c:pt>
                <c:pt idx="21">
                  <c:v>Blaenau Gwent</c:v>
                </c:pt>
              </c:strCache>
            </c:strRef>
          </c:cat>
          <c:val>
            <c:numRef>
              <c:f>Sheet1!$AK$1:$AK$22</c:f>
              <c:numCache>
                <c:formatCode>General</c:formatCode>
                <c:ptCount val="22"/>
                <c:pt idx="0">
                  <c:v>590.0</c:v>
                </c:pt>
                <c:pt idx="1">
                  <c:v>582.0</c:v>
                </c:pt>
                <c:pt idx="2">
                  <c:v>580.0</c:v>
                </c:pt>
                <c:pt idx="3">
                  <c:v>550.0</c:v>
                </c:pt>
                <c:pt idx="4">
                  <c:v>550.0</c:v>
                </c:pt>
                <c:pt idx="5">
                  <c:v>547.0</c:v>
                </c:pt>
                <c:pt idx="6">
                  <c:v>541.0</c:v>
                </c:pt>
                <c:pt idx="7">
                  <c:v>541.0</c:v>
                </c:pt>
                <c:pt idx="8">
                  <c:v>541.0</c:v>
                </c:pt>
                <c:pt idx="9">
                  <c:v>533.0</c:v>
                </c:pt>
                <c:pt idx="10">
                  <c:v>529.0</c:v>
                </c:pt>
                <c:pt idx="11">
                  <c:v>520.0</c:v>
                </c:pt>
                <c:pt idx="12">
                  <c:v>510.0</c:v>
                </c:pt>
                <c:pt idx="13">
                  <c:v>505.0</c:v>
                </c:pt>
                <c:pt idx="14">
                  <c:v>502.0</c:v>
                </c:pt>
                <c:pt idx="15">
                  <c:v>500.0</c:v>
                </c:pt>
                <c:pt idx="16">
                  <c:v>499.0</c:v>
                </c:pt>
                <c:pt idx="17">
                  <c:v>498.0</c:v>
                </c:pt>
                <c:pt idx="18">
                  <c:v>496.0</c:v>
                </c:pt>
                <c:pt idx="19">
                  <c:v>495.0</c:v>
                </c:pt>
                <c:pt idx="20">
                  <c:v>490.0</c:v>
                </c:pt>
                <c:pt idx="21">
                  <c:v>475.0</c:v>
                </c:pt>
              </c:numCache>
            </c:numRef>
          </c:val>
        </c:ser>
        <c:dLbls>
          <c:showLegendKey val="0"/>
          <c:showVal val="0"/>
          <c:showCatName val="0"/>
          <c:showSerName val="0"/>
          <c:showPercent val="0"/>
          <c:showBubbleSize val="0"/>
        </c:dLbls>
        <c:gapWidth val="219"/>
        <c:overlap val="-27"/>
        <c:axId val="1394244752"/>
        <c:axId val="1394248656"/>
      </c:barChart>
      <c:catAx>
        <c:axId val="13942447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Wales</a:t>
                </a:r>
                <a:r>
                  <a:rPr lang="en-US" baseline="0"/>
                  <a:t> Regions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248656"/>
        <c:crosses val="autoZero"/>
        <c:auto val="1"/>
        <c:lblAlgn val="ctr"/>
        <c:lblOffset val="100"/>
        <c:noMultiLvlLbl val="0"/>
      </c:catAx>
      <c:valAx>
        <c:axId val="1394248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Pounds</a:t>
                </a:r>
                <a:r>
                  <a:rPr lang="en-US" baseline="0"/>
                  <a:t> Sterling</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2447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a:t>
            </a:r>
            <a:r>
              <a:rPr lang="en-US" baseline="0"/>
              <a:t> showing gross disposable household income per head in Wales regions in 2012</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rgbClr val="FFC000"/>
              </a:solidFill>
              <a:ln>
                <a:noFill/>
              </a:ln>
              <a:effectLst/>
            </c:spPr>
          </c:dPt>
          <c:dPt>
            <c:idx val="1"/>
            <c:invertIfNegative val="0"/>
            <c:bubble3D val="0"/>
            <c:spPr>
              <a:solidFill>
                <a:srgbClr val="5B0F0A"/>
              </a:solidFill>
              <a:ln>
                <a:noFill/>
              </a:ln>
              <a:effectLst/>
            </c:spPr>
          </c:dPt>
          <c:dPt>
            <c:idx val="2"/>
            <c:invertIfNegative val="0"/>
            <c:bubble3D val="0"/>
            <c:spPr>
              <a:solidFill>
                <a:srgbClr val="C00000"/>
              </a:solidFill>
              <a:ln>
                <a:noFill/>
              </a:ln>
              <a:effectLst/>
            </c:spPr>
          </c:dPt>
          <c:dPt>
            <c:idx val="3"/>
            <c:invertIfNegative val="0"/>
            <c:bubble3D val="0"/>
            <c:spPr>
              <a:solidFill>
                <a:srgbClr val="0B5731"/>
              </a:solidFill>
              <a:ln>
                <a:noFill/>
              </a:ln>
              <a:effectLst/>
            </c:spPr>
          </c:dPt>
          <c:dPt>
            <c:idx val="4"/>
            <c:invertIfNegative val="0"/>
            <c:bubble3D val="0"/>
            <c:spPr>
              <a:solidFill>
                <a:srgbClr val="00B050"/>
              </a:solidFill>
              <a:ln>
                <a:noFill/>
              </a:ln>
              <a:effectLst/>
            </c:spPr>
          </c:dPt>
          <c:dPt>
            <c:idx val="5"/>
            <c:invertIfNegative val="0"/>
            <c:bubble3D val="0"/>
            <c:spPr>
              <a:solidFill>
                <a:srgbClr val="FF09EE"/>
              </a:solidFill>
              <a:ln>
                <a:noFill/>
              </a:ln>
              <a:effectLst/>
            </c:spPr>
          </c:dPt>
          <c:dPt>
            <c:idx val="6"/>
            <c:invertIfNegative val="0"/>
            <c:bubble3D val="0"/>
            <c:spPr>
              <a:solidFill>
                <a:srgbClr val="BB6327"/>
              </a:solidFill>
              <a:ln>
                <a:noFill/>
              </a:ln>
              <a:effectLst/>
            </c:spPr>
          </c:dPt>
          <c:dPt>
            <c:idx val="7"/>
            <c:invertIfNegative val="0"/>
            <c:bubble3D val="0"/>
            <c:spPr>
              <a:solidFill>
                <a:srgbClr val="5B0F0A"/>
              </a:solidFill>
              <a:ln>
                <a:noFill/>
              </a:ln>
              <a:effectLst/>
            </c:spPr>
          </c:dPt>
          <c:dPt>
            <c:idx val="8"/>
            <c:invertIfNegative val="0"/>
            <c:bubble3D val="0"/>
            <c:spPr>
              <a:solidFill>
                <a:srgbClr val="202BCC"/>
              </a:solidFill>
              <a:ln>
                <a:noFill/>
              </a:ln>
              <a:effectLst/>
            </c:spPr>
          </c:dPt>
          <c:dPt>
            <c:idx val="9"/>
            <c:invertIfNegative val="0"/>
            <c:bubble3D val="0"/>
            <c:spPr>
              <a:solidFill>
                <a:srgbClr val="84B876"/>
              </a:solidFill>
              <a:ln>
                <a:noFill/>
              </a:ln>
              <a:effectLst/>
            </c:spPr>
          </c:dPt>
          <c:dPt>
            <c:idx val="10"/>
            <c:invertIfNegative val="0"/>
            <c:bubble3D val="0"/>
            <c:spPr>
              <a:solidFill>
                <a:srgbClr val="23E5ED"/>
              </a:solidFill>
              <a:ln>
                <a:noFill/>
              </a:ln>
              <a:effectLst/>
            </c:spPr>
          </c:dPt>
          <c:dPt>
            <c:idx val="11"/>
            <c:invertIfNegative val="0"/>
            <c:bubble3D val="0"/>
            <c:spPr>
              <a:solidFill>
                <a:srgbClr val="FF09EE"/>
              </a:solidFill>
              <a:ln>
                <a:noFill/>
              </a:ln>
              <a:effectLst/>
            </c:spPr>
          </c:dPt>
          <c:dPt>
            <c:idx val="12"/>
            <c:invertIfNegative val="0"/>
            <c:bubble3D val="0"/>
            <c:spPr>
              <a:solidFill>
                <a:srgbClr val="0B5731"/>
              </a:solidFill>
              <a:ln>
                <a:noFill/>
              </a:ln>
              <a:effectLst/>
            </c:spPr>
          </c:dPt>
          <c:dPt>
            <c:idx val="13"/>
            <c:invertIfNegative val="0"/>
            <c:bubble3D val="0"/>
            <c:spPr>
              <a:solidFill>
                <a:srgbClr val="C00000"/>
              </a:solidFill>
              <a:ln>
                <a:noFill/>
              </a:ln>
              <a:effectLst/>
            </c:spPr>
          </c:dPt>
          <c:dPt>
            <c:idx val="14"/>
            <c:invertIfNegative val="0"/>
            <c:bubble3D val="0"/>
            <c:spPr>
              <a:solidFill>
                <a:schemeClr val="accent6"/>
              </a:solidFill>
              <a:ln>
                <a:noFill/>
              </a:ln>
              <a:effectLst/>
            </c:spPr>
          </c:dPt>
          <c:dPt>
            <c:idx val="15"/>
            <c:invertIfNegative val="0"/>
            <c:bubble3D val="0"/>
            <c:spPr>
              <a:solidFill>
                <a:schemeClr val="accent5"/>
              </a:solidFill>
              <a:ln>
                <a:noFill/>
              </a:ln>
              <a:effectLst/>
            </c:spPr>
          </c:dPt>
          <c:dPt>
            <c:idx val="16"/>
            <c:invertIfNegative val="0"/>
            <c:bubble3D val="0"/>
            <c:spPr>
              <a:solidFill>
                <a:schemeClr val="accent4"/>
              </a:solidFill>
              <a:ln>
                <a:noFill/>
              </a:ln>
              <a:effectLst/>
            </c:spPr>
          </c:dPt>
          <c:dPt>
            <c:idx val="17"/>
            <c:invertIfNegative val="0"/>
            <c:bubble3D val="0"/>
            <c:spPr>
              <a:solidFill>
                <a:schemeClr val="accent2"/>
              </a:solidFill>
              <a:ln>
                <a:noFill/>
              </a:ln>
              <a:effectLst/>
            </c:spPr>
          </c:dPt>
          <c:dPt>
            <c:idx val="18"/>
            <c:invertIfNegative val="0"/>
            <c:bubble3D val="0"/>
            <c:spPr>
              <a:solidFill>
                <a:schemeClr val="tx2"/>
              </a:solidFill>
              <a:ln>
                <a:noFill/>
              </a:ln>
              <a:effectLst/>
            </c:spPr>
          </c:dPt>
          <c:dPt>
            <c:idx val="19"/>
            <c:invertIfNegative val="0"/>
            <c:bubble3D val="0"/>
            <c:spPr>
              <a:solidFill>
                <a:schemeClr val="bg2">
                  <a:lumMod val="75000"/>
                </a:schemeClr>
              </a:solidFill>
              <a:ln>
                <a:noFill/>
              </a:ln>
              <a:effectLst/>
            </c:spPr>
          </c:dPt>
          <c:dPt>
            <c:idx val="20"/>
            <c:invertIfNegative val="0"/>
            <c:bubble3D val="0"/>
            <c:spPr>
              <a:solidFill>
                <a:schemeClr val="tx1"/>
              </a:solidFill>
              <a:ln>
                <a:noFill/>
              </a:ln>
              <a:effectLst/>
            </c:spPr>
          </c:dPt>
          <c:cat>
            <c:strRef>
              <c:f>Sheet1!$AR$3:$AR$24</c:f>
              <c:strCache>
                <c:ptCount val="22"/>
                <c:pt idx="0">
                  <c:v>Newport</c:v>
                </c:pt>
                <c:pt idx="1">
                  <c:v>Monmouthshire</c:v>
                </c:pt>
                <c:pt idx="2">
                  <c:v>Cardiff</c:v>
                </c:pt>
                <c:pt idx="3">
                  <c:v>Vale of Glamorgan</c:v>
                </c:pt>
                <c:pt idx="4">
                  <c:v>Denbighshire</c:v>
                </c:pt>
                <c:pt idx="5">
                  <c:v>Conwy</c:v>
                </c:pt>
                <c:pt idx="6">
                  <c:v>Powys</c:v>
                </c:pt>
                <c:pt idx="7">
                  <c:v>Flintshire</c:v>
                </c:pt>
                <c:pt idx="8">
                  <c:v>Wrexham</c:v>
                </c:pt>
                <c:pt idx="9">
                  <c:v>Isle of Anglesey</c:v>
                </c:pt>
                <c:pt idx="10">
                  <c:v>Ceredigion</c:v>
                </c:pt>
                <c:pt idx="11">
                  <c:v>Pembrokeshire</c:v>
                </c:pt>
                <c:pt idx="12">
                  <c:v>Carmarthenshire</c:v>
                </c:pt>
                <c:pt idx="13">
                  <c:v>Neath Port Talbot</c:v>
                </c:pt>
                <c:pt idx="14">
                  <c:v>Bridgend</c:v>
                </c:pt>
                <c:pt idx="15">
                  <c:v>Swansea</c:v>
                </c:pt>
                <c:pt idx="16">
                  <c:v>Gwynedd</c:v>
                </c:pt>
                <c:pt idx="17">
                  <c:v>Rhondda Cynon Taf</c:v>
                </c:pt>
                <c:pt idx="18">
                  <c:v>Merthyr Tydfil</c:v>
                </c:pt>
                <c:pt idx="19">
                  <c:v>Caerphilly</c:v>
                </c:pt>
                <c:pt idx="20">
                  <c:v>Torfaen</c:v>
                </c:pt>
                <c:pt idx="21">
                  <c:v>Blaenau Gwent</c:v>
                </c:pt>
              </c:strCache>
            </c:strRef>
          </c:cat>
          <c:val>
            <c:numRef>
              <c:f>Sheet1!$AS$3:$AS$24</c:f>
              <c:numCache>
                <c:formatCode>#,##0</c:formatCode>
                <c:ptCount val="22"/>
                <c:pt idx="0">
                  <c:v>15800.0</c:v>
                </c:pt>
                <c:pt idx="1">
                  <c:v>15800.0</c:v>
                </c:pt>
                <c:pt idx="2">
                  <c:v>15500.0</c:v>
                </c:pt>
                <c:pt idx="3">
                  <c:v>15500.0</c:v>
                </c:pt>
                <c:pt idx="4">
                  <c:v>15400.0</c:v>
                </c:pt>
                <c:pt idx="5">
                  <c:v>15400.0</c:v>
                </c:pt>
                <c:pt idx="6">
                  <c:v>15300.0</c:v>
                </c:pt>
                <c:pt idx="7">
                  <c:v>15000.0</c:v>
                </c:pt>
                <c:pt idx="8">
                  <c:v>15000.0</c:v>
                </c:pt>
                <c:pt idx="9">
                  <c:v>15000.0</c:v>
                </c:pt>
                <c:pt idx="10">
                  <c:v>14700.0</c:v>
                </c:pt>
                <c:pt idx="11">
                  <c:v>14600.0</c:v>
                </c:pt>
                <c:pt idx="12">
                  <c:v>14200.0</c:v>
                </c:pt>
                <c:pt idx="13">
                  <c:v>14100.0</c:v>
                </c:pt>
                <c:pt idx="14">
                  <c:v>14100.0</c:v>
                </c:pt>
                <c:pt idx="15">
                  <c:v>14050.0</c:v>
                </c:pt>
                <c:pt idx="16">
                  <c:v>13900.0</c:v>
                </c:pt>
                <c:pt idx="17">
                  <c:v>13500.0</c:v>
                </c:pt>
                <c:pt idx="18">
                  <c:v>13500.0</c:v>
                </c:pt>
                <c:pt idx="19">
                  <c:v>13450.0</c:v>
                </c:pt>
                <c:pt idx="20">
                  <c:v>13450.0</c:v>
                </c:pt>
                <c:pt idx="21">
                  <c:v>13450.0</c:v>
                </c:pt>
              </c:numCache>
            </c:numRef>
          </c:val>
        </c:ser>
        <c:dLbls>
          <c:showLegendKey val="0"/>
          <c:showVal val="0"/>
          <c:showCatName val="0"/>
          <c:showSerName val="0"/>
          <c:showPercent val="0"/>
          <c:showBubbleSize val="0"/>
        </c:dLbls>
        <c:gapWidth val="182"/>
        <c:axId val="1394279744"/>
        <c:axId val="1394283648"/>
      </c:barChart>
      <c:catAx>
        <c:axId val="139427974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Wales</a:t>
                </a:r>
                <a:r>
                  <a:rPr lang="en-US" baseline="0"/>
                  <a:t> Regions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283648"/>
        <c:crosses val="autoZero"/>
        <c:auto val="1"/>
        <c:lblAlgn val="ctr"/>
        <c:lblOffset val="100"/>
        <c:noMultiLvlLbl val="0"/>
      </c:catAx>
      <c:valAx>
        <c:axId val="13942836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Pound</a:t>
                </a:r>
                <a:r>
                  <a:rPr lang="en-US" baseline="0"/>
                  <a:t> Sterling per head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2797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spc="0" baseline="0">
                <a:solidFill>
                  <a:schemeClr val="tx1">
                    <a:lumMod val="65000"/>
                    <a:lumOff val="35000"/>
                  </a:schemeClr>
                </a:solidFill>
                <a:latin typeface="+mn-lt"/>
                <a:ea typeface="+mn-ea"/>
                <a:cs typeface="+mn-cs"/>
              </a:defRPr>
            </a:pPr>
            <a:r>
              <a:rPr lang="en-US"/>
              <a:t>Pie chart showing the age structure in Swansea in 2011</a:t>
            </a:r>
          </a:p>
        </c:rich>
      </c:tx>
      <c:overlay val="0"/>
      <c:spPr>
        <a:noFill/>
        <a:ln>
          <a:noFill/>
        </a:ln>
        <a:effectLst/>
      </c:spPr>
      <c:txPr>
        <a:bodyPr rot="0" spcFirstLastPara="1" vertOverflow="ellipsis" vert="horz" wrap="square" anchor="ctr" anchorCtr="1"/>
        <a:lstStyle/>
        <a:p>
          <a:pPr>
            <a:defRPr sz="144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rgbClr val="FF0000"/>
              </a:solidFill>
              <a:ln w="19050">
                <a:solidFill>
                  <a:schemeClr val="lt1"/>
                </a:solidFill>
              </a:ln>
              <a:effectLst/>
            </c:spPr>
          </c:dPt>
          <c:dPt>
            <c:idx val="4"/>
            <c:bubble3D val="0"/>
            <c:spPr>
              <a:solidFill>
                <a:schemeClr val="tx1"/>
              </a:solidFill>
              <a:ln w="19050">
                <a:solidFill>
                  <a:schemeClr val="lt1"/>
                </a:solidFill>
              </a:ln>
              <a:effectLst/>
            </c:spPr>
          </c:dPt>
          <c:dPt>
            <c:idx val="5"/>
            <c:bubble3D val="0"/>
            <c:spPr>
              <a:solidFill>
                <a:schemeClr val="accent6"/>
              </a:solidFill>
              <a:ln w="19050">
                <a:solidFill>
                  <a:schemeClr val="lt1"/>
                </a:solidFill>
              </a:ln>
              <a:effectLst/>
            </c:spPr>
          </c:dPt>
          <c:dPt>
            <c:idx val="6"/>
            <c:bubble3D val="0"/>
            <c:spPr>
              <a:solidFill>
                <a:schemeClr val="accent1">
                  <a:lumMod val="60000"/>
                </a:schemeClr>
              </a:solidFill>
              <a:ln w="19050">
                <a:solidFill>
                  <a:schemeClr val="lt1"/>
                </a:solidFill>
              </a:ln>
              <a:effectLst/>
            </c:spPr>
          </c:dPt>
          <c:dPt>
            <c:idx val="7"/>
            <c:bubble3D val="0"/>
            <c:spPr>
              <a:solidFill>
                <a:schemeClr val="accent2">
                  <a:lumMod val="60000"/>
                </a:schemeClr>
              </a:solidFill>
              <a:ln w="19050">
                <a:solidFill>
                  <a:schemeClr val="lt1"/>
                </a:solidFill>
              </a:ln>
              <a:effectLst/>
            </c:spPr>
          </c:dPt>
          <c:dPt>
            <c:idx val="8"/>
            <c:bubble3D val="0"/>
            <c:spPr>
              <a:solidFill>
                <a:schemeClr val="accent3">
                  <a:lumMod val="60000"/>
                </a:schemeClr>
              </a:solidFill>
              <a:ln w="19050">
                <a:solidFill>
                  <a:schemeClr val="lt1"/>
                </a:solidFill>
              </a:ln>
              <a:effectLst/>
            </c:spPr>
          </c:dPt>
          <c:dPt>
            <c:idx val="9"/>
            <c:bubble3D val="0"/>
            <c:spPr>
              <a:solidFill>
                <a:schemeClr val="accent4">
                  <a:lumMod val="60000"/>
                </a:schemeClr>
              </a:solidFill>
              <a:ln w="19050">
                <a:solidFill>
                  <a:schemeClr val="lt1"/>
                </a:solidFill>
              </a:ln>
              <a:effectLst/>
            </c:spPr>
          </c:dPt>
          <c:dPt>
            <c:idx val="10"/>
            <c:bubble3D val="0"/>
            <c:spPr>
              <a:solidFill>
                <a:srgbClr val="FF09EE"/>
              </a:solidFill>
              <a:ln w="19050">
                <a:solidFill>
                  <a:schemeClr val="lt1"/>
                </a:solidFill>
              </a:ln>
              <a:effectLst/>
            </c:spPr>
          </c:dPt>
          <c:dPt>
            <c:idx val="11"/>
            <c:bubble3D val="0"/>
            <c:spPr>
              <a:solidFill>
                <a:schemeClr val="accent6">
                  <a:lumMod val="60000"/>
                </a:schemeClr>
              </a:solidFill>
              <a:ln w="19050">
                <a:solidFill>
                  <a:schemeClr val="lt1"/>
                </a:solidFill>
              </a:ln>
              <a:effectLst/>
            </c:spPr>
          </c:dPt>
          <c:dPt>
            <c:idx val="12"/>
            <c:bubble3D val="0"/>
            <c:spPr>
              <a:solidFill>
                <a:srgbClr val="23E5ED"/>
              </a:solidFill>
              <a:ln w="19050">
                <a:solidFill>
                  <a:schemeClr val="lt1"/>
                </a:solidFill>
              </a:ln>
              <a:effectLst/>
            </c:spPr>
          </c:dPt>
          <c:dPt>
            <c:idx val="13"/>
            <c:bubble3D val="0"/>
            <c:spPr>
              <a:solidFill>
                <a:srgbClr val="7030A0"/>
              </a:solidFill>
              <a:ln w="19050">
                <a:solidFill>
                  <a:schemeClr val="lt1"/>
                </a:solidFill>
              </a:ln>
              <a:effectLst/>
            </c:spPr>
          </c:dPt>
          <c:dPt>
            <c:idx val="14"/>
            <c:bubble3D val="0"/>
            <c:spPr>
              <a:solidFill>
                <a:schemeClr val="accent3">
                  <a:lumMod val="80000"/>
                  <a:lumOff val="20000"/>
                </a:schemeClr>
              </a:solidFill>
              <a:ln w="19050">
                <a:solidFill>
                  <a:schemeClr val="lt1"/>
                </a:solidFill>
              </a:ln>
              <a:effectLst/>
            </c:spPr>
          </c:dPt>
          <c:dPt>
            <c:idx val="15"/>
            <c:bubble3D val="0"/>
            <c:spPr>
              <a:solidFill>
                <a:schemeClr val="accent4">
                  <a:lumMod val="80000"/>
                  <a:lumOff val="20000"/>
                </a:schemeClr>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GB"/>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Sheet1!$BO$4:$BO$19</c:f>
              <c:strCache>
                <c:ptCount val="16"/>
                <c:pt idx="0">
                  <c:v>Age 0 to 4</c:v>
                </c:pt>
                <c:pt idx="1">
                  <c:v>Age 5 to 7</c:v>
                </c:pt>
                <c:pt idx="2">
                  <c:v>Age 8 to 9</c:v>
                </c:pt>
                <c:pt idx="3">
                  <c:v>Age 10 to 14</c:v>
                </c:pt>
                <c:pt idx="4">
                  <c:v>Age 15</c:v>
                </c:pt>
                <c:pt idx="5">
                  <c:v>Age 16 to 17</c:v>
                </c:pt>
                <c:pt idx="6">
                  <c:v>Age 18 to 19</c:v>
                </c:pt>
                <c:pt idx="7">
                  <c:v>Age 20 to 24</c:v>
                </c:pt>
                <c:pt idx="8">
                  <c:v>Age 25 to 29</c:v>
                </c:pt>
                <c:pt idx="9">
                  <c:v>Age 30 to 44</c:v>
                </c:pt>
                <c:pt idx="10">
                  <c:v>Age 45 to 59</c:v>
                </c:pt>
                <c:pt idx="11">
                  <c:v>Age 60 to 64</c:v>
                </c:pt>
                <c:pt idx="12">
                  <c:v>Age 65 to 74</c:v>
                </c:pt>
                <c:pt idx="13">
                  <c:v>Age 75 to 84</c:v>
                </c:pt>
                <c:pt idx="14">
                  <c:v>Age 85 to 89</c:v>
                </c:pt>
                <c:pt idx="15">
                  <c:v>Age 90 and over</c:v>
                </c:pt>
              </c:strCache>
            </c:strRef>
          </c:cat>
          <c:val>
            <c:numRef>
              <c:f>Sheet1!$BP$4:$BP$19</c:f>
              <c:numCache>
                <c:formatCode>General</c:formatCode>
                <c:ptCount val="16"/>
                <c:pt idx="0">
                  <c:v>5.5</c:v>
                </c:pt>
                <c:pt idx="1">
                  <c:v>3.0</c:v>
                </c:pt>
                <c:pt idx="2">
                  <c:v>2.0</c:v>
                </c:pt>
                <c:pt idx="3">
                  <c:v>5.3</c:v>
                </c:pt>
                <c:pt idx="4">
                  <c:v>1.1</c:v>
                </c:pt>
                <c:pt idx="5">
                  <c:v>2.2</c:v>
                </c:pt>
                <c:pt idx="6">
                  <c:v>3.8</c:v>
                </c:pt>
                <c:pt idx="7">
                  <c:v>9.8</c:v>
                </c:pt>
                <c:pt idx="8">
                  <c:v>6.9</c:v>
                </c:pt>
                <c:pt idx="9">
                  <c:v>18.7</c:v>
                </c:pt>
                <c:pt idx="10">
                  <c:v>18.4</c:v>
                </c:pt>
                <c:pt idx="11">
                  <c:v>6.0</c:v>
                </c:pt>
                <c:pt idx="12">
                  <c:v>8.8</c:v>
                </c:pt>
                <c:pt idx="13">
                  <c:v>6.1</c:v>
                </c:pt>
                <c:pt idx="14">
                  <c:v>1.6</c:v>
                </c:pt>
                <c:pt idx="15">
                  <c:v>0.8</c:v>
                </c:pt>
              </c:numCache>
            </c:numRef>
          </c:val>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200"/>
      </a:pPr>
      <a:endParaRPr lang="en-GB"/>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Older</a:t>
            </a:r>
            <a:r>
              <a:rPr lang="en-US" baseline="0"/>
              <a:t> people supported in the community in Wales Regions in 2013-2014</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chemeClr val="accent6">
                  <a:lumMod val="75000"/>
                </a:schemeClr>
              </a:solidFill>
              <a:ln>
                <a:noFill/>
              </a:ln>
              <a:effectLst/>
            </c:spPr>
          </c:dPt>
          <c:dPt>
            <c:idx val="1"/>
            <c:invertIfNegative val="0"/>
            <c:bubble3D val="0"/>
            <c:spPr>
              <a:solidFill>
                <a:schemeClr val="accent2"/>
              </a:solidFill>
              <a:ln>
                <a:noFill/>
              </a:ln>
              <a:effectLst/>
            </c:spPr>
          </c:dPt>
          <c:dPt>
            <c:idx val="2"/>
            <c:invertIfNegative val="0"/>
            <c:bubble3D val="0"/>
            <c:spPr>
              <a:solidFill>
                <a:srgbClr val="FFC000"/>
              </a:solidFill>
              <a:ln>
                <a:noFill/>
              </a:ln>
              <a:effectLst/>
            </c:spPr>
          </c:dPt>
          <c:dPt>
            <c:idx val="3"/>
            <c:invertIfNegative val="0"/>
            <c:bubble3D val="0"/>
            <c:spPr>
              <a:solidFill>
                <a:srgbClr val="BB6327"/>
              </a:solidFill>
              <a:ln>
                <a:noFill/>
              </a:ln>
              <a:effectLst/>
            </c:spPr>
          </c:dPt>
          <c:dPt>
            <c:idx val="4"/>
            <c:invertIfNegative val="0"/>
            <c:bubble3D val="0"/>
            <c:spPr>
              <a:solidFill>
                <a:srgbClr val="002060"/>
              </a:solidFill>
              <a:ln>
                <a:noFill/>
              </a:ln>
              <a:effectLst/>
            </c:spPr>
          </c:dPt>
          <c:dPt>
            <c:idx val="5"/>
            <c:invertIfNegative val="0"/>
            <c:bubble3D val="0"/>
            <c:spPr>
              <a:solidFill>
                <a:schemeClr val="bg2">
                  <a:lumMod val="50000"/>
                </a:schemeClr>
              </a:solidFill>
              <a:ln>
                <a:noFill/>
              </a:ln>
              <a:effectLst/>
            </c:spPr>
          </c:dPt>
          <c:dPt>
            <c:idx val="6"/>
            <c:invertIfNegative val="0"/>
            <c:bubble3D val="0"/>
            <c:spPr>
              <a:solidFill>
                <a:srgbClr val="00B0F0"/>
              </a:solidFill>
              <a:ln>
                <a:noFill/>
              </a:ln>
              <a:effectLst/>
            </c:spPr>
          </c:dPt>
          <c:dPt>
            <c:idx val="7"/>
            <c:invertIfNegative val="0"/>
            <c:bubble3D val="0"/>
            <c:spPr>
              <a:solidFill>
                <a:srgbClr val="FFFF00"/>
              </a:solidFill>
              <a:ln>
                <a:noFill/>
              </a:ln>
              <a:effectLst/>
            </c:spPr>
          </c:dPt>
          <c:dPt>
            <c:idx val="8"/>
            <c:invertIfNegative val="0"/>
            <c:bubble3D val="0"/>
            <c:spPr>
              <a:solidFill>
                <a:srgbClr val="7030A0"/>
              </a:solidFill>
              <a:ln>
                <a:noFill/>
              </a:ln>
              <a:effectLst/>
            </c:spPr>
          </c:dPt>
          <c:dPt>
            <c:idx val="9"/>
            <c:invertIfNegative val="0"/>
            <c:bubble3D val="0"/>
            <c:spPr>
              <a:solidFill>
                <a:schemeClr val="accent6">
                  <a:lumMod val="60000"/>
                  <a:lumOff val="40000"/>
                </a:schemeClr>
              </a:solidFill>
              <a:ln>
                <a:noFill/>
              </a:ln>
              <a:effectLst/>
            </c:spPr>
          </c:dPt>
          <c:dPt>
            <c:idx val="10"/>
            <c:invertIfNegative val="0"/>
            <c:bubble3D val="0"/>
            <c:spPr>
              <a:solidFill>
                <a:srgbClr val="ED656E"/>
              </a:solidFill>
              <a:ln>
                <a:noFill/>
              </a:ln>
              <a:effectLst/>
            </c:spPr>
          </c:dPt>
          <c:dPt>
            <c:idx val="11"/>
            <c:invertIfNegative val="0"/>
            <c:bubble3D val="0"/>
            <c:spPr>
              <a:solidFill>
                <a:srgbClr val="202BCC"/>
              </a:solidFill>
              <a:ln>
                <a:noFill/>
              </a:ln>
              <a:effectLst/>
            </c:spPr>
          </c:dPt>
          <c:dPt>
            <c:idx val="12"/>
            <c:invertIfNegative val="0"/>
            <c:bubble3D val="0"/>
            <c:spPr>
              <a:solidFill>
                <a:srgbClr val="FF09EE"/>
              </a:solidFill>
              <a:ln>
                <a:noFill/>
              </a:ln>
              <a:effectLst/>
            </c:spPr>
          </c:dPt>
          <c:dPt>
            <c:idx val="13"/>
            <c:invertIfNegative val="0"/>
            <c:bubble3D val="0"/>
            <c:spPr>
              <a:solidFill>
                <a:srgbClr val="23E5ED"/>
              </a:solidFill>
              <a:ln>
                <a:noFill/>
              </a:ln>
              <a:effectLst/>
            </c:spPr>
          </c:dPt>
          <c:dPt>
            <c:idx val="14"/>
            <c:invertIfNegative val="0"/>
            <c:bubble3D val="0"/>
            <c:spPr>
              <a:solidFill>
                <a:srgbClr val="C00000"/>
              </a:solidFill>
              <a:ln>
                <a:noFill/>
              </a:ln>
              <a:effectLst/>
            </c:spPr>
          </c:dPt>
          <c:dPt>
            <c:idx val="15"/>
            <c:invertIfNegative val="0"/>
            <c:bubble3D val="0"/>
            <c:spPr>
              <a:solidFill>
                <a:schemeClr val="accent6"/>
              </a:solidFill>
              <a:ln>
                <a:noFill/>
              </a:ln>
              <a:effectLst/>
            </c:spPr>
          </c:dPt>
          <c:dPt>
            <c:idx val="16"/>
            <c:invertIfNegative val="0"/>
            <c:bubble3D val="0"/>
            <c:spPr>
              <a:solidFill>
                <a:schemeClr val="accent5"/>
              </a:solidFill>
              <a:ln>
                <a:noFill/>
              </a:ln>
              <a:effectLst/>
            </c:spPr>
          </c:dPt>
          <c:dPt>
            <c:idx val="17"/>
            <c:invertIfNegative val="0"/>
            <c:bubble3D val="0"/>
            <c:spPr>
              <a:solidFill>
                <a:schemeClr val="accent4"/>
              </a:solidFill>
              <a:ln>
                <a:noFill/>
              </a:ln>
              <a:effectLst/>
            </c:spPr>
          </c:dPt>
          <c:dPt>
            <c:idx val="18"/>
            <c:invertIfNegative val="0"/>
            <c:bubble3D val="0"/>
            <c:spPr>
              <a:solidFill>
                <a:schemeClr val="accent3"/>
              </a:solidFill>
              <a:ln>
                <a:noFill/>
              </a:ln>
              <a:effectLst/>
            </c:spPr>
          </c:dPt>
          <c:dPt>
            <c:idx val="19"/>
            <c:invertIfNegative val="0"/>
            <c:bubble3D val="0"/>
            <c:spPr>
              <a:solidFill>
                <a:schemeClr val="accent2"/>
              </a:solidFill>
              <a:ln>
                <a:noFill/>
              </a:ln>
              <a:effectLst/>
            </c:spPr>
          </c:dPt>
          <c:dPt>
            <c:idx val="20"/>
            <c:invertIfNegative val="0"/>
            <c:bubble3D val="0"/>
            <c:spPr>
              <a:solidFill>
                <a:schemeClr val="tx1"/>
              </a:solidFill>
              <a:ln>
                <a:noFill/>
              </a:ln>
              <a:effectLst/>
            </c:spPr>
          </c:dPt>
          <c:cat>
            <c:strRef>
              <c:f>Sheet1!$CB$2:$CB$23</c:f>
              <c:strCache>
                <c:ptCount val="22"/>
                <c:pt idx="0">
                  <c:v>Torfaen</c:v>
                </c:pt>
                <c:pt idx="1">
                  <c:v>Blaenau Gwent</c:v>
                </c:pt>
                <c:pt idx="2">
                  <c:v>Caerphilly</c:v>
                </c:pt>
                <c:pt idx="3">
                  <c:v>Merthyr Tydfil</c:v>
                </c:pt>
                <c:pt idx="4">
                  <c:v>Neath Port Talbot</c:v>
                </c:pt>
                <c:pt idx="5">
                  <c:v>Rhondda Cynon Taf</c:v>
                </c:pt>
                <c:pt idx="6">
                  <c:v>Bridgend</c:v>
                </c:pt>
                <c:pt idx="7">
                  <c:v>Pembrokeshire</c:v>
                </c:pt>
                <c:pt idx="8">
                  <c:v>Powys</c:v>
                </c:pt>
                <c:pt idx="9">
                  <c:v>Swansea</c:v>
                </c:pt>
                <c:pt idx="10">
                  <c:v>Wrexham</c:v>
                </c:pt>
                <c:pt idx="11">
                  <c:v>Flintshire</c:v>
                </c:pt>
                <c:pt idx="12">
                  <c:v>Conwy</c:v>
                </c:pt>
                <c:pt idx="13">
                  <c:v>Newport</c:v>
                </c:pt>
                <c:pt idx="14">
                  <c:v>Carmarthenshire</c:v>
                </c:pt>
                <c:pt idx="15">
                  <c:v>Monmouthshire</c:v>
                </c:pt>
                <c:pt idx="16">
                  <c:v>Isle of Anglesey</c:v>
                </c:pt>
                <c:pt idx="17">
                  <c:v>Ceredigion</c:v>
                </c:pt>
                <c:pt idx="18">
                  <c:v>Denbighshire</c:v>
                </c:pt>
                <c:pt idx="19">
                  <c:v>Gwynedd</c:v>
                </c:pt>
                <c:pt idx="20">
                  <c:v>Cardiff</c:v>
                </c:pt>
                <c:pt idx="21">
                  <c:v>Vale of Glamorgan</c:v>
                </c:pt>
              </c:strCache>
            </c:strRef>
          </c:cat>
          <c:val>
            <c:numRef>
              <c:f>Sheet1!$CC$2:$CC$23</c:f>
              <c:numCache>
                <c:formatCode>General</c:formatCode>
                <c:ptCount val="22"/>
                <c:pt idx="0">
                  <c:v>131.0</c:v>
                </c:pt>
                <c:pt idx="1">
                  <c:v>129.0</c:v>
                </c:pt>
                <c:pt idx="2">
                  <c:v>121.0</c:v>
                </c:pt>
                <c:pt idx="3">
                  <c:v>109.0</c:v>
                </c:pt>
                <c:pt idx="4">
                  <c:v>108.0</c:v>
                </c:pt>
                <c:pt idx="5">
                  <c:v>107.0</c:v>
                </c:pt>
                <c:pt idx="6">
                  <c:v>82.0</c:v>
                </c:pt>
                <c:pt idx="7">
                  <c:v>73.0</c:v>
                </c:pt>
                <c:pt idx="8">
                  <c:v>72.0</c:v>
                </c:pt>
                <c:pt idx="9">
                  <c:v>71.0</c:v>
                </c:pt>
                <c:pt idx="10">
                  <c:v>70.0</c:v>
                </c:pt>
                <c:pt idx="11">
                  <c:v>65.0</c:v>
                </c:pt>
                <c:pt idx="12">
                  <c:v>62.0</c:v>
                </c:pt>
                <c:pt idx="13">
                  <c:v>62.0</c:v>
                </c:pt>
                <c:pt idx="14">
                  <c:v>61.0</c:v>
                </c:pt>
                <c:pt idx="15">
                  <c:v>58.0</c:v>
                </c:pt>
                <c:pt idx="16">
                  <c:v>56.0</c:v>
                </c:pt>
                <c:pt idx="17">
                  <c:v>53.0</c:v>
                </c:pt>
                <c:pt idx="18">
                  <c:v>50.0</c:v>
                </c:pt>
                <c:pt idx="19">
                  <c:v>48.0</c:v>
                </c:pt>
                <c:pt idx="20">
                  <c:v>48.0</c:v>
                </c:pt>
                <c:pt idx="21">
                  <c:v>48.0</c:v>
                </c:pt>
              </c:numCache>
            </c:numRef>
          </c:val>
        </c:ser>
        <c:dLbls>
          <c:showLegendKey val="0"/>
          <c:showVal val="0"/>
          <c:showCatName val="0"/>
          <c:showSerName val="0"/>
          <c:showPercent val="0"/>
          <c:showBubbleSize val="0"/>
        </c:dLbls>
        <c:gapWidth val="182"/>
        <c:axId val="1393988640"/>
        <c:axId val="1393992544"/>
      </c:barChart>
      <c:catAx>
        <c:axId val="139398864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Wales</a:t>
                </a:r>
                <a:r>
                  <a:rPr lang="en-US" baseline="0"/>
                  <a:t> Regions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3992544"/>
        <c:crosses val="autoZero"/>
        <c:auto val="1"/>
        <c:lblAlgn val="ctr"/>
        <c:lblOffset val="100"/>
        <c:noMultiLvlLbl val="0"/>
      </c:catAx>
      <c:valAx>
        <c:axId val="13939925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Rate</a:t>
                </a:r>
                <a:r>
                  <a:rPr lang="en-US" baseline="0"/>
                  <a:t> per 1000 aged 65+</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39886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a:t>
            </a:r>
            <a:r>
              <a:rPr lang="en-US" baseline="0"/>
              <a:t> showing estimates of Swansea population mid-year 2016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dPt>
            <c:idx val="1"/>
            <c:invertIfNegative val="0"/>
            <c:bubble3D val="0"/>
            <c:spPr>
              <a:solidFill>
                <a:srgbClr val="FF0000"/>
              </a:solidFill>
              <a:ln>
                <a:noFill/>
              </a:ln>
              <a:effectLst/>
            </c:spPr>
          </c:dPt>
          <c:dPt>
            <c:idx val="2"/>
            <c:invertIfNegative val="0"/>
            <c:bubble3D val="0"/>
            <c:spPr>
              <a:solidFill>
                <a:srgbClr val="00B050"/>
              </a:solidFill>
              <a:ln>
                <a:noFill/>
              </a:ln>
              <a:effectLst/>
            </c:spPr>
          </c:dPt>
          <c:dPt>
            <c:idx val="3"/>
            <c:invertIfNegative val="0"/>
            <c:bubble3D val="0"/>
            <c:spPr>
              <a:solidFill>
                <a:srgbClr val="7030A0"/>
              </a:solidFill>
              <a:ln>
                <a:noFill/>
              </a:ln>
              <a:effectLst/>
            </c:spPr>
          </c:dPt>
          <c:cat>
            <c:strRef>
              <c:f>Sheet1!$CP$1:$CS$1</c:f>
              <c:strCache>
                <c:ptCount val="4"/>
                <c:pt idx="0">
                  <c:v>All ages </c:v>
                </c:pt>
                <c:pt idx="1">
                  <c:v>0-15</c:v>
                </c:pt>
                <c:pt idx="2">
                  <c:v>16-64</c:v>
                </c:pt>
                <c:pt idx="3">
                  <c:v>65+</c:v>
                </c:pt>
              </c:strCache>
            </c:strRef>
          </c:cat>
          <c:val>
            <c:numRef>
              <c:f>Sheet1!$CP$2:$CS$2</c:f>
              <c:numCache>
                <c:formatCode>#,##0</c:formatCode>
                <c:ptCount val="4"/>
                <c:pt idx="0">
                  <c:v>244513.0</c:v>
                </c:pt>
                <c:pt idx="1">
                  <c:v>42962.0</c:v>
                </c:pt>
                <c:pt idx="2">
                  <c:v>155331.0</c:v>
                </c:pt>
                <c:pt idx="3">
                  <c:v>47220.0</c:v>
                </c:pt>
              </c:numCache>
            </c:numRef>
          </c:val>
        </c:ser>
        <c:dLbls>
          <c:showLegendKey val="0"/>
          <c:showVal val="0"/>
          <c:showCatName val="0"/>
          <c:showSerName val="0"/>
          <c:showPercent val="0"/>
          <c:showBubbleSize val="0"/>
        </c:dLbls>
        <c:gapWidth val="219"/>
        <c:overlap val="-27"/>
        <c:axId val="1394014544"/>
        <c:axId val="1394017936"/>
      </c:barChart>
      <c:catAx>
        <c:axId val="13940145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Age</a:t>
                </a:r>
                <a:r>
                  <a:rPr lang="en-US" baseline="0"/>
                  <a:t> Group</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017936"/>
        <c:crosses val="autoZero"/>
        <c:auto val="1"/>
        <c:lblAlgn val="ctr"/>
        <c:lblOffset val="100"/>
        <c:noMultiLvlLbl val="0"/>
      </c:catAx>
      <c:valAx>
        <c:axId val="1394017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Population</a:t>
                </a:r>
                <a:r>
                  <a:rPr lang="en-US" baseline="0"/>
                  <a:t> estimate</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0145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Pie</a:t>
            </a:r>
            <a:r>
              <a:rPr lang="en-US" baseline="0"/>
              <a:t> chart showing the total admissions to mental health facilities by local health board in 2015-2016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rgbClr val="23E5ED"/>
              </a:solidFill>
              <a:ln w="19050">
                <a:solidFill>
                  <a:schemeClr val="lt1"/>
                </a:solidFill>
              </a:ln>
              <a:effectLst/>
            </c:spPr>
          </c:dPt>
          <c:dPt>
            <c:idx val="5"/>
            <c:bubble3D val="0"/>
            <c:spPr>
              <a:solidFill>
                <a:schemeClr val="accent6"/>
              </a:solidFill>
              <a:ln w="19050">
                <a:solidFill>
                  <a:schemeClr val="lt1"/>
                </a:solidFill>
              </a:ln>
              <a:effectLst/>
            </c:spPr>
          </c:dPt>
          <c:dPt>
            <c:idx val="6"/>
            <c:bubble3D val="0"/>
            <c:spPr>
              <a:solidFill>
                <a:srgbClr val="FF09EE"/>
              </a:solidFill>
              <a:ln w="19050">
                <a:solidFill>
                  <a:schemeClr val="lt1"/>
                </a:solidFill>
              </a:ln>
              <a:effectLst/>
            </c:spPr>
          </c:dPt>
          <c:dPt>
            <c:idx val="7"/>
            <c:bubble3D val="0"/>
            <c:spPr>
              <a:solidFill>
                <a:schemeClr val="accent2">
                  <a:lumMod val="60000"/>
                </a:schemeClr>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GB"/>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Sheet1!$DG$2:$DG$9</c:f>
              <c:strCache>
                <c:ptCount val="8"/>
                <c:pt idx="0">
                  <c:v>betsi Cadwaladr University Health Board</c:v>
                </c:pt>
                <c:pt idx="1">
                  <c:v>Powys Teaching Health Board</c:v>
                </c:pt>
                <c:pt idx="2">
                  <c:v>Hywel Dda University Health Board</c:v>
                </c:pt>
                <c:pt idx="3">
                  <c:v>Abertawe Bro Morgannwg University Health Board</c:v>
                </c:pt>
                <c:pt idx="4">
                  <c:v>Cwm Taf University Health Board</c:v>
                </c:pt>
                <c:pt idx="5">
                  <c:v>Aneurin Bevan University Health Board</c:v>
                </c:pt>
                <c:pt idx="6">
                  <c:v>Cardiff and Vale University Health Board</c:v>
                </c:pt>
                <c:pt idx="7">
                  <c:v>Independent hospitals total</c:v>
                </c:pt>
              </c:strCache>
            </c:strRef>
          </c:cat>
          <c:val>
            <c:numRef>
              <c:f>Sheet1!$DH$2:$DH$9</c:f>
              <c:numCache>
                <c:formatCode>General</c:formatCode>
                <c:ptCount val="8"/>
                <c:pt idx="0" formatCode="#,##0">
                  <c:v>1525.0</c:v>
                </c:pt>
                <c:pt idx="1">
                  <c:v>323.0</c:v>
                </c:pt>
                <c:pt idx="2">
                  <c:v>902.0</c:v>
                </c:pt>
                <c:pt idx="3" formatCode="#,##0">
                  <c:v>2530.0</c:v>
                </c:pt>
                <c:pt idx="4" formatCode="#,##0">
                  <c:v>1225.0</c:v>
                </c:pt>
                <c:pt idx="5" formatCode="#,##0">
                  <c:v>1535.0</c:v>
                </c:pt>
                <c:pt idx="6" formatCode="#,##0">
                  <c:v>1216.0</c:v>
                </c:pt>
                <c:pt idx="7">
                  <c:v>314.0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Mental</a:t>
            </a:r>
            <a:r>
              <a:rPr lang="en-US" baseline="0"/>
              <a:t> component summary score in 2012 and 2013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dPt>
            <c:idx val="1"/>
            <c:invertIfNegative val="0"/>
            <c:bubble3D val="0"/>
            <c:spPr>
              <a:solidFill>
                <a:schemeClr val="tx1"/>
              </a:solidFill>
              <a:ln>
                <a:noFill/>
              </a:ln>
              <a:effectLst/>
            </c:spPr>
          </c:dPt>
          <c:dPt>
            <c:idx val="2"/>
            <c:invertIfNegative val="0"/>
            <c:bubble3D val="0"/>
            <c:spPr>
              <a:solidFill>
                <a:schemeClr val="bg2"/>
              </a:solidFill>
              <a:ln>
                <a:noFill/>
              </a:ln>
              <a:effectLst/>
            </c:spPr>
          </c:dPt>
          <c:dPt>
            <c:idx val="3"/>
            <c:invertIfNegative val="0"/>
            <c:bubble3D val="0"/>
            <c:spPr>
              <a:solidFill>
                <a:schemeClr val="accent2"/>
              </a:solidFill>
              <a:ln>
                <a:noFill/>
              </a:ln>
              <a:effectLst/>
            </c:spPr>
          </c:dPt>
          <c:dPt>
            <c:idx val="4"/>
            <c:invertIfNegative val="0"/>
            <c:bubble3D val="0"/>
            <c:spPr>
              <a:solidFill>
                <a:schemeClr val="accent3"/>
              </a:solidFill>
              <a:ln>
                <a:noFill/>
              </a:ln>
              <a:effectLst/>
            </c:spPr>
          </c:dPt>
          <c:dPt>
            <c:idx val="5"/>
            <c:invertIfNegative val="0"/>
            <c:bubble3D val="0"/>
            <c:spPr>
              <a:solidFill>
                <a:schemeClr val="accent4"/>
              </a:solidFill>
              <a:ln>
                <a:noFill/>
              </a:ln>
              <a:effectLst/>
            </c:spPr>
          </c:dPt>
          <c:dPt>
            <c:idx val="6"/>
            <c:invertIfNegative val="0"/>
            <c:bubble3D val="0"/>
            <c:spPr>
              <a:solidFill>
                <a:schemeClr val="accent5"/>
              </a:solidFill>
              <a:ln>
                <a:noFill/>
              </a:ln>
              <a:effectLst/>
            </c:spPr>
          </c:dPt>
          <c:dPt>
            <c:idx val="7"/>
            <c:invertIfNegative val="0"/>
            <c:bubble3D val="0"/>
            <c:spPr>
              <a:solidFill>
                <a:schemeClr val="accent6"/>
              </a:solidFill>
              <a:ln>
                <a:noFill/>
              </a:ln>
              <a:effectLst/>
            </c:spPr>
          </c:dPt>
          <c:dPt>
            <c:idx val="8"/>
            <c:invertIfNegative val="0"/>
            <c:bubble3D val="0"/>
            <c:spPr>
              <a:solidFill>
                <a:srgbClr val="C00000"/>
              </a:solidFill>
              <a:ln>
                <a:noFill/>
              </a:ln>
              <a:effectLst/>
            </c:spPr>
          </c:dPt>
          <c:dPt>
            <c:idx val="9"/>
            <c:invertIfNegative val="0"/>
            <c:bubble3D val="0"/>
            <c:spPr>
              <a:solidFill>
                <a:srgbClr val="FFC000"/>
              </a:solidFill>
              <a:ln>
                <a:noFill/>
              </a:ln>
              <a:effectLst/>
            </c:spPr>
          </c:dPt>
          <c:dPt>
            <c:idx val="10"/>
            <c:invertIfNegative val="0"/>
            <c:bubble3D val="0"/>
            <c:spPr>
              <a:solidFill>
                <a:srgbClr val="92D050"/>
              </a:solidFill>
              <a:ln>
                <a:noFill/>
              </a:ln>
              <a:effectLst/>
            </c:spPr>
          </c:dPt>
          <c:dPt>
            <c:idx val="11"/>
            <c:invertIfNegative val="0"/>
            <c:bubble3D val="0"/>
            <c:spPr>
              <a:solidFill>
                <a:srgbClr val="ED656E"/>
              </a:solidFill>
              <a:ln>
                <a:noFill/>
              </a:ln>
              <a:effectLst/>
            </c:spPr>
          </c:dPt>
          <c:dPt>
            <c:idx val="12"/>
            <c:invertIfNegative val="0"/>
            <c:bubble3D val="0"/>
            <c:spPr>
              <a:solidFill>
                <a:srgbClr val="202BCC"/>
              </a:solidFill>
              <a:ln>
                <a:noFill/>
              </a:ln>
              <a:effectLst/>
            </c:spPr>
          </c:dPt>
          <c:dPt>
            <c:idx val="13"/>
            <c:invertIfNegative val="0"/>
            <c:bubble3D val="0"/>
            <c:spPr>
              <a:solidFill>
                <a:srgbClr val="FF09EE"/>
              </a:solidFill>
              <a:ln>
                <a:noFill/>
              </a:ln>
              <a:effectLst/>
            </c:spPr>
          </c:dPt>
          <c:dPt>
            <c:idx val="14"/>
            <c:invertIfNegative val="0"/>
            <c:bubble3D val="0"/>
            <c:spPr>
              <a:solidFill>
                <a:srgbClr val="23E5ED"/>
              </a:solidFill>
              <a:ln>
                <a:noFill/>
              </a:ln>
              <a:effectLst/>
            </c:spPr>
          </c:dPt>
          <c:dPt>
            <c:idx val="15"/>
            <c:invertIfNegative val="0"/>
            <c:bubble3D val="0"/>
            <c:spPr>
              <a:solidFill>
                <a:srgbClr val="572E12"/>
              </a:solidFill>
              <a:ln>
                <a:noFill/>
              </a:ln>
              <a:effectLst/>
            </c:spPr>
          </c:dPt>
          <c:dPt>
            <c:idx val="16"/>
            <c:invertIfNegative val="0"/>
            <c:bubble3D val="0"/>
            <c:spPr>
              <a:solidFill>
                <a:srgbClr val="7030A0"/>
              </a:solidFill>
              <a:ln>
                <a:noFill/>
              </a:ln>
              <a:effectLst/>
            </c:spPr>
          </c:dPt>
          <c:dPt>
            <c:idx val="17"/>
            <c:invertIfNegative val="0"/>
            <c:bubble3D val="0"/>
            <c:spPr>
              <a:solidFill>
                <a:srgbClr val="FFFF00"/>
              </a:solidFill>
              <a:ln>
                <a:noFill/>
              </a:ln>
              <a:effectLst/>
            </c:spPr>
          </c:dPt>
          <c:dPt>
            <c:idx val="18"/>
            <c:invertIfNegative val="0"/>
            <c:bubble3D val="0"/>
            <c:spPr>
              <a:solidFill>
                <a:schemeClr val="accent5">
                  <a:lumMod val="60000"/>
                  <a:lumOff val="40000"/>
                </a:schemeClr>
              </a:solidFill>
              <a:ln>
                <a:noFill/>
              </a:ln>
              <a:effectLst/>
            </c:spPr>
          </c:dPt>
          <c:dPt>
            <c:idx val="19"/>
            <c:invertIfNegative val="0"/>
            <c:bubble3D val="0"/>
            <c:spPr>
              <a:solidFill>
                <a:srgbClr val="FF0000"/>
              </a:solidFill>
              <a:ln>
                <a:noFill/>
              </a:ln>
              <a:effectLst/>
            </c:spPr>
          </c:dPt>
          <c:dPt>
            <c:idx val="20"/>
            <c:invertIfNegative val="0"/>
            <c:bubble3D val="0"/>
            <c:spPr>
              <a:solidFill>
                <a:srgbClr val="002060"/>
              </a:solidFill>
              <a:ln>
                <a:noFill/>
              </a:ln>
              <a:effectLst/>
            </c:spPr>
          </c:dPt>
          <c:cat>
            <c:strRef>
              <c:f>Sheet1!$CX$2:$CX$23</c:f>
              <c:strCache>
                <c:ptCount val="22"/>
                <c:pt idx="0">
                  <c:v>Isle of Anglesey</c:v>
                </c:pt>
                <c:pt idx="1">
                  <c:v>Gwynedd</c:v>
                </c:pt>
                <c:pt idx="2">
                  <c:v>Powys</c:v>
                </c:pt>
                <c:pt idx="3">
                  <c:v>Monmouthshire</c:v>
                </c:pt>
                <c:pt idx="4">
                  <c:v>Flintshire</c:v>
                </c:pt>
                <c:pt idx="5">
                  <c:v>Ceredigion</c:v>
                </c:pt>
                <c:pt idx="6">
                  <c:v>Pembrokeshire</c:v>
                </c:pt>
                <c:pt idx="7">
                  <c:v>Conwy</c:v>
                </c:pt>
                <c:pt idx="8">
                  <c:v>Vale of Glamorgan</c:v>
                </c:pt>
                <c:pt idx="9">
                  <c:v>Denbighshire</c:v>
                </c:pt>
                <c:pt idx="10">
                  <c:v>Cardiff</c:v>
                </c:pt>
                <c:pt idx="11">
                  <c:v>Carmarthenshire</c:v>
                </c:pt>
                <c:pt idx="12">
                  <c:v>Newport</c:v>
                </c:pt>
                <c:pt idx="13">
                  <c:v>Bridgend</c:v>
                </c:pt>
                <c:pt idx="14">
                  <c:v>Wrexham</c:v>
                </c:pt>
                <c:pt idx="15">
                  <c:v>Caerphilly</c:v>
                </c:pt>
                <c:pt idx="16">
                  <c:v>Torfaen</c:v>
                </c:pt>
                <c:pt idx="17">
                  <c:v>Merthyr Tydfil</c:v>
                </c:pt>
                <c:pt idx="18">
                  <c:v>Neath Port Talbot</c:v>
                </c:pt>
                <c:pt idx="19">
                  <c:v>Rhondda Cynon Taf</c:v>
                </c:pt>
                <c:pt idx="20">
                  <c:v>Swansea</c:v>
                </c:pt>
                <c:pt idx="21">
                  <c:v>Blaenau Gwent</c:v>
                </c:pt>
              </c:strCache>
            </c:strRef>
          </c:cat>
          <c:val>
            <c:numRef>
              <c:f>Sheet1!$CY$2:$CY$23</c:f>
              <c:numCache>
                <c:formatCode>General</c:formatCode>
                <c:ptCount val="22"/>
                <c:pt idx="0">
                  <c:v>51.4</c:v>
                </c:pt>
                <c:pt idx="1">
                  <c:v>51.3</c:v>
                </c:pt>
                <c:pt idx="2">
                  <c:v>51.2</c:v>
                </c:pt>
                <c:pt idx="3">
                  <c:v>50.9</c:v>
                </c:pt>
                <c:pt idx="4">
                  <c:v>50.7</c:v>
                </c:pt>
                <c:pt idx="5">
                  <c:v>50.7</c:v>
                </c:pt>
                <c:pt idx="6">
                  <c:v>50.5</c:v>
                </c:pt>
                <c:pt idx="7">
                  <c:v>50.1</c:v>
                </c:pt>
                <c:pt idx="8">
                  <c:v>50.1</c:v>
                </c:pt>
                <c:pt idx="9">
                  <c:v>50.0</c:v>
                </c:pt>
                <c:pt idx="10">
                  <c:v>49.9</c:v>
                </c:pt>
                <c:pt idx="11">
                  <c:v>49.6</c:v>
                </c:pt>
                <c:pt idx="12">
                  <c:v>49.5</c:v>
                </c:pt>
                <c:pt idx="13">
                  <c:v>49.4</c:v>
                </c:pt>
                <c:pt idx="14">
                  <c:v>49.3</c:v>
                </c:pt>
                <c:pt idx="15">
                  <c:v>48.9</c:v>
                </c:pt>
                <c:pt idx="16">
                  <c:v>48.7</c:v>
                </c:pt>
                <c:pt idx="17">
                  <c:v>48.4</c:v>
                </c:pt>
                <c:pt idx="18">
                  <c:v>48.3</c:v>
                </c:pt>
                <c:pt idx="19">
                  <c:v>48.3</c:v>
                </c:pt>
                <c:pt idx="20">
                  <c:v>48.3</c:v>
                </c:pt>
                <c:pt idx="21">
                  <c:v>47.4</c:v>
                </c:pt>
              </c:numCache>
            </c:numRef>
          </c:val>
        </c:ser>
        <c:dLbls>
          <c:showLegendKey val="0"/>
          <c:showVal val="0"/>
          <c:showCatName val="0"/>
          <c:showSerName val="0"/>
          <c:showPercent val="0"/>
          <c:showBubbleSize val="0"/>
        </c:dLbls>
        <c:gapWidth val="219"/>
        <c:overlap val="-27"/>
        <c:axId val="1394076816"/>
        <c:axId val="1394080720"/>
      </c:barChart>
      <c:catAx>
        <c:axId val="13940768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Wales</a:t>
                </a:r>
                <a:r>
                  <a:rPr lang="en-US" baseline="0"/>
                  <a:t> Regions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080720"/>
        <c:crosses val="autoZero"/>
        <c:auto val="1"/>
        <c:lblAlgn val="ctr"/>
        <c:lblOffset val="100"/>
        <c:noMultiLvlLbl val="0"/>
      </c:catAx>
      <c:valAx>
        <c:axId val="13940807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Age</a:t>
                </a:r>
                <a:r>
                  <a:rPr lang="en-US" baseline="0"/>
                  <a:t>-standardised mean score </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076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a:t>
            </a:r>
            <a:r>
              <a:rPr lang="en-US" baseline="0"/>
              <a:t> showing the percentage of welsh speakers aged 3+ in 2011</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chemeClr val="tx2">
                  <a:lumMod val="75000"/>
                </a:schemeClr>
              </a:solidFill>
              <a:ln>
                <a:noFill/>
              </a:ln>
              <a:effectLst/>
            </c:spPr>
          </c:dPt>
          <c:dPt>
            <c:idx val="1"/>
            <c:invertIfNegative val="0"/>
            <c:bubble3D val="0"/>
            <c:spPr>
              <a:solidFill>
                <a:schemeClr val="accent2">
                  <a:lumMod val="60000"/>
                  <a:lumOff val="40000"/>
                </a:schemeClr>
              </a:solidFill>
              <a:ln>
                <a:noFill/>
              </a:ln>
              <a:effectLst/>
            </c:spPr>
          </c:dPt>
          <c:dPt>
            <c:idx val="2"/>
            <c:invertIfNegative val="0"/>
            <c:bubble3D val="0"/>
            <c:spPr>
              <a:solidFill>
                <a:schemeClr val="accent6">
                  <a:lumMod val="60000"/>
                  <a:lumOff val="40000"/>
                </a:schemeClr>
              </a:solidFill>
              <a:ln>
                <a:noFill/>
              </a:ln>
              <a:effectLst/>
            </c:spPr>
          </c:dPt>
          <c:dPt>
            <c:idx val="3"/>
            <c:invertIfNegative val="0"/>
            <c:bubble3D val="0"/>
            <c:spPr>
              <a:solidFill>
                <a:schemeClr val="tx1">
                  <a:lumMod val="75000"/>
                  <a:lumOff val="25000"/>
                </a:schemeClr>
              </a:solidFill>
              <a:ln>
                <a:noFill/>
              </a:ln>
              <a:effectLst/>
            </c:spPr>
          </c:dPt>
          <c:dPt>
            <c:idx val="4"/>
            <c:invertIfNegative val="0"/>
            <c:bubble3D val="0"/>
            <c:spPr>
              <a:solidFill>
                <a:srgbClr val="7030A0"/>
              </a:solidFill>
              <a:ln>
                <a:noFill/>
              </a:ln>
              <a:effectLst/>
            </c:spPr>
          </c:dPt>
          <c:dPt>
            <c:idx val="5"/>
            <c:invertIfNegative val="0"/>
            <c:bubble3D val="0"/>
            <c:spPr>
              <a:solidFill>
                <a:srgbClr val="FFFF00"/>
              </a:solidFill>
              <a:ln>
                <a:noFill/>
              </a:ln>
              <a:effectLst/>
            </c:spPr>
          </c:dPt>
          <c:dPt>
            <c:idx val="6"/>
            <c:invertIfNegative val="0"/>
            <c:bubble3D val="0"/>
            <c:spPr>
              <a:solidFill>
                <a:srgbClr val="202BCC"/>
              </a:solidFill>
              <a:ln>
                <a:noFill/>
              </a:ln>
              <a:effectLst/>
            </c:spPr>
          </c:dPt>
          <c:dPt>
            <c:idx val="7"/>
            <c:invertIfNegative val="0"/>
            <c:bubble3D val="0"/>
            <c:spPr>
              <a:solidFill>
                <a:srgbClr val="FF0000"/>
              </a:solidFill>
              <a:ln>
                <a:noFill/>
              </a:ln>
              <a:effectLst/>
            </c:spPr>
          </c:dPt>
          <c:dPt>
            <c:idx val="8"/>
            <c:invertIfNegative val="0"/>
            <c:bubble3D val="0"/>
            <c:spPr>
              <a:solidFill>
                <a:schemeClr val="tx1"/>
              </a:solidFill>
              <a:ln>
                <a:noFill/>
              </a:ln>
              <a:effectLst/>
            </c:spPr>
          </c:dPt>
          <c:dPt>
            <c:idx val="9"/>
            <c:invertIfNegative val="0"/>
            <c:bubble3D val="0"/>
            <c:spPr>
              <a:solidFill>
                <a:schemeClr val="accent6">
                  <a:lumMod val="40000"/>
                  <a:lumOff val="60000"/>
                </a:schemeClr>
              </a:solidFill>
              <a:ln>
                <a:noFill/>
              </a:ln>
              <a:effectLst/>
            </c:spPr>
          </c:dPt>
          <c:dPt>
            <c:idx val="10"/>
            <c:invertIfNegative val="0"/>
            <c:bubble3D val="0"/>
            <c:spPr>
              <a:solidFill>
                <a:srgbClr val="5B0F0A"/>
              </a:solidFill>
              <a:ln>
                <a:noFill/>
              </a:ln>
              <a:effectLst/>
            </c:spPr>
          </c:dPt>
          <c:dPt>
            <c:idx val="11"/>
            <c:invertIfNegative val="0"/>
            <c:bubble3D val="0"/>
            <c:spPr>
              <a:solidFill>
                <a:schemeClr val="accent5"/>
              </a:solidFill>
              <a:ln>
                <a:noFill/>
              </a:ln>
              <a:effectLst/>
            </c:spPr>
          </c:dPt>
          <c:dPt>
            <c:idx val="12"/>
            <c:invertIfNegative val="0"/>
            <c:bubble3D val="0"/>
            <c:spPr>
              <a:solidFill>
                <a:schemeClr val="bg2">
                  <a:lumMod val="90000"/>
                </a:schemeClr>
              </a:solidFill>
              <a:ln>
                <a:noFill/>
              </a:ln>
              <a:effectLst/>
            </c:spPr>
          </c:dPt>
          <c:dPt>
            <c:idx val="13"/>
            <c:invertIfNegative val="0"/>
            <c:bubble3D val="0"/>
            <c:spPr>
              <a:solidFill>
                <a:srgbClr val="572E12"/>
              </a:solidFill>
              <a:ln>
                <a:noFill/>
              </a:ln>
              <a:effectLst/>
            </c:spPr>
          </c:dPt>
          <c:dPt>
            <c:idx val="14"/>
            <c:invertIfNegative val="0"/>
            <c:bubble3D val="0"/>
            <c:spPr>
              <a:solidFill>
                <a:srgbClr val="0B054E"/>
              </a:solidFill>
              <a:ln>
                <a:noFill/>
              </a:ln>
              <a:effectLst/>
            </c:spPr>
          </c:dPt>
          <c:dPt>
            <c:idx val="15"/>
            <c:invertIfNegative val="0"/>
            <c:bubble3D val="0"/>
            <c:spPr>
              <a:solidFill>
                <a:schemeClr val="accent4"/>
              </a:solidFill>
              <a:ln>
                <a:noFill/>
              </a:ln>
              <a:effectLst/>
            </c:spPr>
          </c:dPt>
          <c:dPt>
            <c:idx val="16"/>
            <c:invertIfNegative val="0"/>
            <c:bubble3D val="0"/>
            <c:spPr>
              <a:solidFill>
                <a:srgbClr val="FF09EE"/>
              </a:solidFill>
              <a:ln>
                <a:noFill/>
              </a:ln>
              <a:effectLst/>
            </c:spPr>
          </c:dPt>
          <c:dPt>
            <c:idx val="17"/>
            <c:invertIfNegative val="0"/>
            <c:bubble3D val="0"/>
            <c:spPr>
              <a:solidFill>
                <a:srgbClr val="23E5ED"/>
              </a:solidFill>
              <a:ln>
                <a:noFill/>
              </a:ln>
              <a:effectLst/>
            </c:spPr>
          </c:dPt>
          <c:dPt>
            <c:idx val="18"/>
            <c:invertIfNegative val="0"/>
            <c:bubble3D val="0"/>
            <c:spPr>
              <a:solidFill>
                <a:srgbClr val="202BCC"/>
              </a:solidFill>
              <a:ln>
                <a:noFill/>
              </a:ln>
              <a:effectLst/>
            </c:spPr>
          </c:dPt>
          <c:dPt>
            <c:idx val="19"/>
            <c:invertIfNegative val="0"/>
            <c:bubble3D val="0"/>
            <c:spPr>
              <a:solidFill>
                <a:schemeClr val="accent6">
                  <a:lumMod val="50000"/>
                </a:schemeClr>
              </a:solidFill>
              <a:ln>
                <a:noFill/>
              </a:ln>
              <a:effectLst/>
            </c:spPr>
          </c:dPt>
          <c:dPt>
            <c:idx val="20"/>
            <c:invertIfNegative val="0"/>
            <c:bubble3D val="0"/>
            <c:spPr>
              <a:solidFill>
                <a:schemeClr val="accent2"/>
              </a:solidFill>
              <a:ln>
                <a:noFill/>
              </a:ln>
              <a:effectLst/>
            </c:spPr>
          </c:dPt>
          <c:dPt>
            <c:idx val="21"/>
            <c:invertIfNegative val="0"/>
            <c:bubble3D val="0"/>
            <c:spPr>
              <a:solidFill>
                <a:srgbClr val="C00000"/>
              </a:solidFill>
              <a:ln>
                <a:noFill/>
              </a:ln>
              <a:effectLst/>
            </c:spPr>
          </c:dPt>
          <c:cat>
            <c:strRef>
              <c:f>Sheet1!$DN$2:$DN$23</c:f>
              <c:strCache>
                <c:ptCount val="22"/>
                <c:pt idx="0">
                  <c:v>Gwynedd</c:v>
                </c:pt>
                <c:pt idx="1">
                  <c:v>Isle of Anglesey</c:v>
                </c:pt>
                <c:pt idx="2">
                  <c:v>Ceredigion</c:v>
                </c:pt>
                <c:pt idx="3">
                  <c:v>Carmarthenshire</c:v>
                </c:pt>
                <c:pt idx="4">
                  <c:v>Conwy</c:v>
                </c:pt>
                <c:pt idx="5">
                  <c:v>Denbighshire</c:v>
                </c:pt>
                <c:pt idx="6">
                  <c:v>Pembrokeshire</c:v>
                </c:pt>
                <c:pt idx="7">
                  <c:v>Powys</c:v>
                </c:pt>
                <c:pt idx="8">
                  <c:v>Neath Port Talbot</c:v>
                </c:pt>
                <c:pt idx="9">
                  <c:v>Flintshire</c:v>
                </c:pt>
                <c:pt idx="10">
                  <c:v>Wrexham</c:v>
                </c:pt>
                <c:pt idx="11">
                  <c:v>Rhondda Cynon Taf</c:v>
                </c:pt>
                <c:pt idx="12">
                  <c:v>Caerphilly</c:v>
                </c:pt>
                <c:pt idx="13">
                  <c:v>Cardiff</c:v>
                </c:pt>
                <c:pt idx="14">
                  <c:v>Swansea</c:v>
                </c:pt>
                <c:pt idx="15">
                  <c:v>Vale of Glamorgan</c:v>
                </c:pt>
                <c:pt idx="16">
                  <c:v>Monmouthshire</c:v>
                </c:pt>
                <c:pt idx="17">
                  <c:v>Bridgend</c:v>
                </c:pt>
                <c:pt idx="18">
                  <c:v>Newport</c:v>
                </c:pt>
                <c:pt idx="19">
                  <c:v>Torfaen</c:v>
                </c:pt>
                <c:pt idx="20">
                  <c:v>Merthyr Tydfil</c:v>
                </c:pt>
                <c:pt idx="21">
                  <c:v>Blaenau Gwent</c:v>
                </c:pt>
              </c:strCache>
            </c:strRef>
          </c:cat>
          <c:val>
            <c:numRef>
              <c:f>Sheet1!$DO$2:$DO$23</c:f>
              <c:numCache>
                <c:formatCode>General</c:formatCode>
                <c:ptCount val="22"/>
                <c:pt idx="0">
                  <c:v>66.0</c:v>
                </c:pt>
                <c:pt idx="1">
                  <c:v>58.0</c:v>
                </c:pt>
                <c:pt idx="2">
                  <c:v>47.0</c:v>
                </c:pt>
                <c:pt idx="3">
                  <c:v>44.0</c:v>
                </c:pt>
                <c:pt idx="4">
                  <c:v>27.0</c:v>
                </c:pt>
                <c:pt idx="5">
                  <c:v>25.0</c:v>
                </c:pt>
                <c:pt idx="6">
                  <c:v>19.0</c:v>
                </c:pt>
                <c:pt idx="7">
                  <c:v>18.0</c:v>
                </c:pt>
                <c:pt idx="8">
                  <c:v>15.0</c:v>
                </c:pt>
                <c:pt idx="9">
                  <c:v>14.0</c:v>
                </c:pt>
                <c:pt idx="10">
                  <c:v>13.0</c:v>
                </c:pt>
                <c:pt idx="11">
                  <c:v>12.0</c:v>
                </c:pt>
                <c:pt idx="12">
                  <c:v>11.0</c:v>
                </c:pt>
                <c:pt idx="13">
                  <c:v>11.0</c:v>
                </c:pt>
                <c:pt idx="14">
                  <c:v>11.0</c:v>
                </c:pt>
                <c:pt idx="15">
                  <c:v>10.5</c:v>
                </c:pt>
                <c:pt idx="16">
                  <c:v>10.0</c:v>
                </c:pt>
                <c:pt idx="17">
                  <c:v>9.0</c:v>
                </c:pt>
                <c:pt idx="18">
                  <c:v>9.0</c:v>
                </c:pt>
                <c:pt idx="19">
                  <c:v>9.0</c:v>
                </c:pt>
                <c:pt idx="20">
                  <c:v>8.0</c:v>
                </c:pt>
                <c:pt idx="21">
                  <c:v>8.0</c:v>
                </c:pt>
              </c:numCache>
            </c:numRef>
          </c:val>
        </c:ser>
        <c:dLbls>
          <c:showLegendKey val="0"/>
          <c:showVal val="0"/>
          <c:showCatName val="0"/>
          <c:showSerName val="0"/>
          <c:showPercent val="0"/>
          <c:showBubbleSize val="0"/>
        </c:dLbls>
        <c:gapWidth val="182"/>
        <c:axId val="1394112128"/>
        <c:axId val="1394116032"/>
      </c:barChart>
      <c:catAx>
        <c:axId val="139411212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Wales</a:t>
                </a:r>
                <a:r>
                  <a:rPr lang="en-US" baseline="0"/>
                  <a:t> Regions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116032"/>
        <c:crosses val="autoZero"/>
        <c:auto val="1"/>
        <c:lblAlgn val="ctr"/>
        <c:lblOffset val="100"/>
        <c:noMultiLvlLbl val="0"/>
      </c:catAx>
      <c:valAx>
        <c:axId val="13941160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a:t>
                </a:r>
                <a:r>
                  <a:rPr lang="en-US" baseline="0"/>
                  <a:t> of people aged 3+</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1121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a:t>
            </a:r>
            <a:r>
              <a:rPr lang="en-US" baseline="0"/>
              <a:t> to show the percentage of Swansea residents that can speak, read and write welsh in 2011</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Sheet1!$EP$1</c:f>
              <c:strCache>
                <c:ptCount val="1"/>
                <c:pt idx="0">
                  <c:v>can speak, read and write welsh percentage</c:v>
                </c:pt>
              </c:strCache>
            </c:strRef>
          </c:tx>
          <c:spPr>
            <a:solidFill>
              <a:schemeClr val="accent1"/>
            </a:solidFill>
            <a:ln>
              <a:noFill/>
            </a:ln>
            <a:effectLst/>
          </c:spPr>
          <c:invertIfNegative val="0"/>
          <c:dPt>
            <c:idx val="1"/>
            <c:invertIfNegative val="0"/>
            <c:bubble3D val="0"/>
            <c:spPr>
              <a:solidFill>
                <a:srgbClr val="C00000"/>
              </a:solidFill>
              <a:ln>
                <a:noFill/>
              </a:ln>
              <a:effectLst/>
            </c:spPr>
          </c:dPt>
          <c:dPt>
            <c:idx val="2"/>
            <c:invertIfNegative val="0"/>
            <c:bubble3D val="0"/>
            <c:spPr>
              <a:solidFill>
                <a:srgbClr val="23E5ED"/>
              </a:solidFill>
              <a:ln>
                <a:noFill/>
              </a:ln>
              <a:effectLst/>
            </c:spPr>
          </c:dPt>
          <c:dPt>
            <c:idx val="3"/>
            <c:invertIfNegative val="0"/>
            <c:bubble3D val="0"/>
            <c:spPr>
              <a:solidFill>
                <a:srgbClr val="FF09EE"/>
              </a:solidFill>
              <a:ln>
                <a:noFill/>
              </a:ln>
              <a:effectLst/>
            </c:spPr>
          </c:dPt>
          <c:dPt>
            <c:idx val="4"/>
            <c:invertIfNegative val="0"/>
            <c:bubble3D val="0"/>
            <c:spPr>
              <a:solidFill>
                <a:srgbClr val="0B5731"/>
              </a:solidFill>
              <a:ln>
                <a:noFill/>
              </a:ln>
              <a:effectLst/>
            </c:spPr>
          </c:dPt>
          <c:dPt>
            <c:idx val="5"/>
            <c:invertIfNegative val="0"/>
            <c:bubble3D val="0"/>
            <c:spPr>
              <a:solidFill>
                <a:schemeClr val="tx1"/>
              </a:solidFill>
              <a:ln>
                <a:noFill/>
              </a:ln>
              <a:effectLst/>
            </c:spPr>
          </c:dPt>
          <c:dPt>
            <c:idx val="6"/>
            <c:invertIfNegative val="0"/>
            <c:bubble3D val="0"/>
            <c:spPr>
              <a:solidFill>
                <a:schemeClr val="accent2"/>
              </a:solidFill>
              <a:ln>
                <a:noFill/>
              </a:ln>
              <a:effectLst/>
            </c:spPr>
          </c:dPt>
          <c:dPt>
            <c:idx val="7"/>
            <c:invertIfNegative val="0"/>
            <c:bubble3D val="0"/>
            <c:spPr>
              <a:solidFill>
                <a:srgbClr val="FF0000"/>
              </a:solidFill>
              <a:ln>
                <a:noFill/>
              </a:ln>
              <a:effectLst/>
            </c:spPr>
          </c:dPt>
          <c:dPt>
            <c:idx val="8"/>
            <c:invertIfNegative val="0"/>
            <c:bubble3D val="0"/>
            <c:spPr>
              <a:solidFill>
                <a:schemeClr val="accent4"/>
              </a:solidFill>
              <a:ln>
                <a:noFill/>
              </a:ln>
              <a:effectLst/>
            </c:spPr>
          </c:dPt>
          <c:dPt>
            <c:idx val="9"/>
            <c:invertIfNegative val="0"/>
            <c:bubble3D val="0"/>
            <c:spPr>
              <a:solidFill>
                <a:schemeClr val="tx1">
                  <a:lumMod val="75000"/>
                  <a:lumOff val="25000"/>
                </a:schemeClr>
              </a:solidFill>
              <a:ln>
                <a:noFill/>
              </a:ln>
              <a:effectLst/>
            </c:spPr>
          </c:dPt>
          <c:dPt>
            <c:idx val="10"/>
            <c:invertIfNegative val="0"/>
            <c:bubble3D val="0"/>
            <c:spPr>
              <a:solidFill>
                <a:srgbClr val="7030A0"/>
              </a:solidFill>
              <a:ln>
                <a:noFill/>
              </a:ln>
              <a:effectLst/>
            </c:spPr>
          </c:dPt>
          <c:dPt>
            <c:idx val="11"/>
            <c:invertIfNegative val="0"/>
            <c:bubble3D val="0"/>
            <c:spPr>
              <a:solidFill>
                <a:srgbClr val="FFFF00"/>
              </a:solidFill>
              <a:ln>
                <a:noFill/>
              </a:ln>
              <a:effectLst/>
            </c:spPr>
          </c:dPt>
          <c:dPt>
            <c:idx val="12"/>
            <c:invertIfNegative val="0"/>
            <c:bubble3D val="0"/>
            <c:spPr>
              <a:solidFill>
                <a:srgbClr val="0B5731"/>
              </a:solidFill>
              <a:ln>
                <a:noFill/>
              </a:ln>
              <a:effectLst/>
            </c:spPr>
          </c:dPt>
          <c:dPt>
            <c:idx val="13"/>
            <c:invertIfNegative val="0"/>
            <c:bubble3D val="0"/>
            <c:spPr>
              <a:solidFill>
                <a:schemeClr val="accent6">
                  <a:lumMod val="40000"/>
                  <a:lumOff val="60000"/>
                </a:schemeClr>
              </a:solidFill>
              <a:ln>
                <a:noFill/>
              </a:ln>
              <a:effectLst/>
            </c:spPr>
          </c:dPt>
          <c:dPt>
            <c:idx val="14"/>
            <c:invertIfNegative val="0"/>
            <c:bubble3D val="0"/>
            <c:spPr>
              <a:solidFill>
                <a:srgbClr val="202BCC"/>
              </a:solidFill>
              <a:ln>
                <a:noFill/>
              </a:ln>
              <a:effectLst/>
            </c:spPr>
          </c:dPt>
          <c:dPt>
            <c:idx val="15"/>
            <c:invertIfNegative val="0"/>
            <c:bubble3D val="0"/>
            <c:spPr>
              <a:solidFill>
                <a:schemeClr val="accent2"/>
              </a:solidFill>
              <a:ln>
                <a:noFill/>
              </a:ln>
              <a:effectLst/>
            </c:spPr>
          </c:dPt>
          <c:dPt>
            <c:idx val="16"/>
            <c:invertIfNegative val="0"/>
            <c:bubble3D val="0"/>
            <c:spPr>
              <a:solidFill>
                <a:schemeClr val="accent5"/>
              </a:solidFill>
              <a:ln>
                <a:noFill/>
              </a:ln>
              <a:effectLst/>
            </c:spPr>
          </c:dPt>
          <c:dPt>
            <c:idx val="17"/>
            <c:invertIfNegative val="0"/>
            <c:bubble3D val="0"/>
            <c:spPr>
              <a:solidFill>
                <a:srgbClr val="C00000"/>
              </a:solidFill>
              <a:ln>
                <a:noFill/>
              </a:ln>
              <a:effectLst/>
            </c:spPr>
          </c:dPt>
          <c:dPt>
            <c:idx val="18"/>
            <c:invertIfNegative val="0"/>
            <c:bubble3D val="0"/>
            <c:spPr>
              <a:solidFill>
                <a:srgbClr val="23E5ED"/>
              </a:solidFill>
              <a:ln>
                <a:noFill/>
              </a:ln>
              <a:effectLst/>
            </c:spPr>
          </c:dPt>
          <c:dPt>
            <c:idx val="19"/>
            <c:invertIfNegative val="0"/>
            <c:bubble3D val="0"/>
            <c:spPr>
              <a:solidFill>
                <a:srgbClr val="FF09EE"/>
              </a:solidFill>
              <a:ln>
                <a:noFill/>
              </a:ln>
              <a:effectLst/>
            </c:spPr>
          </c:dPt>
          <c:dPt>
            <c:idx val="20"/>
            <c:invertIfNegative val="0"/>
            <c:bubble3D val="0"/>
            <c:spPr>
              <a:solidFill>
                <a:srgbClr val="0B5731"/>
              </a:solidFill>
              <a:ln>
                <a:noFill/>
              </a:ln>
              <a:effectLst/>
            </c:spPr>
          </c:dPt>
          <c:dPt>
            <c:idx val="21"/>
            <c:invertIfNegative val="0"/>
            <c:bubble3D val="0"/>
            <c:spPr>
              <a:solidFill>
                <a:schemeClr val="tx1"/>
              </a:solidFill>
              <a:ln>
                <a:noFill/>
              </a:ln>
              <a:effectLst/>
            </c:spPr>
          </c:dPt>
          <c:dPt>
            <c:idx val="22"/>
            <c:invertIfNegative val="0"/>
            <c:bubble3D val="0"/>
            <c:spPr>
              <a:solidFill>
                <a:schemeClr val="accent2"/>
              </a:solidFill>
              <a:ln>
                <a:noFill/>
              </a:ln>
              <a:effectLst/>
            </c:spPr>
          </c:dPt>
          <c:dPt>
            <c:idx val="23"/>
            <c:invertIfNegative val="0"/>
            <c:bubble3D val="0"/>
            <c:spPr>
              <a:solidFill>
                <a:srgbClr val="FF0000"/>
              </a:solidFill>
              <a:ln>
                <a:noFill/>
              </a:ln>
              <a:effectLst/>
            </c:spPr>
          </c:dPt>
          <c:dPt>
            <c:idx val="24"/>
            <c:invertIfNegative val="0"/>
            <c:bubble3D val="0"/>
            <c:spPr>
              <a:solidFill>
                <a:srgbClr val="FFC000"/>
              </a:solidFill>
              <a:ln>
                <a:noFill/>
              </a:ln>
              <a:effectLst/>
            </c:spPr>
          </c:dPt>
          <c:dPt>
            <c:idx val="25"/>
            <c:invertIfNegative val="0"/>
            <c:bubble3D val="0"/>
            <c:spPr>
              <a:solidFill>
                <a:srgbClr val="0B5731"/>
              </a:solidFill>
              <a:ln>
                <a:noFill/>
              </a:ln>
              <a:effectLst/>
            </c:spPr>
          </c:dPt>
          <c:dPt>
            <c:idx val="26"/>
            <c:invertIfNegative val="0"/>
            <c:bubble3D val="0"/>
            <c:spPr>
              <a:solidFill>
                <a:srgbClr val="7030A0"/>
              </a:solidFill>
              <a:ln>
                <a:noFill/>
              </a:ln>
              <a:effectLst/>
            </c:spPr>
          </c:dPt>
          <c:dPt>
            <c:idx val="27"/>
            <c:invertIfNegative val="0"/>
            <c:bubble3D val="0"/>
            <c:spPr>
              <a:solidFill>
                <a:srgbClr val="FFFF00"/>
              </a:solidFill>
              <a:ln>
                <a:noFill/>
              </a:ln>
              <a:effectLst/>
            </c:spPr>
          </c:dPt>
          <c:dPt>
            <c:idx val="28"/>
            <c:invertIfNegative val="0"/>
            <c:bubble3D val="0"/>
            <c:spPr>
              <a:solidFill>
                <a:srgbClr val="00B050"/>
              </a:solidFill>
              <a:ln>
                <a:noFill/>
              </a:ln>
              <a:effectLst/>
            </c:spPr>
          </c:dPt>
          <c:dPt>
            <c:idx val="29"/>
            <c:invertIfNegative val="0"/>
            <c:bubble3D val="0"/>
            <c:spPr>
              <a:solidFill>
                <a:srgbClr val="202BCC"/>
              </a:solidFill>
              <a:ln>
                <a:noFill/>
              </a:ln>
              <a:effectLst/>
            </c:spPr>
          </c:dPt>
          <c:dPt>
            <c:idx val="30"/>
            <c:invertIfNegative val="0"/>
            <c:bubble3D val="0"/>
            <c:spPr>
              <a:solidFill>
                <a:schemeClr val="accent2"/>
              </a:solidFill>
              <a:ln>
                <a:noFill/>
              </a:ln>
              <a:effectLst/>
            </c:spPr>
          </c:dPt>
          <c:dPt>
            <c:idx val="31"/>
            <c:invertIfNegative val="0"/>
            <c:bubble3D val="0"/>
            <c:spPr>
              <a:solidFill>
                <a:srgbClr val="FF0000"/>
              </a:solidFill>
              <a:ln>
                <a:noFill/>
              </a:ln>
              <a:effectLst/>
            </c:spPr>
          </c:dPt>
          <c:dPt>
            <c:idx val="32"/>
            <c:invertIfNegative val="0"/>
            <c:bubble3D val="0"/>
            <c:spPr>
              <a:solidFill>
                <a:srgbClr val="FFC000"/>
              </a:solidFill>
              <a:ln>
                <a:noFill/>
              </a:ln>
              <a:effectLst/>
            </c:spPr>
          </c:dPt>
          <c:dPt>
            <c:idx val="33"/>
            <c:invertIfNegative val="0"/>
            <c:bubble3D val="0"/>
            <c:spPr>
              <a:solidFill>
                <a:srgbClr val="0B5731"/>
              </a:solidFill>
              <a:ln>
                <a:noFill/>
              </a:ln>
              <a:effectLst/>
            </c:spPr>
          </c:dPt>
          <c:dPt>
            <c:idx val="34"/>
            <c:invertIfNegative val="0"/>
            <c:bubble3D val="0"/>
            <c:spPr>
              <a:solidFill>
                <a:srgbClr val="7030A0"/>
              </a:solidFill>
              <a:ln>
                <a:noFill/>
              </a:ln>
              <a:effectLst/>
            </c:spPr>
          </c:dPt>
          <c:cat>
            <c:strRef>
              <c:f>Sheet1!$EO$2:$EO$37</c:f>
              <c:strCache>
                <c:ptCount val="36"/>
                <c:pt idx="0">
                  <c:v>Mawr </c:v>
                </c:pt>
                <c:pt idx="1">
                  <c:v>Pontardullais </c:v>
                </c:pt>
                <c:pt idx="2">
                  <c:v>Clydach </c:v>
                </c:pt>
                <c:pt idx="3">
                  <c:v>Upper loughor </c:v>
                </c:pt>
                <c:pt idx="4">
                  <c:v>Kingsbridge </c:v>
                </c:pt>
                <c:pt idx="5">
                  <c:v>Penclawdd </c:v>
                </c:pt>
                <c:pt idx="6">
                  <c:v>Penrheol </c:v>
                </c:pt>
                <c:pt idx="7">
                  <c:v>Llangefelach</c:v>
                </c:pt>
                <c:pt idx="8">
                  <c:v>Lower Loughor</c:v>
                </c:pt>
                <c:pt idx="9">
                  <c:v>Penllegaer </c:v>
                </c:pt>
                <c:pt idx="10">
                  <c:v>Gorseinon</c:v>
                </c:pt>
                <c:pt idx="11">
                  <c:v>Gowerton</c:v>
                </c:pt>
                <c:pt idx="12">
                  <c:v>llansamlet </c:v>
                </c:pt>
                <c:pt idx="13">
                  <c:v>Morriston</c:v>
                </c:pt>
                <c:pt idx="14">
                  <c:v>Mayals</c:v>
                </c:pt>
                <c:pt idx="15">
                  <c:v>Fairwood </c:v>
                </c:pt>
                <c:pt idx="16">
                  <c:v>Oystermouth</c:v>
                </c:pt>
                <c:pt idx="17">
                  <c:v>Sketty</c:v>
                </c:pt>
                <c:pt idx="18">
                  <c:v>Gower</c:v>
                </c:pt>
                <c:pt idx="19">
                  <c:v>Mynyddbach</c:v>
                </c:pt>
                <c:pt idx="20">
                  <c:v>Cockett </c:v>
                </c:pt>
                <c:pt idx="21">
                  <c:v>Uplands </c:v>
                </c:pt>
                <c:pt idx="22">
                  <c:v>Pennard</c:v>
                </c:pt>
                <c:pt idx="23">
                  <c:v>Bishopston</c:v>
                </c:pt>
                <c:pt idx="24">
                  <c:v>Newton</c:v>
                </c:pt>
                <c:pt idx="25">
                  <c:v>Killay North</c:v>
                </c:pt>
                <c:pt idx="26">
                  <c:v>Bonymaen</c:v>
                </c:pt>
                <c:pt idx="27">
                  <c:v>Killay South</c:v>
                </c:pt>
                <c:pt idx="28">
                  <c:v>West Cross</c:v>
                </c:pt>
                <c:pt idx="29">
                  <c:v>Dunvant </c:v>
                </c:pt>
                <c:pt idx="30">
                  <c:v>Cwmbwrla</c:v>
                </c:pt>
                <c:pt idx="31">
                  <c:v>Castle </c:v>
                </c:pt>
                <c:pt idx="32">
                  <c:v>Penderry</c:v>
                </c:pt>
                <c:pt idx="33">
                  <c:v>St. Thomas</c:v>
                </c:pt>
                <c:pt idx="34">
                  <c:v>Landore </c:v>
                </c:pt>
                <c:pt idx="35">
                  <c:v>Townhill</c:v>
                </c:pt>
              </c:strCache>
            </c:strRef>
          </c:cat>
          <c:val>
            <c:numRef>
              <c:f>Sheet1!$EP$2:$EP$37</c:f>
              <c:numCache>
                <c:formatCode>General</c:formatCode>
                <c:ptCount val="36"/>
                <c:pt idx="0">
                  <c:v>3.7</c:v>
                </c:pt>
                <c:pt idx="1">
                  <c:v>4.5</c:v>
                </c:pt>
                <c:pt idx="2">
                  <c:v>4.6</c:v>
                </c:pt>
                <c:pt idx="3">
                  <c:v>4.8</c:v>
                </c:pt>
                <c:pt idx="4">
                  <c:v>4.8</c:v>
                </c:pt>
                <c:pt idx="5">
                  <c:v>5.0</c:v>
                </c:pt>
                <c:pt idx="6">
                  <c:v>5.0</c:v>
                </c:pt>
                <c:pt idx="7">
                  <c:v>5.3</c:v>
                </c:pt>
                <c:pt idx="8">
                  <c:v>5.6</c:v>
                </c:pt>
                <c:pt idx="9">
                  <c:v>5.9</c:v>
                </c:pt>
                <c:pt idx="10">
                  <c:v>6.1</c:v>
                </c:pt>
                <c:pt idx="11">
                  <c:v>6.7</c:v>
                </c:pt>
                <c:pt idx="12">
                  <c:v>6.8</c:v>
                </c:pt>
                <c:pt idx="13">
                  <c:v>6.9</c:v>
                </c:pt>
                <c:pt idx="14">
                  <c:v>7.1</c:v>
                </c:pt>
                <c:pt idx="15">
                  <c:v>7.2</c:v>
                </c:pt>
                <c:pt idx="16">
                  <c:v>7.3</c:v>
                </c:pt>
                <c:pt idx="17">
                  <c:v>7.4</c:v>
                </c:pt>
                <c:pt idx="18">
                  <c:v>7.4</c:v>
                </c:pt>
                <c:pt idx="19">
                  <c:v>8.1</c:v>
                </c:pt>
                <c:pt idx="20">
                  <c:v>8.2</c:v>
                </c:pt>
                <c:pt idx="21">
                  <c:v>8.2</c:v>
                </c:pt>
                <c:pt idx="22">
                  <c:v>8.3</c:v>
                </c:pt>
                <c:pt idx="23">
                  <c:v>8.7</c:v>
                </c:pt>
                <c:pt idx="24">
                  <c:v>8.8</c:v>
                </c:pt>
                <c:pt idx="25">
                  <c:v>9.1</c:v>
                </c:pt>
                <c:pt idx="26">
                  <c:v>9.5</c:v>
                </c:pt>
                <c:pt idx="27">
                  <c:v>9.9</c:v>
                </c:pt>
                <c:pt idx="28">
                  <c:v>10.2</c:v>
                </c:pt>
                <c:pt idx="29">
                  <c:v>10.8</c:v>
                </c:pt>
                <c:pt idx="30">
                  <c:v>11.3</c:v>
                </c:pt>
                <c:pt idx="31">
                  <c:v>12.1</c:v>
                </c:pt>
                <c:pt idx="32">
                  <c:v>13.0</c:v>
                </c:pt>
                <c:pt idx="33">
                  <c:v>14.3</c:v>
                </c:pt>
                <c:pt idx="34">
                  <c:v>22.5</c:v>
                </c:pt>
                <c:pt idx="35">
                  <c:v>29.3</c:v>
                </c:pt>
              </c:numCache>
            </c:numRef>
          </c:val>
        </c:ser>
        <c:dLbls>
          <c:showLegendKey val="0"/>
          <c:showVal val="0"/>
          <c:showCatName val="0"/>
          <c:showSerName val="0"/>
          <c:showPercent val="0"/>
          <c:showBubbleSize val="0"/>
        </c:dLbls>
        <c:gapWidth val="219"/>
        <c:overlap val="-27"/>
        <c:axId val="1394158896"/>
        <c:axId val="1394162288"/>
      </c:barChart>
      <c:catAx>
        <c:axId val="1394158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Swanse</a:t>
                </a:r>
                <a:r>
                  <a:rPr lang="en-US" baseline="0"/>
                  <a:t>a Wards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162288"/>
        <c:crosses val="autoZero"/>
        <c:auto val="1"/>
        <c:lblAlgn val="ctr"/>
        <c:lblOffset val="100"/>
        <c:noMultiLvlLbl val="0"/>
      </c:catAx>
      <c:valAx>
        <c:axId val="1394162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1588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a:t>
            </a:r>
            <a:r>
              <a:rPr lang="en-US" baseline="0"/>
              <a:t> to show the number of Swansea residents that can speak, read and write Welsh compared to usual resident population aged 3+</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Sheet1!$EI$1</c:f>
              <c:strCache>
                <c:ptCount val="1"/>
                <c:pt idx="0">
                  <c:v>All usual residents aged 3+</c:v>
                </c:pt>
              </c:strCache>
            </c:strRef>
          </c:tx>
          <c:spPr>
            <a:solidFill>
              <a:srgbClr val="23E5ED"/>
            </a:solidFill>
            <a:ln>
              <a:noFill/>
            </a:ln>
            <a:effectLst/>
          </c:spPr>
          <c:invertIfNegative val="0"/>
          <c:cat>
            <c:strRef>
              <c:f>Sheet1!$EH$2:$EH$37</c:f>
              <c:strCache>
                <c:ptCount val="36"/>
                <c:pt idx="0">
                  <c:v>Mawr </c:v>
                </c:pt>
                <c:pt idx="1">
                  <c:v>Pontardullais </c:v>
                </c:pt>
                <c:pt idx="2">
                  <c:v>Clydach </c:v>
                </c:pt>
                <c:pt idx="3">
                  <c:v>Upper loughor </c:v>
                </c:pt>
                <c:pt idx="4">
                  <c:v>Kingsbridge </c:v>
                </c:pt>
                <c:pt idx="5">
                  <c:v>Penclawdd </c:v>
                </c:pt>
                <c:pt idx="6">
                  <c:v>Penrheol </c:v>
                </c:pt>
                <c:pt idx="7">
                  <c:v>Llangefelach</c:v>
                </c:pt>
                <c:pt idx="8">
                  <c:v>Lower Loughor</c:v>
                </c:pt>
                <c:pt idx="9">
                  <c:v>Penllegaer </c:v>
                </c:pt>
                <c:pt idx="10">
                  <c:v>Gorseinon</c:v>
                </c:pt>
                <c:pt idx="11">
                  <c:v>Gowerton</c:v>
                </c:pt>
                <c:pt idx="12">
                  <c:v>llansamlet </c:v>
                </c:pt>
                <c:pt idx="13">
                  <c:v>Morriston</c:v>
                </c:pt>
                <c:pt idx="14">
                  <c:v>Mayals</c:v>
                </c:pt>
                <c:pt idx="15">
                  <c:v>Fairwood </c:v>
                </c:pt>
                <c:pt idx="16">
                  <c:v>Oystermouth</c:v>
                </c:pt>
                <c:pt idx="17">
                  <c:v>Sketty</c:v>
                </c:pt>
                <c:pt idx="18">
                  <c:v>Gower</c:v>
                </c:pt>
                <c:pt idx="19">
                  <c:v>Mynyddbach</c:v>
                </c:pt>
                <c:pt idx="20">
                  <c:v>Cockett </c:v>
                </c:pt>
                <c:pt idx="21">
                  <c:v>Uplands </c:v>
                </c:pt>
                <c:pt idx="22">
                  <c:v>Pennard</c:v>
                </c:pt>
                <c:pt idx="23">
                  <c:v>Bishopston</c:v>
                </c:pt>
                <c:pt idx="24">
                  <c:v>Newton</c:v>
                </c:pt>
                <c:pt idx="25">
                  <c:v>Killay North</c:v>
                </c:pt>
                <c:pt idx="26">
                  <c:v>Bonymaen</c:v>
                </c:pt>
                <c:pt idx="27">
                  <c:v>Killay South</c:v>
                </c:pt>
                <c:pt idx="28">
                  <c:v>West Cross</c:v>
                </c:pt>
                <c:pt idx="29">
                  <c:v>Dunvant </c:v>
                </c:pt>
                <c:pt idx="30">
                  <c:v>Cwmbwrla</c:v>
                </c:pt>
                <c:pt idx="31">
                  <c:v>Castle </c:v>
                </c:pt>
                <c:pt idx="32">
                  <c:v>Penderry</c:v>
                </c:pt>
                <c:pt idx="33">
                  <c:v>St. Thomas</c:v>
                </c:pt>
                <c:pt idx="34">
                  <c:v>Landore </c:v>
                </c:pt>
                <c:pt idx="35">
                  <c:v>Townhill</c:v>
                </c:pt>
              </c:strCache>
            </c:strRef>
          </c:cat>
          <c:val>
            <c:numRef>
              <c:f>Sheet1!$EI$2:$EI$37</c:f>
              <c:numCache>
                <c:formatCode>General</c:formatCode>
                <c:ptCount val="36"/>
                <c:pt idx="0">
                  <c:v>8215.0</c:v>
                </c:pt>
                <c:pt idx="1">
                  <c:v>5901.0</c:v>
                </c:pt>
                <c:pt idx="2">
                  <c:v>2185.0</c:v>
                </c:pt>
                <c:pt idx="3">
                  <c:v>7667.0</c:v>
                </c:pt>
                <c:pt idx="4">
                  <c:v>6937.0</c:v>
                </c:pt>
                <c:pt idx="5">
                  <c:v>4292.0</c:v>
                </c:pt>
                <c:pt idx="6">
                  <c:v>11476.0</c:v>
                </c:pt>
                <c:pt idx="7">
                  <c:v>15504.0</c:v>
                </c:pt>
                <c:pt idx="8">
                  <c:v>6252.0</c:v>
                </c:pt>
                <c:pt idx="9">
                  <c:v>3190.0</c:v>
                </c:pt>
                <c:pt idx="10">
                  <c:v>6626.0</c:v>
                </c:pt>
                <c:pt idx="11">
                  <c:v>2617.0</c:v>
                </c:pt>
                <c:pt idx="12">
                  <c:v>3582.0</c:v>
                </c:pt>
                <c:pt idx="13">
                  <c:v>12871.0</c:v>
                </c:pt>
                <c:pt idx="14">
                  <c:v>8600.0</c:v>
                </c:pt>
                <c:pt idx="15">
                  <c:v>3223.0</c:v>
                </c:pt>
                <c:pt idx="16">
                  <c:v>4048.0</c:v>
                </c:pt>
                <c:pt idx="17">
                  <c:v>2831.0</c:v>
                </c:pt>
                <c:pt idx="18">
                  <c:v>3422.0</c:v>
                </c:pt>
                <c:pt idx="19">
                  <c:v>14015.0</c:v>
                </c:pt>
                <c:pt idx="20">
                  <c:v>16301.0</c:v>
                </c:pt>
                <c:pt idx="21">
                  <c:v>15375.0</c:v>
                </c:pt>
                <c:pt idx="22">
                  <c:v>4124.0</c:v>
                </c:pt>
                <c:pt idx="23">
                  <c:v>2624.0</c:v>
                </c:pt>
                <c:pt idx="24">
                  <c:v>3538.0</c:v>
                </c:pt>
                <c:pt idx="25">
                  <c:v>5378.0</c:v>
                </c:pt>
                <c:pt idx="26">
                  <c:v>5054.0</c:v>
                </c:pt>
                <c:pt idx="27">
                  <c:v>13799.0</c:v>
                </c:pt>
                <c:pt idx="28">
                  <c:v>2750.0</c:v>
                </c:pt>
                <c:pt idx="29">
                  <c:v>2279.0</c:v>
                </c:pt>
                <c:pt idx="30">
                  <c:v>2685.0</c:v>
                </c:pt>
                <c:pt idx="31">
                  <c:v>3904.0</c:v>
                </c:pt>
                <c:pt idx="32">
                  <c:v>4831.0</c:v>
                </c:pt>
                <c:pt idx="33">
                  <c:v>7221.0</c:v>
                </c:pt>
                <c:pt idx="34">
                  <c:v>6047.0</c:v>
                </c:pt>
                <c:pt idx="35">
                  <c:v>1791.0</c:v>
                </c:pt>
              </c:numCache>
            </c:numRef>
          </c:val>
        </c:ser>
        <c:ser>
          <c:idx val="1"/>
          <c:order val="1"/>
          <c:tx>
            <c:strRef>
              <c:f>Sheet1!$EJ$1</c:f>
              <c:strCache>
                <c:ptCount val="1"/>
                <c:pt idx="0">
                  <c:v>Can speak, read and write welsh count</c:v>
                </c:pt>
              </c:strCache>
            </c:strRef>
          </c:tx>
          <c:spPr>
            <a:solidFill>
              <a:srgbClr val="FF0000"/>
            </a:solidFill>
            <a:ln>
              <a:noFill/>
            </a:ln>
            <a:effectLst/>
          </c:spPr>
          <c:invertIfNegative val="0"/>
          <c:cat>
            <c:strRef>
              <c:f>Sheet1!$EH$2:$EH$37</c:f>
              <c:strCache>
                <c:ptCount val="36"/>
                <c:pt idx="0">
                  <c:v>Mawr </c:v>
                </c:pt>
                <c:pt idx="1">
                  <c:v>Pontardullais </c:v>
                </c:pt>
                <c:pt idx="2">
                  <c:v>Clydach </c:v>
                </c:pt>
                <c:pt idx="3">
                  <c:v>Upper loughor </c:v>
                </c:pt>
                <c:pt idx="4">
                  <c:v>Kingsbridge </c:v>
                </c:pt>
                <c:pt idx="5">
                  <c:v>Penclawdd </c:v>
                </c:pt>
                <c:pt idx="6">
                  <c:v>Penrheol </c:v>
                </c:pt>
                <c:pt idx="7">
                  <c:v>Llangefelach</c:v>
                </c:pt>
                <c:pt idx="8">
                  <c:v>Lower Loughor</c:v>
                </c:pt>
                <c:pt idx="9">
                  <c:v>Penllegaer </c:v>
                </c:pt>
                <c:pt idx="10">
                  <c:v>Gorseinon</c:v>
                </c:pt>
                <c:pt idx="11">
                  <c:v>Gowerton</c:v>
                </c:pt>
                <c:pt idx="12">
                  <c:v>llansamlet </c:v>
                </c:pt>
                <c:pt idx="13">
                  <c:v>Morriston</c:v>
                </c:pt>
                <c:pt idx="14">
                  <c:v>Mayals</c:v>
                </c:pt>
                <c:pt idx="15">
                  <c:v>Fairwood </c:v>
                </c:pt>
                <c:pt idx="16">
                  <c:v>Oystermouth</c:v>
                </c:pt>
                <c:pt idx="17">
                  <c:v>Sketty</c:v>
                </c:pt>
                <c:pt idx="18">
                  <c:v>Gower</c:v>
                </c:pt>
                <c:pt idx="19">
                  <c:v>Mynyddbach</c:v>
                </c:pt>
                <c:pt idx="20">
                  <c:v>Cockett </c:v>
                </c:pt>
                <c:pt idx="21">
                  <c:v>Uplands </c:v>
                </c:pt>
                <c:pt idx="22">
                  <c:v>Pennard</c:v>
                </c:pt>
                <c:pt idx="23">
                  <c:v>Bishopston</c:v>
                </c:pt>
                <c:pt idx="24">
                  <c:v>Newton</c:v>
                </c:pt>
                <c:pt idx="25">
                  <c:v>Killay North</c:v>
                </c:pt>
                <c:pt idx="26">
                  <c:v>Bonymaen</c:v>
                </c:pt>
                <c:pt idx="27">
                  <c:v>Killay South</c:v>
                </c:pt>
                <c:pt idx="28">
                  <c:v>West Cross</c:v>
                </c:pt>
                <c:pt idx="29">
                  <c:v>Dunvant </c:v>
                </c:pt>
                <c:pt idx="30">
                  <c:v>Cwmbwrla</c:v>
                </c:pt>
                <c:pt idx="31">
                  <c:v>Castle </c:v>
                </c:pt>
                <c:pt idx="32">
                  <c:v>Penderry</c:v>
                </c:pt>
                <c:pt idx="33">
                  <c:v>St. Thomas</c:v>
                </c:pt>
                <c:pt idx="34">
                  <c:v>Landore </c:v>
                </c:pt>
                <c:pt idx="35">
                  <c:v>Townhill</c:v>
                </c:pt>
              </c:strCache>
            </c:strRef>
          </c:cat>
          <c:val>
            <c:numRef>
              <c:f>Sheet1!$EJ$2:$EJ$37</c:f>
              <c:numCache>
                <c:formatCode>General</c:formatCode>
                <c:ptCount val="36"/>
                <c:pt idx="0">
                  <c:v>300.0</c:v>
                </c:pt>
                <c:pt idx="1">
                  <c:v>266.0</c:v>
                </c:pt>
                <c:pt idx="2">
                  <c:v>101.0</c:v>
                </c:pt>
                <c:pt idx="3">
                  <c:v>369.0</c:v>
                </c:pt>
                <c:pt idx="4">
                  <c:v>336.0</c:v>
                </c:pt>
                <c:pt idx="5">
                  <c:v>213.0</c:v>
                </c:pt>
                <c:pt idx="6">
                  <c:v>577.0</c:v>
                </c:pt>
                <c:pt idx="7">
                  <c:v>819.0</c:v>
                </c:pt>
                <c:pt idx="8">
                  <c:v>350.0</c:v>
                </c:pt>
                <c:pt idx="9">
                  <c:v>189.0</c:v>
                </c:pt>
                <c:pt idx="10">
                  <c:v>401.0</c:v>
                </c:pt>
                <c:pt idx="11">
                  <c:v>175.0</c:v>
                </c:pt>
                <c:pt idx="12">
                  <c:v>242.0</c:v>
                </c:pt>
                <c:pt idx="13">
                  <c:v>891.0</c:v>
                </c:pt>
                <c:pt idx="14">
                  <c:v>611.0</c:v>
                </c:pt>
                <c:pt idx="15">
                  <c:v>232.0</c:v>
                </c:pt>
                <c:pt idx="16">
                  <c:v>294.0</c:v>
                </c:pt>
                <c:pt idx="17">
                  <c:v>210.0</c:v>
                </c:pt>
                <c:pt idx="18">
                  <c:v>253.0</c:v>
                </c:pt>
                <c:pt idx="19">
                  <c:v>1132.0</c:v>
                </c:pt>
                <c:pt idx="20">
                  <c:v>1339.0</c:v>
                </c:pt>
                <c:pt idx="21">
                  <c:v>1264.0</c:v>
                </c:pt>
                <c:pt idx="22">
                  <c:v>341.0</c:v>
                </c:pt>
                <c:pt idx="23">
                  <c:v>229.0</c:v>
                </c:pt>
                <c:pt idx="24">
                  <c:v>311.0</c:v>
                </c:pt>
                <c:pt idx="25">
                  <c:v>488.0</c:v>
                </c:pt>
                <c:pt idx="26">
                  <c:v>482.0</c:v>
                </c:pt>
                <c:pt idx="27">
                  <c:v>1367.0</c:v>
                </c:pt>
                <c:pt idx="28">
                  <c:v>280.0</c:v>
                </c:pt>
                <c:pt idx="29">
                  <c:v>245.0</c:v>
                </c:pt>
                <c:pt idx="30">
                  <c:v>304.0</c:v>
                </c:pt>
                <c:pt idx="31">
                  <c:v>474.0</c:v>
                </c:pt>
                <c:pt idx="32">
                  <c:v>629.0</c:v>
                </c:pt>
                <c:pt idx="33">
                  <c:v>1034.0</c:v>
                </c:pt>
                <c:pt idx="34">
                  <c:v>1361.0</c:v>
                </c:pt>
                <c:pt idx="35">
                  <c:v>525.0</c:v>
                </c:pt>
              </c:numCache>
            </c:numRef>
          </c:val>
        </c:ser>
        <c:dLbls>
          <c:showLegendKey val="0"/>
          <c:showVal val="0"/>
          <c:showCatName val="0"/>
          <c:showSerName val="0"/>
          <c:showPercent val="0"/>
          <c:showBubbleSize val="0"/>
        </c:dLbls>
        <c:gapWidth val="219"/>
        <c:overlap val="-27"/>
        <c:axId val="1394191696"/>
        <c:axId val="1394195088"/>
      </c:barChart>
      <c:catAx>
        <c:axId val="13941916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Swansea</a:t>
                </a:r>
                <a:r>
                  <a:rPr lang="en-US" baseline="0"/>
                  <a:t> Wards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195088"/>
        <c:crosses val="autoZero"/>
        <c:auto val="1"/>
        <c:lblAlgn val="ctr"/>
        <c:lblOffset val="100"/>
        <c:noMultiLvlLbl val="0"/>
      </c:catAx>
      <c:valAx>
        <c:axId val="13941950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Resident</a:t>
                </a:r>
                <a:r>
                  <a:rPr lang="en-US" baseline="0"/>
                  <a:t> Count</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41916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Percentage</a:t>
            </a:r>
            <a:r>
              <a:rPr lang="en-US" baseline="0"/>
              <a:t> of welsh speakers in Wales and Swansea from 2001 - 2013</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strRef>
              <c:f>Sheet1!$DX$2</c:f>
              <c:strCache>
                <c:ptCount val="1"/>
                <c:pt idx="0">
                  <c:v>Wales</c:v>
                </c:pt>
              </c:strCache>
            </c:strRef>
          </c:tx>
          <c:spPr>
            <a:ln w="19050" cap="rnd">
              <a:solidFill>
                <a:srgbClr val="23E5ED"/>
              </a:solidFill>
              <a:round/>
            </a:ln>
            <a:effectLst/>
          </c:spPr>
          <c:marker>
            <c:symbol val="circle"/>
            <c:size val="5"/>
            <c:spPr>
              <a:solidFill>
                <a:schemeClr val="accent1"/>
              </a:solidFill>
              <a:ln w="9525">
                <a:solidFill>
                  <a:schemeClr val="accent1"/>
                </a:solidFill>
              </a:ln>
              <a:effectLst/>
            </c:spPr>
          </c:marker>
          <c:xVal>
            <c:numRef>
              <c:f>Sheet1!$DW$3:$DW$15</c:f>
              <c:numCache>
                <c:formatCode>General</c:formatCode>
                <c:ptCount val="13"/>
                <c:pt idx="0">
                  <c:v>2001.0</c:v>
                </c:pt>
                <c:pt idx="1">
                  <c:v>2002.0</c:v>
                </c:pt>
                <c:pt idx="2">
                  <c:v>2003.0</c:v>
                </c:pt>
                <c:pt idx="3">
                  <c:v>2004.0</c:v>
                </c:pt>
                <c:pt idx="4">
                  <c:v>2005.0</c:v>
                </c:pt>
                <c:pt idx="5">
                  <c:v>2006.0</c:v>
                </c:pt>
                <c:pt idx="6">
                  <c:v>2007.0</c:v>
                </c:pt>
                <c:pt idx="7">
                  <c:v>2008.0</c:v>
                </c:pt>
                <c:pt idx="8">
                  <c:v>2009.0</c:v>
                </c:pt>
                <c:pt idx="9">
                  <c:v>2010.0</c:v>
                </c:pt>
                <c:pt idx="10">
                  <c:v>2011.0</c:v>
                </c:pt>
                <c:pt idx="11">
                  <c:v>2012.0</c:v>
                </c:pt>
                <c:pt idx="12">
                  <c:v>2013.0</c:v>
                </c:pt>
              </c:numCache>
            </c:numRef>
          </c:xVal>
          <c:yVal>
            <c:numRef>
              <c:f>Sheet1!$DX$3:$DX$15</c:f>
              <c:numCache>
                <c:formatCode>General</c:formatCode>
                <c:ptCount val="13"/>
                <c:pt idx="0">
                  <c:v>30.0</c:v>
                </c:pt>
                <c:pt idx="1">
                  <c:v>29.0</c:v>
                </c:pt>
                <c:pt idx="2">
                  <c:v>28.0</c:v>
                </c:pt>
                <c:pt idx="3">
                  <c:v>27.0</c:v>
                </c:pt>
                <c:pt idx="4">
                  <c:v>26.0</c:v>
                </c:pt>
                <c:pt idx="5">
                  <c:v>26.0</c:v>
                </c:pt>
                <c:pt idx="6">
                  <c:v>25.0</c:v>
                </c:pt>
                <c:pt idx="7">
                  <c:v>25.5</c:v>
                </c:pt>
                <c:pt idx="8">
                  <c:v>25.2</c:v>
                </c:pt>
                <c:pt idx="9">
                  <c:v>25.2</c:v>
                </c:pt>
                <c:pt idx="10">
                  <c:v>26.0</c:v>
                </c:pt>
                <c:pt idx="11">
                  <c:v>25.9</c:v>
                </c:pt>
                <c:pt idx="12">
                  <c:v>26.9</c:v>
                </c:pt>
              </c:numCache>
            </c:numRef>
          </c:yVal>
          <c:smooth val="0"/>
        </c:ser>
        <c:ser>
          <c:idx val="1"/>
          <c:order val="1"/>
          <c:tx>
            <c:strRef>
              <c:f>Sheet1!$DY$2</c:f>
              <c:strCache>
                <c:ptCount val="1"/>
                <c:pt idx="0">
                  <c:v>Swansea</c:v>
                </c:pt>
              </c:strCache>
            </c:strRef>
          </c:tx>
          <c:spPr>
            <a:ln w="19050" cap="rnd">
              <a:solidFill>
                <a:srgbClr val="FF0000"/>
              </a:solidFill>
              <a:round/>
            </a:ln>
            <a:effectLst/>
          </c:spPr>
          <c:marker>
            <c:symbol val="circle"/>
            <c:size val="5"/>
            <c:spPr>
              <a:solidFill>
                <a:schemeClr val="accent2"/>
              </a:solidFill>
              <a:ln w="9525">
                <a:solidFill>
                  <a:schemeClr val="accent2"/>
                </a:solidFill>
              </a:ln>
              <a:effectLst/>
            </c:spPr>
          </c:marker>
          <c:xVal>
            <c:numRef>
              <c:f>Sheet1!$DW$3:$DW$15</c:f>
              <c:numCache>
                <c:formatCode>General</c:formatCode>
                <c:ptCount val="13"/>
                <c:pt idx="0">
                  <c:v>2001.0</c:v>
                </c:pt>
                <c:pt idx="1">
                  <c:v>2002.0</c:v>
                </c:pt>
                <c:pt idx="2">
                  <c:v>2003.0</c:v>
                </c:pt>
                <c:pt idx="3">
                  <c:v>2004.0</c:v>
                </c:pt>
                <c:pt idx="4">
                  <c:v>2005.0</c:v>
                </c:pt>
                <c:pt idx="5">
                  <c:v>2006.0</c:v>
                </c:pt>
                <c:pt idx="6">
                  <c:v>2007.0</c:v>
                </c:pt>
                <c:pt idx="7">
                  <c:v>2008.0</c:v>
                </c:pt>
                <c:pt idx="8">
                  <c:v>2009.0</c:v>
                </c:pt>
                <c:pt idx="9">
                  <c:v>2010.0</c:v>
                </c:pt>
                <c:pt idx="10">
                  <c:v>2011.0</c:v>
                </c:pt>
                <c:pt idx="11">
                  <c:v>2012.0</c:v>
                </c:pt>
                <c:pt idx="12">
                  <c:v>2013.0</c:v>
                </c:pt>
              </c:numCache>
            </c:numRef>
          </c:xVal>
          <c:yVal>
            <c:numRef>
              <c:f>Sheet1!$DY$3:$DY$15</c:f>
              <c:numCache>
                <c:formatCode>General</c:formatCode>
                <c:ptCount val="13"/>
                <c:pt idx="0">
                  <c:v>20.0</c:v>
                </c:pt>
                <c:pt idx="1">
                  <c:v>18.0</c:v>
                </c:pt>
                <c:pt idx="2">
                  <c:v>17.0</c:v>
                </c:pt>
                <c:pt idx="3">
                  <c:v>16.0</c:v>
                </c:pt>
                <c:pt idx="4">
                  <c:v>14.0</c:v>
                </c:pt>
                <c:pt idx="5">
                  <c:v>14.9</c:v>
                </c:pt>
                <c:pt idx="6">
                  <c:v>14.0</c:v>
                </c:pt>
                <c:pt idx="7">
                  <c:v>15.9</c:v>
                </c:pt>
                <c:pt idx="8">
                  <c:v>16.0</c:v>
                </c:pt>
                <c:pt idx="9">
                  <c:v>17.0</c:v>
                </c:pt>
                <c:pt idx="10">
                  <c:v>16.0</c:v>
                </c:pt>
                <c:pt idx="11">
                  <c:v>15.2</c:v>
                </c:pt>
                <c:pt idx="12">
                  <c:v>15.3</c:v>
                </c:pt>
              </c:numCache>
            </c:numRef>
          </c:yVal>
          <c:smooth val="0"/>
        </c:ser>
        <c:dLbls>
          <c:showLegendKey val="0"/>
          <c:showVal val="0"/>
          <c:showCatName val="0"/>
          <c:showSerName val="0"/>
          <c:showPercent val="0"/>
          <c:showBubbleSize val="0"/>
        </c:dLbls>
        <c:axId val="1393928352"/>
        <c:axId val="1393920016"/>
      </c:scatterChart>
      <c:valAx>
        <c:axId val="13939283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3920016"/>
        <c:crosses val="autoZero"/>
        <c:crossBetween val="midCat"/>
      </c:valAx>
      <c:valAx>
        <c:axId val="1393920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a:t>
                </a:r>
                <a:r>
                  <a:rPr lang="en-US" baseline="0"/>
                  <a:t> %</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392835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a:t>
            </a:r>
            <a:r>
              <a:rPr lang="en-US" baseline="0"/>
              <a:t> showing rough sleepers in Swansea per day (Monthly Mean)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spPr>
            <a:ln w="28575" cap="rnd">
              <a:solidFill>
                <a:srgbClr val="23E5ED"/>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rgbClr val="FF0000"/>
                </a:solidFill>
                <a:prstDash val="sysDot"/>
              </a:ln>
              <a:effectLst/>
            </c:spPr>
            <c:trendlineType val="linear"/>
            <c:dispRSqr val="0"/>
            <c:dispEq val="0"/>
          </c:trendline>
          <c:cat>
            <c:numRef>
              <c:f>Sheet1!$ES$2:$ES$52</c:f>
              <c:numCache>
                <c:formatCode>mmm\-yy</c:formatCode>
                <c:ptCount val="51"/>
                <c:pt idx="0">
                  <c:v>41548.0</c:v>
                </c:pt>
                <c:pt idx="1">
                  <c:v>41579.0</c:v>
                </c:pt>
                <c:pt idx="2">
                  <c:v>41609.0</c:v>
                </c:pt>
                <c:pt idx="3">
                  <c:v>41640.0</c:v>
                </c:pt>
                <c:pt idx="4">
                  <c:v>41671.0</c:v>
                </c:pt>
                <c:pt idx="5">
                  <c:v>41699.0</c:v>
                </c:pt>
                <c:pt idx="6">
                  <c:v>41730.0</c:v>
                </c:pt>
                <c:pt idx="7">
                  <c:v>41760.0</c:v>
                </c:pt>
                <c:pt idx="8">
                  <c:v>41791.0</c:v>
                </c:pt>
                <c:pt idx="9">
                  <c:v>41821.0</c:v>
                </c:pt>
                <c:pt idx="10">
                  <c:v>41852.0</c:v>
                </c:pt>
                <c:pt idx="11">
                  <c:v>41883.0</c:v>
                </c:pt>
                <c:pt idx="12">
                  <c:v>41913.0</c:v>
                </c:pt>
                <c:pt idx="13">
                  <c:v>41944.0</c:v>
                </c:pt>
                <c:pt idx="14">
                  <c:v>41974.0</c:v>
                </c:pt>
                <c:pt idx="15">
                  <c:v>42005.0</c:v>
                </c:pt>
                <c:pt idx="16">
                  <c:v>42036.0</c:v>
                </c:pt>
                <c:pt idx="17">
                  <c:v>42064.0</c:v>
                </c:pt>
                <c:pt idx="18">
                  <c:v>42095.0</c:v>
                </c:pt>
                <c:pt idx="19">
                  <c:v>42125.0</c:v>
                </c:pt>
                <c:pt idx="20">
                  <c:v>42156.0</c:v>
                </c:pt>
                <c:pt idx="21">
                  <c:v>42186.0</c:v>
                </c:pt>
                <c:pt idx="22">
                  <c:v>42217.0</c:v>
                </c:pt>
                <c:pt idx="23">
                  <c:v>42248.0</c:v>
                </c:pt>
                <c:pt idx="24">
                  <c:v>42278.0</c:v>
                </c:pt>
                <c:pt idx="25">
                  <c:v>42309.0</c:v>
                </c:pt>
                <c:pt idx="26">
                  <c:v>42339.0</c:v>
                </c:pt>
                <c:pt idx="27">
                  <c:v>42370.0</c:v>
                </c:pt>
                <c:pt idx="28">
                  <c:v>42401.0</c:v>
                </c:pt>
                <c:pt idx="29">
                  <c:v>42430.0</c:v>
                </c:pt>
                <c:pt idx="30">
                  <c:v>42461.0</c:v>
                </c:pt>
                <c:pt idx="31">
                  <c:v>42491.0</c:v>
                </c:pt>
                <c:pt idx="32">
                  <c:v>42522.0</c:v>
                </c:pt>
                <c:pt idx="33">
                  <c:v>42552.0</c:v>
                </c:pt>
                <c:pt idx="34">
                  <c:v>42583.0</c:v>
                </c:pt>
                <c:pt idx="35">
                  <c:v>42614.0</c:v>
                </c:pt>
                <c:pt idx="36">
                  <c:v>42644.0</c:v>
                </c:pt>
                <c:pt idx="37">
                  <c:v>42675.0</c:v>
                </c:pt>
                <c:pt idx="38">
                  <c:v>42705.0</c:v>
                </c:pt>
                <c:pt idx="39">
                  <c:v>42736.0</c:v>
                </c:pt>
                <c:pt idx="40">
                  <c:v>42767.0</c:v>
                </c:pt>
                <c:pt idx="41">
                  <c:v>42795.0</c:v>
                </c:pt>
                <c:pt idx="42">
                  <c:v>42826.0</c:v>
                </c:pt>
                <c:pt idx="43">
                  <c:v>42856.0</c:v>
                </c:pt>
                <c:pt idx="44">
                  <c:v>42887.0</c:v>
                </c:pt>
                <c:pt idx="45">
                  <c:v>42917.0</c:v>
                </c:pt>
                <c:pt idx="46">
                  <c:v>42948.0</c:v>
                </c:pt>
                <c:pt idx="47">
                  <c:v>42979.0</c:v>
                </c:pt>
                <c:pt idx="48">
                  <c:v>43009.0</c:v>
                </c:pt>
                <c:pt idx="49">
                  <c:v>43040.0</c:v>
                </c:pt>
                <c:pt idx="50">
                  <c:v>43070.0</c:v>
                </c:pt>
              </c:numCache>
            </c:numRef>
          </c:cat>
          <c:val>
            <c:numRef>
              <c:f>Sheet1!$ET$2:$ET$52</c:f>
              <c:numCache>
                <c:formatCode>General</c:formatCode>
                <c:ptCount val="51"/>
                <c:pt idx="0">
                  <c:v>10.0</c:v>
                </c:pt>
                <c:pt idx="1">
                  <c:v>10.0</c:v>
                </c:pt>
                <c:pt idx="2">
                  <c:v>10.0</c:v>
                </c:pt>
                <c:pt idx="3">
                  <c:v>14.0</c:v>
                </c:pt>
                <c:pt idx="4">
                  <c:v>11.0</c:v>
                </c:pt>
                <c:pt idx="5">
                  <c:v>14.0</c:v>
                </c:pt>
                <c:pt idx="6">
                  <c:v>9.0</c:v>
                </c:pt>
                <c:pt idx="7">
                  <c:v>9.0</c:v>
                </c:pt>
                <c:pt idx="8">
                  <c:v>11.0</c:v>
                </c:pt>
                <c:pt idx="9">
                  <c:v>14.0</c:v>
                </c:pt>
                <c:pt idx="10">
                  <c:v>11.0</c:v>
                </c:pt>
                <c:pt idx="11">
                  <c:v>11.0</c:v>
                </c:pt>
                <c:pt idx="12">
                  <c:v>9.0</c:v>
                </c:pt>
                <c:pt idx="13">
                  <c:v>10.0</c:v>
                </c:pt>
                <c:pt idx="14">
                  <c:v>7.0</c:v>
                </c:pt>
                <c:pt idx="15">
                  <c:v>17.0</c:v>
                </c:pt>
                <c:pt idx="16">
                  <c:v>10.0</c:v>
                </c:pt>
                <c:pt idx="17">
                  <c:v>13.0</c:v>
                </c:pt>
                <c:pt idx="18">
                  <c:v>12.0</c:v>
                </c:pt>
                <c:pt idx="19">
                  <c:v>10.0</c:v>
                </c:pt>
                <c:pt idx="20">
                  <c:v>13.0</c:v>
                </c:pt>
                <c:pt idx="21">
                  <c:v>13.0</c:v>
                </c:pt>
                <c:pt idx="22">
                  <c:v>13.0</c:v>
                </c:pt>
                <c:pt idx="23">
                  <c:v>15.0</c:v>
                </c:pt>
                <c:pt idx="24">
                  <c:v>14.0</c:v>
                </c:pt>
                <c:pt idx="25">
                  <c:v>9.0</c:v>
                </c:pt>
                <c:pt idx="26">
                  <c:v>9.0</c:v>
                </c:pt>
                <c:pt idx="27">
                  <c:v>11.0</c:v>
                </c:pt>
                <c:pt idx="28">
                  <c:v>10.0</c:v>
                </c:pt>
                <c:pt idx="29">
                  <c:v>11.0</c:v>
                </c:pt>
                <c:pt idx="30">
                  <c:v>13.0</c:v>
                </c:pt>
                <c:pt idx="31">
                  <c:v>16.0</c:v>
                </c:pt>
                <c:pt idx="32">
                  <c:v>13.0</c:v>
                </c:pt>
                <c:pt idx="33">
                  <c:v>13.0</c:v>
                </c:pt>
                <c:pt idx="34">
                  <c:v>9.0</c:v>
                </c:pt>
                <c:pt idx="35">
                  <c:v>12.0</c:v>
                </c:pt>
                <c:pt idx="36">
                  <c:v>15.0</c:v>
                </c:pt>
                <c:pt idx="37">
                  <c:v>14.0</c:v>
                </c:pt>
                <c:pt idx="38">
                  <c:v>13.0</c:v>
                </c:pt>
                <c:pt idx="39">
                  <c:v>18.0</c:v>
                </c:pt>
                <c:pt idx="40">
                  <c:v>16.0</c:v>
                </c:pt>
                <c:pt idx="41">
                  <c:v>20.0</c:v>
                </c:pt>
                <c:pt idx="42">
                  <c:v>16.0</c:v>
                </c:pt>
                <c:pt idx="43">
                  <c:v>17.0</c:v>
                </c:pt>
                <c:pt idx="44">
                  <c:v>19.0</c:v>
                </c:pt>
                <c:pt idx="45">
                  <c:v>20.0</c:v>
                </c:pt>
                <c:pt idx="46">
                  <c:v>23.0</c:v>
                </c:pt>
                <c:pt idx="47">
                  <c:v>23.0</c:v>
                </c:pt>
                <c:pt idx="48">
                  <c:v>20.0</c:v>
                </c:pt>
                <c:pt idx="49">
                  <c:v>24.0</c:v>
                </c:pt>
                <c:pt idx="50">
                  <c:v>15.0</c:v>
                </c:pt>
              </c:numCache>
            </c:numRef>
          </c:val>
          <c:smooth val="0"/>
        </c:ser>
        <c:dLbls>
          <c:showLegendKey val="0"/>
          <c:showVal val="0"/>
          <c:showCatName val="0"/>
          <c:showSerName val="0"/>
          <c:showPercent val="0"/>
          <c:showBubbleSize val="0"/>
        </c:dLbls>
        <c:smooth val="0"/>
        <c:axId val="1393737600"/>
        <c:axId val="1393740992"/>
      </c:lineChart>
      <c:dateAx>
        <c:axId val="13937376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Calender</a:t>
                </a:r>
                <a:r>
                  <a:rPr lang="en-US" baseline="0"/>
                  <a:t> Month</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mmm\-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3740992"/>
        <c:crosses val="autoZero"/>
        <c:auto val="1"/>
        <c:lblOffset val="100"/>
        <c:baseTimeUnit val="months"/>
      </c:dateAx>
      <c:valAx>
        <c:axId val="1393740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Mean</a:t>
                </a:r>
                <a:r>
                  <a:rPr lang="en-US" baseline="0"/>
                  <a:t> daily rough sleeprs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37376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Estimated</a:t>
            </a:r>
            <a:r>
              <a:rPr lang="en-US" baseline="0"/>
              <a:t> number of rough sleepers in 2016-17 in each region in Wales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202BCC"/>
              </a:solidFill>
              <a:ln>
                <a:noFill/>
              </a:ln>
              <a:effectLst/>
            </c:spPr>
          </c:dPt>
          <c:dPt>
            <c:idx val="1"/>
            <c:invertIfNegative val="0"/>
            <c:bubble3D val="0"/>
            <c:spPr>
              <a:solidFill>
                <a:srgbClr val="FF0000"/>
              </a:solidFill>
              <a:ln>
                <a:noFill/>
              </a:ln>
              <a:effectLst/>
            </c:spPr>
          </c:dPt>
          <c:dPt>
            <c:idx val="2"/>
            <c:invertIfNegative val="0"/>
            <c:bubble3D val="0"/>
            <c:spPr>
              <a:solidFill>
                <a:schemeClr val="accent6"/>
              </a:solidFill>
              <a:ln>
                <a:noFill/>
              </a:ln>
              <a:effectLst/>
            </c:spPr>
          </c:dPt>
          <c:dPt>
            <c:idx val="3"/>
            <c:invertIfNegative val="0"/>
            <c:bubble3D val="0"/>
            <c:spPr>
              <a:solidFill>
                <a:srgbClr val="23E5ED"/>
              </a:solidFill>
              <a:ln>
                <a:noFill/>
              </a:ln>
              <a:effectLst/>
            </c:spPr>
          </c:dPt>
          <c:dPt>
            <c:idx val="4"/>
            <c:invertIfNegative val="0"/>
            <c:bubble3D val="0"/>
            <c:spPr>
              <a:solidFill>
                <a:srgbClr val="FF09EE"/>
              </a:solidFill>
              <a:ln>
                <a:noFill/>
              </a:ln>
              <a:effectLst/>
            </c:spPr>
          </c:dPt>
          <c:dPt>
            <c:idx val="5"/>
            <c:invertIfNegative val="0"/>
            <c:bubble3D val="0"/>
            <c:spPr>
              <a:solidFill>
                <a:srgbClr val="7030A0"/>
              </a:solidFill>
              <a:ln>
                <a:noFill/>
              </a:ln>
              <a:effectLst/>
            </c:spPr>
          </c:dPt>
          <c:dPt>
            <c:idx val="6"/>
            <c:invertIfNegative val="0"/>
            <c:bubble3D val="0"/>
            <c:spPr>
              <a:solidFill>
                <a:schemeClr val="accent4"/>
              </a:solidFill>
              <a:ln>
                <a:noFill/>
              </a:ln>
              <a:effectLst/>
            </c:spPr>
          </c:dPt>
          <c:dPt>
            <c:idx val="7"/>
            <c:invertIfNegative val="0"/>
            <c:bubble3D val="0"/>
            <c:spPr>
              <a:solidFill>
                <a:srgbClr val="C00000"/>
              </a:solidFill>
              <a:ln>
                <a:noFill/>
              </a:ln>
              <a:effectLst/>
            </c:spPr>
          </c:dPt>
          <c:dPt>
            <c:idx val="8"/>
            <c:invertIfNegative val="0"/>
            <c:bubble3D val="0"/>
            <c:spPr>
              <a:solidFill>
                <a:srgbClr val="FFFF00"/>
              </a:solidFill>
              <a:ln>
                <a:noFill/>
              </a:ln>
              <a:effectLst/>
            </c:spPr>
          </c:dPt>
          <c:dPt>
            <c:idx val="9"/>
            <c:invertIfNegative val="0"/>
            <c:bubble3D val="0"/>
            <c:spPr>
              <a:solidFill>
                <a:srgbClr val="92D050"/>
              </a:solidFill>
              <a:ln>
                <a:noFill/>
              </a:ln>
              <a:effectLst/>
            </c:spPr>
          </c:dPt>
          <c:dPt>
            <c:idx val="10"/>
            <c:invertIfNegative val="0"/>
            <c:bubble3D val="0"/>
            <c:spPr>
              <a:solidFill>
                <a:schemeClr val="tx1"/>
              </a:solidFill>
              <a:ln>
                <a:noFill/>
              </a:ln>
              <a:effectLst/>
            </c:spPr>
          </c:dPt>
          <c:dPt>
            <c:idx val="11"/>
            <c:invertIfNegative val="0"/>
            <c:bubble3D val="0"/>
            <c:spPr>
              <a:solidFill>
                <a:srgbClr val="FF09EE"/>
              </a:solidFill>
              <a:ln>
                <a:noFill/>
              </a:ln>
              <a:effectLst/>
            </c:spPr>
          </c:dPt>
          <c:dPt>
            <c:idx val="12"/>
            <c:invertIfNegative val="0"/>
            <c:bubble3D val="0"/>
            <c:spPr>
              <a:solidFill>
                <a:srgbClr val="00B0F0"/>
              </a:solidFill>
              <a:ln>
                <a:noFill/>
              </a:ln>
              <a:effectLst/>
            </c:spPr>
          </c:dPt>
          <c:dPt>
            <c:idx val="13"/>
            <c:invertIfNegative val="0"/>
            <c:bubble3D val="0"/>
            <c:spPr>
              <a:solidFill>
                <a:srgbClr val="FF0000"/>
              </a:solidFill>
              <a:ln>
                <a:noFill/>
              </a:ln>
              <a:effectLst/>
            </c:spPr>
          </c:dPt>
          <c:dPt>
            <c:idx val="14"/>
            <c:invertIfNegative val="0"/>
            <c:bubble3D val="0"/>
            <c:spPr>
              <a:solidFill>
                <a:srgbClr val="23E5ED"/>
              </a:solidFill>
              <a:ln>
                <a:no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GB"/>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Sheet1!$FN$2:$FN$23</c:f>
              <c:strCache>
                <c:ptCount val="22"/>
                <c:pt idx="0">
                  <c:v>Cardiff</c:v>
                </c:pt>
                <c:pt idx="1">
                  <c:v>Wrexham</c:v>
                </c:pt>
                <c:pt idx="2">
                  <c:v>Caerphilly</c:v>
                </c:pt>
                <c:pt idx="3">
                  <c:v>Gwynedd</c:v>
                </c:pt>
                <c:pt idx="4">
                  <c:v>Swansea</c:v>
                </c:pt>
                <c:pt idx="5">
                  <c:v>Newport</c:v>
                </c:pt>
                <c:pt idx="6">
                  <c:v>Merthyr Tydfil</c:v>
                </c:pt>
                <c:pt idx="7">
                  <c:v>Conwy</c:v>
                </c:pt>
                <c:pt idx="8">
                  <c:v>Bridgend</c:v>
                </c:pt>
                <c:pt idx="9">
                  <c:v>Ceredigion</c:v>
                </c:pt>
                <c:pt idx="10">
                  <c:v>Neath Port Talbot</c:v>
                </c:pt>
                <c:pt idx="11">
                  <c:v>Rhondda Cynon Taf</c:v>
                </c:pt>
                <c:pt idx="12">
                  <c:v>Denbighshire</c:v>
                </c:pt>
                <c:pt idx="13">
                  <c:v>Flintshire</c:v>
                </c:pt>
                <c:pt idx="14">
                  <c:v>Pembrokeshire</c:v>
                </c:pt>
                <c:pt idx="15">
                  <c:v>Carmarthenshire</c:v>
                </c:pt>
                <c:pt idx="16">
                  <c:v>Vale of Glamorgan</c:v>
                </c:pt>
                <c:pt idx="17">
                  <c:v>Isle of Angelsey</c:v>
                </c:pt>
                <c:pt idx="18">
                  <c:v>Monmouthshire</c:v>
                </c:pt>
                <c:pt idx="19">
                  <c:v>Powys</c:v>
                </c:pt>
                <c:pt idx="20">
                  <c:v>Blaenau Gwent</c:v>
                </c:pt>
                <c:pt idx="21">
                  <c:v>Torfaen</c:v>
                </c:pt>
              </c:strCache>
            </c:strRef>
          </c:cat>
          <c:val>
            <c:numRef>
              <c:f>Sheet1!$FO$2:$FO$23</c:f>
              <c:numCache>
                <c:formatCode>General</c:formatCode>
                <c:ptCount val="22"/>
                <c:pt idx="0">
                  <c:v>85.0</c:v>
                </c:pt>
                <c:pt idx="1">
                  <c:v>61.0</c:v>
                </c:pt>
                <c:pt idx="2">
                  <c:v>27.0</c:v>
                </c:pt>
                <c:pt idx="3">
                  <c:v>25.0</c:v>
                </c:pt>
                <c:pt idx="4">
                  <c:v>23.0</c:v>
                </c:pt>
                <c:pt idx="5">
                  <c:v>17.0</c:v>
                </c:pt>
                <c:pt idx="6">
                  <c:v>15.0</c:v>
                </c:pt>
                <c:pt idx="7">
                  <c:v>14.0</c:v>
                </c:pt>
                <c:pt idx="8">
                  <c:v>10.0</c:v>
                </c:pt>
                <c:pt idx="9">
                  <c:v>6.0</c:v>
                </c:pt>
                <c:pt idx="10">
                  <c:v>6.0</c:v>
                </c:pt>
                <c:pt idx="11">
                  <c:v>6.0</c:v>
                </c:pt>
                <c:pt idx="12">
                  <c:v>5.0</c:v>
                </c:pt>
                <c:pt idx="13">
                  <c:v>3.0</c:v>
                </c:pt>
                <c:pt idx="14">
                  <c:v>3.0</c:v>
                </c:pt>
                <c:pt idx="15">
                  <c:v>3.0</c:v>
                </c:pt>
                <c:pt idx="16">
                  <c:v>2.0</c:v>
                </c:pt>
                <c:pt idx="17">
                  <c:v>1.0</c:v>
                </c:pt>
                <c:pt idx="18">
                  <c:v>1.0</c:v>
                </c:pt>
                <c:pt idx="19">
                  <c:v>0.0</c:v>
                </c:pt>
                <c:pt idx="20">
                  <c:v>0.0</c:v>
                </c:pt>
                <c:pt idx="21">
                  <c:v>0.0</c:v>
                </c:pt>
              </c:numCache>
            </c:numRef>
          </c:val>
        </c:ser>
        <c:dLbls>
          <c:dLblPos val="outEnd"/>
          <c:showLegendKey val="0"/>
          <c:showVal val="1"/>
          <c:showCatName val="0"/>
          <c:showSerName val="0"/>
          <c:showPercent val="0"/>
          <c:showBubbleSize val="0"/>
        </c:dLbls>
        <c:gapWidth val="219"/>
        <c:overlap val="-27"/>
        <c:axId val="1393774944"/>
        <c:axId val="1393778336"/>
      </c:barChart>
      <c:catAx>
        <c:axId val="13937749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Wales</a:t>
                </a:r>
                <a:r>
                  <a:rPr lang="en-US" baseline="0"/>
                  <a:t> Regions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3778336"/>
        <c:crosses val="autoZero"/>
        <c:auto val="1"/>
        <c:lblAlgn val="ctr"/>
        <c:lblOffset val="100"/>
        <c:noMultiLvlLbl val="0"/>
      </c:catAx>
      <c:valAx>
        <c:axId val="1393778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Estimated</a:t>
                </a:r>
                <a:r>
                  <a:rPr lang="en-US" baseline="0"/>
                  <a:t> number of rough sleepers </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37749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a:t>
            </a:r>
            <a:r>
              <a:rPr lang="en-US" baseline="0"/>
              <a:t> showing newly homeless household by local authortity in 2011</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dPt>
            <c:idx val="1"/>
            <c:invertIfNegative val="0"/>
            <c:bubble3D val="0"/>
            <c:spPr>
              <a:solidFill>
                <a:schemeClr val="tx1"/>
              </a:solidFill>
              <a:ln>
                <a:noFill/>
              </a:ln>
              <a:effectLst/>
            </c:spPr>
          </c:dPt>
          <c:dPt>
            <c:idx val="2"/>
            <c:invertIfNegative val="0"/>
            <c:bubble3D val="0"/>
            <c:spPr>
              <a:solidFill>
                <a:schemeClr val="bg2">
                  <a:lumMod val="75000"/>
                </a:schemeClr>
              </a:solidFill>
              <a:ln>
                <a:noFill/>
              </a:ln>
              <a:effectLst/>
            </c:spPr>
          </c:dPt>
          <c:dPt>
            <c:idx val="3"/>
            <c:invertIfNegative val="0"/>
            <c:bubble3D val="0"/>
            <c:spPr>
              <a:solidFill>
                <a:schemeClr val="accent2"/>
              </a:solidFill>
              <a:ln>
                <a:noFill/>
              </a:ln>
              <a:effectLst/>
            </c:spPr>
          </c:dPt>
          <c:dPt>
            <c:idx val="4"/>
            <c:invertIfNegative val="0"/>
            <c:bubble3D val="0"/>
            <c:spPr>
              <a:solidFill>
                <a:schemeClr val="accent4"/>
              </a:solidFill>
              <a:ln>
                <a:noFill/>
              </a:ln>
              <a:effectLst/>
            </c:spPr>
          </c:dPt>
          <c:dPt>
            <c:idx val="5"/>
            <c:invertIfNegative val="0"/>
            <c:bubble3D val="0"/>
            <c:spPr>
              <a:solidFill>
                <a:schemeClr val="accent6"/>
              </a:solidFill>
              <a:ln>
                <a:noFill/>
              </a:ln>
              <a:effectLst/>
            </c:spPr>
          </c:dPt>
          <c:dPt>
            <c:idx val="6"/>
            <c:invertIfNegative val="0"/>
            <c:bubble3D val="0"/>
            <c:spPr>
              <a:solidFill>
                <a:srgbClr val="23E5ED"/>
              </a:solidFill>
              <a:ln>
                <a:noFill/>
              </a:ln>
              <a:effectLst/>
            </c:spPr>
          </c:dPt>
          <c:dPt>
            <c:idx val="7"/>
            <c:invertIfNegative val="0"/>
            <c:bubble3D val="0"/>
            <c:spPr>
              <a:solidFill>
                <a:srgbClr val="FF0000"/>
              </a:solidFill>
              <a:ln>
                <a:noFill/>
              </a:ln>
              <a:effectLst/>
            </c:spPr>
          </c:dPt>
          <c:dPt>
            <c:idx val="8"/>
            <c:invertIfNegative val="0"/>
            <c:bubble3D val="0"/>
            <c:spPr>
              <a:solidFill>
                <a:srgbClr val="202BCC"/>
              </a:solidFill>
              <a:ln>
                <a:noFill/>
              </a:ln>
              <a:effectLst/>
            </c:spPr>
          </c:dPt>
          <c:dPt>
            <c:idx val="9"/>
            <c:invertIfNegative val="0"/>
            <c:bubble3D val="0"/>
            <c:spPr>
              <a:solidFill>
                <a:srgbClr val="FF09EE"/>
              </a:solidFill>
              <a:ln>
                <a:noFill/>
              </a:ln>
              <a:effectLst/>
            </c:spPr>
          </c:dPt>
          <c:dPt>
            <c:idx val="10"/>
            <c:invertIfNegative val="0"/>
            <c:bubble3D val="0"/>
            <c:spPr>
              <a:solidFill>
                <a:srgbClr val="7030A0"/>
              </a:solidFill>
              <a:ln>
                <a:noFill/>
              </a:ln>
              <a:effectLst/>
            </c:spPr>
          </c:dPt>
          <c:dPt>
            <c:idx val="11"/>
            <c:invertIfNegative val="0"/>
            <c:bubble3D val="0"/>
            <c:spPr>
              <a:solidFill>
                <a:srgbClr val="00B0F0"/>
              </a:solidFill>
              <a:ln>
                <a:noFill/>
              </a:ln>
              <a:effectLst/>
            </c:spPr>
          </c:dPt>
          <c:dPt>
            <c:idx val="12"/>
            <c:invertIfNegative val="0"/>
            <c:bubble3D val="0"/>
            <c:spPr>
              <a:solidFill>
                <a:schemeClr val="tx1"/>
              </a:solidFill>
              <a:ln>
                <a:noFill/>
              </a:ln>
              <a:effectLst/>
            </c:spPr>
          </c:dPt>
          <c:dPt>
            <c:idx val="13"/>
            <c:invertIfNegative val="0"/>
            <c:bubble3D val="0"/>
            <c:spPr>
              <a:solidFill>
                <a:schemeClr val="accent2"/>
              </a:solidFill>
              <a:ln>
                <a:noFill/>
              </a:ln>
              <a:effectLst/>
            </c:spPr>
          </c:dPt>
          <c:dPt>
            <c:idx val="14"/>
            <c:invertIfNegative val="0"/>
            <c:bubble3D val="0"/>
            <c:spPr>
              <a:solidFill>
                <a:schemeClr val="accent4"/>
              </a:solidFill>
              <a:ln>
                <a:noFill/>
              </a:ln>
              <a:effectLst/>
            </c:spPr>
          </c:dPt>
          <c:dPt>
            <c:idx val="15"/>
            <c:invertIfNegative val="0"/>
            <c:bubble3D val="0"/>
            <c:spPr>
              <a:solidFill>
                <a:schemeClr val="accent5"/>
              </a:solidFill>
              <a:ln>
                <a:noFill/>
              </a:ln>
              <a:effectLst/>
            </c:spPr>
          </c:dPt>
          <c:dPt>
            <c:idx val="16"/>
            <c:invertIfNegative val="0"/>
            <c:bubble3D val="0"/>
            <c:spPr>
              <a:solidFill>
                <a:srgbClr val="FF0000"/>
              </a:solidFill>
              <a:ln>
                <a:noFill/>
              </a:ln>
              <a:effectLst/>
            </c:spPr>
          </c:dPt>
          <c:dPt>
            <c:idx val="17"/>
            <c:invertIfNegative val="0"/>
            <c:bubble3D val="0"/>
            <c:spPr>
              <a:solidFill>
                <a:srgbClr val="FF09EE"/>
              </a:solidFill>
              <a:ln>
                <a:noFill/>
              </a:ln>
              <a:effectLst/>
            </c:spPr>
          </c:dPt>
          <c:dPt>
            <c:idx val="18"/>
            <c:invertIfNegative val="0"/>
            <c:bubble3D val="0"/>
            <c:spPr>
              <a:solidFill>
                <a:srgbClr val="23E5ED"/>
              </a:solidFill>
              <a:ln>
                <a:noFill/>
              </a:ln>
              <a:effectLst/>
            </c:spPr>
          </c:dPt>
          <c:dPt>
            <c:idx val="19"/>
            <c:invertIfNegative val="0"/>
            <c:bubble3D val="0"/>
            <c:spPr>
              <a:solidFill>
                <a:schemeClr val="accent4"/>
              </a:solidFill>
              <a:ln>
                <a:noFill/>
              </a:ln>
              <a:effectLst/>
            </c:spPr>
          </c:dPt>
          <c:dPt>
            <c:idx val="20"/>
            <c:invertIfNegative val="0"/>
            <c:bubble3D val="0"/>
            <c:spPr>
              <a:solidFill>
                <a:srgbClr val="202BCC"/>
              </a:solidFill>
              <a:ln>
                <a:noFill/>
              </a:ln>
              <a:effectLst/>
            </c:spPr>
          </c:dPt>
          <c:cat>
            <c:strRef>
              <c:f>Sheet1!$EV$2:$EV$23</c:f>
              <c:strCache>
                <c:ptCount val="22"/>
                <c:pt idx="0">
                  <c:v>Swansea</c:v>
                </c:pt>
                <c:pt idx="1">
                  <c:v>Merthyr Tydfil</c:v>
                </c:pt>
                <c:pt idx="2">
                  <c:v>Carmarthenshire</c:v>
                </c:pt>
                <c:pt idx="3">
                  <c:v>Newport</c:v>
                </c:pt>
                <c:pt idx="4">
                  <c:v>Bridgend</c:v>
                </c:pt>
                <c:pt idx="5">
                  <c:v>Pembrokeshire</c:v>
                </c:pt>
                <c:pt idx="6">
                  <c:v>Wrexham</c:v>
                </c:pt>
                <c:pt idx="7">
                  <c:v>Gwynedd</c:v>
                </c:pt>
                <c:pt idx="8">
                  <c:v>Isle of Anglesey</c:v>
                </c:pt>
                <c:pt idx="9">
                  <c:v>Cardiff</c:v>
                </c:pt>
                <c:pt idx="10">
                  <c:v>Torfaen</c:v>
                </c:pt>
                <c:pt idx="11">
                  <c:v>Blaenau Gwent</c:v>
                </c:pt>
                <c:pt idx="12">
                  <c:v>Conwy</c:v>
                </c:pt>
                <c:pt idx="13">
                  <c:v>Powys</c:v>
                </c:pt>
                <c:pt idx="14">
                  <c:v>Vale of Glamorgan</c:v>
                </c:pt>
                <c:pt idx="15">
                  <c:v>Ceredigion</c:v>
                </c:pt>
                <c:pt idx="16">
                  <c:v>Caerphilly</c:v>
                </c:pt>
                <c:pt idx="17">
                  <c:v>Monmouthshire</c:v>
                </c:pt>
                <c:pt idx="18">
                  <c:v>Denbighshire</c:v>
                </c:pt>
                <c:pt idx="19">
                  <c:v>Neath Port Talbot</c:v>
                </c:pt>
                <c:pt idx="20">
                  <c:v>Rhondda Cynon Taf</c:v>
                </c:pt>
                <c:pt idx="21">
                  <c:v>Flintshire</c:v>
                </c:pt>
              </c:strCache>
            </c:strRef>
          </c:cat>
          <c:val>
            <c:numRef>
              <c:f>Sheet1!$EW$2:$EW$23</c:f>
              <c:numCache>
                <c:formatCode>General</c:formatCode>
                <c:ptCount val="22"/>
                <c:pt idx="0">
                  <c:v>14.9</c:v>
                </c:pt>
                <c:pt idx="1">
                  <c:v>12.0</c:v>
                </c:pt>
                <c:pt idx="2">
                  <c:v>11.2</c:v>
                </c:pt>
                <c:pt idx="3">
                  <c:v>11.0</c:v>
                </c:pt>
                <c:pt idx="4">
                  <c:v>10.0</c:v>
                </c:pt>
                <c:pt idx="5">
                  <c:v>9.7</c:v>
                </c:pt>
                <c:pt idx="6">
                  <c:v>8.0</c:v>
                </c:pt>
                <c:pt idx="7">
                  <c:v>8.0</c:v>
                </c:pt>
                <c:pt idx="8">
                  <c:v>7.8</c:v>
                </c:pt>
                <c:pt idx="9">
                  <c:v>7.6</c:v>
                </c:pt>
                <c:pt idx="10">
                  <c:v>7.0</c:v>
                </c:pt>
                <c:pt idx="11">
                  <c:v>6.8</c:v>
                </c:pt>
                <c:pt idx="12">
                  <c:v>6.0</c:v>
                </c:pt>
                <c:pt idx="13">
                  <c:v>5.7</c:v>
                </c:pt>
                <c:pt idx="14">
                  <c:v>5.5</c:v>
                </c:pt>
                <c:pt idx="15">
                  <c:v>5.0</c:v>
                </c:pt>
                <c:pt idx="16">
                  <c:v>4.0</c:v>
                </c:pt>
                <c:pt idx="17">
                  <c:v>4.0</c:v>
                </c:pt>
                <c:pt idx="18">
                  <c:v>3.8</c:v>
                </c:pt>
                <c:pt idx="19">
                  <c:v>3.0</c:v>
                </c:pt>
                <c:pt idx="20">
                  <c:v>2.5</c:v>
                </c:pt>
                <c:pt idx="21">
                  <c:v>2.0</c:v>
                </c:pt>
              </c:numCache>
            </c:numRef>
          </c:val>
        </c:ser>
        <c:dLbls>
          <c:showLegendKey val="0"/>
          <c:showVal val="0"/>
          <c:showCatName val="0"/>
          <c:showSerName val="0"/>
          <c:showPercent val="0"/>
          <c:showBubbleSize val="0"/>
        </c:dLbls>
        <c:gapWidth val="219"/>
        <c:overlap val="-27"/>
        <c:axId val="1393809872"/>
        <c:axId val="1393813776"/>
      </c:barChart>
      <c:catAx>
        <c:axId val="13938098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Wales</a:t>
                </a:r>
                <a:r>
                  <a:rPr lang="en-US" baseline="0"/>
                  <a:t> Regions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3813776"/>
        <c:crosses val="autoZero"/>
        <c:auto val="1"/>
        <c:lblAlgn val="ctr"/>
        <c:lblOffset val="100"/>
        <c:noMultiLvlLbl val="0"/>
      </c:catAx>
      <c:valAx>
        <c:axId val="1393813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Households</a:t>
                </a:r>
                <a:r>
                  <a:rPr lang="en-US" baseline="0"/>
                  <a:t> recognised each year as newly homeless by local authority per 1000 households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3938098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22</Pages>
  <Words>2005</Words>
  <Characters>11430</Characters>
  <Application>Microsoft Macintosh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13409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Keen (P148069)</dc:creator>
  <cp:keywords/>
  <dc:description/>
  <cp:lastModifiedBy>Lewis Keen (P148069)</cp:lastModifiedBy>
  <cp:revision>2</cp:revision>
  <cp:lastPrinted>2018-01-07T16:41:00Z</cp:lastPrinted>
  <dcterms:created xsi:type="dcterms:W3CDTF">2018-01-10T20:47:00Z</dcterms:created>
  <dcterms:modified xsi:type="dcterms:W3CDTF">2018-01-10T20:47:00Z</dcterms:modified>
</cp:coreProperties>
</file>