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37ABEB" w14:textId="77777777" w:rsidR="007E0EBC" w:rsidRDefault="00000000" w:rsidP="00531EF3">
      <w:pPr>
        <w:spacing w:line="360" w:lineRule="auto"/>
        <w:jc w:val="center"/>
        <w:rPr>
          <w:rFonts w:ascii="Calibri" w:hAnsi="Calibri" w:cs="Calibri"/>
          <w:b/>
          <w:bCs/>
          <w:color w:val="000000" w:themeColor="text1"/>
          <w:sz w:val="24"/>
          <w:szCs w:val="24"/>
        </w:rPr>
      </w:pPr>
      <w:r w:rsidRPr="00D304EC">
        <w:rPr>
          <w:rFonts w:ascii="Calibri" w:hAnsi="Calibri" w:cs="Calibri"/>
          <w:b/>
          <w:bCs/>
          <w:color w:val="000000" w:themeColor="text1"/>
          <w:sz w:val="24"/>
          <w:szCs w:val="24"/>
        </w:rPr>
        <w:t>From Awareness to Assurance: A Structured Secondary-Evidence Framework for Microservices Adoption Readiness and Security (MARS-F)</w:t>
      </w:r>
    </w:p>
    <w:p w14:paraId="54426CC4" w14:textId="77777777" w:rsidR="00531EF3" w:rsidRPr="00D304EC" w:rsidRDefault="00531EF3" w:rsidP="00531EF3">
      <w:pPr>
        <w:spacing w:line="360" w:lineRule="auto"/>
        <w:jc w:val="center"/>
        <w:rPr>
          <w:rFonts w:ascii="Calibri" w:hAnsi="Calibri" w:cs="Calibri"/>
          <w:color w:val="000000" w:themeColor="text1"/>
          <w:sz w:val="24"/>
          <w:szCs w:val="24"/>
        </w:rPr>
      </w:pPr>
    </w:p>
    <w:p w14:paraId="4C07B6A1"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Highlights</w:t>
      </w:r>
    </w:p>
    <w:p w14:paraId="5EF6201E"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Extends TOE theory with Security as a fourth adoption-readiness dimension.</w:t>
      </w:r>
    </w:p>
    <w:p w14:paraId="233B12BD"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Introduces MARS-F, linking readiness diagnosis to a staged adoption roadmap.</w:t>
      </w:r>
    </w:p>
    <w:p w14:paraId="2C4AAF75" w14:textId="2554E135"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Synthesises </w:t>
      </w:r>
      <w:r w:rsidR="00A70ADA">
        <w:rPr>
          <w:rFonts w:ascii="Calibri" w:hAnsi="Calibri" w:cs="Calibri"/>
          <w:color w:val="000000" w:themeColor="text1"/>
          <w:sz w:val="22"/>
          <w:szCs w:val="22"/>
        </w:rPr>
        <w:t>44</w:t>
      </w:r>
      <w:r w:rsidRPr="00D304EC">
        <w:rPr>
          <w:rFonts w:ascii="Calibri" w:hAnsi="Calibri" w:cs="Calibri"/>
          <w:color w:val="000000" w:themeColor="text1"/>
          <w:sz w:val="22"/>
          <w:szCs w:val="22"/>
        </w:rPr>
        <w:t xml:space="preserve"> verified sources (2020–2026) to ground each TOES construct.</w:t>
      </w:r>
    </w:p>
    <w:p w14:paraId="4839EA54"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Reframes the vendor-roadmap gap as an absorptive-capacity problem.</w:t>
      </w:r>
    </w:p>
    <w:p w14:paraId="70DF75A6" w14:textId="77777777" w:rsidR="007E0EB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Proposes a four-stage roadmap with a continuous governance feedback loop.</w:t>
      </w:r>
    </w:p>
    <w:p w14:paraId="4ED245D9" w14:textId="77777777" w:rsidR="00531EF3" w:rsidRPr="00D304EC" w:rsidRDefault="00531EF3" w:rsidP="00531EF3">
      <w:pPr>
        <w:pStyle w:val="ListParagraph"/>
        <w:numPr>
          <w:ilvl w:val="0"/>
          <w:numId w:val="2"/>
        </w:numPr>
        <w:spacing w:line="360" w:lineRule="auto"/>
        <w:jc w:val="both"/>
        <w:rPr>
          <w:rFonts w:ascii="Calibri" w:hAnsi="Calibri" w:cs="Calibri"/>
          <w:color w:val="000000" w:themeColor="text1"/>
          <w:sz w:val="22"/>
          <w:szCs w:val="22"/>
        </w:rPr>
      </w:pPr>
    </w:p>
    <w:p w14:paraId="47B1590A"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Abstract</w:t>
      </w:r>
    </w:p>
    <w:p w14:paraId="79B1B8A9"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Microservices architectures have moved from early adoption to mainstream practice, yet organisational uptake remains uneven. Industry surveys indicate persistent uncertainty about the time, cost, and expertise required for adoption, and 2025 data show a notable share of organisations consolidating microservices back into larger units, citing operational complexity as the primary driver. Academic reviews confirm that microservices' distributed, polyglot architecture produces a wider attack surface than monolithic systems, and that inter-service security remains only partially addressed by existing research. Service providers rarely offer adopting organisations a structured, security-integrated roadmap, leaving many to adopt reactively.</w:t>
      </w:r>
    </w:p>
    <w:p w14:paraId="3206180B"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paper develops MARS-F (Microservices Adoption Readiness and Security Framework), a conceptual framework grounded in a structured synthesis of secondary evidence from academic and industry sources published between 2020 and 2026. Extending the Technology-Organization-Environment (TOE) framework with a fourth, Security, dimension (TOES), MARS-F combines a diagnostic readiness assessment with a staged adoption roadmap, theoretically supported by Diffusion of Innovation, Absorptive Capacity, Sociotechnical Systems, and Dynamic Capabilities theory. The contribution is conceptual: a citable, theoretically grounded framework giving organisations and providers a shared, actionable structure for secure, phased microservices adoption.</w:t>
      </w:r>
    </w:p>
    <w:p w14:paraId="0248497C" w14:textId="77777777" w:rsidR="00531EF3" w:rsidRPr="00D304EC" w:rsidRDefault="00531EF3" w:rsidP="00531EF3">
      <w:pPr>
        <w:spacing w:line="360" w:lineRule="auto"/>
        <w:jc w:val="both"/>
        <w:rPr>
          <w:rFonts w:ascii="Calibri" w:hAnsi="Calibri" w:cs="Calibri"/>
          <w:color w:val="000000" w:themeColor="text1"/>
          <w:sz w:val="22"/>
          <w:szCs w:val="22"/>
        </w:rPr>
      </w:pPr>
    </w:p>
    <w:p w14:paraId="2ED52029" w14:textId="77777777" w:rsidR="007E0EBC" w:rsidRDefault="00000000" w:rsidP="00531EF3">
      <w:pPr>
        <w:spacing w:line="360" w:lineRule="auto"/>
        <w:jc w:val="both"/>
        <w:rPr>
          <w:rFonts w:ascii="Calibri" w:hAnsi="Calibri" w:cs="Calibri"/>
          <w:i/>
          <w:iCs/>
          <w:color w:val="000000" w:themeColor="text1"/>
          <w:sz w:val="22"/>
          <w:szCs w:val="22"/>
        </w:rPr>
      </w:pPr>
      <w:r w:rsidRPr="00D304EC">
        <w:rPr>
          <w:rFonts w:ascii="Calibri" w:hAnsi="Calibri" w:cs="Calibri"/>
          <w:b/>
          <w:bCs/>
          <w:i/>
          <w:iCs/>
          <w:color w:val="000000" w:themeColor="text1"/>
          <w:sz w:val="22"/>
          <w:szCs w:val="22"/>
        </w:rPr>
        <w:t>Keywords:</w:t>
      </w:r>
      <w:r w:rsidRPr="00D304EC">
        <w:rPr>
          <w:rFonts w:ascii="Calibri" w:hAnsi="Calibri" w:cs="Calibri"/>
          <w:i/>
          <w:iCs/>
          <w:color w:val="000000" w:themeColor="text1"/>
          <w:sz w:val="22"/>
          <w:szCs w:val="22"/>
        </w:rPr>
        <w:t xml:space="preserve"> microservices adoption; TOE framework; cybersecurity; readiness assessment; sociotechnical systems; conceptual framework</w:t>
      </w:r>
    </w:p>
    <w:p w14:paraId="575A057D" w14:textId="77777777" w:rsidR="00D304EC" w:rsidRDefault="00D304EC" w:rsidP="00531EF3">
      <w:pPr>
        <w:spacing w:line="360" w:lineRule="auto"/>
        <w:jc w:val="both"/>
        <w:rPr>
          <w:rFonts w:ascii="Calibri" w:hAnsi="Calibri" w:cs="Calibri"/>
          <w:i/>
          <w:iCs/>
          <w:color w:val="000000" w:themeColor="text1"/>
          <w:sz w:val="22"/>
          <w:szCs w:val="22"/>
        </w:rPr>
      </w:pPr>
    </w:p>
    <w:p w14:paraId="6B741DC6" w14:textId="77777777" w:rsidR="00D304EC" w:rsidRPr="00D304EC" w:rsidRDefault="00D304EC" w:rsidP="00531EF3">
      <w:pPr>
        <w:spacing w:line="360" w:lineRule="auto"/>
        <w:jc w:val="both"/>
        <w:rPr>
          <w:rFonts w:ascii="Calibri" w:hAnsi="Calibri" w:cs="Calibri"/>
          <w:color w:val="000000" w:themeColor="text1"/>
          <w:sz w:val="22"/>
          <w:szCs w:val="22"/>
        </w:rPr>
      </w:pPr>
    </w:p>
    <w:p w14:paraId="413F8748"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1. Introduction</w:t>
      </w:r>
    </w:p>
    <w:p w14:paraId="3D35AC73"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1.1 Background and problem context</w:t>
      </w:r>
    </w:p>
    <w:p w14:paraId="4F2582B4"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Microservices architecture has become a dominant pattern in enterprise software design, valued for its modularity, deployment speed, and scalability. Most large organisations, those with more than 1,000 employees, have already embraced it in some form, and most technology leaders now believe that firms unable to support microservices effectively will struggle to compete (Kong Inc., reported via DevOps.com, 2020). What adoption at scale has not done, though, is resolve the underlying uncertainty many organisations still face. Recent observability research names a lack of team knowledge as practitioners' leading operational challenge, a figure that rose sharply between 2023 and 2024 (Logz.io, 2024). That looks like a persistent awareness and capability gap, not simply a technical one.</w:t>
      </w:r>
    </w:p>
    <w:p w14:paraId="398F6275" w14:textId="77777777" w:rsidR="00531EF3" w:rsidRPr="00D304EC" w:rsidRDefault="00531EF3" w:rsidP="00531EF3">
      <w:pPr>
        <w:spacing w:line="360" w:lineRule="auto"/>
        <w:jc w:val="both"/>
        <w:rPr>
          <w:rFonts w:ascii="Calibri" w:hAnsi="Calibri" w:cs="Calibri"/>
          <w:color w:val="000000" w:themeColor="text1"/>
          <w:sz w:val="22"/>
          <w:szCs w:val="22"/>
        </w:rPr>
      </w:pPr>
    </w:p>
    <w:p w14:paraId="6D1425C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gap has real consequences. The Cloud Native Computing Foundation's 2025 annual survey found a substantial share of organisations now consolidating microservices back into larger deployable units. Operational complexity, not isolated implementation failures, was the driver cited most often (summarised in SoftwareSeni, 2026). Read together with the knowledge-gap finding above, this suggests many organisations proceed to adoption without an adequate readiness assessment, whether technical, organisational, environmental, or security-related, and pay for it later in costs a structured pre-adoption diagnostic could have anticipated.</w:t>
      </w:r>
    </w:p>
    <w:p w14:paraId="2391E2A6" w14:textId="77777777" w:rsidR="00531EF3" w:rsidRPr="00D304EC" w:rsidRDefault="00531EF3" w:rsidP="00531EF3">
      <w:pPr>
        <w:spacing w:line="360" w:lineRule="auto"/>
        <w:jc w:val="both"/>
        <w:rPr>
          <w:rFonts w:ascii="Calibri" w:hAnsi="Calibri" w:cs="Calibri"/>
          <w:color w:val="000000" w:themeColor="text1"/>
          <w:sz w:val="22"/>
          <w:szCs w:val="22"/>
        </w:rPr>
      </w:pPr>
    </w:p>
    <w:p w14:paraId="38FB37B0" w14:textId="099E94FE"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Security makes the problem worse still. Reviews of inter-service security consistently find that microservices' distributed, network-spanning structure creates a wider attack surface than monolithic systems almost by design, an effect made sharper by the mix of languages and technologies typically used across services in the same deployment (Haindl, Kochberger, &amp; Sveggen, 2024). Even the U.S. National Institute of Standards and Technology has concluded that microservice-based systems need dedicated secure-development guidance of their own — a </w:t>
      </w:r>
      <w:r w:rsidR="00D304EC" w:rsidRPr="00D304EC">
        <w:rPr>
          <w:rFonts w:ascii="Calibri" w:hAnsi="Calibri" w:cs="Calibri"/>
          <w:color w:val="000000" w:themeColor="text1"/>
          <w:sz w:val="22"/>
          <w:szCs w:val="22"/>
        </w:rPr>
        <w:t>clear</w:t>
      </w:r>
      <w:r w:rsidRPr="00D304EC">
        <w:rPr>
          <w:rFonts w:ascii="Calibri" w:hAnsi="Calibri" w:cs="Calibri"/>
          <w:color w:val="000000" w:themeColor="text1"/>
          <w:sz w:val="22"/>
          <w:szCs w:val="22"/>
        </w:rPr>
        <w:t xml:space="preserve"> signal that conventional software-security frameworks do not map cleanly onto distributed architectures (NIST, 2023).</w:t>
      </w:r>
    </w:p>
    <w:p w14:paraId="4FF58A8E" w14:textId="77777777" w:rsidR="00531EF3" w:rsidRPr="00D304EC" w:rsidRDefault="00531EF3" w:rsidP="00531EF3">
      <w:pPr>
        <w:spacing w:line="360" w:lineRule="auto"/>
        <w:jc w:val="both"/>
        <w:rPr>
          <w:rFonts w:ascii="Calibri" w:hAnsi="Calibri" w:cs="Calibri"/>
          <w:color w:val="000000" w:themeColor="text1"/>
          <w:sz w:val="22"/>
          <w:szCs w:val="22"/>
        </w:rPr>
      </w:pPr>
    </w:p>
    <w:p w14:paraId="18942B7D" w14:textId="1914CC9A" w:rsidR="007E0EBC" w:rsidRDefault="00D304EC"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Moreover</w:t>
      </w:r>
      <w:r w:rsidR="00000000" w:rsidRPr="00D304EC">
        <w:rPr>
          <w:rFonts w:ascii="Calibri" w:hAnsi="Calibri" w:cs="Calibri"/>
          <w:color w:val="000000" w:themeColor="text1"/>
          <w:sz w:val="22"/>
          <w:szCs w:val="22"/>
        </w:rPr>
        <w:t xml:space="preserve">, organisations rarely get a clear implementation pathway from the vendors and platform providers whose tools they are </w:t>
      </w:r>
      <w:r w:rsidRPr="00D304EC">
        <w:rPr>
          <w:rFonts w:ascii="Calibri" w:hAnsi="Calibri" w:cs="Calibri"/>
          <w:color w:val="000000" w:themeColor="text1"/>
          <w:sz w:val="22"/>
          <w:szCs w:val="22"/>
        </w:rPr>
        <w:t>using</w:t>
      </w:r>
      <w:r w:rsidR="00000000" w:rsidRPr="00D304EC">
        <w:rPr>
          <w:rFonts w:ascii="Calibri" w:hAnsi="Calibri" w:cs="Calibri"/>
          <w:color w:val="000000" w:themeColor="text1"/>
          <w:sz w:val="22"/>
          <w:szCs w:val="22"/>
        </w:rPr>
        <w:t xml:space="preserve">. Migration guidance sits scattered across vendor documentation, generic best-practice commentary, and one-off case studies, with little pulled together into a coherent, security-integrated roadmap a non-specialist decision-maker could </w:t>
      </w:r>
      <w:r w:rsidRPr="00D304EC">
        <w:rPr>
          <w:rFonts w:ascii="Calibri" w:hAnsi="Calibri" w:cs="Calibri"/>
          <w:color w:val="000000" w:themeColor="text1"/>
          <w:sz w:val="22"/>
          <w:szCs w:val="22"/>
        </w:rPr>
        <w:t>follow</w:t>
      </w:r>
      <w:r w:rsidR="00000000" w:rsidRPr="00D304EC">
        <w:rPr>
          <w:rFonts w:ascii="Calibri" w:hAnsi="Calibri" w:cs="Calibri"/>
          <w:color w:val="000000" w:themeColor="text1"/>
          <w:sz w:val="22"/>
          <w:szCs w:val="22"/>
        </w:rPr>
        <w:t>.</w:t>
      </w:r>
    </w:p>
    <w:p w14:paraId="07D9A01B" w14:textId="77777777" w:rsidR="00D304EC" w:rsidRPr="00D304EC" w:rsidRDefault="00D304EC" w:rsidP="00531EF3">
      <w:pPr>
        <w:spacing w:line="360" w:lineRule="auto"/>
        <w:jc w:val="both"/>
        <w:rPr>
          <w:rFonts w:ascii="Calibri" w:hAnsi="Calibri" w:cs="Calibri"/>
          <w:color w:val="000000" w:themeColor="text1"/>
          <w:sz w:val="22"/>
          <w:szCs w:val="22"/>
        </w:rPr>
      </w:pPr>
    </w:p>
    <w:p w14:paraId="07551801"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1.2 The gap this paper addresses</w:t>
      </w:r>
    </w:p>
    <w:p w14:paraId="66869DAD"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Three gaps run through the evidence above.</w:t>
      </w:r>
    </w:p>
    <w:p w14:paraId="555BE258"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An awareness gap — organisations frequently lack the internal knowledge to assess their own readiness before adopting microservices.</w:t>
      </w:r>
    </w:p>
    <w:p w14:paraId="41072468"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 security integration gap — security gets treated as a downstream technical concern instead of a readiness dimension assessed alongside technological, organisational, and environmental factors.</w:t>
      </w:r>
    </w:p>
    <w:p w14:paraId="4A0C8CD6"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 roadmap gap — neither academic literature nor vendor guidance currently offers a staged, actionable adoption pathway connecting readiness diagnosis to phased implementation.</w:t>
      </w:r>
    </w:p>
    <w:p w14:paraId="5E83CC86" w14:textId="21384E2D"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Existing adoption theory, and the Technology-Organization-Environment (TOE) </w:t>
      </w:r>
      <w:r w:rsidR="00531EF3" w:rsidRPr="00D304EC">
        <w:rPr>
          <w:rFonts w:ascii="Calibri" w:hAnsi="Calibri" w:cs="Calibri"/>
          <w:color w:val="000000" w:themeColor="text1"/>
          <w:sz w:val="22"/>
          <w:szCs w:val="22"/>
        </w:rPr>
        <w:t>framework</w:t>
      </w:r>
      <w:r w:rsidRPr="00D304EC">
        <w:rPr>
          <w:rFonts w:ascii="Calibri" w:hAnsi="Calibri" w:cs="Calibri"/>
          <w:color w:val="000000" w:themeColor="text1"/>
          <w:sz w:val="22"/>
          <w:szCs w:val="22"/>
        </w:rPr>
        <w:t xml:space="preserve"> (Tornatzky &amp; Fleischer, 1990), offers a partial answer, but it was not built with the distributed security profile of microservices in mind. As far as I am aware, no widely adopted framework currently extends TOE to treat security as a co-equal readiness dimension while also turning that assessment into a staged roadmap. That is the gap this paper tries to fill.</w:t>
      </w:r>
    </w:p>
    <w:p w14:paraId="0B1A6986" w14:textId="77777777" w:rsidR="00531EF3" w:rsidRPr="00D304EC" w:rsidRDefault="00531EF3" w:rsidP="00531EF3">
      <w:pPr>
        <w:spacing w:line="360" w:lineRule="auto"/>
        <w:jc w:val="both"/>
        <w:rPr>
          <w:rFonts w:ascii="Calibri" w:hAnsi="Calibri" w:cs="Calibri"/>
          <w:color w:val="000000" w:themeColor="text1"/>
          <w:sz w:val="22"/>
          <w:szCs w:val="22"/>
        </w:rPr>
      </w:pPr>
    </w:p>
    <w:p w14:paraId="014A2845"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1.3 Research aim</w:t>
      </w:r>
    </w:p>
    <w:p w14:paraId="14F78EA6" w14:textId="216AC99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To develop and theoretically ground MARS-F, a conceptual framework built through a structured synthesis of secondary evidence that enables organisations to assess their readiness for microservices adoption across technological, organisational, environmental, and security dimensions, and to translate that assessment into a staged, actionable adoption roadmap.</w:t>
      </w:r>
    </w:p>
    <w:p w14:paraId="63D87316" w14:textId="77777777" w:rsidR="00531EF3" w:rsidRPr="00D304EC" w:rsidRDefault="00531EF3" w:rsidP="00531EF3">
      <w:pPr>
        <w:spacing w:line="360" w:lineRule="auto"/>
        <w:jc w:val="both"/>
        <w:rPr>
          <w:rFonts w:ascii="Calibri" w:hAnsi="Calibri" w:cs="Calibri"/>
          <w:color w:val="000000" w:themeColor="text1"/>
          <w:sz w:val="22"/>
          <w:szCs w:val="22"/>
        </w:rPr>
      </w:pPr>
    </w:p>
    <w:p w14:paraId="782836E4"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1.4 Research objectives</w:t>
      </w:r>
    </w:p>
    <w:p w14:paraId="39CEC433"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O1: To synthesise secondary evidence (2020–2026) on organisational awareness, adoption barriers, and vendor-roadmap gaps in microservices adoption.</w:t>
      </w:r>
    </w:p>
    <w:p w14:paraId="4C49A208"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O2: To identify and structure the security-specific risks and readiness gaps most consistently reported in academic and industry literature.</w:t>
      </w:r>
    </w:p>
    <w:p w14:paraId="3FD9EE03"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O3: To extend the TOE framework theoretically into TOES by establishing security as a distinct, evidence-grounded readiness dimension.</w:t>
      </w:r>
    </w:p>
    <w:p w14:paraId="268CD284" w14:textId="77777777" w:rsidR="007E0EB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O4: To design a staged adoption roadmap that operationalises the TOES readiness diagnosis into actionable, sequenced guidance for organisations.</w:t>
      </w:r>
    </w:p>
    <w:p w14:paraId="57F0B00E" w14:textId="77777777" w:rsidR="00531EF3" w:rsidRDefault="00531EF3" w:rsidP="00531EF3">
      <w:pPr>
        <w:pStyle w:val="ListParagraph"/>
        <w:spacing w:line="360" w:lineRule="auto"/>
        <w:ind w:left="576"/>
        <w:jc w:val="both"/>
        <w:rPr>
          <w:rFonts w:ascii="Calibri" w:hAnsi="Calibri" w:cs="Calibri"/>
          <w:color w:val="000000" w:themeColor="text1"/>
          <w:sz w:val="22"/>
          <w:szCs w:val="22"/>
        </w:rPr>
      </w:pPr>
    </w:p>
    <w:p w14:paraId="3515AB0B" w14:textId="77777777" w:rsidR="00531EF3" w:rsidRDefault="00531EF3" w:rsidP="00531EF3">
      <w:pPr>
        <w:pStyle w:val="ListParagraph"/>
        <w:spacing w:line="360" w:lineRule="auto"/>
        <w:ind w:left="576"/>
        <w:jc w:val="both"/>
        <w:rPr>
          <w:rFonts w:ascii="Calibri" w:hAnsi="Calibri" w:cs="Calibri"/>
          <w:color w:val="000000" w:themeColor="text1"/>
          <w:sz w:val="22"/>
          <w:szCs w:val="22"/>
        </w:rPr>
      </w:pPr>
    </w:p>
    <w:p w14:paraId="548277F8" w14:textId="77777777" w:rsidR="00531EF3" w:rsidRPr="00D304EC" w:rsidRDefault="00531EF3" w:rsidP="00531EF3">
      <w:pPr>
        <w:pStyle w:val="ListParagraph"/>
        <w:spacing w:line="360" w:lineRule="auto"/>
        <w:ind w:left="576"/>
        <w:jc w:val="both"/>
        <w:rPr>
          <w:rFonts w:ascii="Calibri" w:hAnsi="Calibri" w:cs="Calibri"/>
          <w:color w:val="000000" w:themeColor="text1"/>
          <w:sz w:val="22"/>
          <w:szCs w:val="22"/>
        </w:rPr>
      </w:pPr>
    </w:p>
    <w:p w14:paraId="0374DB3D"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1.5 Research questions</w:t>
      </w:r>
    </w:p>
    <w:p w14:paraId="350B5900"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RQ1: What does current secondary evidence reveal about organisational awareness and vendor-roadmap gaps in microservices adoption?</w:t>
      </w:r>
    </w:p>
    <w:p w14:paraId="0F62246D"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RQ2: What security-related risks and readiness gaps are most frequently reported across academic and industry sources on microservices?</w:t>
      </w:r>
    </w:p>
    <w:p w14:paraId="431C31C1"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RQ3: How can the TOE framework be theoretically extended to incorporate security as a distinct readiness dimension?</w:t>
      </w:r>
    </w:p>
    <w:p w14:paraId="2BAD8FE2" w14:textId="77777777" w:rsidR="007E0EB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RQ4: What staged roadmap structure can translate a TOES-based readiness diagnosis into actionable adoption guidance for organisations?</w:t>
      </w:r>
    </w:p>
    <w:p w14:paraId="61E3BCC8" w14:textId="77777777" w:rsidR="00531EF3" w:rsidRPr="00D304EC" w:rsidRDefault="00531EF3" w:rsidP="00531EF3">
      <w:pPr>
        <w:pStyle w:val="ListParagraph"/>
        <w:spacing w:line="360" w:lineRule="auto"/>
        <w:ind w:left="576"/>
        <w:jc w:val="both"/>
        <w:rPr>
          <w:rFonts w:ascii="Calibri" w:hAnsi="Calibri" w:cs="Calibri"/>
          <w:color w:val="000000" w:themeColor="text1"/>
          <w:sz w:val="22"/>
          <w:szCs w:val="22"/>
        </w:rPr>
      </w:pPr>
    </w:p>
    <w:p w14:paraId="3C75919E"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1.6 Positioning statement</w:t>
      </w:r>
    </w:p>
    <w:p w14:paraId="05601CF0"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It helps to be precise about what kind of paper this is, since the label affects what a reader should expect from it. This is a conceptual framework paper. It is not a systematic literature review, and it is not a purely theoretical exercise either — it sits deliberately between those two poles. A full systematic review, following something like PRISMA, would owe the reader exhaustive coverage of a defined literature and would treat the resulting map of that literature as the contribution itself. A purely theoretical conceptual paper, at the other extreme, could develop MARS-F entirely from first principles and existing theory, without grounding any of its constructs in current empirical or industry evidence. Neither approach suited this paper. An exhaustive review would have produced a literature map instead of a usable framework, and a purely theoretical paper would have left the four TOES constructs asserted instead of demonstrated. That matters because the whole motivation for this paper is an empirical problem: organisations adopting microservices without adequate readiness assessment.</w:t>
      </w:r>
    </w:p>
    <w:p w14:paraId="1A5D12CE" w14:textId="77777777" w:rsidR="00531EF3" w:rsidRPr="00D304EC" w:rsidRDefault="00531EF3" w:rsidP="00531EF3">
      <w:pPr>
        <w:spacing w:line="360" w:lineRule="auto"/>
        <w:jc w:val="both"/>
        <w:rPr>
          <w:rFonts w:ascii="Calibri" w:hAnsi="Calibri" w:cs="Calibri"/>
          <w:color w:val="000000" w:themeColor="text1"/>
          <w:sz w:val="22"/>
          <w:szCs w:val="22"/>
        </w:rPr>
      </w:pPr>
    </w:p>
    <w:p w14:paraId="5342E20D"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 approach taken instead, set out in full in Section 3, is a semi-systematic search process: defined keywords, named databases, and a bounded 2020–2026 date range, used specifically to ground each TOES construct in current evidence instead of mapping the literature comprehensively. The search parameters are transparent and replicable, but source inclusion beyond that point is selective and purposive, guided by relevance to construct development, not a target of exhaustive coverage. What results is the framework itself: its constructs, its theoretical justification, and its staged roadmap. It is not a review of what has been published on microservices adoption or security. This positioning also matches how the target journal categorises submissions of this kind. The International Journal of Information Management's own scope explicitly welcomes papers that offer integrative reviews of existing literature </w:t>
      </w:r>
      <w:r w:rsidRPr="00D304EC">
        <w:rPr>
          <w:rFonts w:ascii="Calibri" w:hAnsi="Calibri" w:cs="Calibri"/>
          <w:color w:val="000000" w:themeColor="text1"/>
          <w:sz w:val="22"/>
          <w:szCs w:val="22"/>
        </w:rPr>
        <w:lastRenderedPageBreak/>
        <w:t>and develop frameworks that organise knowledge and guide future research, a reasonably close description of what this paper sets out to do.</w:t>
      </w:r>
    </w:p>
    <w:p w14:paraId="4C76D262" w14:textId="77777777" w:rsidR="00531EF3" w:rsidRPr="00D304EC" w:rsidRDefault="00531EF3" w:rsidP="00531EF3">
      <w:pPr>
        <w:spacing w:line="360" w:lineRule="auto"/>
        <w:jc w:val="both"/>
        <w:rPr>
          <w:rFonts w:ascii="Calibri" w:hAnsi="Calibri" w:cs="Calibri"/>
          <w:color w:val="000000" w:themeColor="text1"/>
          <w:sz w:val="22"/>
          <w:szCs w:val="22"/>
        </w:rPr>
      </w:pPr>
    </w:p>
    <w:p w14:paraId="47E6F5C6"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1.7 Contribution</w:t>
      </w:r>
    </w:p>
    <w:p w14:paraId="026F79BC" w14:textId="7D86C82A"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 contribution here works at three </w:t>
      </w:r>
      <w:r w:rsidR="00531EF3" w:rsidRPr="00D304EC">
        <w:rPr>
          <w:rFonts w:ascii="Calibri" w:hAnsi="Calibri" w:cs="Calibri"/>
          <w:color w:val="000000" w:themeColor="text1"/>
          <w:sz w:val="22"/>
          <w:szCs w:val="22"/>
        </w:rPr>
        <w:t>levels and</w:t>
      </w:r>
      <w:r w:rsidRPr="00D304EC">
        <w:rPr>
          <w:rFonts w:ascii="Calibri" w:hAnsi="Calibri" w:cs="Calibri"/>
          <w:color w:val="000000" w:themeColor="text1"/>
          <w:sz w:val="22"/>
          <w:szCs w:val="22"/>
        </w:rPr>
        <w:t xml:space="preserve"> separating them serves the paper better than folding them into a single claim.</w:t>
      </w:r>
    </w:p>
    <w:p w14:paraId="099DDBBF" w14:textId="4F9AED27" w:rsidR="007E0EBC" w:rsidRDefault="00000000" w:rsidP="00531EF3">
      <w:pPr>
        <w:spacing w:line="360" w:lineRule="auto"/>
        <w:jc w:val="both"/>
        <w:rPr>
          <w:rFonts w:ascii="Calibri" w:hAnsi="Calibri" w:cs="Calibri"/>
          <w:color w:val="000000" w:themeColor="text1"/>
          <w:sz w:val="22"/>
          <w:szCs w:val="22"/>
        </w:rPr>
      </w:pPr>
      <w:r w:rsidRPr="00531EF3">
        <w:rPr>
          <w:rFonts w:ascii="Calibri" w:hAnsi="Calibri" w:cs="Calibri"/>
          <w:b/>
          <w:bCs/>
          <w:color w:val="000000" w:themeColor="text1"/>
          <w:sz w:val="22"/>
          <w:szCs w:val="22"/>
        </w:rPr>
        <w:t>At the theoretical level,</w:t>
      </w:r>
      <w:r w:rsidRPr="00D304EC">
        <w:rPr>
          <w:rFonts w:ascii="Calibri" w:hAnsi="Calibri" w:cs="Calibri"/>
          <w:color w:val="000000" w:themeColor="text1"/>
          <w:sz w:val="22"/>
          <w:szCs w:val="22"/>
        </w:rPr>
        <w:t xml:space="preserve"> MARS-F extends TOE into TOES by treating security as a fourth, co-equal readiness dimension instead of a sub-factor buried inside the technological context. This is not merely a labelling change. As Section 4.1 argues, the case rests on microservices having a qualitatively different security profile from the technologies TOE was originally built around: a distributed, network-spanning attack surface that expands </w:t>
      </w:r>
      <w:r w:rsidR="00531EF3" w:rsidRPr="00D304EC">
        <w:rPr>
          <w:rFonts w:ascii="Calibri" w:hAnsi="Calibri" w:cs="Calibri"/>
          <w:color w:val="000000" w:themeColor="text1"/>
          <w:sz w:val="22"/>
          <w:szCs w:val="22"/>
        </w:rPr>
        <w:t>by</w:t>
      </w:r>
      <w:r w:rsidRPr="00D304EC">
        <w:rPr>
          <w:rFonts w:ascii="Calibri" w:hAnsi="Calibri" w:cs="Calibri"/>
          <w:color w:val="000000" w:themeColor="text1"/>
          <w:sz w:val="22"/>
          <w:szCs w:val="22"/>
        </w:rPr>
        <w:t xml:space="preserve"> design. Extending an established adoption framework to accommodate a genuinely different risk profile, instead of assuming the original three contexts still capture everything that matters, is the kind of theoretical move IJIM's own scope description points to when it asks for papers that challenge existing assumptions or unveil new constructs and relationships within IS theory.</w:t>
      </w:r>
    </w:p>
    <w:p w14:paraId="568FDFAE" w14:textId="77777777" w:rsidR="00531EF3" w:rsidRPr="00D304EC" w:rsidRDefault="00531EF3" w:rsidP="00531EF3">
      <w:pPr>
        <w:spacing w:line="360" w:lineRule="auto"/>
        <w:jc w:val="both"/>
        <w:rPr>
          <w:rFonts w:ascii="Calibri" w:hAnsi="Calibri" w:cs="Calibri"/>
          <w:color w:val="000000" w:themeColor="text1"/>
          <w:sz w:val="22"/>
          <w:szCs w:val="22"/>
        </w:rPr>
      </w:pPr>
    </w:p>
    <w:p w14:paraId="0803D595" w14:textId="77777777" w:rsidR="007E0EBC" w:rsidRDefault="00000000" w:rsidP="00531EF3">
      <w:pPr>
        <w:spacing w:line="360" w:lineRule="auto"/>
        <w:jc w:val="both"/>
        <w:rPr>
          <w:rFonts w:ascii="Calibri" w:hAnsi="Calibri" w:cs="Calibri"/>
          <w:color w:val="000000" w:themeColor="text1"/>
          <w:sz w:val="22"/>
          <w:szCs w:val="22"/>
        </w:rPr>
      </w:pPr>
      <w:r w:rsidRPr="00531EF3">
        <w:rPr>
          <w:rFonts w:ascii="Calibri" w:hAnsi="Calibri" w:cs="Calibri"/>
          <w:b/>
          <w:bCs/>
          <w:color w:val="000000" w:themeColor="text1"/>
          <w:sz w:val="22"/>
          <w:szCs w:val="22"/>
        </w:rPr>
        <w:t>At the mechanism level,</w:t>
      </w:r>
      <w:r w:rsidRPr="00D304EC">
        <w:rPr>
          <w:rFonts w:ascii="Calibri" w:hAnsi="Calibri" w:cs="Calibri"/>
          <w:color w:val="000000" w:themeColor="text1"/>
          <w:sz w:val="22"/>
          <w:szCs w:val="22"/>
        </w:rPr>
        <w:t xml:space="preserve"> MARS-F contributes something that, as far as the evidence gathered in Section 3 shows, does not currently exist in either the academic or the practitioner literature. It is a diagnostic-to-roadmap mechanism connecting a readiness assessment directly to a staged, sequenced adoption pathway, with a remediation gate determining entry into that pathway and a feedback loop keeping the diagnosis current after initial adoption. Existing vendor guidance tends to stop at general best-practice advice; existing academic reviews tend to stop at cataloguing challenges. MARS-F sits between those two things and operationalises one into the other.</w:t>
      </w:r>
    </w:p>
    <w:p w14:paraId="1576165C" w14:textId="77777777" w:rsidR="00531EF3" w:rsidRPr="00D304EC" w:rsidRDefault="00531EF3" w:rsidP="00531EF3">
      <w:pPr>
        <w:spacing w:line="360" w:lineRule="auto"/>
        <w:jc w:val="both"/>
        <w:rPr>
          <w:rFonts w:ascii="Calibri" w:hAnsi="Calibri" w:cs="Calibri"/>
          <w:color w:val="000000" w:themeColor="text1"/>
          <w:sz w:val="22"/>
          <w:szCs w:val="22"/>
        </w:rPr>
      </w:pPr>
    </w:p>
    <w:p w14:paraId="1625592A" w14:textId="77777777" w:rsidR="007E0EBC" w:rsidRDefault="00000000" w:rsidP="00531EF3">
      <w:pPr>
        <w:spacing w:line="360" w:lineRule="auto"/>
        <w:jc w:val="both"/>
        <w:rPr>
          <w:rFonts w:ascii="Calibri" w:hAnsi="Calibri" w:cs="Calibri"/>
          <w:color w:val="000000" w:themeColor="text1"/>
          <w:sz w:val="22"/>
          <w:szCs w:val="22"/>
        </w:rPr>
      </w:pPr>
      <w:r w:rsidRPr="00531EF3">
        <w:rPr>
          <w:rFonts w:ascii="Calibri" w:hAnsi="Calibri" w:cs="Calibri"/>
          <w:b/>
          <w:bCs/>
          <w:color w:val="000000" w:themeColor="text1"/>
          <w:sz w:val="22"/>
          <w:szCs w:val="22"/>
        </w:rPr>
        <w:t>At the practical level,</w:t>
      </w:r>
      <w:r w:rsidRPr="00D304EC">
        <w:rPr>
          <w:rFonts w:ascii="Calibri" w:hAnsi="Calibri" w:cs="Calibri"/>
          <w:color w:val="000000" w:themeColor="text1"/>
          <w:sz w:val="22"/>
          <w:szCs w:val="22"/>
        </w:rPr>
        <w:t xml:space="preserve"> the paper reframes the vendor-roadmap gap that motivated it in the first place. Section 4.3's use of Absorptive Capacity theory treats unclear vendor guidance as partly an organisational capability problem, not something only providers can fix, which gives adopting organisations something to act on directly instead of something they can only wait for providers to improve. Taken together, these three contributions place the paper as a Review-category conceptual submission, distinct from either a narrower technical contribution or a broader literature survey.</w:t>
      </w:r>
    </w:p>
    <w:p w14:paraId="6BB89F35" w14:textId="77777777" w:rsidR="00531EF3" w:rsidRDefault="00531EF3" w:rsidP="00531EF3">
      <w:pPr>
        <w:spacing w:line="360" w:lineRule="auto"/>
        <w:jc w:val="both"/>
        <w:rPr>
          <w:rFonts w:ascii="Calibri" w:hAnsi="Calibri" w:cs="Calibri"/>
          <w:color w:val="000000" w:themeColor="text1"/>
          <w:sz w:val="22"/>
          <w:szCs w:val="22"/>
        </w:rPr>
      </w:pPr>
    </w:p>
    <w:p w14:paraId="0CEC5FE1" w14:textId="77777777" w:rsidR="00531EF3" w:rsidRDefault="00531EF3" w:rsidP="00531EF3">
      <w:pPr>
        <w:spacing w:line="360" w:lineRule="auto"/>
        <w:jc w:val="both"/>
        <w:rPr>
          <w:rFonts w:ascii="Calibri" w:hAnsi="Calibri" w:cs="Calibri"/>
          <w:color w:val="000000" w:themeColor="text1"/>
          <w:sz w:val="22"/>
          <w:szCs w:val="22"/>
        </w:rPr>
      </w:pPr>
    </w:p>
    <w:p w14:paraId="68201F0E" w14:textId="77777777" w:rsidR="00531EF3" w:rsidRPr="00D304EC" w:rsidRDefault="00531EF3" w:rsidP="00531EF3">
      <w:pPr>
        <w:spacing w:line="360" w:lineRule="auto"/>
        <w:jc w:val="both"/>
        <w:rPr>
          <w:rFonts w:ascii="Calibri" w:hAnsi="Calibri" w:cs="Calibri"/>
          <w:color w:val="000000" w:themeColor="text1"/>
          <w:sz w:val="22"/>
          <w:szCs w:val="22"/>
        </w:rPr>
      </w:pPr>
    </w:p>
    <w:p w14:paraId="31DA52A4"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1.8 Structure of the paper</w:t>
      </w:r>
    </w:p>
    <w:p w14:paraId="1FA11ADF"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Section 2 positions MARS-F against existing microservices maturity models and prior TOE extensions. Section 3 outlines the secondary-evidence synthesis protocol. Section 4 reviews the theoretical foundations. Section 5 presents the TOES constructs grounded in synthesised evidence. Section 6 develops the MARS-F framework and staged roadmap. Section 7 discusses theoretical and practical implications and revisits the research questions directly. Section 8 concludes with limitations and directions for future empirical validation.</w:t>
      </w:r>
    </w:p>
    <w:p w14:paraId="4393D504" w14:textId="77777777" w:rsidR="00531EF3" w:rsidRPr="00D304EC" w:rsidRDefault="00531EF3" w:rsidP="00531EF3">
      <w:pPr>
        <w:spacing w:line="360" w:lineRule="auto"/>
        <w:jc w:val="both"/>
        <w:rPr>
          <w:rFonts w:ascii="Calibri" w:hAnsi="Calibri" w:cs="Calibri"/>
          <w:color w:val="000000" w:themeColor="text1"/>
          <w:sz w:val="22"/>
          <w:szCs w:val="22"/>
        </w:rPr>
      </w:pPr>
    </w:p>
    <w:p w14:paraId="0290A6D2"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2. Related Work</w:t>
      </w:r>
    </w:p>
    <w:p w14:paraId="025C768C"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Before setting out the search protocol and theoretical grounding, this section is clear about where MARS-F sits relative to work that already exists. Three strands of prior literature come closest to what this paper attempts, and none of them, on its own, does what MARS-F sets out to do.</w:t>
      </w:r>
    </w:p>
    <w:p w14:paraId="0C183628" w14:textId="77777777" w:rsidR="00531EF3" w:rsidRPr="00D304EC" w:rsidRDefault="00531EF3" w:rsidP="00531EF3">
      <w:pPr>
        <w:spacing w:line="360" w:lineRule="auto"/>
        <w:jc w:val="both"/>
        <w:rPr>
          <w:rFonts w:ascii="Calibri" w:hAnsi="Calibri" w:cs="Calibri"/>
          <w:color w:val="000000" w:themeColor="text1"/>
          <w:sz w:val="22"/>
          <w:szCs w:val="22"/>
        </w:rPr>
      </w:pPr>
    </w:p>
    <w:p w14:paraId="303C8B71"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2.1 Existing microservices maturity and readiness models</w:t>
      </w:r>
    </w:p>
    <w:p w14:paraId="1DBE2977" w14:textId="5E4423FF"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 closest direct precedent is Gouigoux, Tamzalit, and Noppen's (2021) MiMMo, a Microservices Maturity Model built from observations of around thirty organisations and structured around two dimensions and five maturity levels, intended to let organisations benchmark their current use of microservices and identify next steps. MiMMo is a genuine readiness-assessment tool, grounded in real organisational experience instead of asserted from theory. It is not, however, built on an established adoption-theory base: its dimensions come from observed practice, not from a </w:t>
      </w:r>
      <w:r w:rsidR="00531EF3" w:rsidRPr="00D304EC">
        <w:rPr>
          <w:rFonts w:ascii="Calibri" w:hAnsi="Calibri" w:cs="Calibri"/>
          <w:color w:val="000000" w:themeColor="text1"/>
          <w:sz w:val="22"/>
          <w:szCs w:val="22"/>
        </w:rPr>
        <w:t>framework-like</w:t>
      </w:r>
      <w:r w:rsidRPr="00D304EC">
        <w:rPr>
          <w:rFonts w:ascii="Calibri" w:hAnsi="Calibri" w:cs="Calibri"/>
          <w:color w:val="000000" w:themeColor="text1"/>
          <w:sz w:val="22"/>
          <w:szCs w:val="22"/>
        </w:rPr>
        <w:t xml:space="preserve"> TOE, which makes it harder to situate within the wider technology-adoption literature or to extend systematically. It also does not treat security as a distinct assessed dimension, and it stops at diagnosis. MiMMo tells an organisation where it stands; it does not connect that diagnosis to a staged implementation pathway the way MARS-F's remediation gate and four-stage roadmap do.</w:t>
      </w:r>
    </w:p>
    <w:p w14:paraId="7EF809C6" w14:textId="77777777" w:rsidR="00531EF3" w:rsidRPr="00D304EC" w:rsidRDefault="00531EF3" w:rsidP="00531EF3">
      <w:pPr>
        <w:spacing w:line="360" w:lineRule="auto"/>
        <w:jc w:val="both"/>
        <w:rPr>
          <w:rFonts w:ascii="Calibri" w:hAnsi="Calibri" w:cs="Calibri"/>
          <w:color w:val="000000" w:themeColor="text1"/>
          <w:sz w:val="22"/>
          <w:szCs w:val="22"/>
        </w:rPr>
      </w:pPr>
    </w:p>
    <w:p w14:paraId="23498E01"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Practitioner-originated maturity models follow a similar pattern to MiMMo, and there are several of them, which is itself telling. Application-networking vendors have published four-stage maturity models aimed at the same underlying problem, typically organised around technical dimensions such as application design, infrastructure, and observability, refined through direct customer engagements instead of peer review. These tools have real value: they reflect deployment experience at scale in a way an armchair framework cannot. But they also illustrate the fragmentation problem this paper's introduction describes. Each vendor's model uses its own dimensions, its own maturity labels, and its own scoring logic, with no </w:t>
      </w:r>
      <w:r w:rsidRPr="00D304EC">
        <w:rPr>
          <w:rFonts w:ascii="Calibri" w:hAnsi="Calibri" w:cs="Calibri"/>
          <w:color w:val="000000" w:themeColor="text1"/>
          <w:sz w:val="22"/>
          <w:szCs w:val="22"/>
        </w:rPr>
        <w:lastRenderedPageBreak/>
        <w:t>shared theoretical vocabulary connecting one to another. An organisation comparing two vendors' guidance side by side often cannot tell whether it is looking at genuinely different advice or the same advice described differently. None of these tools, to date, has been built on an established adoption-theory foundation, tested through peer review, or extended into a mechanism connecting diagnosis to a theoretically justified staged rollout.</w:t>
      </w:r>
    </w:p>
    <w:p w14:paraId="554AB96D" w14:textId="77777777" w:rsidR="00531EF3" w:rsidRPr="00D304EC" w:rsidRDefault="00531EF3" w:rsidP="00531EF3">
      <w:pPr>
        <w:spacing w:line="360" w:lineRule="auto"/>
        <w:jc w:val="both"/>
        <w:rPr>
          <w:rFonts w:ascii="Calibri" w:hAnsi="Calibri" w:cs="Calibri"/>
          <w:color w:val="000000" w:themeColor="text1"/>
          <w:sz w:val="22"/>
          <w:szCs w:val="22"/>
        </w:rPr>
      </w:pPr>
    </w:p>
    <w:p w14:paraId="57D972AF"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2.2 TOE extensions incorporating security and other constructs</w:t>
      </w:r>
    </w:p>
    <w:p w14:paraId="4C1197DD"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 second strand is prior work that has already tried to extend TOE. Two things make this matter for MARS-F's own claim to novelty. Extending TOE beyond its original three contexts is already a recognised, legitimate theoretical move, not something improvised for this paper, and reviewing that prior work lets this paper be precise about what, specifically, is new in TOES rather than claiming credit for the whole idea of extension. Awa, Ojiabo, and Orokor (2017) extended TOE by integrating Task-Technology-Fit and UTAUT constructs into a five-context, twelve-factor framework, arguing that the standard three-context structure under-represents task-level and individual-level adoption factors; their extension was empirically tested across small service enterprises and found statistical support for most of the added factors. Independently of anything specific to security, this confirms that the literature already treats TOE's original three contexts as a starting point, not a fixed and complete structure.</w:t>
      </w:r>
    </w:p>
    <w:p w14:paraId="738A4781" w14:textId="77777777" w:rsidR="00531EF3" w:rsidRPr="00D304EC" w:rsidRDefault="00531EF3" w:rsidP="00531EF3">
      <w:pPr>
        <w:spacing w:line="360" w:lineRule="auto"/>
        <w:jc w:val="both"/>
        <w:rPr>
          <w:rFonts w:ascii="Calibri" w:hAnsi="Calibri" w:cs="Calibri"/>
          <w:color w:val="000000" w:themeColor="text1"/>
          <w:sz w:val="22"/>
          <w:szCs w:val="22"/>
        </w:rPr>
      </w:pPr>
    </w:p>
    <w:p w14:paraId="59FBCF87" w14:textId="055B4CB0"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Closer to this paper's specific concern, Wallace, Green, Johnson, Cooper, and Gilstrap (2020) interviewed C-level executives and IT consultants and found that the traditional TOE framework did not fully capture the range of issues organisations </w:t>
      </w:r>
      <w:r w:rsidR="00531EF3" w:rsidRPr="00D304EC">
        <w:rPr>
          <w:rFonts w:ascii="Calibri" w:hAnsi="Calibri" w:cs="Calibri"/>
          <w:color w:val="000000" w:themeColor="text1"/>
          <w:sz w:val="22"/>
          <w:szCs w:val="22"/>
        </w:rPr>
        <w:t>face</w:t>
      </w:r>
      <w:r w:rsidRPr="00D304EC">
        <w:rPr>
          <w:rFonts w:ascii="Calibri" w:hAnsi="Calibri" w:cs="Calibri"/>
          <w:color w:val="000000" w:themeColor="text1"/>
          <w:sz w:val="22"/>
          <w:szCs w:val="22"/>
        </w:rPr>
        <w:t xml:space="preserve"> in cybersecurity-adoption decisions. They proposed an extended framework adding new dimensions, described as cyber catalysts and practice standards, alongside new factors within the traditional three contexts. This is a genuinely important precedent: it confirms independently that TOE's standard three-context structure has been found wanting on security grounds before, not only on the task and individual grounds Awa et al. identified. Two differences from MARS-F stand out. Wallace et al.'s extension is general to cybersecurity-adoption decisions, not specific to microservices, so it does not engage with the distributed, service-mesh-specific attack-surface characteristics that Section 5.4 argues make microservices a qualitatively different case from cybersecurity adoption in general. And their contribution, like Awa et al.'s, is a qualitative or statistical factor-based extension: it identifies what belongs in an extended TOE model but does not turn that model into a staged, sequenced adoption mechanism with a scoring system, a remediation gate, or a governance feedback loop. MARS-F's TOES structure and these prior extensions read as complementary, not </w:t>
      </w:r>
      <w:r w:rsidRPr="00D304EC">
        <w:rPr>
          <w:rFonts w:ascii="Calibri" w:hAnsi="Calibri" w:cs="Calibri"/>
          <w:color w:val="000000" w:themeColor="text1"/>
          <w:sz w:val="22"/>
          <w:szCs w:val="22"/>
        </w:rPr>
        <w:lastRenderedPageBreak/>
        <w:t>competing. This paper's theoretical scope is narrower, microservices specifically, not technology adoption or cybersecurity adoption generally, but its mechanism goes further: a full diagnostic-to-roadmap system, not just a validated set of adoption factors.</w:t>
      </w:r>
    </w:p>
    <w:p w14:paraId="15ABDE85" w14:textId="77777777" w:rsidR="00531EF3" w:rsidRPr="00D304EC" w:rsidRDefault="00531EF3" w:rsidP="00531EF3">
      <w:pPr>
        <w:spacing w:line="360" w:lineRule="auto"/>
        <w:jc w:val="both"/>
        <w:rPr>
          <w:rFonts w:ascii="Calibri" w:hAnsi="Calibri" w:cs="Calibri"/>
          <w:color w:val="000000" w:themeColor="text1"/>
          <w:sz w:val="22"/>
          <w:szCs w:val="22"/>
        </w:rPr>
      </w:pPr>
    </w:p>
    <w:p w14:paraId="2C554A82"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2.3 General cybersecurity maturity models</w:t>
      </w:r>
    </w:p>
    <w:p w14:paraId="5F18163F" w14:textId="558F7641"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 third strand sits adjacent to the first two: maturity models built specifically for cybersecurity </w:t>
      </w:r>
      <w:r w:rsidR="00531EF3" w:rsidRPr="00D304EC">
        <w:rPr>
          <w:rFonts w:ascii="Calibri" w:hAnsi="Calibri" w:cs="Calibri"/>
          <w:color w:val="000000" w:themeColor="text1"/>
          <w:sz w:val="22"/>
          <w:szCs w:val="22"/>
        </w:rPr>
        <w:t>readiness but</w:t>
      </w:r>
      <w:r w:rsidRPr="00D304EC">
        <w:rPr>
          <w:rFonts w:ascii="Calibri" w:hAnsi="Calibri" w:cs="Calibri"/>
          <w:color w:val="000000" w:themeColor="text1"/>
          <w:sz w:val="22"/>
          <w:szCs w:val="22"/>
        </w:rPr>
        <w:t xml:space="preserve"> not tied to microservices or to TOE. Büyüközkan and Güler (2025) conducted a systematic literature review combined with bibliometric analysis across the cybersecurity maturity model literature and proposed a new model comprising five dimensions, fifteen factors, and five levels, validated through application in three companies. Their review is useful here for a reason beyond its own model. It explicitly notes that, despite a substantial number of existing cybersecurity maturity models, no prior academic study had combined a systematic literature review, bibliometric analysis, and expert validation into a single model applicable across industries and organisation sizes. That is essentially the same fragmentation diagnosis this paper's own introduction makes about microservices adoption guidance specifically. Büyüközkan and Güler's model is comprehensive and rigorously constructed, but it addresses general-purpose cybersecurity maturity, not microservices specifically, and it is not grounded in an adoption-theory framework like TOE; its five dimensions come from bibliometric synthesis of the cybersecurity literature, not from technology-adoption theory. It also, like MiMMo, stops at diagnosis instead of connecting the assessment to a staged implementation roadmap with a remediation gate.</w:t>
      </w:r>
    </w:p>
    <w:p w14:paraId="714794BD" w14:textId="77777777" w:rsidR="00531EF3" w:rsidRPr="00D304EC" w:rsidRDefault="00531EF3" w:rsidP="00531EF3">
      <w:pPr>
        <w:spacing w:line="360" w:lineRule="auto"/>
        <w:jc w:val="both"/>
        <w:rPr>
          <w:rFonts w:ascii="Calibri" w:hAnsi="Calibri" w:cs="Calibri"/>
          <w:color w:val="000000" w:themeColor="text1"/>
          <w:sz w:val="22"/>
          <w:szCs w:val="22"/>
        </w:rPr>
      </w:pPr>
    </w:p>
    <w:p w14:paraId="3A1A517E"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2.4 Where MARS-F is positioned</w:t>
      </w:r>
    </w:p>
    <w:p w14:paraId="1EB52A1D"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Taken together, these three strands leave a genuine space between them. Microservices-specific readiness models exist but lack theoretical grounding in adoption theory and do not treat security as a distinct dimension. TOE extensions that do incorporate security, or other under-represented factors, exist but are not specific to microservices and stop short of a staged implementation mechanism. General cybersecurity maturity models exist and are rigorously built, but address neither microservices specifically nor TOE grounding. MARS-F sits at the intersection of the three: a microservices-specific, TOE-grounded, security-inclusive readiness framework that also operationalises its diagnosis into a sequenced roadmap. No single piece of prior work reviewed here occupies that intersection, though each supplies part of the case for why it is worth building something that does. Section 4 develops the theoretical grounding for this position in full; Section 5 develops the evidence base; Section 6 sets out the resulting framework and roadmap mechanism itself.</w:t>
      </w:r>
    </w:p>
    <w:p w14:paraId="271D5E1F"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3. Secondary-Evidence Synthesis Protocol</w:t>
      </w:r>
    </w:p>
    <w:p w14:paraId="2CB09EF5"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3.1 Rationale for a semi-systematic approach</w:t>
      </w:r>
    </w:p>
    <w:p w14:paraId="0ECEF2BA"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paper does not follow a full PRISMA-style systematic review protocol, since the deliverable is a conceptual framework, not a literature map. To ground the TOES constructs credibly instead of asserting them from theory alone, it uses a semi-systematic search process: transparent and replicable in its search parameters, but selective and purposive in its final source inclusion, guided by relevance to construct development instead of exhaustive coverage.</w:t>
      </w:r>
    </w:p>
    <w:p w14:paraId="4D1998F8" w14:textId="77777777" w:rsidR="00531EF3" w:rsidRPr="00D304EC" w:rsidRDefault="00531EF3" w:rsidP="00531EF3">
      <w:pPr>
        <w:spacing w:line="360" w:lineRule="auto"/>
        <w:jc w:val="both"/>
        <w:rPr>
          <w:rFonts w:ascii="Calibri" w:hAnsi="Calibri" w:cs="Calibri"/>
          <w:color w:val="000000" w:themeColor="text1"/>
          <w:sz w:val="22"/>
          <w:szCs w:val="22"/>
        </w:rPr>
      </w:pPr>
    </w:p>
    <w:p w14:paraId="34427541"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3.2 Databases and source types</w:t>
      </w:r>
    </w:p>
    <w:p w14:paraId="7499147A"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Academic databases: Scopus, Web of Science, IEEE Xplore, ACM Digital Library, and Google Scholar (supplementary). Grey literature and industry sources are included deliberately, given the paper's premise that vendor and practitioner guidance is itself part of the problem being addressed: Cloud Native Computing Foundation (CNCF) annual surveys, vendor and industry survey reports (e.g., Kong/Vanson Bourne), standards and government guidance (e.g., NIST Special Publications), and established technical publishers.</w:t>
      </w:r>
    </w:p>
    <w:p w14:paraId="3E29BC7D" w14:textId="77777777" w:rsidR="00531EF3" w:rsidRPr="00D304EC" w:rsidRDefault="00531EF3" w:rsidP="00531EF3">
      <w:pPr>
        <w:spacing w:line="360" w:lineRule="auto"/>
        <w:jc w:val="both"/>
        <w:rPr>
          <w:rFonts w:ascii="Calibri" w:hAnsi="Calibri" w:cs="Calibri"/>
          <w:color w:val="000000" w:themeColor="text1"/>
          <w:sz w:val="22"/>
          <w:szCs w:val="22"/>
        </w:rPr>
      </w:pPr>
    </w:p>
    <w:p w14:paraId="2FB392AB"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3.3 Search strings and clusters</w:t>
      </w:r>
    </w:p>
    <w:p w14:paraId="170E77D3"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Adoption/awareness: ("microservices" OR "microservice architecture") AND ("adoption" OR "awareness" OR "readiness") AND ("organi?ation*" OR "enterprise")</w:t>
      </w:r>
    </w:p>
    <w:p w14:paraId="21179AFE"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Security: ("microservices" OR "microservice architecture") AND ("security" OR "cyber security" OR "attack surface" OR "vulnerability")</w:t>
      </w:r>
    </w:p>
    <w:p w14:paraId="21A1C4BD" w14:textId="77777777" w:rsidR="007E0EBC" w:rsidRPr="00D304E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Vendor/roadmap: ("microservices" OR "cloud native") AND ("vendor" OR "provider") AND ("roadmap" OR "guidance" OR "migration strategy")</w:t>
      </w:r>
    </w:p>
    <w:p w14:paraId="56053E8E" w14:textId="77777777" w:rsidR="007E0EBC" w:rsidRDefault="00000000" w:rsidP="00531EF3">
      <w:pPr>
        <w:pStyle w:val="ListParagraph"/>
        <w:numPr>
          <w:ilvl w:val="0"/>
          <w:numId w:val="2"/>
        </w:num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Theoretical grounding: ("TOE framework" OR "Technology-Organization-Environment") AND ("adoption" OR "cloud" OR "microservices")</w:t>
      </w:r>
    </w:p>
    <w:p w14:paraId="08ED7E09" w14:textId="77777777" w:rsidR="00531EF3" w:rsidRPr="00D304EC" w:rsidRDefault="00531EF3" w:rsidP="00531EF3">
      <w:pPr>
        <w:pStyle w:val="ListParagraph"/>
        <w:spacing w:line="360" w:lineRule="auto"/>
        <w:ind w:left="576"/>
        <w:jc w:val="both"/>
        <w:rPr>
          <w:rFonts w:ascii="Calibri" w:hAnsi="Calibri" w:cs="Calibri"/>
          <w:color w:val="000000" w:themeColor="text1"/>
          <w:sz w:val="22"/>
          <w:szCs w:val="22"/>
        </w:rPr>
      </w:pPr>
    </w:p>
    <w:p w14:paraId="223DBAC2"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3.4 Date range and justification</w:t>
      </w:r>
    </w:p>
    <w:p w14:paraId="353270E8"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2020–2026. This range captures the post-early-adopter inflection point at which microservices moved from innovator and early-adopter organisations into mainstream enterprise use, making adoption-barrier evidence from this period more representative of the late-majority organisations MARS-F targets. It also captures the CNCF's most recent survey cycles and the post-2023 security literature responding to the maturing threat landscape. Foundational theoretical sources (Tornatzky &amp; Fleischer, 1990; Rogers, 2003; </w:t>
      </w:r>
      <w:r w:rsidRPr="00D304EC">
        <w:rPr>
          <w:rFonts w:ascii="Calibri" w:hAnsi="Calibri" w:cs="Calibri"/>
          <w:color w:val="000000" w:themeColor="text1"/>
          <w:sz w:val="22"/>
          <w:szCs w:val="22"/>
        </w:rPr>
        <w:lastRenderedPageBreak/>
        <w:t>Cohen &amp; Levinthal, 1990; Teece, Pisano, &amp; Shuen, 1997; Trist &amp; Bamforth, 1951) sit outside the date filter, since they are cited for theoretical grounding, not current-state evidence.</w:t>
      </w:r>
    </w:p>
    <w:p w14:paraId="620ABE38" w14:textId="77777777" w:rsidR="00531EF3" w:rsidRPr="00D304EC" w:rsidRDefault="00531EF3" w:rsidP="00531EF3">
      <w:pPr>
        <w:spacing w:line="360" w:lineRule="auto"/>
        <w:jc w:val="both"/>
        <w:rPr>
          <w:rFonts w:ascii="Calibri" w:hAnsi="Calibri" w:cs="Calibri"/>
          <w:color w:val="000000" w:themeColor="text1"/>
          <w:sz w:val="22"/>
          <w:szCs w:val="22"/>
        </w:rPr>
      </w:pPr>
    </w:p>
    <w:p w14:paraId="6B22323F"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3.5 Inclusion and exclusion criteria</w:t>
      </w:r>
    </w:p>
    <w:p w14:paraId="19EE7D0C" w14:textId="77777777" w:rsidR="007E0EBC" w:rsidRDefault="00000000" w:rsidP="00531EF3">
      <w:pPr>
        <w:spacing w:line="360" w:lineRule="auto"/>
        <w:jc w:val="both"/>
        <w:rPr>
          <w:rFonts w:ascii="Calibri" w:hAnsi="Calibri" w:cs="Calibri"/>
          <w:color w:val="000000" w:themeColor="text1"/>
          <w:sz w:val="22"/>
          <w:szCs w:val="22"/>
        </w:rPr>
      </w:pPr>
      <w:r w:rsidRPr="00531EF3">
        <w:rPr>
          <w:rFonts w:ascii="Calibri" w:hAnsi="Calibri" w:cs="Calibri"/>
          <w:b/>
          <w:bCs/>
          <w:color w:val="000000" w:themeColor="text1"/>
          <w:sz w:val="22"/>
          <w:szCs w:val="22"/>
        </w:rPr>
        <w:t>Inclusion:</w:t>
      </w:r>
      <w:r w:rsidRPr="00D304EC">
        <w:rPr>
          <w:rFonts w:ascii="Calibri" w:hAnsi="Calibri" w:cs="Calibri"/>
          <w:color w:val="000000" w:themeColor="text1"/>
          <w:sz w:val="22"/>
          <w:szCs w:val="22"/>
        </w:rPr>
        <w:t xml:space="preserve"> published or updated 2020–2026 (evidence sources; any date for foundational theory); English language; directly addresses microservices adoption, security, or TOE-based technology adoption; grey literature sourced from an identifiable organisation with a stated methodology (sample size, survey date, respondent profile); academic sources from peer-reviewed journals, conference proceedings, or recognised standards bodies.</w:t>
      </w:r>
    </w:p>
    <w:p w14:paraId="43E56E8C" w14:textId="77777777" w:rsidR="00531EF3" w:rsidRPr="00D304EC" w:rsidRDefault="00531EF3" w:rsidP="00531EF3">
      <w:pPr>
        <w:spacing w:line="360" w:lineRule="auto"/>
        <w:jc w:val="both"/>
        <w:rPr>
          <w:rFonts w:ascii="Calibri" w:hAnsi="Calibri" w:cs="Calibri"/>
          <w:color w:val="000000" w:themeColor="text1"/>
          <w:sz w:val="22"/>
          <w:szCs w:val="22"/>
        </w:rPr>
      </w:pPr>
    </w:p>
    <w:p w14:paraId="6D3FE709" w14:textId="77777777" w:rsidR="007E0EBC" w:rsidRDefault="00000000" w:rsidP="00531EF3">
      <w:pPr>
        <w:spacing w:line="360" w:lineRule="auto"/>
        <w:jc w:val="both"/>
        <w:rPr>
          <w:rFonts w:ascii="Calibri" w:hAnsi="Calibri" w:cs="Calibri"/>
          <w:color w:val="000000" w:themeColor="text1"/>
          <w:sz w:val="22"/>
          <w:szCs w:val="22"/>
        </w:rPr>
      </w:pPr>
      <w:r w:rsidRPr="00531EF3">
        <w:rPr>
          <w:rFonts w:ascii="Calibri" w:hAnsi="Calibri" w:cs="Calibri"/>
          <w:b/>
          <w:bCs/>
          <w:color w:val="000000" w:themeColor="text1"/>
          <w:sz w:val="22"/>
          <w:szCs w:val="22"/>
        </w:rPr>
        <w:t>Exclusion:</w:t>
      </w:r>
      <w:r w:rsidRPr="00D304EC">
        <w:rPr>
          <w:rFonts w:ascii="Calibri" w:hAnsi="Calibri" w:cs="Calibri"/>
          <w:color w:val="000000" w:themeColor="text1"/>
          <w:sz w:val="22"/>
          <w:szCs w:val="22"/>
        </w:rPr>
        <w:t xml:space="preserve"> marketing content without underlying data or methodology; duplicate reporting of the same underlying survey without added analysis; sources focused exclusively on a single vendor's product features without generalisable insight; non-English sources without a validated translation.</w:t>
      </w:r>
    </w:p>
    <w:p w14:paraId="40319BF7" w14:textId="77777777" w:rsidR="00531EF3" w:rsidRPr="00D304EC" w:rsidRDefault="00531EF3" w:rsidP="00531EF3">
      <w:pPr>
        <w:spacing w:line="360" w:lineRule="auto"/>
        <w:jc w:val="both"/>
        <w:rPr>
          <w:rFonts w:ascii="Calibri" w:hAnsi="Calibri" w:cs="Calibri"/>
          <w:color w:val="000000" w:themeColor="text1"/>
          <w:sz w:val="22"/>
          <w:szCs w:val="22"/>
        </w:rPr>
      </w:pPr>
    </w:p>
    <w:p w14:paraId="478F2E85"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3.6 Screening, selection, and quality appraisal</w:t>
      </w:r>
    </w:p>
    <w:p w14:paraId="5AF86DAB"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Sources proceed through title/abstract screening, full-text screening for construct relevance, and construct-mapping extraction, in which each retained source is tagged to the specific TOES construct(s) it evidences. Rather than a full CASP or MMAT appraisal, disproportionate for a conceptual paper, each source is checked against three lightweight criteria: provenance (identifiable author or organisation and methodology), currency (within date range, or foundational theory), and relevance fit (direct evidence for a named TOES construct, not tangential mention). This protocol is disclosed as a limitation in Section 8: a semi-systematic approach cannot claim exhaustive coverage, and construct-mapping involves a degree of interpretive judgement, an acceptable trade-off given the paper's conceptual contribution type.</w:t>
      </w:r>
    </w:p>
    <w:p w14:paraId="0EDA09EE" w14:textId="77777777" w:rsidR="00531EF3" w:rsidRPr="00D304EC" w:rsidRDefault="00531EF3" w:rsidP="00531EF3">
      <w:pPr>
        <w:spacing w:line="360" w:lineRule="auto"/>
        <w:jc w:val="both"/>
        <w:rPr>
          <w:rFonts w:ascii="Calibri" w:hAnsi="Calibri" w:cs="Calibri"/>
          <w:color w:val="000000" w:themeColor="text1"/>
          <w:sz w:val="22"/>
          <w:szCs w:val="22"/>
        </w:rPr>
      </w:pPr>
    </w:p>
    <w:p w14:paraId="079432A9"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4. Theoretical Foundations</w:t>
      </w:r>
    </w:p>
    <w:p w14:paraId="5B682255"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MARS-F draws on five theoretical traditions, not because any single lens would be insufficient on its own, but because each does a different job. Four of them justify a specific construct: they explain why a particular dimension belongs in the model at all. The remaining two, Sociotechnical Systems Theory and Dynamic Capabilities, work differently. They shape how the whole framework behaves, cutting across every dimension instead of anchoring just one.</w:t>
      </w:r>
    </w:p>
    <w:p w14:paraId="027AC1F5" w14:textId="77777777" w:rsidR="00531EF3" w:rsidRDefault="00531EF3" w:rsidP="00531EF3">
      <w:pPr>
        <w:spacing w:line="360" w:lineRule="auto"/>
        <w:jc w:val="both"/>
        <w:rPr>
          <w:rFonts w:ascii="Calibri" w:hAnsi="Calibri" w:cs="Calibri"/>
          <w:color w:val="000000" w:themeColor="text1"/>
          <w:sz w:val="22"/>
          <w:szCs w:val="22"/>
        </w:rPr>
      </w:pPr>
    </w:p>
    <w:p w14:paraId="65091BB5" w14:textId="77777777" w:rsidR="00531EF3" w:rsidRPr="00D304EC" w:rsidRDefault="00531EF3" w:rsidP="00531EF3">
      <w:pPr>
        <w:spacing w:line="360" w:lineRule="auto"/>
        <w:jc w:val="both"/>
        <w:rPr>
          <w:rFonts w:ascii="Calibri" w:hAnsi="Calibri" w:cs="Calibri"/>
          <w:color w:val="000000" w:themeColor="text1"/>
          <w:sz w:val="22"/>
          <w:szCs w:val="22"/>
        </w:rPr>
      </w:pPr>
    </w:p>
    <w:p w14:paraId="44FA05C6"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4.1 Technology-Organization-Environment (TOE) Framework</w:t>
      </w:r>
    </w:p>
    <w:p w14:paraId="46BC502D" w14:textId="1D1859D6"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Tornatzky and Fleischer's (1990) Technology-Organization-Environment framework is still one of the most widely used lenses for studying how organisations take up new technology. There is a good reason for that. It does not assume anything about the technology itself, which is why it has survived from EDI systems in the 1990s through to cloud computing </w:t>
      </w:r>
      <w:r w:rsidR="00531EF3" w:rsidRPr="00D304EC">
        <w:rPr>
          <w:rFonts w:ascii="Calibri" w:hAnsi="Calibri" w:cs="Calibri"/>
          <w:color w:val="000000" w:themeColor="text1"/>
          <w:sz w:val="22"/>
          <w:szCs w:val="22"/>
        </w:rPr>
        <w:t>and</w:t>
      </w:r>
      <w:r w:rsidRPr="00D304EC">
        <w:rPr>
          <w:rFonts w:ascii="Calibri" w:hAnsi="Calibri" w:cs="Calibri"/>
          <w:color w:val="000000" w:themeColor="text1"/>
          <w:sz w:val="22"/>
          <w:szCs w:val="22"/>
        </w:rPr>
        <w:t xml:space="preserve"> now, microservices. Three of its original contexts, technological, organisational, and environmental, map directly onto three of MARS-F's four dimensions. Where TOE falls short is security. In its original formulation security barely features, and where it does appear it is folded into the technological context almost as an afterthought. That may have been defensible for the technologies TOE was originally built around. It is harder to defend for an architecture whose defining characteristic is a distributed, network-spanning footprint that expands the attack surface by design. That gap is why TOE becomes TOES here.</w:t>
      </w:r>
    </w:p>
    <w:p w14:paraId="5B8E83CE" w14:textId="77777777" w:rsidR="00531EF3" w:rsidRPr="00D304EC" w:rsidRDefault="00531EF3" w:rsidP="00531EF3">
      <w:pPr>
        <w:spacing w:line="360" w:lineRule="auto"/>
        <w:jc w:val="both"/>
        <w:rPr>
          <w:rFonts w:ascii="Calibri" w:hAnsi="Calibri" w:cs="Calibri"/>
          <w:color w:val="000000" w:themeColor="text1"/>
          <w:sz w:val="22"/>
          <w:szCs w:val="22"/>
        </w:rPr>
      </w:pPr>
    </w:p>
    <w:p w14:paraId="415CA09F"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4.2 Diffusion of Innovation (DOI)</w:t>
      </w:r>
    </w:p>
    <w:p w14:paraId="198AB82D"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Rogers' (2003) Diffusion of Innovation theory is often read as an account of why innovations succeed. It works at least as well, arguably better for this paper, as an account of why they stall. Rogers breaks adoption into five stages, knowledge, persuasion, decision, implementation, and confirmation, and the theory's real value here is that an organisation can get stuck at the very first one. If a firm never properly completes the knowledge stage, nothing that follows compensates for it, however strong the underlying technical case. That looks close to what recent survey data is showing: Logz.io's (2024) Observability Pulse survey found that a lack of in-team knowledge, not budget or tooling, was practitioners' single most-cited operational problem, and the figure rose sharply year over year. Read through Rogers' lens, this looks less like a technology problem and more like a stalled knowledge-stage problem, which is exactly what Stage A of the MARS-F roadmap is built to address.</w:t>
      </w:r>
    </w:p>
    <w:p w14:paraId="4D703778" w14:textId="77777777" w:rsidR="00531EF3" w:rsidRPr="00D304EC" w:rsidRDefault="00531EF3" w:rsidP="00531EF3">
      <w:pPr>
        <w:spacing w:line="360" w:lineRule="auto"/>
        <w:jc w:val="both"/>
        <w:rPr>
          <w:rFonts w:ascii="Calibri" w:hAnsi="Calibri" w:cs="Calibri"/>
          <w:color w:val="000000" w:themeColor="text1"/>
          <w:sz w:val="22"/>
          <w:szCs w:val="22"/>
        </w:rPr>
      </w:pPr>
    </w:p>
    <w:p w14:paraId="79C8439A"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4.3 Absorptive Capacity</w:t>
      </w:r>
    </w:p>
    <w:p w14:paraId="12D66010" w14:textId="7F5B0722"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There is a temptation, given how this paper opened, to treat the vendor-roadmap gap as a purely supply-side failure: providers simply are not producing clear guidance. Cohen and Levinthal's (1990) concept of absorptive capacity </w:t>
      </w:r>
      <w:r w:rsidR="00531EF3" w:rsidRPr="00D304EC">
        <w:rPr>
          <w:rFonts w:ascii="Calibri" w:hAnsi="Calibri" w:cs="Calibri"/>
          <w:color w:val="000000" w:themeColor="text1"/>
          <w:sz w:val="22"/>
          <w:szCs w:val="22"/>
        </w:rPr>
        <w:t>complicate</w:t>
      </w:r>
      <w:r w:rsidRPr="00D304EC">
        <w:rPr>
          <w:rFonts w:ascii="Calibri" w:hAnsi="Calibri" w:cs="Calibri"/>
          <w:color w:val="000000" w:themeColor="text1"/>
          <w:sz w:val="22"/>
          <w:szCs w:val="22"/>
        </w:rPr>
        <w:t xml:space="preserve"> that framing usefully. Absorptive capacity is an organisation's ability to recognise valuable external information, absorb it, and put it to use, and the theory's central claim is that this capacity does not arrive automatically alongside adoption. It has to be built separately. Liao, Liu, and Li (2023) tested something close to this empirically across a large public-sector sample and found what the theory predicts: adopting an information system does not, by itself, generate absorptive capacity. </w:t>
      </w:r>
      <w:r w:rsidRPr="00D304EC">
        <w:rPr>
          <w:rFonts w:ascii="Calibri" w:hAnsi="Calibri" w:cs="Calibri"/>
          <w:color w:val="000000" w:themeColor="text1"/>
          <w:sz w:val="22"/>
          <w:szCs w:val="22"/>
        </w:rPr>
        <w:lastRenderedPageBreak/>
        <w:t xml:space="preserve">Capacity instead emerges from the interaction between adoption and whatever organisational capability already existed beforehand. Applied here, that means better vendor documentation on its own would not close the gap this paper opened with, since an organisation still </w:t>
      </w:r>
      <w:r w:rsidR="00531EF3" w:rsidRPr="00D304EC">
        <w:rPr>
          <w:rFonts w:ascii="Calibri" w:hAnsi="Calibri" w:cs="Calibri"/>
          <w:color w:val="000000" w:themeColor="text1"/>
          <w:sz w:val="22"/>
          <w:szCs w:val="22"/>
        </w:rPr>
        <w:t>must</w:t>
      </w:r>
      <w:r w:rsidRPr="00D304EC">
        <w:rPr>
          <w:rFonts w:ascii="Calibri" w:hAnsi="Calibri" w:cs="Calibri"/>
          <w:color w:val="000000" w:themeColor="text1"/>
          <w:sz w:val="22"/>
          <w:szCs w:val="22"/>
        </w:rPr>
        <w:t xml:space="preserve"> be capable of using it. That is why vendor roadmap clarity sits inside Environmental Readiness instead of being treated as something wholly outside the organisation's control, and it gives MARS-F something concrete to offer organisations beyond simply waiting for providers to improve.</w:t>
      </w:r>
    </w:p>
    <w:p w14:paraId="5B05BE78" w14:textId="77777777" w:rsidR="00531EF3" w:rsidRPr="00D304EC" w:rsidRDefault="00531EF3" w:rsidP="00531EF3">
      <w:pPr>
        <w:spacing w:line="360" w:lineRule="auto"/>
        <w:jc w:val="both"/>
        <w:rPr>
          <w:rFonts w:ascii="Calibri" w:hAnsi="Calibri" w:cs="Calibri"/>
          <w:color w:val="000000" w:themeColor="text1"/>
          <w:sz w:val="22"/>
          <w:szCs w:val="22"/>
        </w:rPr>
      </w:pPr>
    </w:p>
    <w:p w14:paraId="452FF5B1"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4.4 Sociotechnical Systems Theory</w:t>
      </w:r>
    </w:p>
    <w:p w14:paraId="5BF163C3" w14:textId="089B365C"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Sociotechnical Systems Theory has a much older pedigree than the other four traditions here, tracing back to Trist and Bamforth's (1951) studies of coal-mining crews, long before anyone was writing software. Its core claim has aged well regardless: technical and social systems </w:t>
      </w:r>
      <w:r w:rsidR="00531EF3" w:rsidRPr="00D304EC">
        <w:rPr>
          <w:rFonts w:ascii="Calibri" w:hAnsi="Calibri" w:cs="Calibri"/>
          <w:color w:val="000000" w:themeColor="text1"/>
          <w:sz w:val="22"/>
          <w:szCs w:val="22"/>
        </w:rPr>
        <w:t>must</w:t>
      </w:r>
      <w:r w:rsidRPr="00D304EC">
        <w:rPr>
          <w:rFonts w:ascii="Calibri" w:hAnsi="Calibri" w:cs="Calibri"/>
          <w:color w:val="000000" w:themeColor="text1"/>
          <w:sz w:val="22"/>
          <w:szCs w:val="22"/>
        </w:rPr>
        <w:t xml:space="preserve"> be designed together, and interventions that touch only the technical side tend to underperform. Applied to Security Readiness, that is why the dimension is not simply a list of technical controls. Haindl et al. (2024) note that most existing security research still concentrates on technical mechanisms, leaving the cultural and organisational side of security comparatively thin. Malatji, Von Solms, and Marnewick (2019) found much the same pattern building a sociotechnical cybersecurity framework of their own: organisations relying on purely technical security models kept leaving social and procedural vulnerabilities unaddressed, and Ewoh, Vartiainen, and Mantere (2025) found the pattern repeat in healthcare settings. Beyond grounding Security Readiness specifically, this theory does something broader for MARS-F as a whole: it keeps every one of the four TOES dimensions from collapsing into a checklist.</w:t>
      </w:r>
    </w:p>
    <w:p w14:paraId="0384ABA8" w14:textId="77777777" w:rsidR="00531EF3" w:rsidRPr="00D304EC" w:rsidRDefault="00531EF3" w:rsidP="00531EF3">
      <w:pPr>
        <w:spacing w:line="360" w:lineRule="auto"/>
        <w:jc w:val="both"/>
        <w:rPr>
          <w:rFonts w:ascii="Calibri" w:hAnsi="Calibri" w:cs="Calibri"/>
          <w:color w:val="000000" w:themeColor="text1"/>
          <w:sz w:val="22"/>
          <w:szCs w:val="22"/>
        </w:rPr>
      </w:pPr>
    </w:p>
    <w:p w14:paraId="568D0F39"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4.5 Dynamic Capabilities</w:t>
      </w:r>
    </w:p>
    <w:p w14:paraId="7C8DE04F" w14:textId="5F6CA85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Teece, Pisano, and Shuen's (1997) Dynamic Capabilities framework concerns how firms build and reconfigure internal competences to keep pace with a changing environment, usually broken into sensing, seizing, and reconfiguring. It does two jobs within MARS-F. It explains why the roadmap is staged at all instead of a single readiness check: Stages A through D mirror that sensing-seizing-reconfiguring sequence </w:t>
      </w:r>
      <w:r w:rsidR="00531EF3" w:rsidRPr="00D304EC">
        <w:rPr>
          <w:rFonts w:ascii="Calibri" w:hAnsi="Calibri" w:cs="Calibri"/>
          <w:color w:val="000000" w:themeColor="text1"/>
          <w:sz w:val="22"/>
          <w:szCs w:val="22"/>
        </w:rPr>
        <w:t>directly</w:t>
      </w:r>
      <w:r w:rsidRPr="00D304EC">
        <w:rPr>
          <w:rFonts w:ascii="Calibri" w:hAnsi="Calibri" w:cs="Calibri"/>
          <w:color w:val="000000" w:themeColor="text1"/>
          <w:sz w:val="22"/>
          <w:szCs w:val="22"/>
        </w:rPr>
        <w:t>. More importantly, it justifies the feedback loop running from Stage D back into the readiness profile. Without this theory, MARS-F would amount to a one-time diagnostic tool. With it, the framework is explicitly built to keep re-scoring itself, matching what actually happens in practice: both the microservices threat landscape and an organisation's own capability continue to move long after initial adoption.</w:t>
      </w:r>
    </w:p>
    <w:p w14:paraId="493B92D1" w14:textId="77777777" w:rsidR="00531EF3" w:rsidRPr="00D304EC" w:rsidRDefault="00531EF3" w:rsidP="00531EF3">
      <w:pPr>
        <w:spacing w:line="360" w:lineRule="auto"/>
        <w:jc w:val="both"/>
        <w:rPr>
          <w:rFonts w:ascii="Calibri" w:hAnsi="Calibri" w:cs="Calibri"/>
          <w:color w:val="000000" w:themeColor="text1"/>
          <w:sz w:val="22"/>
          <w:szCs w:val="22"/>
        </w:rPr>
      </w:pPr>
    </w:p>
    <w:p w14:paraId="69E33866"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4.6 Synthesis: how the five theories interlock</w:t>
      </w:r>
    </w:p>
    <w:p w14:paraId="4CF78B14" w14:textId="0678969B"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Taken together, the five theories do different work, and none could carry MARS-F alone. TOE gives the model its skeleton, since three of the four dimensions map straight onto it. DOI explains the specific failure mode, a stalled knowledge stage, that the roadmap exists to fix. Absorptive Capacity reframes the paper's opening problem in a way that gives organisations something to act on instead of leaving them waiting on vendors. Sociotechnical Systems Theory keeps every dimension, not just Security, from being reduced to a checklist. Dynamic Capabilities is the only one of the five that explains why the whole model </w:t>
      </w:r>
      <w:r w:rsidR="00531EF3" w:rsidRPr="00D304EC">
        <w:rPr>
          <w:rFonts w:ascii="Calibri" w:hAnsi="Calibri" w:cs="Calibri"/>
          <w:color w:val="000000" w:themeColor="text1"/>
          <w:sz w:val="22"/>
          <w:szCs w:val="22"/>
        </w:rPr>
        <w:t>must</w:t>
      </w:r>
      <w:r w:rsidRPr="00D304EC">
        <w:rPr>
          <w:rFonts w:ascii="Calibri" w:hAnsi="Calibri" w:cs="Calibri"/>
          <w:color w:val="000000" w:themeColor="text1"/>
          <w:sz w:val="22"/>
          <w:szCs w:val="22"/>
        </w:rPr>
        <w:t xml:space="preserve"> loop instead of stopping after a single diagnosis.</w:t>
      </w:r>
    </w:p>
    <w:p w14:paraId="710D9309" w14:textId="77777777" w:rsidR="00531EF3" w:rsidRPr="00D304EC" w:rsidRDefault="00531EF3" w:rsidP="00531EF3">
      <w:pPr>
        <w:spacing w:line="360" w:lineRule="auto"/>
        <w:jc w:val="both"/>
        <w:rPr>
          <w:rFonts w:ascii="Calibri" w:hAnsi="Calibri" w:cs="Calibri"/>
          <w:color w:val="000000" w:themeColor="text1"/>
          <w:sz w:val="22"/>
          <w:szCs w:val="22"/>
        </w:rPr>
      </w:pPr>
    </w:p>
    <w:p w14:paraId="4F9F58E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Figure 1 sets this same argument out visually, mapping each theory on the left to the specific construct or mechanism it justifies on the right. The two theories that operate as cross-cutting logics, Sociotechnical Systems Theory and Dynamic Capabilities, sit separately at the bottom of the figure instead of being tied to a single arrow, since their influence runs across the whole model instead of into one dimension. Reading the figure alongside the five subsections above should make clear that each arrow corresponds to a specific piece of reasoning already made in the text, not an assumed or self-evident link. The figure summarises an argument; it does not substitute for one.</w:t>
      </w:r>
    </w:p>
    <w:p w14:paraId="72DBC0D2" w14:textId="77B32B1E" w:rsidR="00531EF3" w:rsidRDefault="00531EF3" w:rsidP="00531EF3">
      <w:pPr>
        <w:spacing w:line="360" w:lineRule="auto"/>
        <w:jc w:val="both"/>
        <w:rPr>
          <w:rFonts w:ascii="Calibri" w:hAnsi="Calibri" w:cs="Calibri"/>
          <w:color w:val="000000" w:themeColor="text1"/>
          <w:sz w:val="22"/>
          <w:szCs w:val="22"/>
        </w:rPr>
      </w:pPr>
      <w:r w:rsidRPr="00D304EC">
        <w:rPr>
          <w:rFonts w:ascii="Calibri" w:hAnsi="Calibri" w:cs="Calibri"/>
          <w:noProof/>
          <w:color w:val="000000" w:themeColor="text1"/>
          <w:sz w:val="22"/>
          <w:szCs w:val="22"/>
        </w:rPr>
        <w:drawing>
          <wp:anchor distT="0" distB="0" distL="114300" distR="114300" simplePos="0" relativeHeight="251658240" behindDoc="1" locked="0" layoutInCell="1" allowOverlap="1" wp14:anchorId="0F9C351C" wp14:editId="55B87FB7">
            <wp:simplePos x="0" y="0"/>
            <wp:positionH relativeFrom="margin">
              <wp:align>center</wp:align>
            </wp:positionH>
            <wp:positionV relativeFrom="paragraph">
              <wp:posOffset>12065</wp:posOffset>
            </wp:positionV>
            <wp:extent cx="5334000" cy="3952875"/>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334000" cy="3952875"/>
                    </a:xfrm>
                    <a:prstGeom prst="rect">
                      <a:avLst/>
                    </a:prstGeom>
                  </pic:spPr>
                </pic:pic>
              </a:graphicData>
            </a:graphic>
            <wp14:sizeRelV relativeFrom="margin">
              <wp14:pctHeight>0</wp14:pctHeight>
            </wp14:sizeRelV>
          </wp:anchor>
        </w:drawing>
      </w:r>
    </w:p>
    <w:p w14:paraId="3C30B040" w14:textId="299C9955" w:rsidR="00531EF3" w:rsidRDefault="00531EF3" w:rsidP="00531EF3">
      <w:pPr>
        <w:spacing w:line="360" w:lineRule="auto"/>
        <w:jc w:val="both"/>
        <w:rPr>
          <w:rFonts w:ascii="Calibri" w:hAnsi="Calibri" w:cs="Calibri"/>
          <w:color w:val="000000" w:themeColor="text1"/>
          <w:sz w:val="22"/>
          <w:szCs w:val="22"/>
        </w:rPr>
      </w:pPr>
    </w:p>
    <w:p w14:paraId="4950163D" w14:textId="109FBA4E" w:rsidR="00531EF3" w:rsidRDefault="00531EF3" w:rsidP="00531EF3">
      <w:pPr>
        <w:spacing w:line="360" w:lineRule="auto"/>
        <w:jc w:val="both"/>
        <w:rPr>
          <w:rFonts w:ascii="Calibri" w:hAnsi="Calibri" w:cs="Calibri"/>
          <w:color w:val="000000" w:themeColor="text1"/>
          <w:sz w:val="22"/>
          <w:szCs w:val="22"/>
        </w:rPr>
      </w:pPr>
    </w:p>
    <w:p w14:paraId="4D98B7CC" w14:textId="66BF61CE" w:rsidR="00531EF3" w:rsidRDefault="00531EF3" w:rsidP="00531EF3">
      <w:pPr>
        <w:spacing w:line="360" w:lineRule="auto"/>
        <w:jc w:val="both"/>
        <w:rPr>
          <w:rFonts w:ascii="Calibri" w:hAnsi="Calibri" w:cs="Calibri"/>
          <w:color w:val="000000" w:themeColor="text1"/>
          <w:sz w:val="22"/>
          <w:szCs w:val="22"/>
        </w:rPr>
      </w:pPr>
    </w:p>
    <w:p w14:paraId="1F0FDEA5" w14:textId="0F7137E2" w:rsidR="00531EF3" w:rsidRPr="00D304EC" w:rsidRDefault="00531EF3" w:rsidP="00531EF3">
      <w:pPr>
        <w:spacing w:line="360" w:lineRule="auto"/>
        <w:jc w:val="both"/>
        <w:rPr>
          <w:rFonts w:ascii="Calibri" w:hAnsi="Calibri" w:cs="Calibri"/>
          <w:color w:val="000000" w:themeColor="text1"/>
          <w:sz w:val="22"/>
          <w:szCs w:val="22"/>
        </w:rPr>
      </w:pPr>
    </w:p>
    <w:p w14:paraId="2F23740F" w14:textId="72D477F8" w:rsidR="007E0EBC" w:rsidRPr="00D304EC" w:rsidRDefault="007E0EBC" w:rsidP="00531EF3">
      <w:pPr>
        <w:spacing w:line="360" w:lineRule="auto"/>
        <w:jc w:val="both"/>
        <w:rPr>
          <w:rFonts w:ascii="Calibri" w:hAnsi="Calibri" w:cs="Calibri"/>
          <w:color w:val="000000" w:themeColor="text1"/>
          <w:sz w:val="22"/>
          <w:szCs w:val="22"/>
        </w:rPr>
      </w:pPr>
    </w:p>
    <w:p w14:paraId="42359ACF" w14:textId="77777777" w:rsidR="00531EF3" w:rsidRDefault="00531EF3" w:rsidP="00531EF3">
      <w:pPr>
        <w:spacing w:line="360" w:lineRule="auto"/>
        <w:jc w:val="both"/>
        <w:rPr>
          <w:rFonts w:ascii="Calibri" w:hAnsi="Calibri" w:cs="Calibri"/>
          <w:b/>
          <w:bCs/>
          <w:color w:val="000000" w:themeColor="text1"/>
          <w:sz w:val="22"/>
          <w:szCs w:val="22"/>
        </w:rPr>
      </w:pPr>
    </w:p>
    <w:p w14:paraId="73502DC0" w14:textId="77777777" w:rsidR="00531EF3" w:rsidRDefault="00531EF3" w:rsidP="00531EF3">
      <w:pPr>
        <w:spacing w:line="360" w:lineRule="auto"/>
        <w:jc w:val="both"/>
        <w:rPr>
          <w:rFonts w:ascii="Calibri" w:hAnsi="Calibri" w:cs="Calibri"/>
          <w:b/>
          <w:bCs/>
          <w:color w:val="000000" w:themeColor="text1"/>
          <w:sz w:val="22"/>
          <w:szCs w:val="22"/>
        </w:rPr>
      </w:pPr>
    </w:p>
    <w:p w14:paraId="76673AD2" w14:textId="77777777" w:rsidR="00531EF3" w:rsidRDefault="00531EF3" w:rsidP="00531EF3">
      <w:pPr>
        <w:spacing w:line="360" w:lineRule="auto"/>
        <w:jc w:val="both"/>
        <w:rPr>
          <w:rFonts w:ascii="Calibri" w:hAnsi="Calibri" w:cs="Calibri"/>
          <w:b/>
          <w:bCs/>
          <w:color w:val="000000" w:themeColor="text1"/>
          <w:sz w:val="22"/>
          <w:szCs w:val="22"/>
        </w:rPr>
      </w:pPr>
    </w:p>
    <w:p w14:paraId="0754B12E" w14:textId="77777777" w:rsidR="00531EF3" w:rsidRDefault="00531EF3" w:rsidP="00531EF3">
      <w:pPr>
        <w:spacing w:line="360" w:lineRule="auto"/>
        <w:jc w:val="both"/>
        <w:rPr>
          <w:rFonts w:ascii="Calibri" w:hAnsi="Calibri" w:cs="Calibri"/>
          <w:b/>
          <w:bCs/>
          <w:color w:val="000000" w:themeColor="text1"/>
          <w:sz w:val="22"/>
          <w:szCs w:val="22"/>
        </w:rPr>
      </w:pPr>
    </w:p>
    <w:p w14:paraId="337D96A0" w14:textId="77777777" w:rsidR="00531EF3" w:rsidRDefault="00531EF3" w:rsidP="00531EF3">
      <w:pPr>
        <w:spacing w:line="360" w:lineRule="auto"/>
        <w:jc w:val="both"/>
        <w:rPr>
          <w:rFonts w:ascii="Calibri" w:hAnsi="Calibri" w:cs="Calibri"/>
          <w:b/>
          <w:bCs/>
          <w:color w:val="000000" w:themeColor="text1"/>
          <w:sz w:val="22"/>
          <w:szCs w:val="22"/>
        </w:rPr>
      </w:pPr>
    </w:p>
    <w:p w14:paraId="7B57A3C4" w14:textId="77777777" w:rsidR="00531EF3" w:rsidRDefault="00531EF3" w:rsidP="00531EF3">
      <w:pPr>
        <w:spacing w:line="360" w:lineRule="auto"/>
        <w:jc w:val="both"/>
        <w:rPr>
          <w:rFonts w:ascii="Calibri" w:hAnsi="Calibri" w:cs="Calibri"/>
          <w:b/>
          <w:bCs/>
          <w:color w:val="000000" w:themeColor="text1"/>
          <w:sz w:val="22"/>
          <w:szCs w:val="22"/>
        </w:rPr>
      </w:pPr>
    </w:p>
    <w:p w14:paraId="35201450" w14:textId="77777777" w:rsidR="00531EF3" w:rsidRDefault="00531EF3" w:rsidP="00531EF3">
      <w:pPr>
        <w:spacing w:line="360" w:lineRule="auto"/>
        <w:jc w:val="both"/>
        <w:rPr>
          <w:rFonts w:ascii="Calibri" w:hAnsi="Calibri" w:cs="Calibri"/>
          <w:b/>
          <w:bCs/>
          <w:color w:val="000000" w:themeColor="text1"/>
          <w:sz w:val="22"/>
          <w:szCs w:val="22"/>
        </w:rPr>
      </w:pPr>
    </w:p>
    <w:p w14:paraId="74CD1780" w14:textId="544E945A" w:rsidR="00531EF3" w:rsidRDefault="00531EF3" w:rsidP="00531EF3">
      <w:pPr>
        <w:tabs>
          <w:tab w:val="left" w:pos="5580"/>
        </w:tabs>
        <w:spacing w:line="360" w:lineRule="auto"/>
        <w:jc w:val="both"/>
        <w:rPr>
          <w:rFonts w:ascii="Calibri" w:hAnsi="Calibri" w:cs="Calibri"/>
          <w:b/>
          <w:bCs/>
          <w:color w:val="000000" w:themeColor="text1"/>
          <w:sz w:val="22"/>
          <w:szCs w:val="22"/>
        </w:rPr>
      </w:pPr>
      <w:r>
        <w:rPr>
          <w:rFonts w:ascii="Calibri" w:hAnsi="Calibri" w:cs="Calibri"/>
          <w:b/>
          <w:bCs/>
          <w:color w:val="000000" w:themeColor="text1"/>
          <w:sz w:val="22"/>
          <w:szCs w:val="22"/>
        </w:rPr>
        <w:tab/>
      </w:r>
    </w:p>
    <w:p w14:paraId="026FAA02" w14:textId="2F54690B" w:rsidR="00531EF3" w:rsidRDefault="00531EF3" w:rsidP="00531EF3">
      <w:pPr>
        <w:tabs>
          <w:tab w:val="left" w:pos="5580"/>
        </w:tabs>
        <w:spacing w:line="360" w:lineRule="auto"/>
        <w:rPr>
          <w:rFonts w:ascii="Calibri" w:hAnsi="Calibri" w:cs="Calibri"/>
          <w:b/>
          <w:bCs/>
          <w:color w:val="000000" w:themeColor="text1"/>
          <w:sz w:val="22"/>
          <w:szCs w:val="22"/>
        </w:rPr>
      </w:pPr>
      <w:r>
        <w:rPr>
          <w:rFonts w:ascii="Calibri" w:hAnsi="Calibri" w:cs="Calibri"/>
          <w:b/>
          <w:bCs/>
          <w:color w:val="000000" w:themeColor="text1"/>
          <w:sz w:val="22"/>
          <w:szCs w:val="22"/>
        </w:rPr>
        <w:tab/>
      </w:r>
    </w:p>
    <w:p w14:paraId="7E2835DE" w14:textId="28A07926" w:rsidR="007E0EBC" w:rsidRPr="00D304EC" w:rsidRDefault="00000000" w:rsidP="00531EF3">
      <w:pPr>
        <w:spacing w:line="360" w:lineRule="auto"/>
        <w:jc w:val="center"/>
        <w:rPr>
          <w:rFonts w:ascii="Calibri" w:hAnsi="Calibri" w:cs="Calibri"/>
          <w:color w:val="000000" w:themeColor="text1"/>
          <w:sz w:val="22"/>
          <w:szCs w:val="22"/>
        </w:rPr>
      </w:pPr>
      <w:r w:rsidRPr="00D304EC">
        <w:rPr>
          <w:rFonts w:ascii="Calibri" w:hAnsi="Calibri" w:cs="Calibri"/>
          <w:b/>
          <w:bCs/>
          <w:color w:val="000000" w:themeColor="text1"/>
          <w:sz w:val="22"/>
          <w:szCs w:val="22"/>
        </w:rPr>
        <w:t xml:space="preserve">Figure 1. </w:t>
      </w:r>
      <w:r w:rsidRPr="00531EF3">
        <w:rPr>
          <w:rFonts w:ascii="Calibri" w:hAnsi="Calibri" w:cs="Calibri"/>
          <w:color w:val="000000" w:themeColor="text1"/>
          <w:sz w:val="22"/>
          <w:szCs w:val="22"/>
        </w:rPr>
        <w:t>Theoretical framework underpinning MARS-F</w:t>
      </w:r>
      <w:r w:rsidR="00531EF3" w:rsidRPr="00531EF3">
        <w:rPr>
          <w:rFonts w:ascii="Calibri" w:hAnsi="Calibri" w:cs="Calibri"/>
          <w:color w:val="000000" w:themeColor="text1"/>
          <w:sz w:val="22"/>
          <w:szCs w:val="22"/>
        </w:rPr>
        <w:t xml:space="preserve"> (Source: Designed by the author).</w:t>
      </w:r>
    </w:p>
    <w:p w14:paraId="67A77E5B"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lastRenderedPageBreak/>
        <w:t>Two things stand out from the figure. The base structure on the left mirrors the ordering used throughout this paper, TOE, DOI, Absorptive Capacity, Sociotechnical Systems Theory, Dynamic Capabilities, so the visual and textual arguments can be read side by side without re-mapping labels. And the figure deliberately does not show arrows between the theories themselves. That is a simplification: TOE and Absorptive Capacity, for instance, interact in the sense discussed in Section 4.3, where Absorptive Capacity qualifies, rather than replaces, the Environmental context TOE originally supplied. The figure keeps to a single layer of theory-to-construct mapping for readability; the fuller set of interactions between theories is left to the prose synthesis above instead of attempted diagrammatically.</w:t>
      </w:r>
    </w:p>
    <w:p w14:paraId="7C6CF6F3" w14:textId="77777777" w:rsidR="00531EF3" w:rsidRPr="00D304EC" w:rsidRDefault="00531EF3" w:rsidP="00531EF3">
      <w:pPr>
        <w:spacing w:line="360" w:lineRule="auto"/>
        <w:jc w:val="both"/>
        <w:rPr>
          <w:rFonts w:ascii="Calibri" w:hAnsi="Calibri" w:cs="Calibri"/>
          <w:color w:val="000000" w:themeColor="text1"/>
          <w:sz w:val="22"/>
          <w:szCs w:val="22"/>
        </w:rPr>
      </w:pPr>
    </w:p>
    <w:p w14:paraId="1FA75AE1"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 TOES Constructs Grounded in Secondary Evidence</w:t>
      </w:r>
    </w:p>
    <w:p w14:paraId="725619D7"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section works through the four TOES dimensions one at a time, setting out the secondary evidence used to ground their constituent constructs, following the protocol described in Section 3.</w:t>
      </w:r>
    </w:p>
    <w:p w14:paraId="7C61E63A" w14:textId="77777777" w:rsidR="00531EF3" w:rsidRPr="00D304EC" w:rsidRDefault="00531EF3" w:rsidP="00531EF3">
      <w:pPr>
        <w:spacing w:line="360" w:lineRule="auto"/>
        <w:jc w:val="both"/>
        <w:rPr>
          <w:rFonts w:ascii="Calibri" w:hAnsi="Calibri" w:cs="Calibri"/>
          <w:color w:val="000000" w:themeColor="text1"/>
          <w:sz w:val="22"/>
          <w:szCs w:val="22"/>
        </w:rPr>
      </w:pPr>
    </w:p>
    <w:p w14:paraId="6C2A3E78"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5.1 Technological Readiness</w:t>
      </w:r>
    </w:p>
    <w:p w14:paraId="2BAB7B0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Technological Readiness covers legacy architecture decomposability, container and orchestration maturity, CI/CD pipeline automation, API gateway and service-mesh readiness, and data consistency capability across services. This dimension turns out to be more volatile than a simple adopted/not-adopted checklist would suggest. The CNCF's 2025 Annual Survey found service-mesh adoption declining sharply between 2023 and 2025 even as core container and orchestration adoption stayed high, something industry analysts have read as a sign of architectural fatigue: organisations taking on more operational complexity than they can comfortably manage (SoftwareSeni, 2026). Söylemez, Tekinerdogan, and Tarhan's (2022) review of microservice architecture challenges points in the same direction, finding that decomposition and service-boundary decisions remain a persistent source of difficulty well after teams have adopted the basic tooling. Resilience testing tells a similar story. Esen, Akbulut, and Catal's (2025) review of chaos-engineering research in microservices found the practice still fragmented across 38 different fault-injection tools with little consolidation. Al-Said Ahmad, Al-Qora'n, and Zayed's (2024) empirical study of fault injection under varying load adds a further wrinkle: resilience characteristics shift substantially depending on user load. A system judged resilient under one load profile cannot simply be assumed resilient under another. Taken together, this evidence supports treating technological maturity as a graduated variable that keeps moving after initial adoption, not a box that gets ticked once. On the decomposition side specifically, the Strangler Fig migration pattern, now formalised in AWS's own architectural guidance (AWS, 2024), shows that mainstream cloud providers </w:t>
      </w:r>
      <w:r w:rsidRPr="00D304EC">
        <w:rPr>
          <w:rFonts w:ascii="Calibri" w:hAnsi="Calibri" w:cs="Calibri"/>
          <w:color w:val="000000" w:themeColor="text1"/>
          <w:sz w:val="22"/>
          <w:szCs w:val="22"/>
        </w:rPr>
        <w:lastRenderedPageBreak/>
        <w:t>treat incremental, risk-bounded decomposition as the default recommended approach, not a wholesale rewrite. That is why legacy decomposability appears here as its own gradable construct instead of being folded into a generic technology score.</w:t>
      </w:r>
    </w:p>
    <w:p w14:paraId="32CABF1C" w14:textId="77777777" w:rsidR="00531EF3" w:rsidRPr="00D304EC" w:rsidRDefault="00531EF3" w:rsidP="00531EF3">
      <w:pPr>
        <w:spacing w:line="360" w:lineRule="auto"/>
        <w:jc w:val="both"/>
        <w:rPr>
          <w:rFonts w:ascii="Calibri" w:hAnsi="Calibri" w:cs="Calibri"/>
          <w:color w:val="000000" w:themeColor="text1"/>
          <w:sz w:val="22"/>
          <w:szCs w:val="22"/>
        </w:rPr>
      </w:pPr>
    </w:p>
    <w:p w14:paraId="6C9C8C7E"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5.2 Organisational Readiness</w:t>
      </w:r>
    </w:p>
    <w:p w14:paraId="4CC6B7C2" w14:textId="1C12AFF4"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Organisational Readiness covers executive sponsorship, DevOps/SRE skills capacity, change-management maturity, and cross-team communication structure. The clearest signal for this dimension comes from Logz.io's (2024) Observability Pulse survey, which found that a lack of in-team knowledge, not infrastructure, had become practitioners' top-cited operational challenge, and one that rose sharply year over year. That is consistent with older data: Kong's 2020 survey (reported via DevOps.com) found management complexity a persistent adoption barrier among senior IT leaders even at high overall adoption rates, and IBM's 2021 practitioner survey found uncertainty about time, cost, and required expertise was the single most common reason organisations had not yet adopted microservices. The picture looks much the same at the workforce level: the ISC2 (2025) Cybersecurity Workforce Study found that </w:t>
      </w:r>
      <w:r w:rsidR="00531EF3" w:rsidRPr="00D304EC">
        <w:rPr>
          <w:rFonts w:ascii="Calibri" w:hAnsi="Calibri" w:cs="Calibri"/>
          <w:color w:val="000000" w:themeColor="text1"/>
          <w:sz w:val="22"/>
          <w:szCs w:val="22"/>
        </w:rPr>
        <w:t>many</w:t>
      </w:r>
      <w:r w:rsidRPr="00D304EC">
        <w:rPr>
          <w:rFonts w:ascii="Calibri" w:hAnsi="Calibri" w:cs="Calibri"/>
          <w:color w:val="000000" w:themeColor="text1"/>
          <w:sz w:val="22"/>
          <w:szCs w:val="22"/>
        </w:rPr>
        <w:t xml:space="preserve"> surveyed organisations report at least one critical or significant skills shortfall, driven mainly by budget constraints, not any shortage of interest. This construct also draws on the wider organisational digital-transformation-readiness literature. Michelotto and Joia's (2024) systematic review found that readiness for digital transformation remains a fragmented, inconsistently measured idea across the information-systems field generally. That is really an argument for building a purpose-specific readiness instrument for microservices, since a generic digital-transformation readiness score cannot simply be assumed to transfer cleanly.</w:t>
      </w:r>
    </w:p>
    <w:p w14:paraId="08B83D96" w14:textId="77777777" w:rsidR="00531EF3" w:rsidRPr="00D304EC" w:rsidRDefault="00531EF3" w:rsidP="00531EF3">
      <w:pPr>
        <w:spacing w:line="360" w:lineRule="auto"/>
        <w:jc w:val="both"/>
        <w:rPr>
          <w:rFonts w:ascii="Calibri" w:hAnsi="Calibri" w:cs="Calibri"/>
          <w:color w:val="000000" w:themeColor="text1"/>
          <w:sz w:val="22"/>
          <w:szCs w:val="22"/>
        </w:rPr>
      </w:pPr>
    </w:p>
    <w:p w14:paraId="7E845C39"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5.3 Environmental Readiness</w:t>
      </w:r>
    </w:p>
    <w:p w14:paraId="36D2F33D"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Environmental Readiness covers vendor and provider roadmap clarity, regulatory and compliance exposure, industry adoption pressure, and access to external expertise, and it is the dimension that most directly operationalises the problem this paper opened with. Survey evidence suggests organisations widely believe that competitors who fail to adopt microservices effectively will struggle to compete, which generates real adoption pressure without an equivalent maturity in structured vendor guidance to match it (Kong Inc., reported via DevOps.com, 2020). As Section 4.3 argued, Absorptive Capacity theory complicates this construct further: vendor roadmap clarity is necessary but not sufficient, because an organisation's capacity to act on available guidance is itself a variable that needs capturing separately. Liao, Liu, and Li (2023) found empirical support for exactly this in the public sector, where adoption alone </w:t>
      </w:r>
      <w:r w:rsidRPr="00D304EC">
        <w:rPr>
          <w:rFonts w:ascii="Calibri" w:hAnsi="Calibri" w:cs="Calibri"/>
          <w:color w:val="000000" w:themeColor="text1"/>
          <w:sz w:val="22"/>
          <w:szCs w:val="22"/>
        </w:rPr>
        <w:lastRenderedPageBreak/>
        <w:t>did not generate organisational absorptive capacity; capacity instead depended on the interaction between adoption and whatever capability already existed. Broader TOE-based reviews of cloud adoption in comparable settings (Entsie, Aidoo, &amp; Vaz, 2025) reach a similar conclusion from a different angle, finding environmental and institutional factors consistently under-theorised relative to technological ones.</w:t>
      </w:r>
    </w:p>
    <w:p w14:paraId="0F52A58A" w14:textId="77777777" w:rsidR="00531EF3" w:rsidRPr="00D304EC" w:rsidRDefault="00531EF3" w:rsidP="00531EF3">
      <w:pPr>
        <w:spacing w:line="360" w:lineRule="auto"/>
        <w:jc w:val="both"/>
        <w:rPr>
          <w:rFonts w:ascii="Calibri" w:hAnsi="Calibri" w:cs="Calibri"/>
          <w:color w:val="000000" w:themeColor="text1"/>
          <w:sz w:val="22"/>
          <w:szCs w:val="22"/>
        </w:rPr>
      </w:pPr>
    </w:p>
    <w:p w14:paraId="55CA40CD" w14:textId="0976AFFD"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Three further evidence streams ground the more specific sub-components of this dimension. On vendor lock-in, Opara-Martins, Sahandi, and Tian's (2016) UK survey found that only a minority of business decision-makers had even a basic understanding of the concept, despite most already being exposed to its risks. More recent predictive tooling (Alhosban, Pesingu, &amp; Kalyanam, 2024) confirms dependency and switching-cost analysis are still unresolved problems needing dedicated frameworks instead of ad hoc evaluation. On regulatory exposure, Issaoui, Örtensjö, and Islam's (2023) interviews with Swedish public organisations found persistent uncertainty about how GDPR obligations </w:t>
      </w:r>
      <w:r w:rsidR="00531EF3" w:rsidRPr="00D304EC">
        <w:rPr>
          <w:rFonts w:ascii="Calibri" w:hAnsi="Calibri" w:cs="Calibri"/>
          <w:color w:val="000000" w:themeColor="text1"/>
          <w:sz w:val="22"/>
          <w:szCs w:val="22"/>
        </w:rPr>
        <w:t>map</w:t>
      </w:r>
      <w:r w:rsidRPr="00D304EC">
        <w:rPr>
          <w:rFonts w:ascii="Calibri" w:hAnsi="Calibri" w:cs="Calibri"/>
          <w:color w:val="000000" w:themeColor="text1"/>
          <w:sz w:val="22"/>
          <w:szCs w:val="22"/>
        </w:rPr>
        <w:t xml:space="preserve"> onto specific cloud-service configurations. Separate technical work by Barati and Rana (2022) and Zhou, Barati, and Shafiq (2023) shows that automated, verifiable compliance tracking for cloud-hosted services is still an open research problem, not something already solved off the shelf. And on governance capability, Bounagui, Mezrioui, and Hafiddi's (2019) evaluation of established models, COBIT, ITIL, ISO/IEC 27001/2, against cloud-specific governance requirements found real coverage gaps, echoing their earlier COBIT-specific findings (Bounagui, Hafiddi, &amp; Mezrioui, 2016). The Open Group's own TOGAF Series Guide on Microservices Architecture backs this up. It treats governance and readiness assessment as a distinct preliminary phase in its own right — a useful confirmation from a practitioner body that governance capacity deserves to be measured separately, not assumed.</w:t>
      </w:r>
    </w:p>
    <w:p w14:paraId="10032BFF" w14:textId="77777777" w:rsidR="00531EF3" w:rsidRPr="00D304EC" w:rsidRDefault="00531EF3" w:rsidP="00531EF3">
      <w:pPr>
        <w:spacing w:line="360" w:lineRule="auto"/>
        <w:jc w:val="both"/>
        <w:rPr>
          <w:rFonts w:ascii="Calibri" w:hAnsi="Calibri" w:cs="Calibri"/>
          <w:color w:val="000000" w:themeColor="text1"/>
          <w:sz w:val="22"/>
          <w:szCs w:val="22"/>
        </w:rPr>
      </w:pPr>
    </w:p>
    <w:p w14:paraId="4B24E9EA"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5.4 Security Readiness</w:t>
      </w:r>
    </w:p>
    <w:p w14:paraId="622E8FFF" w14:textId="33FB9F6A"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Security Readiness covers distributed attack-surface awareness, identity and access management complexity, data protection in transit and at rest, observability and incident-response maturity, and security-by-design culture. Of the four dimensions, this is the one with the strongest academic backing. Haindl, Kochberger, and Sveggen's (2024) review of 54 publications on inter-service security found that the distributed, polyglot nature of microservice architectures produces a wider attack surface than monolithic systems almost by </w:t>
      </w:r>
      <w:r w:rsidR="00531EF3" w:rsidRPr="00D304EC">
        <w:rPr>
          <w:rFonts w:ascii="Calibri" w:hAnsi="Calibri" w:cs="Calibri"/>
          <w:color w:val="000000" w:themeColor="text1"/>
          <w:sz w:val="22"/>
          <w:szCs w:val="22"/>
        </w:rPr>
        <w:t>construction and</w:t>
      </w:r>
      <w:r w:rsidRPr="00D304EC">
        <w:rPr>
          <w:rFonts w:ascii="Calibri" w:hAnsi="Calibri" w:cs="Calibri"/>
          <w:color w:val="000000" w:themeColor="text1"/>
          <w:sz w:val="22"/>
          <w:szCs w:val="22"/>
        </w:rPr>
        <w:t xml:space="preserve"> flagged a persistent gap connecting identified threats to actual mitigation strategies. Berardi et al.'s (2022) much larger review, covering 290 publications, reached a similar conclusion at greater scale, reporting a fragmented evidence base and specifically noting the </w:t>
      </w:r>
      <w:r w:rsidRPr="00D304EC">
        <w:rPr>
          <w:rFonts w:ascii="Calibri" w:hAnsi="Calibri" w:cs="Calibri"/>
          <w:color w:val="000000" w:themeColor="text1"/>
          <w:sz w:val="22"/>
          <w:szCs w:val="22"/>
        </w:rPr>
        <w:lastRenderedPageBreak/>
        <w:t>absence of established security-by-design guidelines. The pattern holds at the infrastructure layer too: Devi Priya, Sethuraman, and Khan's (2023) threat-modelling review of container security identified several distinct attack pathways across the container lifecycle that current mitigation frameworks address only inconsistently.</w:t>
      </w:r>
    </w:p>
    <w:p w14:paraId="6DC4523E" w14:textId="77777777" w:rsidR="00531EF3" w:rsidRPr="00D304EC" w:rsidRDefault="00531EF3" w:rsidP="00531EF3">
      <w:pPr>
        <w:spacing w:line="360" w:lineRule="auto"/>
        <w:jc w:val="both"/>
        <w:rPr>
          <w:rFonts w:ascii="Calibri" w:hAnsi="Calibri" w:cs="Calibri"/>
          <w:color w:val="000000" w:themeColor="text1"/>
          <w:sz w:val="22"/>
          <w:szCs w:val="22"/>
        </w:rPr>
      </w:pPr>
    </w:p>
    <w:p w14:paraId="2F57093F"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Policy guidance points the same way. NIST's Special Publication 800-237 (2023) sets out a secure-software-development framework built specifically for microservice-based systems. Its companion Special Publication 800-207A (Chandramouli &amp; Butcher, 2023), which extends the earlier Zero Trust Architecture model (Rose, Borchert, Mitchell, &amp; Connelly, 2020), directly addresses access control for the kind of distributed, multi-location environments this paper is concerned with. Yeoh, Liu, Shore, and Jiang (2023) add a useful piece here too: their zero-trust maturity-assessment framework treats adoption as graduated, not binary. That is the same design choice this dimension makes with its five-point scoring. Rahaman, Islam, Cerny, and Hutton's (2023) mapping of static-analysis security solutions, drawn from over 1,000 screened publications down to 50 primary studies, found that defensive tooling still clusters around a narrow set of technical mechanisms — another argument for a broader, culture-inclusive construct instead of a tooling checklist. Together, this supports treating Security Readiness as its own dimension, not a sub-factor buried inside Technological Readiness. It also lines up with the sociotechnical argument made in Section 4.4: Malatji, Von Solms, and Marnewick (2019) found that purely technical security models consistently leave social and procedural vulnerabilities unaddressed, a pattern Ewoh, Vartiainen, and Mantere (2025) found again in healthcare settings.</w:t>
      </w:r>
    </w:p>
    <w:p w14:paraId="0EF1B510" w14:textId="77777777" w:rsidR="00531EF3" w:rsidRPr="00D304EC" w:rsidRDefault="00531EF3" w:rsidP="00531EF3">
      <w:pPr>
        <w:spacing w:line="360" w:lineRule="auto"/>
        <w:jc w:val="both"/>
        <w:rPr>
          <w:rFonts w:ascii="Calibri" w:hAnsi="Calibri" w:cs="Calibri"/>
          <w:color w:val="000000" w:themeColor="text1"/>
          <w:sz w:val="22"/>
          <w:szCs w:val="22"/>
        </w:rPr>
      </w:pPr>
    </w:p>
    <w:p w14:paraId="390A8709"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5.5 Summary of construct grounding</w:t>
      </w:r>
    </w:p>
    <w:p w14:paraId="63EB333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Across all four dimensions, the synthesised evidence converges on a consistent pattern. Organisations are adopting microservices at a rate that outpaces their internal capacity to assess readiness across any of the four TOES dimensions. Knowledge gaps, operational complexity, and security immaturity are each independently and consistently reported across both academic and industry sources published within the 2020–2026 window. The pattern repeats too often to be coincidence.</w:t>
      </w:r>
    </w:p>
    <w:p w14:paraId="666FFD87" w14:textId="77777777" w:rsidR="00531EF3" w:rsidRPr="00D304EC" w:rsidRDefault="00531EF3" w:rsidP="00531EF3">
      <w:pPr>
        <w:spacing w:line="360" w:lineRule="auto"/>
        <w:jc w:val="both"/>
        <w:rPr>
          <w:rFonts w:ascii="Calibri" w:hAnsi="Calibri" w:cs="Calibri"/>
          <w:color w:val="000000" w:themeColor="text1"/>
          <w:sz w:val="22"/>
          <w:szCs w:val="22"/>
        </w:rPr>
      </w:pPr>
    </w:p>
    <w:p w14:paraId="5119BC98"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 The MARS-F Framework and Staged Roadmap</w:t>
      </w:r>
    </w:p>
    <w:p w14:paraId="636502B6"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6.1 Overview</w:t>
      </w:r>
    </w:p>
    <w:p w14:paraId="3525E4BF" w14:textId="40851A62"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Where Section 4 dealt with why MARS-F is built the way it is, this section deals with how it </w:t>
      </w:r>
      <w:r w:rsidR="00531EF3" w:rsidRPr="00D304EC">
        <w:rPr>
          <w:rFonts w:ascii="Calibri" w:hAnsi="Calibri" w:cs="Calibri"/>
          <w:color w:val="000000" w:themeColor="text1"/>
          <w:sz w:val="22"/>
          <w:szCs w:val="22"/>
        </w:rPr>
        <w:t>works</w:t>
      </w:r>
      <w:r w:rsidRPr="00D304EC">
        <w:rPr>
          <w:rFonts w:ascii="Calibri" w:hAnsi="Calibri" w:cs="Calibri"/>
          <w:color w:val="000000" w:themeColor="text1"/>
          <w:sz w:val="22"/>
          <w:szCs w:val="22"/>
        </w:rPr>
        <w:t xml:space="preserve">. At a high level, MARS-F operationalises the four TOES dimensions into a diagnostic-to-roadmap mechanism </w:t>
      </w:r>
      <w:r w:rsidRPr="00D304EC">
        <w:rPr>
          <w:rFonts w:ascii="Calibri" w:hAnsi="Calibri" w:cs="Calibri"/>
          <w:color w:val="000000" w:themeColor="text1"/>
          <w:sz w:val="22"/>
          <w:szCs w:val="22"/>
        </w:rPr>
        <w:lastRenderedPageBreak/>
        <w:t>made up of four connected steps. Organisations are first scored across all four dimensions, producing a composite readiness profile that identifies whichever dimension is weakest, not a single blended score. A remediation gate then checks that weakest dimension against a minimum threshold and decides, on that basis, whether the organisation proceeds to phased adoption or first addresses the gap it has found. Assuming the gate is passed, a four-stage roadmap, informed by the Dynamic Capabilities reasoning set out in Section 4.5, carries the organisation from initial awareness through to continuous governance. Finally, a feedback loop returns the outcomes of that governance stage back into the readiness profile, so the whole mechanism re-scores itself on an ongoing basis instead of treating the initial diagnosis as final.</w:t>
      </w:r>
    </w:p>
    <w:p w14:paraId="09C54B0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 remainder of this section works through each of these four steps in turn: the scoring mechanism behind the readiness profile (6.3), the logic of the remediation gate (6.4), the content of each roadmap stage (6.5), and the mechanics of the governance feedback loop (6.6). Figure 2, immediately below, gives an overview of how these four steps connect before the detailed discussion unpacks each one separately.</w:t>
      </w:r>
    </w:p>
    <w:p w14:paraId="5BB24089" w14:textId="77777777" w:rsidR="00531EF3" w:rsidRPr="00D304EC" w:rsidRDefault="00531EF3" w:rsidP="00531EF3">
      <w:pPr>
        <w:spacing w:line="360" w:lineRule="auto"/>
        <w:jc w:val="both"/>
        <w:rPr>
          <w:rFonts w:ascii="Calibri" w:hAnsi="Calibri" w:cs="Calibri"/>
          <w:color w:val="000000" w:themeColor="text1"/>
          <w:sz w:val="22"/>
          <w:szCs w:val="22"/>
        </w:rPr>
      </w:pPr>
    </w:p>
    <w:p w14:paraId="70DD1F7D"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6.2 Figure 2: process and roadmap model</w:t>
      </w:r>
    </w:p>
    <w:p w14:paraId="6E0E0295"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Figure 2 lays out the full MARS-F process in a single diagram, organised as four steps running roughly left to right and top to bottom. Step 1 is the TOES diagnostic itself: the four colour-coded dimension boxes at the top of the figure, each listing its constituent constructs, correspond directly to Sections 5.1 through 5.4. Step 2 is the composite readiness profile, shown as the amber box beneath the four dimensions, where the four individual dimension scores get compared to identify the weakest one. Step 3 is the remediation gate, shown as the diamond decision point: this is where the weakest dimension's score is checked against the minimum threshold discussed in Section 6.4, and the diagram's two branches from that diamond, one looping back to targeted remediation and one proceeding forward, correspond to the two possible outcomes described there. Step 4 is the staged roadmap itself, shown as the four connected boxes along the bottom of the figure, Stage A through Stage D, with the dashed arrow running from Stage D back up to Step 2 representing the governance feedback loop discussed in Section 6.6.</w:t>
      </w:r>
    </w:p>
    <w:p w14:paraId="2A85F7DB" w14:textId="418D1169" w:rsidR="007E0EBC" w:rsidRPr="00D304EC" w:rsidRDefault="007E0EBC" w:rsidP="00531EF3">
      <w:pPr>
        <w:spacing w:line="360" w:lineRule="auto"/>
        <w:jc w:val="both"/>
        <w:rPr>
          <w:rFonts w:ascii="Calibri" w:hAnsi="Calibri" w:cs="Calibri"/>
          <w:color w:val="000000" w:themeColor="text1"/>
          <w:sz w:val="22"/>
          <w:szCs w:val="22"/>
        </w:rPr>
      </w:pPr>
    </w:p>
    <w:p w14:paraId="24DFECD3" w14:textId="77777777" w:rsidR="00FB4042" w:rsidRDefault="00FB4042" w:rsidP="00531EF3">
      <w:pPr>
        <w:spacing w:line="360" w:lineRule="auto"/>
        <w:jc w:val="both"/>
        <w:rPr>
          <w:rFonts w:ascii="Calibri" w:hAnsi="Calibri" w:cs="Calibri"/>
          <w:b/>
          <w:bCs/>
          <w:color w:val="000000" w:themeColor="text1"/>
          <w:sz w:val="22"/>
          <w:szCs w:val="22"/>
        </w:rPr>
      </w:pPr>
    </w:p>
    <w:p w14:paraId="69102663" w14:textId="77777777" w:rsidR="00FB4042" w:rsidRDefault="00FB4042" w:rsidP="00531EF3">
      <w:pPr>
        <w:spacing w:line="360" w:lineRule="auto"/>
        <w:jc w:val="both"/>
        <w:rPr>
          <w:rFonts w:ascii="Calibri" w:hAnsi="Calibri" w:cs="Calibri"/>
          <w:b/>
          <w:bCs/>
          <w:color w:val="000000" w:themeColor="text1"/>
          <w:sz w:val="22"/>
          <w:szCs w:val="22"/>
        </w:rPr>
      </w:pPr>
    </w:p>
    <w:p w14:paraId="5995F875" w14:textId="77777777" w:rsidR="00FB4042" w:rsidRDefault="00FB4042" w:rsidP="00531EF3">
      <w:pPr>
        <w:spacing w:line="360" w:lineRule="auto"/>
        <w:jc w:val="both"/>
        <w:rPr>
          <w:rFonts w:ascii="Calibri" w:hAnsi="Calibri" w:cs="Calibri"/>
          <w:b/>
          <w:bCs/>
          <w:color w:val="000000" w:themeColor="text1"/>
          <w:sz w:val="22"/>
          <w:szCs w:val="22"/>
        </w:rPr>
      </w:pPr>
    </w:p>
    <w:p w14:paraId="0E45369E" w14:textId="77777777" w:rsidR="00FB4042" w:rsidRDefault="00FB4042" w:rsidP="00531EF3">
      <w:pPr>
        <w:spacing w:line="360" w:lineRule="auto"/>
        <w:jc w:val="both"/>
        <w:rPr>
          <w:rFonts w:ascii="Calibri" w:hAnsi="Calibri" w:cs="Calibri"/>
          <w:b/>
          <w:bCs/>
          <w:color w:val="000000" w:themeColor="text1"/>
          <w:sz w:val="22"/>
          <w:szCs w:val="22"/>
        </w:rPr>
      </w:pPr>
    </w:p>
    <w:p w14:paraId="777E2AA7" w14:textId="77777777" w:rsidR="00FB4042" w:rsidRDefault="00FB4042" w:rsidP="00531EF3">
      <w:pPr>
        <w:spacing w:line="360" w:lineRule="auto"/>
        <w:jc w:val="both"/>
        <w:rPr>
          <w:rFonts w:ascii="Calibri" w:hAnsi="Calibri" w:cs="Calibri"/>
          <w:b/>
          <w:bCs/>
          <w:color w:val="000000" w:themeColor="text1"/>
          <w:sz w:val="22"/>
          <w:szCs w:val="22"/>
        </w:rPr>
      </w:pPr>
    </w:p>
    <w:p w14:paraId="687AD5A0" w14:textId="77777777" w:rsidR="00FB4042" w:rsidRDefault="00FB4042" w:rsidP="00531EF3">
      <w:pPr>
        <w:spacing w:line="360" w:lineRule="auto"/>
        <w:jc w:val="both"/>
        <w:rPr>
          <w:rFonts w:ascii="Calibri" w:hAnsi="Calibri" w:cs="Calibri"/>
          <w:b/>
          <w:bCs/>
          <w:color w:val="000000" w:themeColor="text1"/>
          <w:sz w:val="22"/>
          <w:szCs w:val="22"/>
        </w:rPr>
      </w:pPr>
    </w:p>
    <w:p w14:paraId="11EFD565" w14:textId="1846F39E" w:rsidR="00FB4042" w:rsidRDefault="00FB4042" w:rsidP="00531EF3">
      <w:pPr>
        <w:spacing w:line="360" w:lineRule="auto"/>
        <w:jc w:val="both"/>
        <w:rPr>
          <w:rFonts w:ascii="Calibri" w:hAnsi="Calibri" w:cs="Calibri"/>
          <w:b/>
          <w:bCs/>
          <w:color w:val="000000" w:themeColor="text1"/>
          <w:sz w:val="22"/>
          <w:szCs w:val="22"/>
        </w:rPr>
      </w:pPr>
      <w:r w:rsidRPr="00FB4042">
        <w:rPr>
          <w:rFonts w:ascii="Calibri" w:hAnsi="Calibri" w:cs="Calibri"/>
          <w:b/>
          <w:bCs/>
          <w:color w:val="000000" w:themeColor="text1"/>
          <w:sz w:val="22"/>
          <w:szCs w:val="22"/>
        </w:rPr>
        <w:lastRenderedPageBreak/>
        <w:drawing>
          <wp:anchor distT="0" distB="0" distL="114300" distR="114300" simplePos="0" relativeHeight="251659264" behindDoc="1" locked="0" layoutInCell="1" allowOverlap="1" wp14:anchorId="74FCB702" wp14:editId="47D232F4">
            <wp:simplePos x="0" y="0"/>
            <wp:positionH relativeFrom="margin">
              <wp:align>right</wp:align>
            </wp:positionH>
            <wp:positionV relativeFrom="paragraph">
              <wp:posOffset>0</wp:posOffset>
            </wp:positionV>
            <wp:extent cx="5943600" cy="4184650"/>
            <wp:effectExtent l="0" t="0" r="0" b="6350"/>
            <wp:wrapNone/>
            <wp:docPr id="1315996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996707"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4184650"/>
                    </a:xfrm>
                    <a:prstGeom prst="rect">
                      <a:avLst/>
                    </a:prstGeom>
                  </pic:spPr>
                </pic:pic>
              </a:graphicData>
            </a:graphic>
            <wp14:sizeRelV relativeFrom="margin">
              <wp14:pctHeight>0</wp14:pctHeight>
            </wp14:sizeRelV>
          </wp:anchor>
        </w:drawing>
      </w:r>
    </w:p>
    <w:p w14:paraId="2A4BF2B6" w14:textId="77777777" w:rsidR="00FB4042" w:rsidRDefault="00FB4042" w:rsidP="00531EF3">
      <w:pPr>
        <w:spacing w:line="360" w:lineRule="auto"/>
        <w:jc w:val="both"/>
        <w:rPr>
          <w:rFonts w:ascii="Calibri" w:hAnsi="Calibri" w:cs="Calibri"/>
          <w:b/>
          <w:bCs/>
          <w:color w:val="000000" w:themeColor="text1"/>
          <w:sz w:val="22"/>
          <w:szCs w:val="22"/>
        </w:rPr>
      </w:pPr>
    </w:p>
    <w:p w14:paraId="41707BC6" w14:textId="77777777" w:rsidR="00FB4042" w:rsidRDefault="00FB4042" w:rsidP="00531EF3">
      <w:pPr>
        <w:spacing w:line="360" w:lineRule="auto"/>
        <w:jc w:val="both"/>
        <w:rPr>
          <w:rFonts w:ascii="Calibri" w:hAnsi="Calibri" w:cs="Calibri"/>
          <w:b/>
          <w:bCs/>
          <w:color w:val="000000" w:themeColor="text1"/>
          <w:sz w:val="22"/>
          <w:szCs w:val="22"/>
        </w:rPr>
      </w:pPr>
    </w:p>
    <w:p w14:paraId="78BCAF48" w14:textId="77777777" w:rsidR="00FB4042" w:rsidRDefault="00FB4042" w:rsidP="00531EF3">
      <w:pPr>
        <w:spacing w:line="360" w:lineRule="auto"/>
        <w:jc w:val="both"/>
        <w:rPr>
          <w:rFonts w:ascii="Calibri" w:hAnsi="Calibri" w:cs="Calibri"/>
          <w:b/>
          <w:bCs/>
          <w:color w:val="000000" w:themeColor="text1"/>
          <w:sz w:val="22"/>
          <w:szCs w:val="22"/>
        </w:rPr>
      </w:pPr>
    </w:p>
    <w:p w14:paraId="22FF9C2C" w14:textId="77777777" w:rsidR="00FB4042" w:rsidRDefault="00FB4042" w:rsidP="00531EF3">
      <w:pPr>
        <w:spacing w:line="360" w:lineRule="auto"/>
        <w:jc w:val="both"/>
        <w:rPr>
          <w:rFonts w:ascii="Calibri" w:hAnsi="Calibri" w:cs="Calibri"/>
          <w:b/>
          <w:bCs/>
          <w:color w:val="000000" w:themeColor="text1"/>
          <w:sz w:val="22"/>
          <w:szCs w:val="22"/>
        </w:rPr>
      </w:pPr>
    </w:p>
    <w:p w14:paraId="646DAC89" w14:textId="77777777" w:rsidR="00FB4042" w:rsidRDefault="00FB4042" w:rsidP="00531EF3">
      <w:pPr>
        <w:spacing w:line="360" w:lineRule="auto"/>
        <w:jc w:val="both"/>
        <w:rPr>
          <w:rFonts w:ascii="Calibri" w:hAnsi="Calibri" w:cs="Calibri"/>
          <w:b/>
          <w:bCs/>
          <w:color w:val="000000" w:themeColor="text1"/>
          <w:sz w:val="22"/>
          <w:szCs w:val="22"/>
        </w:rPr>
      </w:pPr>
    </w:p>
    <w:p w14:paraId="13CA986E" w14:textId="77777777" w:rsidR="00FB4042" w:rsidRDefault="00FB4042" w:rsidP="00531EF3">
      <w:pPr>
        <w:spacing w:line="360" w:lineRule="auto"/>
        <w:jc w:val="both"/>
        <w:rPr>
          <w:rFonts w:ascii="Calibri" w:hAnsi="Calibri" w:cs="Calibri"/>
          <w:b/>
          <w:bCs/>
          <w:color w:val="000000" w:themeColor="text1"/>
          <w:sz w:val="22"/>
          <w:szCs w:val="22"/>
        </w:rPr>
      </w:pPr>
    </w:p>
    <w:p w14:paraId="112A4B13" w14:textId="77777777" w:rsidR="00FB4042" w:rsidRDefault="00FB4042" w:rsidP="00531EF3">
      <w:pPr>
        <w:spacing w:line="360" w:lineRule="auto"/>
        <w:jc w:val="both"/>
        <w:rPr>
          <w:rFonts w:ascii="Calibri" w:hAnsi="Calibri" w:cs="Calibri"/>
          <w:b/>
          <w:bCs/>
          <w:color w:val="000000" w:themeColor="text1"/>
          <w:sz w:val="22"/>
          <w:szCs w:val="22"/>
        </w:rPr>
      </w:pPr>
    </w:p>
    <w:p w14:paraId="679B9438" w14:textId="77777777" w:rsidR="00FB4042" w:rsidRDefault="00FB4042" w:rsidP="00531EF3">
      <w:pPr>
        <w:spacing w:line="360" w:lineRule="auto"/>
        <w:jc w:val="both"/>
        <w:rPr>
          <w:rFonts w:ascii="Calibri" w:hAnsi="Calibri" w:cs="Calibri"/>
          <w:b/>
          <w:bCs/>
          <w:color w:val="000000" w:themeColor="text1"/>
          <w:sz w:val="22"/>
          <w:szCs w:val="22"/>
        </w:rPr>
      </w:pPr>
    </w:p>
    <w:p w14:paraId="3BEBC56B" w14:textId="77777777" w:rsidR="00FB4042" w:rsidRDefault="00FB4042" w:rsidP="00531EF3">
      <w:pPr>
        <w:spacing w:line="360" w:lineRule="auto"/>
        <w:jc w:val="both"/>
        <w:rPr>
          <w:rFonts w:ascii="Calibri" w:hAnsi="Calibri" w:cs="Calibri"/>
          <w:b/>
          <w:bCs/>
          <w:color w:val="000000" w:themeColor="text1"/>
          <w:sz w:val="22"/>
          <w:szCs w:val="22"/>
        </w:rPr>
      </w:pPr>
    </w:p>
    <w:p w14:paraId="536AF9B0" w14:textId="77777777" w:rsidR="00FB4042" w:rsidRDefault="00FB4042" w:rsidP="00531EF3">
      <w:pPr>
        <w:spacing w:line="360" w:lineRule="auto"/>
        <w:jc w:val="both"/>
        <w:rPr>
          <w:rFonts w:ascii="Calibri" w:hAnsi="Calibri" w:cs="Calibri"/>
          <w:b/>
          <w:bCs/>
          <w:color w:val="000000" w:themeColor="text1"/>
          <w:sz w:val="22"/>
          <w:szCs w:val="22"/>
        </w:rPr>
      </w:pPr>
    </w:p>
    <w:p w14:paraId="0C9B83FC" w14:textId="77777777" w:rsidR="00FB4042" w:rsidRDefault="00FB4042" w:rsidP="00531EF3">
      <w:pPr>
        <w:spacing w:line="360" w:lineRule="auto"/>
        <w:jc w:val="both"/>
        <w:rPr>
          <w:rFonts w:ascii="Calibri" w:hAnsi="Calibri" w:cs="Calibri"/>
          <w:b/>
          <w:bCs/>
          <w:color w:val="000000" w:themeColor="text1"/>
          <w:sz w:val="22"/>
          <w:szCs w:val="22"/>
        </w:rPr>
      </w:pPr>
    </w:p>
    <w:p w14:paraId="6B4B5FF4" w14:textId="77777777" w:rsidR="00FB4042" w:rsidRDefault="00FB4042" w:rsidP="00531EF3">
      <w:pPr>
        <w:spacing w:line="360" w:lineRule="auto"/>
        <w:jc w:val="both"/>
        <w:rPr>
          <w:rFonts w:ascii="Calibri" w:hAnsi="Calibri" w:cs="Calibri"/>
          <w:b/>
          <w:bCs/>
          <w:color w:val="000000" w:themeColor="text1"/>
          <w:sz w:val="22"/>
          <w:szCs w:val="22"/>
        </w:rPr>
      </w:pPr>
    </w:p>
    <w:p w14:paraId="1C075568" w14:textId="77777777" w:rsidR="00FB4042" w:rsidRDefault="00FB4042" w:rsidP="00531EF3">
      <w:pPr>
        <w:spacing w:line="360" w:lineRule="auto"/>
        <w:jc w:val="both"/>
        <w:rPr>
          <w:rFonts w:ascii="Calibri" w:hAnsi="Calibri" w:cs="Calibri"/>
          <w:b/>
          <w:bCs/>
          <w:color w:val="000000" w:themeColor="text1"/>
          <w:sz w:val="22"/>
          <w:szCs w:val="22"/>
        </w:rPr>
      </w:pPr>
    </w:p>
    <w:p w14:paraId="64E3FB12" w14:textId="77777777" w:rsidR="00FB4042" w:rsidRDefault="00FB4042" w:rsidP="00FB4042">
      <w:pPr>
        <w:spacing w:line="360" w:lineRule="auto"/>
        <w:jc w:val="center"/>
        <w:rPr>
          <w:rFonts w:ascii="Calibri" w:hAnsi="Calibri" w:cs="Calibri"/>
          <w:b/>
          <w:bCs/>
          <w:color w:val="000000" w:themeColor="text1"/>
          <w:sz w:val="22"/>
          <w:szCs w:val="22"/>
        </w:rPr>
      </w:pPr>
    </w:p>
    <w:p w14:paraId="0F41F717" w14:textId="77777777" w:rsidR="00FB4042" w:rsidRDefault="00FB4042" w:rsidP="00FB4042">
      <w:pPr>
        <w:spacing w:line="360" w:lineRule="auto"/>
        <w:jc w:val="center"/>
        <w:rPr>
          <w:rFonts w:ascii="Calibri" w:hAnsi="Calibri" w:cs="Calibri"/>
          <w:b/>
          <w:bCs/>
          <w:color w:val="000000" w:themeColor="text1"/>
          <w:sz w:val="22"/>
          <w:szCs w:val="22"/>
        </w:rPr>
      </w:pPr>
    </w:p>
    <w:p w14:paraId="4B5DCC2E" w14:textId="77777777" w:rsidR="00FB4042" w:rsidRDefault="00FB4042" w:rsidP="00FB4042">
      <w:pPr>
        <w:spacing w:line="360" w:lineRule="auto"/>
        <w:jc w:val="center"/>
        <w:rPr>
          <w:rFonts w:ascii="Calibri" w:hAnsi="Calibri" w:cs="Calibri"/>
          <w:b/>
          <w:bCs/>
          <w:color w:val="000000" w:themeColor="text1"/>
          <w:sz w:val="22"/>
          <w:szCs w:val="22"/>
        </w:rPr>
      </w:pPr>
    </w:p>
    <w:p w14:paraId="70824B6C" w14:textId="70B0D810" w:rsidR="007E0EBC" w:rsidRPr="00D304EC" w:rsidRDefault="00000000" w:rsidP="00FB4042">
      <w:pPr>
        <w:spacing w:line="360" w:lineRule="auto"/>
        <w:jc w:val="center"/>
        <w:rPr>
          <w:rFonts w:ascii="Calibri" w:hAnsi="Calibri" w:cs="Calibri"/>
          <w:color w:val="000000" w:themeColor="text1"/>
          <w:sz w:val="22"/>
          <w:szCs w:val="22"/>
        </w:rPr>
      </w:pPr>
      <w:r w:rsidRPr="00D304EC">
        <w:rPr>
          <w:rFonts w:ascii="Calibri" w:hAnsi="Calibri" w:cs="Calibri"/>
          <w:b/>
          <w:bCs/>
          <w:color w:val="000000" w:themeColor="text1"/>
          <w:sz w:val="22"/>
          <w:szCs w:val="22"/>
        </w:rPr>
        <w:t xml:space="preserve">Figure 2. </w:t>
      </w:r>
      <w:r w:rsidRPr="00FB4042">
        <w:rPr>
          <w:rFonts w:ascii="Calibri" w:hAnsi="Calibri" w:cs="Calibri"/>
          <w:color w:val="000000" w:themeColor="text1"/>
          <w:sz w:val="22"/>
          <w:szCs w:val="22"/>
        </w:rPr>
        <w:t>MARS-F process and staged adoption roadmap</w:t>
      </w:r>
      <w:r w:rsidR="00FB4042" w:rsidRPr="00FB4042">
        <w:rPr>
          <w:rFonts w:ascii="Calibri" w:hAnsi="Calibri" w:cs="Calibri"/>
          <w:color w:val="000000" w:themeColor="text1"/>
          <w:sz w:val="22"/>
          <w:szCs w:val="22"/>
        </w:rPr>
        <w:t xml:space="preserve"> (Source: Created by the author).</w:t>
      </w:r>
    </w:p>
    <w:p w14:paraId="018A2B8D" w14:textId="77777777" w:rsidR="00FB4042" w:rsidRDefault="00FB4042" w:rsidP="00531EF3">
      <w:pPr>
        <w:spacing w:line="360" w:lineRule="auto"/>
        <w:jc w:val="both"/>
        <w:rPr>
          <w:rFonts w:ascii="Calibri" w:hAnsi="Calibri" w:cs="Calibri"/>
          <w:color w:val="000000" w:themeColor="text1"/>
          <w:sz w:val="22"/>
          <w:szCs w:val="22"/>
        </w:rPr>
      </w:pPr>
    </w:p>
    <w:p w14:paraId="51945748" w14:textId="0AD3D593"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Two features of the diagram deserve a flag before the detailed discussion of each step. The colour coding carried through the </w:t>
      </w:r>
      <w:r w:rsidR="00A72FDD" w:rsidRPr="00D304EC">
        <w:rPr>
          <w:rFonts w:ascii="Calibri" w:hAnsi="Calibri" w:cs="Calibri"/>
          <w:color w:val="000000" w:themeColor="text1"/>
          <w:sz w:val="22"/>
          <w:szCs w:val="22"/>
        </w:rPr>
        <w:t>four-dimension</w:t>
      </w:r>
      <w:r w:rsidRPr="00D304EC">
        <w:rPr>
          <w:rFonts w:ascii="Calibri" w:hAnsi="Calibri" w:cs="Calibri"/>
          <w:color w:val="000000" w:themeColor="text1"/>
          <w:sz w:val="22"/>
          <w:szCs w:val="22"/>
        </w:rPr>
        <w:t xml:space="preserve"> boxes at the top is intentionally not repeated further down the diagram: by the time the process reaches Step 2, the four dimensions have been collapsed into a single readiness profile, and the figure's use of a neutral colour there signals that transition instead of representing an inconsistency. And the remediation loop shown around Step 3 is drawn as a cycle, not a single pass, for a reason: an organisation may need more than one round of targeted remediation before its weakest dimension clears the threshold, and the diagram should be read as permitting repeated cycles through that loop, not just one.</w:t>
      </w:r>
    </w:p>
    <w:p w14:paraId="6C23ED9E" w14:textId="77777777" w:rsidR="00A72FDD" w:rsidRPr="00D304EC" w:rsidRDefault="00A72FDD" w:rsidP="00531EF3">
      <w:pPr>
        <w:spacing w:line="360" w:lineRule="auto"/>
        <w:jc w:val="both"/>
        <w:rPr>
          <w:rFonts w:ascii="Calibri" w:hAnsi="Calibri" w:cs="Calibri"/>
          <w:color w:val="000000" w:themeColor="text1"/>
          <w:sz w:val="22"/>
          <w:szCs w:val="22"/>
        </w:rPr>
      </w:pPr>
    </w:p>
    <w:p w14:paraId="42E55879"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6.3 Scoring mechanism</w:t>
      </w:r>
    </w:p>
    <w:p w14:paraId="737FE256"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Each construct within the four TOES dimensions is scored on a five-point maturity-anchored scale, running from 1 (absent or ad hoc) to 5 (fully institutionalised). This is a deliberate choice over a simple present/absent binary: maturity anchoring allows an organisation to record, for instance, that a security-</w:t>
      </w:r>
      <w:r w:rsidRPr="00D304EC">
        <w:rPr>
          <w:rFonts w:ascii="Calibri" w:hAnsi="Calibri" w:cs="Calibri"/>
          <w:color w:val="000000" w:themeColor="text1"/>
          <w:sz w:val="22"/>
          <w:szCs w:val="22"/>
        </w:rPr>
        <w:lastRenderedPageBreak/>
        <w:t>by-design culture exists but is inconsistently applied, instead of forcing a yes/no answer that would lose that nuance. Dimension scores are then calculated as the mean of their constituent construct scores, producing a four-axis readiness profile instead of a single composite figure across the whole organisation. This design choice matters more than it might first appear. An organisation strong in Technological Readiness but weak in Security Readiness needs a genuinely different remediation entry point than an organisation with the inverse profile, since the two organisations are failing for different reasons even if a single blended score might make them look similar. Collapsing the four dimensions into one number, as many conventional maturity models do, would obscure exactly the distinction MARS-F is designed to surface.</w:t>
      </w:r>
    </w:p>
    <w:p w14:paraId="2813ED8F" w14:textId="77777777" w:rsidR="00A72FDD" w:rsidRPr="00D304EC" w:rsidRDefault="00A72FDD" w:rsidP="00531EF3">
      <w:pPr>
        <w:spacing w:line="360" w:lineRule="auto"/>
        <w:jc w:val="both"/>
        <w:rPr>
          <w:rFonts w:ascii="Calibri" w:hAnsi="Calibri" w:cs="Calibri"/>
          <w:color w:val="000000" w:themeColor="text1"/>
          <w:sz w:val="22"/>
          <w:szCs w:val="22"/>
        </w:rPr>
      </w:pPr>
    </w:p>
    <w:p w14:paraId="0C1AE8EB"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6.4 The remediation gate</w:t>
      </w:r>
    </w:p>
    <w:p w14:paraId="7F663398"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An organisation's weakest-scoring dimension must reach a minimum threshold, proposed here at three out of five, before the organisation proceeds to Stage B, the Risk-Bounded Pilot. Below that threshold, the organisation enters targeted remediation specific to its weakest dimension, not a generic improvement programme, and is then re-scored on that dimension before the gate is checked again. This is the single feature that most clearly distinguishes MARS-F from a conventional maturity model. A maturity model typically scores an organisation and stops there, leaving the organisation to work out what to do with the result. MARS-F instead routes the organisation through differentiated remediation before piloting or migration is allowed to proceed at all, turning a diagnostic instrument into something closer to a decision procedure. As noted in Section 8.3, the specific threshold of three out of five is a face-validity judgement, not an empirically calibrated cut-off, and is one of the clearer candidates for refinement once the framework is tested empirically.</w:t>
      </w:r>
    </w:p>
    <w:p w14:paraId="0BCA2DF3" w14:textId="77777777" w:rsidR="00A72FDD" w:rsidRPr="00D304EC" w:rsidRDefault="00A72FDD" w:rsidP="00531EF3">
      <w:pPr>
        <w:spacing w:line="360" w:lineRule="auto"/>
        <w:jc w:val="both"/>
        <w:rPr>
          <w:rFonts w:ascii="Calibri" w:hAnsi="Calibri" w:cs="Calibri"/>
          <w:color w:val="000000" w:themeColor="text1"/>
          <w:sz w:val="22"/>
          <w:szCs w:val="22"/>
        </w:rPr>
      </w:pPr>
    </w:p>
    <w:p w14:paraId="0ED63F37"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6.5 The staged roadmap</w:t>
      </w:r>
    </w:p>
    <w:p w14:paraId="4C43D129" w14:textId="5E487BA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Once an organisation clears the remediation gate, it enters a four-stage roadmap, each stage addressing a different piece of the theoretical argument developed in Section 4. Stage A, Awareness and Sensemaking, addresses the knowledge-stage failure identified through Rogers' Diffusion of Innovation theory in Section 4.2, using structured internal diagnostic exercises to surface what leadership and technical teams </w:t>
      </w:r>
      <w:r w:rsidR="00A72FDD" w:rsidRPr="00D304EC">
        <w:rPr>
          <w:rFonts w:ascii="Calibri" w:hAnsi="Calibri" w:cs="Calibri"/>
          <w:color w:val="000000" w:themeColor="text1"/>
          <w:sz w:val="22"/>
          <w:szCs w:val="22"/>
        </w:rPr>
        <w:t>understand</w:t>
      </w:r>
      <w:r w:rsidRPr="00D304EC">
        <w:rPr>
          <w:rFonts w:ascii="Calibri" w:hAnsi="Calibri" w:cs="Calibri"/>
          <w:color w:val="000000" w:themeColor="text1"/>
          <w:sz w:val="22"/>
          <w:szCs w:val="22"/>
        </w:rPr>
        <w:t xml:space="preserve"> about the implications of adopting microservices, as distinct from what they merely assume they understand. Stage B, Risk-Bounded Pilot, applies the strangler-fig migration pattern discussed in Section 5.1 to a single, bounded service, allowing security controls and operational processes to be tested at small scale before the organisation takes on wider exposure. Stage C, Phased Migration, </w:t>
      </w:r>
      <w:r w:rsidRPr="00D304EC">
        <w:rPr>
          <w:rFonts w:ascii="Calibri" w:hAnsi="Calibri" w:cs="Calibri"/>
          <w:color w:val="000000" w:themeColor="text1"/>
          <w:sz w:val="22"/>
          <w:szCs w:val="22"/>
        </w:rPr>
        <w:lastRenderedPageBreak/>
        <w:t>sequences further service decomposition according to business criticality and organisational risk tolerance, instead of pursuing a uniform, all-at-once rewrite of the kind that industry evidence in Section 5.1 associates with higher operational complexity. Stage D, Governance and Continuous Assurance, establishes ongoing security-posture monitoring and vendor-accountability checkpoints, and is also where the absorptive capacity discussed in Section 4.3 gets deliberately built as an internal organisational asset, instead of remaining a standing dependency on providers eventually improving their own disclosure practices.</w:t>
      </w:r>
    </w:p>
    <w:p w14:paraId="6AEAA592" w14:textId="77777777" w:rsidR="00A72FDD" w:rsidRPr="00D304EC" w:rsidRDefault="00A72FDD" w:rsidP="00531EF3">
      <w:pPr>
        <w:spacing w:line="360" w:lineRule="auto"/>
        <w:jc w:val="both"/>
        <w:rPr>
          <w:rFonts w:ascii="Calibri" w:hAnsi="Calibri" w:cs="Calibri"/>
          <w:color w:val="000000" w:themeColor="text1"/>
          <w:sz w:val="22"/>
          <w:szCs w:val="22"/>
        </w:rPr>
      </w:pPr>
    </w:p>
    <w:p w14:paraId="60BBE3DD"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6.6 The governance feedback loop</w:t>
      </w:r>
    </w:p>
    <w:p w14:paraId="23218A8D"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Consistent with the Dynamic Capabilities argument made in Section 4.5, Stage D does not simply conclude the process. It feeds back into the composite readiness profile from Step 2, re-scoring the organisation on an ongoing basis instead of treating the initial diagnosis as a one-time event. This closes the loop between initial diagnosis and continuous adaptation, which matters because both the microservices threat landscape and an organisation's own capability keep moving well beyond initial adoption; a framework that only diagnosed readiness once would already be out of date by the time an organisation reached Stage D.</w:t>
      </w:r>
    </w:p>
    <w:p w14:paraId="6A90E496" w14:textId="77777777" w:rsidR="00A72FDD" w:rsidRPr="00D304EC" w:rsidRDefault="00A72FDD" w:rsidP="00531EF3">
      <w:pPr>
        <w:spacing w:line="360" w:lineRule="auto"/>
        <w:jc w:val="both"/>
        <w:rPr>
          <w:rFonts w:ascii="Calibri" w:hAnsi="Calibri" w:cs="Calibri"/>
          <w:color w:val="000000" w:themeColor="text1"/>
          <w:sz w:val="22"/>
          <w:szCs w:val="22"/>
        </w:rPr>
      </w:pPr>
    </w:p>
    <w:p w14:paraId="58CD00F6" w14:textId="1A45ABD3"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Two further evidence streams ground what this stage </w:t>
      </w:r>
      <w:r w:rsidR="00A72FDD" w:rsidRPr="00D304EC">
        <w:rPr>
          <w:rFonts w:ascii="Calibri" w:hAnsi="Calibri" w:cs="Calibri"/>
          <w:color w:val="000000" w:themeColor="text1"/>
          <w:sz w:val="22"/>
          <w:szCs w:val="22"/>
        </w:rPr>
        <w:t>involves</w:t>
      </w:r>
      <w:r w:rsidRPr="00D304EC">
        <w:rPr>
          <w:rFonts w:ascii="Calibri" w:hAnsi="Calibri" w:cs="Calibri"/>
          <w:color w:val="000000" w:themeColor="text1"/>
          <w:sz w:val="22"/>
          <w:szCs w:val="22"/>
        </w:rPr>
        <w:t xml:space="preserve"> in practice. On service-level-agreement management, Mubeen, Asadollah, Papadopoulos, Ashjaei, Pei-Breivold, and Behnam's (2018) mapping of 328 studies on cloud SLA management found that monitoring and violation-response mechanisms remain the most active but least standardised part of the field. Swain and Garza's (2023) empirical study of IT incident data adds a sharper point: specific, identifiable process factors, not simply staffing levels, predict whether SLA commitments </w:t>
      </w:r>
      <w:r w:rsidR="00A72FDD" w:rsidRPr="00D304EC">
        <w:rPr>
          <w:rFonts w:ascii="Calibri" w:hAnsi="Calibri" w:cs="Calibri"/>
          <w:color w:val="000000" w:themeColor="text1"/>
          <w:sz w:val="22"/>
          <w:szCs w:val="22"/>
        </w:rPr>
        <w:t>get</w:t>
      </w:r>
      <w:r w:rsidRPr="00D304EC">
        <w:rPr>
          <w:rFonts w:ascii="Calibri" w:hAnsi="Calibri" w:cs="Calibri"/>
          <w:color w:val="000000" w:themeColor="text1"/>
          <w:sz w:val="22"/>
          <w:szCs w:val="22"/>
        </w:rPr>
        <w:t xml:space="preserve"> met. That is a useful corrective. It supports Stage D's emphasis on process-level governance instead of assuming more </w:t>
      </w:r>
      <w:r w:rsidR="00A72FDD" w:rsidRPr="00D304EC">
        <w:rPr>
          <w:rFonts w:ascii="Calibri" w:hAnsi="Calibri" w:cs="Calibri"/>
          <w:color w:val="000000" w:themeColor="text1"/>
          <w:sz w:val="22"/>
          <w:szCs w:val="22"/>
        </w:rPr>
        <w:t>headcounts</w:t>
      </w:r>
      <w:r w:rsidRPr="00D304EC">
        <w:rPr>
          <w:rFonts w:ascii="Calibri" w:hAnsi="Calibri" w:cs="Calibri"/>
          <w:color w:val="000000" w:themeColor="text1"/>
          <w:sz w:val="22"/>
          <w:szCs w:val="22"/>
        </w:rPr>
        <w:t xml:space="preserve"> alone would solve the problem. On business continuity, Russo, Mamede, Reis, Martins, and Branco's (2023) review of organisational business-continuity maturity assessment found that existing standards and frameworks remain fragmented and lack agreed maturity metrics between them precisely the gap Stage D's emphasis on continuous, standardised assurance, instead of one-off compliance reporting, is meant to address.</w:t>
      </w:r>
    </w:p>
    <w:p w14:paraId="5F5E9447" w14:textId="77777777" w:rsidR="001E5353" w:rsidRDefault="001E5353" w:rsidP="00531EF3">
      <w:pPr>
        <w:spacing w:line="360" w:lineRule="auto"/>
        <w:jc w:val="both"/>
        <w:rPr>
          <w:rFonts w:ascii="Calibri" w:hAnsi="Calibri" w:cs="Calibri"/>
          <w:color w:val="000000" w:themeColor="text1"/>
          <w:sz w:val="22"/>
          <w:szCs w:val="22"/>
        </w:rPr>
      </w:pPr>
    </w:p>
    <w:p w14:paraId="1279563B" w14:textId="77777777" w:rsidR="001E5353" w:rsidRDefault="001E5353" w:rsidP="00531EF3">
      <w:pPr>
        <w:spacing w:line="360" w:lineRule="auto"/>
        <w:jc w:val="both"/>
        <w:rPr>
          <w:rFonts w:ascii="Calibri" w:hAnsi="Calibri" w:cs="Calibri"/>
          <w:color w:val="000000" w:themeColor="text1"/>
          <w:sz w:val="22"/>
          <w:szCs w:val="22"/>
        </w:rPr>
      </w:pPr>
    </w:p>
    <w:p w14:paraId="6435E4D5" w14:textId="77777777" w:rsidR="001E5353" w:rsidRDefault="001E5353" w:rsidP="00531EF3">
      <w:pPr>
        <w:spacing w:line="360" w:lineRule="auto"/>
        <w:jc w:val="both"/>
        <w:rPr>
          <w:rFonts w:ascii="Calibri" w:hAnsi="Calibri" w:cs="Calibri"/>
          <w:color w:val="000000" w:themeColor="text1"/>
          <w:sz w:val="22"/>
          <w:szCs w:val="22"/>
        </w:rPr>
      </w:pPr>
    </w:p>
    <w:p w14:paraId="35A1EF57" w14:textId="77777777" w:rsidR="001E5353" w:rsidRPr="00D304EC" w:rsidRDefault="001E5353" w:rsidP="00531EF3">
      <w:pPr>
        <w:spacing w:line="360" w:lineRule="auto"/>
        <w:jc w:val="both"/>
        <w:rPr>
          <w:rFonts w:ascii="Calibri" w:hAnsi="Calibri" w:cs="Calibri"/>
          <w:color w:val="000000" w:themeColor="text1"/>
          <w:sz w:val="22"/>
          <w:szCs w:val="22"/>
        </w:rPr>
      </w:pPr>
    </w:p>
    <w:p w14:paraId="4BAAD0FB"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7. Discussion</w:t>
      </w:r>
    </w:p>
    <w:p w14:paraId="7320116F" w14:textId="45CF1C1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Having set out the framework itself in Section 6, this section steps back to ask what MARS-F </w:t>
      </w:r>
      <w:r w:rsidR="001E5353" w:rsidRPr="00D304EC">
        <w:rPr>
          <w:rFonts w:ascii="Calibri" w:hAnsi="Calibri" w:cs="Calibri"/>
          <w:color w:val="000000" w:themeColor="text1"/>
          <w:sz w:val="22"/>
          <w:szCs w:val="22"/>
        </w:rPr>
        <w:t>means</w:t>
      </w:r>
      <w:r w:rsidRPr="00D304EC">
        <w:rPr>
          <w:rFonts w:ascii="Calibri" w:hAnsi="Calibri" w:cs="Calibri"/>
          <w:color w:val="000000" w:themeColor="text1"/>
          <w:sz w:val="22"/>
          <w:szCs w:val="22"/>
        </w:rPr>
        <w:t xml:space="preserve"> for the surrounding literature and for practice, beyond the immediate claim that the framework works as designed.</w:t>
      </w:r>
    </w:p>
    <w:p w14:paraId="7523D842" w14:textId="77777777" w:rsidR="001E5353" w:rsidRPr="00D304EC" w:rsidRDefault="001E5353" w:rsidP="00531EF3">
      <w:pPr>
        <w:spacing w:line="360" w:lineRule="auto"/>
        <w:jc w:val="both"/>
        <w:rPr>
          <w:rFonts w:ascii="Calibri" w:hAnsi="Calibri" w:cs="Calibri"/>
          <w:color w:val="000000" w:themeColor="text1"/>
          <w:sz w:val="22"/>
          <w:szCs w:val="22"/>
        </w:rPr>
      </w:pPr>
    </w:p>
    <w:p w14:paraId="3049D0E0"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7.1 Theoretical implications</w:t>
      </w:r>
    </w:p>
    <w:p w14:paraId="1ADEFD77" w14:textId="6DB9DAF9"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The first and most direct theoretical implication concerns the TOE literature specifically. Section 2.2 showed that TOE has already been extended twice in ways relevant to this paper, once by Awa, Ojiabo, and Orokor (2017) to incorporate task and individual-level factors, and once by Wallace et al. (2020) to incorporate cybersecurity-specific factors. MARS-F's contribution sits alongside these as a third extension, but it differs from both in a way worth stating plainly: neither prior extension was tied to a specific technology whose risk profile differs qualitatively from the technologies TOE was built to explain. Awa et al.'s extension is domain-general, and Wallace et al.'s is cybersecurity-general. MARS-F's argument, developed in Section 4.1, is narrower and more specific: a distributed, network-spanning architecture differs enough from the monolithic and client-server systems TOE originally addressed that no general extension, however </w:t>
      </w:r>
      <w:r w:rsidR="001E5353" w:rsidRPr="00D304EC">
        <w:rPr>
          <w:rFonts w:ascii="Calibri" w:hAnsi="Calibri" w:cs="Calibri"/>
          <w:color w:val="000000" w:themeColor="text1"/>
          <w:sz w:val="22"/>
          <w:szCs w:val="22"/>
        </w:rPr>
        <w:t>well-constructed</w:t>
      </w:r>
      <w:r w:rsidRPr="00D304EC">
        <w:rPr>
          <w:rFonts w:ascii="Calibri" w:hAnsi="Calibri" w:cs="Calibri"/>
          <w:color w:val="000000" w:themeColor="text1"/>
          <w:sz w:val="22"/>
          <w:szCs w:val="22"/>
        </w:rPr>
        <w:t>, can be assumed to transfer automatically. If that argument holds, it implies something for TOE research more broadly: technology-specific extensions may sometimes be theoretically necessary, not merely convenient, at least where a technology's risk profile is not just quantitatively larger but qualitatively different from what came before it.</w:t>
      </w:r>
    </w:p>
    <w:p w14:paraId="753175E6" w14:textId="77777777" w:rsidR="001E5353" w:rsidRPr="00D304EC" w:rsidRDefault="001E5353" w:rsidP="00531EF3">
      <w:pPr>
        <w:spacing w:line="360" w:lineRule="auto"/>
        <w:jc w:val="both"/>
        <w:rPr>
          <w:rFonts w:ascii="Calibri" w:hAnsi="Calibri" w:cs="Calibri"/>
          <w:color w:val="000000" w:themeColor="text1"/>
          <w:sz w:val="22"/>
          <w:szCs w:val="22"/>
        </w:rPr>
      </w:pPr>
    </w:p>
    <w:p w14:paraId="77AE7AC5"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 second implication concerns method, not content. This paper's semi-systematic secondary-evidence protocol, set out in full in Section 3, is itself a reusable template for conceptual framework papers more broadly, not just for this specific framework. Conceptual papers in the IS literature face a persistent tension between two failure modes: frameworks asserted from theory alone, which risk floating free of current evidence, and full systematic reviews, which produce literature maps instead of usable frameworks. The middle path taken here, transparent search parameters combined with purposive, construct-directed source selection, resolves that tension in one workable way. Other researchers building evidence-grounded conceptual frameworks in fast-moving technical domains could reasonably reuse it, particularly where a formal systematic review would be out of date before the framework built from it could be usefully applied.</w:t>
      </w:r>
    </w:p>
    <w:p w14:paraId="59B81741" w14:textId="77777777" w:rsidR="001E5353" w:rsidRPr="00D304EC" w:rsidRDefault="001E5353" w:rsidP="00531EF3">
      <w:pPr>
        <w:spacing w:line="360" w:lineRule="auto"/>
        <w:jc w:val="both"/>
        <w:rPr>
          <w:rFonts w:ascii="Calibri" w:hAnsi="Calibri" w:cs="Calibri"/>
          <w:color w:val="000000" w:themeColor="text1"/>
          <w:sz w:val="22"/>
          <w:szCs w:val="22"/>
        </w:rPr>
      </w:pPr>
    </w:p>
    <w:p w14:paraId="7BA8CEC6"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lastRenderedPageBreak/>
        <w:t>The third implication concerns the relationship between security research and sociotechnical theory specifically. Section 2.3 showed that even the most comprehensive existing cybersecurity maturity models, including Büyüközkan and Güler's (2025) rigorously constructed five-dimension model, are built from bibliometric synthesis of the security literature, not from an explicit sociotechnical grounding of the kind Section 4.4 develops. MARS-F's Security Readiness dimension arrives at broadly similar content, technical controls alongside culture and process, but by a different route: not from cataloguing what the security literature already discusses, but from asking what Sociotechnical Systems Theory would predict is missing if only technical controls were measured. Two different starting points, bibliometric synthesis on one side and sociotechnical theory on the other, converge on a similar conclusion about the need for a culture-inclusive construct. That convergence is itself a modest piece of triangulating evidence that the conclusion is right, even though neither this paper nor Büyüközkan and Güler's set out to test the other's claim directly.</w:t>
      </w:r>
    </w:p>
    <w:p w14:paraId="5130B314" w14:textId="77777777" w:rsidR="001E5353" w:rsidRPr="00D304EC" w:rsidRDefault="001E5353" w:rsidP="00531EF3">
      <w:pPr>
        <w:spacing w:line="360" w:lineRule="auto"/>
        <w:jc w:val="both"/>
        <w:rPr>
          <w:rFonts w:ascii="Calibri" w:hAnsi="Calibri" w:cs="Calibri"/>
          <w:color w:val="000000" w:themeColor="text1"/>
          <w:sz w:val="22"/>
          <w:szCs w:val="22"/>
        </w:rPr>
      </w:pPr>
    </w:p>
    <w:p w14:paraId="161181D6"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7.2 Practical implications</w:t>
      </w:r>
    </w:p>
    <w:p w14:paraId="38AEA49E"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For organisations already using or considering microservices, MARS-F offers a structured self-assessment that does not depend on vendor disclosure practices getting better first, which is the whole point of grounding the framework in absorptive capacity instead of supply-side clarity alone. An organisation can, in principle, run the Section 6.3 scoring exercise internally using only the construct definitions in Section 5, without waiting for any external party to publish clearer guidance.</w:t>
      </w:r>
    </w:p>
    <w:p w14:paraId="0AD698B3" w14:textId="77777777" w:rsidR="001E5353" w:rsidRPr="00D304EC" w:rsidRDefault="001E5353" w:rsidP="00531EF3">
      <w:pPr>
        <w:spacing w:line="360" w:lineRule="auto"/>
        <w:jc w:val="both"/>
        <w:rPr>
          <w:rFonts w:ascii="Calibri" w:hAnsi="Calibri" w:cs="Calibri"/>
          <w:color w:val="000000" w:themeColor="text1"/>
          <w:sz w:val="22"/>
          <w:szCs w:val="22"/>
        </w:rPr>
      </w:pPr>
    </w:p>
    <w:p w14:paraId="1EEE0BE1" w14:textId="11A8E2EE"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For providers and platform vendors, the framework offers something to be measured </w:t>
      </w:r>
      <w:r w:rsidR="001E5353" w:rsidRPr="00D304EC">
        <w:rPr>
          <w:rFonts w:ascii="Calibri" w:hAnsi="Calibri" w:cs="Calibri"/>
          <w:color w:val="000000" w:themeColor="text1"/>
          <w:sz w:val="22"/>
          <w:szCs w:val="22"/>
        </w:rPr>
        <w:t>against</w:t>
      </w:r>
      <w:r w:rsidRPr="00D304EC">
        <w:rPr>
          <w:rFonts w:ascii="Calibri" w:hAnsi="Calibri" w:cs="Calibri"/>
          <w:color w:val="000000" w:themeColor="text1"/>
          <w:sz w:val="22"/>
          <w:szCs w:val="22"/>
        </w:rPr>
        <w:t xml:space="preserve"> a shared reference structure their own guidance materials could be benchmarked to, potentially narrowing the roadmap gap from the supply side as well as the demand side. A vendor could, for instance, map its existing migration documentation onto the four TOES dimensions and identify which of them its guidance currently addresses well and which it leaves largely to the customer to work out alone a more structured self-audit than most vendor documentation currently receives.</w:t>
      </w:r>
    </w:p>
    <w:p w14:paraId="6ECAED89" w14:textId="77777777" w:rsidR="001E5353" w:rsidRPr="00D304EC" w:rsidRDefault="001E5353" w:rsidP="00531EF3">
      <w:pPr>
        <w:spacing w:line="360" w:lineRule="auto"/>
        <w:jc w:val="both"/>
        <w:rPr>
          <w:rFonts w:ascii="Calibri" w:hAnsi="Calibri" w:cs="Calibri"/>
          <w:color w:val="000000" w:themeColor="text1"/>
          <w:sz w:val="22"/>
          <w:szCs w:val="22"/>
        </w:rPr>
      </w:pPr>
    </w:p>
    <w:p w14:paraId="2D4A7F58" w14:textId="53630B1A"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For consultancies and systems integrators who run migration engagements on organisations' behalf, MARS-F offers a shared diagnostic vocabulary that could sit between the consultant and the client instead of being </w:t>
      </w:r>
      <w:r w:rsidR="001E5353" w:rsidRPr="00D304EC">
        <w:rPr>
          <w:rFonts w:ascii="Calibri" w:hAnsi="Calibri" w:cs="Calibri"/>
          <w:color w:val="000000" w:themeColor="text1"/>
          <w:sz w:val="22"/>
          <w:szCs w:val="22"/>
        </w:rPr>
        <w:t>party’s</w:t>
      </w:r>
      <w:r w:rsidRPr="00D304EC">
        <w:rPr>
          <w:rFonts w:ascii="Calibri" w:hAnsi="Calibri" w:cs="Calibri"/>
          <w:color w:val="000000" w:themeColor="text1"/>
          <w:sz w:val="22"/>
          <w:szCs w:val="22"/>
        </w:rPr>
        <w:t xml:space="preserve"> proprietary methodology. This matters in practice more than it might first appear: one of the frictions in the vendor and consultant landscape this paper's introduction described is that every provider tends to bring its own undocumented readiness heuristics, making it hard for a client </w:t>
      </w:r>
      <w:r w:rsidRPr="00D304EC">
        <w:rPr>
          <w:rFonts w:ascii="Calibri" w:hAnsi="Calibri" w:cs="Calibri"/>
          <w:color w:val="000000" w:themeColor="text1"/>
          <w:sz w:val="22"/>
          <w:szCs w:val="22"/>
        </w:rPr>
        <w:lastRenderedPageBreak/>
        <w:t>organisation to compare two competing proposals on a like-for-like basis. A framework with published, citable construct definitions gives both sides a common reference point.</w:t>
      </w:r>
    </w:p>
    <w:p w14:paraId="396F87EF" w14:textId="77777777" w:rsidR="001E5353" w:rsidRPr="00D304EC" w:rsidRDefault="001E5353" w:rsidP="00531EF3">
      <w:pPr>
        <w:spacing w:line="360" w:lineRule="auto"/>
        <w:jc w:val="both"/>
        <w:rPr>
          <w:rFonts w:ascii="Calibri" w:hAnsi="Calibri" w:cs="Calibri"/>
          <w:color w:val="000000" w:themeColor="text1"/>
          <w:sz w:val="22"/>
          <w:szCs w:val="22"/>
        </w:rPr>
      </w:pPr>
    </w:p>
    <w:p w14:paraId="1E042D2F"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For policymakers and standards bodies, the fact that Security Readiness already draws on NIST guidance (NIST, 2023; Chandramouli &amp; Butcher, 2023) suggests a fairly natural route for mapping sector-specific regulatory expectations onto the diagnostic in later applied work, extending the Environmental Readiness dimension along the lines Section 8.4 sets out as a future research direction.</w:t>
      </w:r>
    </w:p>
    <w:p w14:paraId="5BFE9B6E" w14:textId="77777777" w:rsidR="001E5353" w:rsidRPr="00D304EC" w:rsidRDefault="001E5353" w:rsidP="00531EF3">
      <w:pPr>
        <w:spacing w:line="360" w:lineRule="auto"/>
        <w:jc w:val="both"/>
        <w:rPr>
          <w:rFonts w:ascii="Calibri" w:hAnsi="Calibri" w:cs="Calibri"/>
          <w:color w:val="000000" w:themeColor="text1"/>
          <w:sz w:val="22"/>
          <w:szCs w:val="22"/>
        </w:rPr>
      </w:pPr>
    </w:p>
    <w:p w14:paraId="2146323A"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7.3 Boundary conditions and applicability</w:t>
      </w:r>
    </w:p>
    <w:p w14:paraId="1D019FDB" w14:textId="2A5D406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MARS-F is built with mid-to-large enterprises in mind, organisations with enough internal structure to </w:t>
      </w:r>
      <w:r w:rsidR="001E5353" w:rsidRPr="00D304EC">
        <w:rPr>
          <w:rFonts w:ascii="Calibri" w:hAnsi="Calibri" w:cs="Calibri"/>
          <w:color w:val="000000" w:themeColor="text1"/>
          <w:sz w:val="22"/>
          <w:szCs w:val="22"/>
        </w:rPr>
        <w:t>complete</w:t>
      </w:r>
      <w:r w:rsidRPr="00D304EC">
        <w:rPr>
          <w:rFonts w:ascii="Calibri" w:hAnsi="Calibri" w:cs="Calibri"/>
          <w:color w:val="000000" w:themeColor="text1"/>
          <w:sz w:val="22"/>
          <w:szCs w:val="22"/>
        </w:rPr>
        <w:t xml:space="preserve"> a multi-dimensional readiness diagnostic in a meaningful way. Very small organisations, or those adopting a single, narrowly scoped service, may find the full diagnostic more than the situation calls for; a five-person start-up building its first product on a handful of services is unlikely to need a formal remediation gate before it can proceed.</w:t>
      </w:r>
    </w:p>
    <w:p w14:paraId="7E88AA3D" w14:textId="77777777" w:rsidR="001E5353" w:rsidRPr="00D304EC" w:rsidRDefault="001E5353" w:rsidP="00531EF3">
      <w:pPr>
        <w:spacing w:line="360" w:lineRule="auto"/>
        <w:jc w:val="both"/>
        <w:rPr>
          <w:rFonts w:ascii="Calibri" w:hAnsi="Calibri" w:cs="Calibri"/>
          <w:color w:val="000000" w:themeColor="text1"/>
          <w:sz w:val="22"/>
          <w:szCs w:val="22"/>
        </w:rPr>
      </w:pPr>
    </w:p>
    <w:p w14:paraId="625E64A8"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A second boundary condition concerns organisational IT maturity more broadly. The framework assumes an organisation already has, or can readily establish, the kind of internal structure needed to conduct a credible self-assessment: some existing DevOps or platform-engineering capability, some executive sponsorship mechanism, and some capacity to act on whatever the diagnostic finds. An organisation with essentially no existing technology function would likely need to build that baseline capability before MARS-F's diagnostic became meaningful. This paper has not attempted to specify that precondition formally.</w:t>
      </w:r>
    </w:p>
    <w:p w14:paraId="4D8A2F58" w14:textId="77777777" w:rsidR="001E5353" w:rsidRPr="00D304EC" w:rsidRDefault="001E5353" w:rsidP="00531EF3">
      <w:pPr>
        <w:spacing w:line="360" w:lineRule="auto"/>
        <w:jc w:val="both"/>
        <w:rPr>
          <w:rFonts w:ascii="Calibri" w:hAnsi="Calibri" w:cs="Calibri"/>
          <w:color w:val="000000" w:themeColor="text1"/>
          <w:sz w:val="22"/>
          <w:szCs w:val="22"/>
        </w:rPr>
      </w:pPr>
    </w:p>
    <w:p w14:paraId="5A48618A" w14:textId="4B95BB6D"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A third boundary condition concerns sector. Organisations in heavily regulated sectors, financial services or healthcare, for instance, are likely to find the Environmental Readiness dimension under-specified as it currently stands, since the framework's regulatory construct is general, not </w:t>
      </w:r>
      <w:r w:rsidR="001E5353" w:rsidRPr="00D304EC">
        <w:rPr>
          <w:rFonts w:ascii="Calibri" w:hAnsi="Calibri" w:cs="Calibri"/>
          <w:color w:val="000000" w:themeColor="text1"/>
          <w:sz w:val="22"/>
          <w:szCs w:val="22"/>
        </w:rPr>
        <w:t>sector specific</w:t>
      </w:r>
      <w:r w:rsidRPr="00D304EC">
        <w:rPr>
          <w:rFonts w:ascii="Calibri" w:hAnsi="Calibri" w:cs="Calibri"/>
          <w:color w:val="000000" w:themeColor="text1"/>
          <w:sz w:val="22"/>
          <w:szCs w:val="22"/>
        </w:rPr>
        <w:t>. This is the same gap Section 8.4 identifies as the clearest direction for near-term extension. It deserves naming here as a boundary condition on the current version's applicability, not only as a future-research aspiration. An organisation in a heavily regulated sector applying MARS-F today would need to supplement the Environmental Readiness score with its own sector-specific compliance assessment, since the general-purpose version presented here does not yet do that work for them.</w:t>
      </w:r>
    </w:p>
    <w:p w14:paraId="339B117D" w14:textId="77777777" w:rsidR="001E5353" w:rsidRPr="00D304EC" w:rsidRDefault="001E5353" w:rsidP="00531EF3">
      <w:pPr>
        <w:spacing w:line="360" w:lineRule="auto"/>
        <w:jc w:val="both"/>
        <w:rPr>
          <w:rFonts w:ascii="Calibri" w:hAnsi="Calibri" w:cs="Calibri"/>
          <w:color w:val="000000" w:themeColor="text1"/>
          <w:sz w:val="22"/>
          <w:szCs w:val="22"/>
        </w:rPr>
      </w:pPr>
    </w:p>
    <w:p w14:paraId="25D2C32D"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8. Conclusion, Limitations, and Future Research</w:t>
      </w:r>
    </w:p>
    <w:p w14:paraId="2196593C"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8.1 Summary and how the research questions were answered</w:t>
      </w:r>
    </w:p>
    <w:p w14:paraId="1FEA1C01"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paper set out to build MARS-F, extending TOE into TOES by adding Security as a fourth, evidence-grounded readiness dimension, and turning that diagnostic into a staged, theoretically justified adoption roadmap. It is grounded in a semi-systematic synthesis of 2020–2026 academic and industry sources, positioned explicitly against prior microservices maturity models and prior TOE extensions in Section 2, and supported by five theoretical traditions in Section 4. On that basis, the framework set out to close three gaps identified in the introduction: an awareness gap, a security-integration gap, and a roadmap gap. That closure is worth checking against the specific research questions Section 1 posed, instead of leaving the connection at the general level.</w:t>
      </w:r>
    </w:p>
    <w:p w14:paraId="52E15B1B" w14:textId="77777777" w:rsidR="001E5353" w:rsidRPr="00D304EC" w:rsidRDefault="001E5353" w:rsidP="00531EF3">
      <w:pPr>
        <w:spacing w:line="360" w:lineRule="auto"/>
        <w:jc w:val="both"/>
        <w:rPr>
          <w:rFonts w:ascii="Calibri" w:hAnsi="Calibri" w:cs="Calibri"/>
          <w:color w:val="000000" w:themeColor="text1"/>
          <w:sz w:val="22"/>
          <w:szCs w:val="22"/>
        </w:rPr>
      </w:pPr>
    </w:p>
    <w:p w14:paraId="73411798"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RQ1 asked what current secondary evidence reveals about organisational awareness and vendor-roadmap gaps in microservices adoption. This was answered principally in Sections 5.2 and 5.3. The evidence, from Logz.io's (2024) knowledge-gap findings through to IBM's (2021) adoption-barrier survey and the vendor lock-in and governance literature reviewed in 5.3, converged on a consistent picture: organisations proceeding without adequate internal awareness, and vendor guidance existing but not translating into organisational capability on its own. Objective O1 is satisfied by that same evidence base, drawn from the protocol set out in Section 3.</w:t>
      </w:r>
    </w:p>
    <w:p w14:paraId="4AD670EF" w14:textId="77777777" w:rsidR="001E5353" w:rsidRPr="00D304EC" w:rsidRDefault="001E5353" w:rsidP="00531EF3">
      <w:pPr>
        <w:spacing w:line="360" w:lineRule="auto"/>
        <w:jc w:val="both"/>
        <w:rPr>
          <w:rFonts w:ascii="Calibri" w:hAnsi="Calibri" w:cs="Calibri"/>
          <w:color w:val="000000" w:themeColor="text1"/>
          <w:sz w:val="22"/>
          <w:szCs w:val="22"/>
        </w:rPr>
      </w:pPr>
    </w:p>
    <w:p w14:paraId="23331C21"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RQ2 asked what security-related risks and readiness gaps are most frequently reported across academic and industry sources. Section 5.4 answered this directly: the Haindl et al. (2024) and Berardi et al. (2022) reviews, together with the container-level and policy-level evidence discussed alongside them, converged on a wider attack surface and a persistent gap between identified threats and established mitigation guidance. Objective O2 is satisfied by the same construct-grounding work in 5.4.</w:t>
      </w:r>
    </w:p>
    <w:p w14:paraId="56F5EAC0" w14:textId="77777777" w:rsidR="001E5353" w:rsidRPr="00D304EC" w:rsidRDefault="001E5353" w:rsidP="00531EF3">
      <w:pPr>
        <w:spacing w:line="360" w:lineRule="auto"/>
        <w:jc w:val="both"/>
        <w:rPr>
          <w:rFonts w:ascii="Calibri" w:hAnsi="Calibri" w:cs="Calibri"/>
          <w:color w:val="000000" w:themeColor="text1"/>
          <w:sz w:val="22"/>
          <w:szCs w:val="22"/>
        </w:rPr>
      </w:pPr>
    </w:p>
    <w:p w14:paraId="7ACAE5D7"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RQ3 asked how TOE could be theoretically extended to incorporate security as a distinct readiness dimension. This was answered in Section 4, particularly 4.1 and 4.6, where the case for TOES was built from TOE's original three-context structure and the argument that security could not be adequately folded into the technological context alone. Section 2.2's discussion of Wallace et al.'s (2020) prior TOE extension is relevant here too: it confirms the same underlying theoretical move has independent support in the literature, even though this paper's specific TOES formulation and its microservices focus are new. Objective O3 is satisfied by that theoretical development.</w:t>
      </w:r>
    </w:p>
    <w:p w14:paraId="54E070BA"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lastRenderedPageBreak/>
        <w:t>RQ4 asked what staged roadmap structure could translate a TOES-based readiness diagnosis into actionable adoption guidance. Section 6 answered this in full: the four-stage roadmap, the remediation gate, and the governance feedback loop set out in 6.3 through 6.6 together form the mechanism RQ4 was asking for. Objective O4 is satisfied by that same design work. Taken together, the four research questions map onto identifiable sections of the paper's development, Sections 2 through 6, instead of being answered only in a diffuse, general sense.</w:t>
      </w:r>
    </w:p>
    <w:p w14:paraId="12008C0A" w14:textId="77777777" w:rsidR="001E5353" w:rsidRPr="00D304EC" w:rsidRDefault="001E5353" w:rsidP="00531EF3">
      <w:pPr>
        <w:spacing w:line="360" w:lineRule="auto"/>
        <w:jc w:val="both"/>
        <w:rPr>
          <w:rFonts w:ascii="Calibri" w:hAnsi="Calibri" w:cs="Calibri"/>
          <w:color w:val="000000" w:themeColor="text1"/>
          <w:sz w:val="22"/>
          <w:szCs w:val="22"/>
        </w:rPr>
      </w:pPr>
    </w:p>
    <w:p w14:paraId="415160B8"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8.2 What the paper adds, stated plainly</w:t>
      </w:r>
    </w:p>
    <w:p w14:paraId="69F841D1" w14:textId="64A68045"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 xml:space="preserve">Stripped of qualification, the contribution comes down to three things. Existing microservices readiness tools are not grounded in adoption theory and do not treat security as its own dimension; MARS-F is. Existing TOE-security extensions are not specific to microservices and do not extend into an implementation mechanism; MARS-F's TOES structure does, through the remediation gate and staged roadmap set out in Section 6. And the vendor-roadmap problem that motivated this paper in the first place </w:t>
      </w:r>
      <w:r w:rsidR="001E5353" w:rsidRPr="00D304EC">
        <w:rPr>
          <w:rFonts w:ascii="Calibri" w:hAnsi="Calibri" w:cs="Calibri"/>
          <w:color w:val="000000" w:themeColor="text1"/>
          <w:sz w:val="22"/>
          <w:szCs w:val="22"/>
        </w:rPr>
        <w:t>turns out</w:t>
      </w:r>
      <w:r w:rsidRPr="00D304EC">
        <w:rPr>
          <w:rFonts w:ascii="Calibri" w:hAnsi="Calibri" w:cs="Calibri"/>
          <w:color w:val="000000" w:themeColor="text1"/>
          <w:sz w:val="22"/>
          <w:szCs w:val="22"/>
        </w:rPr>
        <w:t xml:space="preserve"> on the Absorptive Capacity reading developed in Section </w:t>
      </w:r>
      <w:r w:rsidR="001E5353" w:rsidRPr="00D304EC">
        <w:rPr>
          <w:rFonts w:ascii="Calibri" w:hAnsi="Calibri" w:cs="Calibri"/>
          <w:color w:val="000000" w:themeColor="text1"/>
          <w:sz w:val="22"/>
          <w:szCs w:val="22"/>
        </w:rPr>
        <w:t>4.3;</w:t>
      </w:r>
      <w:r w:rsidRPr="00D304EC">
        <w:rPr>
          <w:rFonts w:ascii="Calibri" w:hAnsi="Calibri" w:cs="Calibri"/>
          <w:color w:val="000000" w:themeColor="text1"/>
          <w:sz w:val="22"/>
          <w:szCs w:val="22"/>
        </w:rPr>
        <w:t xml:space="preserve"> to be something organisations have more agency over than the original problem statement assumed. None of these three points depends on the framework being empirically validated to be true as stated; they hold true of the conceptual and evidentiary work already done. What empirical validation would add is confidence that the specific mechanism, the scoring, the threshold, the stage sequencing, works as intended in practice, exactly what the limitations below turn to.</w:t>
      </w:r>
    </w:p>
    <w:p w14:paraId="59D944B7" w14:textId="77777777" w:rsidR="001E5353" w:rsidRPr="00D304EC" w:rsidRDefault="001E5353" w:rsidP="00531EF3">
      <w:pPr>
        <w:spacing w:line="360" w:lineRule="auto"/>
        <w:jc w:val="both"/>
        <w:rPr>
          <w:rFonts w:ascii="Calibri" w:hAnsi="Calibri" w:cs="Calibri"/>
          <w:color w:val="000000" w:themeColor="text1"/>
          <w:sz w:val="22"/>
          <w:szCs w:val="22"/>
        </w:rPr>
      </w:pPr>
    </w:p>
    <w:p w14:paraId="7401D9FF"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8.3 Limitations</w:t>
      </w:r>
    </w:p>
    <w:p w14:paraId="0614FB22"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Three limitations follow directly from the paper's conceptual, secondary-evidence design, and they deserve to be taken in turn instead of compressed into a single caveat.</w:t>
      </w:r>
    </w:p>
    <w:p w14:paraId="6DF3059D" w14:textId="2419743F" w:rsidR="007E0EBC" w:rsidRDefault="00000000" w:rsidP="00531EF3">
      <w:pPr>
        <w:spacing w:line="360" w:lineRule="auto"/>
        <w:jc w:val="both"/>
        <w:rPr>
          <w:rFonts w:ascii="Calibri" w:hAnsi="Calibri" w:cs="Calibri"/>
          <w:color w:val="000000" w:themeColor="text1"/>
          <w:sz w:val="22"/>
          <w:szCs w:val="22"/>
        </w:rPr>
      </w:pPr>
      <w:r w:rsidRPr="001E5353">
        <w:rPr>
          <w:rFonts w:ascii="Calibri" w:hAnsi="Calibri" w:cs="Calibri"/>
          <w:b/>
          <w:bCs/>
          <w:color w:val="000000" w:themeColor="text1"/>
          <w:sz w:val="22"/>
          <w:szCs w:val="22"/>
        </w:rPr>
        <w:t>The first</w:t>
      </w:r>
      <w:r w:rsidRPr="00D304EC">
        <w:rPr>
          <w:rFonts w:ascii="Calibri" w:hAnsi="Calibri" w:cs="Calibri"/>
          <w:color w:val="000000" w:themeColor="text1"/>
          <w:sz w:val="22"/>
          <w:szCs w:val="22"/>
        </w:rPr>
        <w:t xml:space="preserve"> concerns evidence coverage. The search protocol in Section 3 is transparent and replicable in its parameters, but it is semi-systematic, not exhaustive, and the 44 sources underpinning the construct grounding in Section 5, while each individually verified, do not constitute a full census of the relevant literature. Construct-mapping, deciding which source </w:t>
      </w:r>
      <w:r w:rsidR="001E5353" w:rsidRPr="00D304EC">
        <w:rPr>
          <w:rFonts w:ascii="Calibri" w:hAnsi="Calibri" w:cs="Calibri"/>
          <w:color w:val="000000" w:themeColor="text1"/>
          <w:sz w:val="22"/>
          <w:szCs w:val="22"/>
        </w:rPr>
        <w:t>evidence</w:t>
      </w:r>
      <w:r w:rsidRPr="00D304EC">
        <w:rPr>
          <w:rFonts w:ascii="Calibri" w:hAnsi="Calibri" w:cs="Calibri"/>
          <w:color w:val="000000" w:themeColor="text1"/>
          <w:sz w:val="22"/>
          <w:szCs w:val="22"/>
        </w:rPr>
        <w:t xml:space="preserve"> which TOES construct, also involved a degree of interpretive judgement on my part that a second coder might not have applied identically. This is an acceptable trade-off for a conceptual contribution, as argued in Section 1.6, but it remains a real limitation, not merely a formal one.</w:t>
      </w:r>
    </w:p>
    <w:p w14:paraId="6A5D269C" w14:textId="77777777" w:rsidR="001E5353" w:rsidRPr="00D304EC" w:rsidRDefault="001E5353" w:rsidP="00531EF3">
      <w:pPr>
        <w:spacing w:line="360" w:lineRule="auto"/>
        <w:jc w:val="both"/>
        <w:rPr>
          <w:rFonts w:ascii="Calibri" w:hAnsi="Calibri" w:cs="Calibri"/>
          <w:color w:val="000000" w:themeColor="text1"/>
          <w:sz w:val="22"/>
          <w:szCs w:val="22"/>
        </w:rPr>
      </w:pPr>
    </w:p>
    <w:p w14:paraId="1F2B5611" w14:textId="77777777" w:rsidR="007E0EBC" w:rsidRDefault="00000000" w:rsidP="00531EF3">
      <w:pPr>
        <w:spacing w:line="360" w:lineRule="auto"/>
        <w:jc w:val="both"/>
        <w:rPr>
          <w:rFonts w:ascii="Calibri" w:hAnsi="Calibri" w:cs="Calibri"/>
          <w:color w:val="000000" w:themeColor="text1"/>
          <w:sz w:val="22"/>
          <w:szCs w:val="22"/>
        </w:rPr>
      </w:pPr>
      <w:r w:rsidRPr="001E5353">
        <w:rPr>
          <w:rFonts w:ascii="Calibri" w:hAnsi="Calibri" w:cs="Calibri"/>
          <w:b/>
          <w:bCs/>
          <w:color w:val="000000" w:themeColor="text1"/>
          <w:sz w:val="22"/>
          <w:szCs w:val="22"/>
        </w:rPr>
        <w:lastRenderedPageBreak/>
        <w:t>The second</w:t>
      </w:r>
      <w:r w:rsidRPr="00D304EC">
        <w:rPr>
          <w:rFonts w:ascii="Calibri" w:hAnsi="Calibri" w:cs="Calibri"/>
          <w:color w:val="000000" w:themeColor="text1"/>
          <w:sz w:val="22"/>
          <w:szCs w:val="22"/>
        </w:rPr>
        <w:t xml:space="preserve"> concerns empirical validation, or the current absence of it. Every element of MARS-F's mechanism, the five-point scoring scale, the four-axis profile, the remediation gate, the four-stage roadmap, is theoretically defensible on the grounds set out in Sections 4 and 6, but none of it has yet been tested against real organisational data. A framework can be internally coherent and still fail in practice for reasons that only show up once organisations actually try to use it: items interpreted inconsistently across raters, stages taking longer in practice than the roadmap logic assumes, or the remediation gate producing false negatives for organisations whose weakest dimension sits genuinely close to threshold. None of that can be ruled out from the desk.</w:t>
      </w:r>
    </w:p>
    <w:p w14:paraId="7DAE31E0" w14:textId="77777777" w:rsidR="001E5353" w:rsidRPr="00D304EC" w:rsidRDefault="001E5353" w:rsidP="00531EF3">
      <w:pPr>
        <w:spacing w:line="360" w:lineRule="auto"/>
        <w:jc w:val="both"/>
        <w:rPr>
          <w:rFonts w:ascii="Calibri" w:hAnsi="Calibri" w:cs="Calibri"/>
          <w:color w:val="000000" w:themeColor="text1"/>
          <w:sz w:val="22"/>
          <w:szCs w:val="22"/>
        </w:rPr>
      </w:pPr>
    </w:p>
    <w:p w14:paraId="5C9191BB" w14:textId="77777777" w:rsidR="007E0EBC" w:rsidRDefault="00000000" w:rsidP="00531EF3">
      <w:pPr>
        <w:spacing w:line="360" w:lineRule="auto"/>
        <w:jc w:val="both"/>
        <w:rPr>
          <w:rFonts w:ascii="Calibri" w:hAnsi="Calibri" w:cs="Calibri"/>
          <w:color w:val="000000" w:themeColor="text1"/>
          <w:sz w:val="22"/>
          <w:szCs w:val="22"/>
        </w:rPr>
      </w:pPr>
      <w:r w:rsidRPr="001E5353">
        <w:rPr>
          <w:rFonts w:ascii="Calibri" w:hAnsi="Calibri" w:cs="Calibri"/>
          <w:b/>
          <w:bCs/>
          <w:color w:val="000000" w:themeColor="text1"/>
          <w:sz w:val="22"/>
          <w:szCs w:val="22"/>
        </w:rPr>
        <w:t>The third,</w:t>
      </w:r>
      <w:r w:rsidRPr="00D304EC">
        <w:rPr>
          <w:rFonts w:ascii="Calibri" w:hAnsi="Calibri" w:cs="Calibri"/>
          <w:color w:val="000000" w:themeColor="text1"/>
          <w:sz w:val="22"/>
          <w:szCs w:val="22"/>
        </w:rPr>
        <w:t xml:space="preserve"> more specific limitation concerns the remediation-gate threshold itself. The value proposed in Section 6.4, three out of five, is a face-validity judgement, not an empirically calibrated cut-off. It was chosen because it sits at the midpoint of the scale, and because organisations scoring below it are, by construction, reporting more absent-or-ad-hoc constructs than institutionalised ones within a dimension, which seems a reasonable point to require remediation before proceeding. But reasonable is not the same as tested, and the threshold is one of the more obvious candidates for revision once empirical data exists to calibrate it against, whether that means raising it, lowering it, or replacing a single fixed threshold with something that varies by dimension.</w:t>
      </w:r>
    </w:p>
    <w:p w14:paraId="394BFF1F" w14:textId="77777777" w:rsidR="001E5353" w:rsidRPr="00D304EC" w:rsidRDefault="001E5353" w:rsidP="00531EF3">
      <w:pPr>
        <w:spacing w:line="360" w:lineRule="auto"/>
        <w:jc w:val="both"/>
        <w:rPr>
          <w:rFonts w:ascii="Calibri" w:hAnsi="Calibri" w:cs="Calibri"/>
          <w:color w:val="000000" w:themeColor="text1"/>
          <w:sz w:val="22"/>
          <w:szCs w:val="22"/>
        </w:rPr>
      </w:pPr>
    </w:p>
    <w:p w14:paraId="57909EAE"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8.4 Future research directions</w:t>
      </w:r>
    </w:p>
    <w:p w14:paraId="62245AB1" w14:textId="77777777" w:rsidR="007E0EBC" w:rsidRPr="00D304E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Four directions follow from the limitations above, roughly in the order a research programme would need to tackle them.</w:t>
      </w:r>
    </w:p>
    <w:p w14:paraId="27B81E34" w14:textId="77777777" w:rsidR="007E0EBC" w:rsidRDefault="00000000" w:rsidP="00531EF3">
      <w:pPr>
        <w:spacing w:line="360" w:lineRule="auto"/>
        <w:jc w:val="both"/>
        <w:rPr>
          <w:rFonts w:ascii="Calibri" w:hAnsi="Calibri" w:cs="Calibri"/>
          <w:color w:val="000000" w:themeColor="text1"/>
          <w:sz w:val="22"/>
          <w:szCs w:val="22"/>
        </w:rPr>
      </w:pPr>
      <w:r w:rsidRPr="001E5353">
        <w:rPr>
          <w:rFonts w:ascii="Calibri" w:hAnsi="Calibri" w:cs="Calibri"/>
          <w:b/>
          <w:bCs/>
          <w:color w:val="000000" w:themeColor="text1"/>
          <w:sz w:val="22"/>
          <w:szCs w:val="22"/>
        </w:rPr>
        <w:t>The first</w:t>
      </w:r>
      <w:r w:rsidRPr="00D304EC">
        <w:rPr>
          <w:rFonts w:ascii="Calibri" w:hAnsi="Calibri" w:cs="Calibri"/>
          <w:color w:val="000000" w:themeColor="text1"/>
          <w:sz w:val="22"/>
          <w:szCs w:val="22"/>
        </w:rPr>
        <w:t xml:space="preserve"> and most immediate is instrument development: turning the five-point maturity scale sketched in Section 6.3 into a properly validated psychometric instrument, with item wording tested for clarity and consistency across raters, and construct validity established through the standard scale-development literature instead of assumed from face validity alone. </w:t>
      </w:r>
      <w:r w:rsidRPr="001E5353">
        <w:rPr>
          <w:rFonts w:ascii="Calibri" w:hAnsi="Calibri" w:cs="Calibri"/>
          <w:b/>
          <w:bCs/>
          <w:color w:val="000000" w:themeColor="text1"/>
          <w:sz w:val="22"/>
          <w:szCs w:val="22"/>
        </w:rPr>
        <w:t xml:space="preserve">The second </w:t>
      </w:r>
      <w:r w:rsidRPr="00D304EC">
        <w:rPr>
          <w:rFonts w:ascii="Calibri" w:hAnsi="Calibri" w:cs="Calibri"/>
          <w:color w:val="000000" w:themeColor="text1"/>
          <w:sz w:val="22"/>
          <w:szCs w:val="22"/>
        </w:rPr>
        <w:t xml:space="preserve">is empirical testing of the roadmap itself, through case studies or multi-organisation fieldwork that tracks organisations through Stages A to D and checks whether the sequencing, timing, and remediation logic hold up in practice, and where they do not. </w:t>
      </w:r>
      <w:r w:rsidRPr="001E5353">
        <w:rPr>
          <w:rFonts w:ascii="Calibri" w:hAnsi="Calibri" w:cs="Calibri"/>
          <w:b/>
          <w:bCs/>
          <w:color w:val="000000" w:themeColor="text1"/>
          <w:sz w:val="22"/>
          <w:szCs w:val="22"/>
        </w:rPr>
        <w:t>The third</w:t>
      </w:r>
      <w:r w:rsidRPr="00D304EC">
        <w:rPr>
          <w:rFonts w:ascii="Calibri" w:hAnsi="Calibri" w:cs="Calibri"/>
          <w:color w:val="000000" w:themeColor="text1"/>
          <w:sz w:val="22"/>
          <w:szCs w:val="22"/>
        </w:rPr>
        <w:t xml:space="preserve"> is calibrating the remediation-gate threshold against that same empirical data, since the current three-out-of-five figure, as Section 8.3 makes clear, is a starting assumption, not a finding. </w:t>
      </w:r>
      <w:r w:rsidRPr="001E5353">
        <w:rPr>
          <w:rFonts w:ascii="Calibri" w:hAnsi="Calibri" w:cs="Calibri"/>
          <w:b/>
          <w:bCs/>
          <w:color w:val="000000" w:themeColor="text1"/>
          <w:sz w:val="22"/>
          <w:szCs w:val="22"/>
        </w:rPr>
        <w:t>The fourth</w:t>
      </w:r>
      <w:r w:rsidRPr="00D304EC">
        <w:rPr>
          <w:rFonts w:ascii="Calibri" w:hAnsi="Calibri" w:cs="Calibri"/>
          <w:color w:val="000000" w:themeColor="text1"/>
          <w:sz w:val="22"/>
          <w:szCs w:val="22"/>
        </w:rPr>
        <w:t xml:space="preserve"> is extending Environmental Readiness to incorporate sector-specific regulatory mappings, building on the NIST (2023) and NIST (Chandramouli &amp; Butcher, 2023) grounding already established in Section </w:t>
      </w:r>
      <w:r w:rsidRPr="00D304EC">
        <w:rPr>
          <w:rFonts w:ascii="Calibri" w:hAnsi="Calibri" w:cs="Calibri"/>
          <w:color w:val="000000" w:themeColor="text1"/>
          <w:sz w:val="22"/>
          <w:szCs w:val="22"/>
        </w:rPr>
        <w:lastRenderedPageBreak/>
        <w:t>5.4, so organisations in more heavily regulated sectors could apply a version of the diagnostic tailored to their specific compliance obligations instead of the general form presented here.</w:t>
      </w:r>
    </w:p>
    <w:p w14:paraId="5EFB163B" w14:textId="77777777" w:rsidR="001E5353" w:rsidRPr="00D304EC" w:rsidRDefault="001E5353" w:rsidP="00531EF3">
      <w:pPr>
        <w:spacing w:line="360" w:lineRule="auto"/>
        <w:jc w:val="both"/>
        <w:rPr>
          <w:rFonts w:ascii="Calibri" w:hAnsi="Calibri" w:cs="Calibri"/>
          <w:color w:val="000000" w:themeColor="text1"/>
          <w:sz w:val="22"/>
          <w:szCs w:val="22"/>
        </w:rPr>
      </w:pPr>
    </w:p>
    <w:p w14:paraId="5D6B8BED" w14:textId="77777777" w:rsidR="007E0EBC" w:rsidRPr="00D304EC" w:rsidRDefault="00000000" w:rsidP="00531EF3">
      <w:pPr>
        <w:pStyle w:val="Heading2"/>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8.5 Closing statement</w:t>
      </w:r>
    </w:p>
    <w:p w14:paraId="01E3F78A"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 problem this paper opened with was not that microservices adoption lacks enthusiasm; the evidence reviewed throughout says the opposite. The problem is that enthusiasm has consistently outpaced the structured readiness assessment needed to support it, on the technological, organisational, environmental, and now, as this paper has argued, security fronts alike. MARS-F does not close that gap by itself. What it offers is a theoretically grounded, evidence-informed starting point: a structured way of asking the readiness question instead of an ad hoc one, and a roadmap connecting the answer to a sequenced path forward. Whether that starting point holds up under empirical testing is now a question for the research this paper's limitations point toward. It is not one this paper can answer alone.</w:t>
      </w:r>
    </w:p>
    <w:p w14:paraId="0B554BEB" w14:textId="77777777" w:rsidR="001E5353" w:rsidRPr="00D304EC" w:rsidRDefault="001E5353" w:rsidP="00531EF3">
      <w:pPr>
        <w:spacing w:line="360" w:lineRule="auto"/>
        <w:jc w:val="both"/>
        <w:rPr>
          <w:rFonts w:ascii="Calibri" w:hAnsi="Calibri" w:cs="Calibri"/>
          <w:color w:val="000000" w:themeColor="text1"/>
          <w:sz w:val="22"/>
          <w:szCs w:val="22"/>
        </w:rPr>
      </w:pPr>
    </w:p>
    <w:p w14:paraId="219C26F3"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Declaration of Competing Interest</w:t>
      </w:r>
    </w:p>
    <w:p w14:paraId="7E8F0C7F"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The author declares no known competing financial interests or personal relationships that could have appeared to influence the work reported in this paper.</w:t>
      </w:r>
    </w:p>
    <w:p w14:paraId="6B889CED" w14:textId="77777777" w:rsidR="001E5353" w:rsidRPr="00D304EC" w:rsidRDefault="001E5353" w:rsidP="00531EF3">
      <w:pPr>
        <w:spacing w:line="360" w:lineRule="auto"/>
        <w:jc w:val="both"/>
        <w:rPr>
          <w:rFonts w:ascii="Calibri" w:hAnsi="Calibri" w:cs="Calibri"/>
          <w:color w:val="000000" w:themeColor="text1"/>
          <w:sz w:val="22"/>
          <w:szCs w:val="22"/>
        </w:rPr>
      </w:pPr>
    </w:p>
    <w:p w14:paraId="50DF5B46"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t>Data Availability Statement</w:t>
      </w:r>
    </w:p>
    <w:p w14:paraId="23BD5F14" w14:textId="77777777" w:rsidR="007E0EBC" w:rsidRDefault="00000000" w:rsidP="00531EF3">
      <w:pPr>
        <w:spacing w:line="360" w:lineRule="auto"/>
        <w:jc w:val="both"/>
        <w:rPr>
          <w:rFonts w:ascii="Calibri" w:hAnsi="Calibri" w:cs="Calibri"/>
          <w:color w:val="000000" w:themeColor="text1"/>
          <w:sz w:val="22"/>
          <w:szCs w:val="22"/>
        </w:rPr>
      </w:pPr>
      <w:r w:rsidRPr="00D304EC">
        <w:rPr>
          <w:rFonts w:ascii="Calibri" w:hAnsi="Calibri" w:cs="Calibri"/>
          <w:color w:val="000000" w:themeColor="text1"/>
          <w:sz w:val="22"/>
          <w:szCs w:val="22"/>
        </w:rPr>
        <w:t>This is a conceptual paper; no new primary data were generated or analysed. The secondary sources synthesised to ground the TOES constructs are fully cited in the reference list, and the semi-systematic search protocol (databases, search strings, date range, inclusion/exclusion criteria) is reported in Section 3 to support replication of the evidence-gathering process.</w:t>
      </w:r>
    </w:p>
    <w:p w14:paraId="57F922C2" w14:textId="77777777" w:rsidR="001E5353" w:rsidRDefault="001E5353" w:rsidP="00531EF3">
      <w:pPr>
        <w:spacing w:line="360" w:lineRule="auto"/>
        <w:jc w:val="both"/>
        <w:rPr>
          <w:rFonts w:ascii="Calibri" w:hAnsi="Calibri" w:cs="Calibri"/>
          <w:color w:val="000000" w:themeColor="text1"/>
          <w:sz w:val="22"/>
          <w:szCs w:val="22"/>
        </w:rPr>
      </w:pPr>
    </w:p>
    <w:p w14:paraId="111CE295" w14:textId="77777777" w:rsidR="001E5353" w:rsidRDefault="001E5353" w:rsidP="00531EF3">
      <w:pPr>
        <w:spacing w:line="360" w:lineRule="auto"/>
        <w:jc w:val="both"/>
        <w:rPr>
          <w:rFonts w:ascii="Calibri" w:hAnsi="Calibri" w:cs="Calibri"/>
          <w:color w:val="000000" w:themeColor="text1"/>
          <w:sz w:val="22"/>
          <w:szCs w:val="22"/>
        </w:rPr>
      </w:pPr>
    </w:p>
    <w:p w14:paraId="0DA523FF" w14:textId="77777777" w:rsidR="001E5353" w:rsidRDefault="001E5353" w:rsidP="00531EF3">
      <w:pPr>
        <w:spacing w:line="360" w:lineRule="auto"/>
        <w:jc w:val="both"/>
        <w:rPr>
          <w:rFonts w:ascii="Calibri" w:hAnsi="Calibri" w:cs="Calibri"/>
          <w:color w:val="000000" w:themeColor="text1"/>
          <w:sz w:val="22"/>
          <w:szCs w:val="22"/>
        </w:rPr>
      </w:pPr>
    </w:p>
    <w:p w14:paraId="4B52959E" w14:textId="77777777" w:rsidR="001E5353" w:rsidRDefault="001E5353" w:rsidP="00531EF3">
      <w:pPr>
        <w:spacing w:line="360" w:lineRule="auto"/>
        <w:jc w:val="both"/>
        <w:rPr>
          <w:rFonts w:ascii="Calibri" w:hAnsi="Calibri" w:cs="Calibri"/>
          <w:color w:val="000000" w:themeColor="text1"/>
          <w:sz w:val="22"/>
          <w:szCs w:val="22"/>
        </w:rPr>
      </w:pPr>
    </w:p>
    <w:p w14:paraId="2C6AA4BF" w14:textId="77777777" w:rsidR="001E5353" w:rsidRDefault="001E5353" w:rsidP="00531EF3">
      <w:pPr>
        <w:spacing w:line="360" w:lineRule="auto"/>
        <w:jc w:val="both"/>
        <w:rPr>
          <w:rFonts w:ascii="Calibri" w:hAnsi="Calibri" w:cs="Calibri"/>
          <w:color w:val="000000" w:themeColor="text1"/>
          <w:sz w:val="22"/>
          <w:szCs w:val="22"/>
        </w:rPr>
      </w:pPr>
    </w:p>
    <w:p w14:paraId="1305F422" w14:textId="77777777" w:rsidR="001E5353" w:rsidRDefault="001E5353" w:rsidP="00531EF3">
      <w:pPr>
        <w:spacing w:line="360" w:lineRule="auto"/>
        <w:jc w:val="both"/>
        <w:rPr>
          <w:rFonts w:ascii="Calibri" w:hAnsi="Calibri" w:cs="Calibri"/>
          <w:color w:val="000000" w:themeColor="text1"/>
          <w:sz w:val="22"/>
          <w:szCs w:val="22"/>
        </w:rPr>
      </w:pPr>
    </w:p>
    <w:p w14:paraId="74933553" w14:textId="77777777" w:rsidR="001E5353" w:rsidRDefault="001E5353" w:rsidP="00531EF3">
      <w:pPr>
        <w:spacing w:line="360" w:lineRule="auto"/>
        <w:jc w:val="both"/>
        <w:rPr>
          <w:rFonts w:ascii="Calibri" w:hAnsi="Calibri" w:cs="Calibri"/>
          <w:color w:val="000000" w:themeColor="text1"/>
          <w:sz w:val="22"/>
          <w:szCs w:val="22"/>
        </w:rPr>
      </w:pPr>
    </w:p>
    <w:p w14:paraId="78B3D890" w14:textId="77777777" w:rsidR="001E5353" w:rsidRDefault="001E5353" w:rsidP="00531EF3">
      <w:pPr>
        <w:spacing w:line="360" w:lineRule="auto"/>
        <w:jc w:val="both"/>
        <w:rPr>
          <w:rFonts w:ascii="Calibri" w:hAnsi="Calibri" w:cs="Calibri"/>
          <w:color w:val="000000" w:themeColor="text1"/>
          <w:sz w:val="22"/>
          <w:szCs w:val="22"/>
        </w:rPr>
      </w:pPr>
    </w:p>
    <w:p w14:paraId="4CC510BB" w14:textId="77777777" w:rsidR="001E5353" w:rsidRDefault="001E5353" w:rsidP="00531EF3">
      <w:pPr>
        <w:spacing w:line="360" w:lineRule="auto"/>
        <w:jc w:val="both"/>
        <w:rPr>
          <w:rFonts w:ascii="Calibri" w:hAnsi="Calibri" w:cs="Calibri"/>
          <w:color w:val="000000" w:themeColor="text1"/>
          <w:sz w:val="22"/>
          <w:szCs w:val="22"/>
        </w:rPr>
      </w:pPr>
    </w:p>
    <w:p w14:paraId="3E95A5DE" w14:textId="77777777" w:rsidR="001E5353" w:rsidRPr="00D304EC" w:rsidRDefault="001E5353" w:rsidP="00531EF3">
      <w:pPr>
        <w:spacing w:line="360" w:lineRule="auto"/>
        <w:jc w:val="both"/>
        <w:rPr>
          <w:rFonts w:ascii="Calibri" w:hAnsi="Calibri" w:cs="Calibri"/>
          <w:color w:val="000000" w:themeColor="text1"/>
          <w:sz w:val="22"/>
          <w:szCs w:val="22"/>
        </w:rPr>
      </w:pPr>
    </w:p>
    <w:p w14:paraId="32F54328" w14:textId="77777777" w:rsidR="007E0EBC" w:rsidRPr="00D304EC" w:rsidRDefault="00000000" w:rsidP="00531EF3">
      <w:pPr>
        <w:pStyle w:val="Heading1"/>
        <w:spacing w:line="360" w:lineRule="auto"/>
        <w:jc w:val="both"/>
        <w:rPr>
          <w:rFonts w:ascii="Calibri" w:hAnsi="Calibri" w:cs="Calibri"/>
          <w:color w:val="000000" w:themeColor="text1"/>
          <w:sz w:val="22"/>
          <w:szCs w:val="22"/>
        </w:rPr>
      </w:pPr>
      <w:r w:rsidRPr="00D304EC">
        <w:rPr>
          <w:rFonts w:ascii="Calibri" w:hAnsi="Calibri" w:cs="Calibri"/>
          <w:b/>
          <w:bCs/>
          <w:color w:val="000000" w:themeColor="text1"/>
          <w:sz w:val="22"/>
          <w:szCs w:val="22"/>
        </w:rPr>
        <w:lastRenderedPageBreak/>
        <w:t>References</w:t>
      </w:r>
    </w:p>
    <w:p w14:paraId="061E148D"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Alhosban, A., Pesingu, S., &amp; Kalyanam, K. (2024). CVL: A cloud vendor lock-in prediction framework. Mathematics, 12(3), 387. https://doi.org/10.3390/math12030387</w:t>
      </w:r>
    </w:p>
    <w:p w14:paraId="4B070F7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Al-Said Ahmad, A., Al-Qora'n, L. F., &amp; Zayed, A. (2024). Exploring the impact of chaos engineering with various user loads on cloud native applications: An exploratory empirical study. Computing, 106(8), 2389–2425. https://doi.org/10.1007/s00607-024-01292-z</w:t>
      </w:r>
    </w:p>
    <w:p w14:paraId="68E9CC9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Amazon Web Services (AWS). (2024). Strangler fig pattern. AWS Prescriptive Guidance. Retrieved from https://docs.aws.amazon.com/prescriptive-guidance/latest/cloud-design-patterns/strangler-fig.html</w:t>
      </w:r>
    </w:p>
    <w:p w14:paraId="6C5B37DD"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Awa, H. O., Ojiabo, O. U., &amp; Orokor, L. E. (2017). Integrated technology-organization-environment (T-O-E) taxonomies for technology adoption. Journal of Enterprise Information Management, 30(6), 893–921. https://doi.org/10.1108/JEIM-03-2016-0079</w:t>
      </w:r>
    </w:p>
    <w:p w14:paraId="027B0629"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Barati, M., &amp; Rana, O. (2022). Tracking GDPR compliance in cloud-based service delivery. IEEE Transactions on Services Computing, 15(3), 1498–1511. https://doi.org/10.1109/TSC.2020.2999559</w:t>
      </w:r>
    </w:p>
    <w:p w14:paraId="44A80386"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Berardi, D., Giallorenzo, S., Mauro, J., Melis, A., Montesi, F., &amp; Prandini, M. (2022). Microservice security: A systematic literature review. PeerJ Computer Science, 8, e779. https://doi.org/10.7717/peerj-cs.779</w:t>
      </w:r>
    </w:p>
    <w:p w14:paraId="7C9C0119"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it-IT"/>
        </w:rPr>
        <w:t xml:space="preserve">Bounagui, Y., Hafiddi, H., &amp; Mezrioui, A. (2016). </w:t>
      </w:r>
      <w:r w:rsidRPr="00D304EC">
        <w:rPr>
          <w:rFonts w:ascii="Calibri" w:hAnsi="Calibri" w:cs="Calibri"/>
          <w:color w:val="000000" w:themeColor="text1"/>
          <w:sz w:val="22"/>
          <w:szCs w:val="22"/>
        </w:rPr>
        <w:t>COBIT evaluation as a framework for cloud computing governance. International Journal of Cloud Applications and Computing, 6(4), 65–82.</w:t>
      </w:r>
    </w:p>
    <w:p w14:paraId="07E30FA0"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Bounagui, Y., Mezrioui, A., &amp; Hafiddi, H. (2019). Toward a unified framework for Cloud Computing governance: An approach for evaluating and integrating IT management and governance models. Computer Standards &amp; Interfaces, 62, 98–118. https://doi.org/10.1016/j.csi.2018.09.001</w:t>
      </w:r>
    </w:p>
    <w:p w14:paraId="2CDB2433"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Büyüközkan, G., &amp; Güler, M. (2025). Cybersecurity maturity model: Systematic literature review and a proposed model. Technological Forecasting and Social Change, 213, 123996. https://doi.org/10.1016/j.techfore.2025.123996</w:t>
      </w:r>
    </w:p>
    <w:p w14:paraId="6E087F68"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Chandramouli, R., &amp; Butcher, Z. (2023). A zero trust architecture model for access control in cloud-native applications in multi-location environments (NIST Special Publication 800-207A). National Institute of Standards and Technology. https://doi.org/10.6028/NIST.SP.800-207A</w:t>
      </w:r>
    </w:p>
    <w:p w14:paraId="570CB28A"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de-DE"/>
        </w:rPr>
        <w:t xml:space="preserve">Cohen, W. M., &amp; Levinthal, D. A. (1990). </w:t>
      </w:r>
      <w:r w:rsidRPr="00D304EC">
        <w:rPr>
          <w:rFonts w:ascii="Calibri" w:hAnsi="Calibri" w:cs="Calibri"/>
          <w:color w:val="000000" w:themeColor="text1"/>
          <w:sz w:val="22"/>
          <w:szCs w:val="22"/>
        </w:rPr>
        <w:t>Absorptive capacity: A new perspective on learning and innovation. Administrative Science Quarterly, 35(1), 128–152. https://doi.org/10.2307/2393553</w:t>
      </w:r>
    </w:p>
    <w:p w14:paraId="1D2A386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lastRenderedPageBreak/>
        <w:t>Devi Priya, V. S., Sethuraman, S. C., &amp; Khan, M. K. (2023). Container security: Precaution levels, mitigation strategies, and research perspectives. Computers &amp; Security, 135, 103490. https://doi.org/10.1016/j.cose.2023.103490</w:t>
      </w:r>
    </w:p>
    <w:p w14:paraId="77C32401"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DevOps.com. (2020). Survey sees massive adoption of microservices. Retrieved from https://devops.com/survey-sees-massive-adoption-of-microservices/</w:t>
      </w:r>
    </w:p>
    <w:p w14:paraId="144930FA"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fr-FR"/>
        </w:rPr>
        <w:t xml:space="preserve">Entsie, E., Aidoo, F. K. F., &amp; Vaz, A. (2025). </w:t>
      </w:r>
      <w:r w:rsidRPr="00D304EC">
        <w:rPr>
          <w:rFonts w:ascii="Calibri" w:hAnsi="Calibri" w:cs="Calibri"/>
          <w:color w:val="000000" w:themeColor="text1"/>
          <w:sz w:val="22"/>
          <w:szCs w:val="22"/>
        </w:rPr>
        <w:t>Systematic review of cloud computing adoption in the public sector: Insights from the TOE framework and DOI theory. Multidisciplinary Reviews, 9(2), 2026091.</w:t>
      </w:r>
    </w:p>
    <w:p w14:paraId="56E8AEFA"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Esen, E., Akbulut, A., &amp; Catal, C. (2025). Chaos experiments in microservice architectures: A systematic literature review. Computer Standards &amp; Interfaces. https://doi.org/10.1016/j.csi.2025.104116</w:t>
      </w:r>
    </w:p>
    <w:p w14:paraId="378D8397"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Ewoh, P., Vartiainen, T., &amp; Mantere, T. (2025). Sociotechnical cybersecurity framework for securing health care from vulnerabilities and cyberattacks: Scoping review. JMIR Human Factors. https://doi.org/10.2196/75584</w:t>
      </w:r>
    </w:p>
    <w:p w14:paraId="4AFDF85E"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Gouigoux, J.-P., Tamzalit, D., &amp; Noppen, J. (2021). Microservice maturity of organizations: Towards an assessment framework. In S. Cherfi, A. Perini, &amp; S. Nurcan (Eds.), Research Challenges in Information Science (RCIS 2021), Lecture Notes in Business Information Processing, vol. 415 (pp. 546–553). Springer. https://doi.org/10.1007/978-3-030-75018-3_34</w:t>
      </w:r>
    </w:p>
    <w:p w14:paraId="0C2E170D"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Haindl, P., Kochberger, P., &amp; Sveggen, M. (2024). A systematic literature review of inter-service security threats and mitigation strategies in microservice architectures. IEEE Access. https://doi.org/10.1109/ACCESS.2024.3406500</w:t>
      </w:r>
    </w:p>
    <w:p w14:paraId="5F370C96"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IBM. (2021). Reasons for not adopting microservices in organizations worldwide in 2021 [Data set]. Statista. Retrieved from https://www.statista.com/statistics/1236722/microservices-hinderance-to-adoption/</w:t>
      </w:r>
    </w:p>
    <w:p w14:paraId="5DEABF8A"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International Information System Security Certification Consortium (ISC2). (2025). A focus on skills: The 2025 ISC2 Cybersecurity Workforce Study. Retrieved from https://www.isc2.org/Insights/2025/12/a-focus-on-skills-isc2-workforce-study</w:t>
      </w:r>
    </w:p>
    <w:p w14:paraId="11C3044D"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fr-FR"/>
        </w:rPr>
        <w:t xml:space="preserve">Issaoui, A., Örtensjö, J., &amp; Islam, M. S. (2023). </w:t>
      </w:r>
      <w:r w:rsidRPr="00D304EC">
        <w:rPr>
          <w:rFonts w:ascii="Calibri" w:hAnsi="Calibri" w:cs="Calibri"/>
          <w:color w:val="000000" w:themeColor="text1"/>
          <w:sz w:val="22"/>
          <w:szCs w:val="22"/>
        </w:rPr>
        <w:t>Exploring the General Data Protection Regulation (GDPR) compliance in cloud services: Insights from Swedish public organizations on privacy compliance. Future Business Journal, 9, 107. https://doi.org/10.1186/s43093-023-00285-2</w:t>
      </w:r>
    </w:p>
    <w:p w14:paraId="0188B86C"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Kong Inc. (2025). 10 microservices security challenges &amp; solutions for 2025. Retrieved from https://konghq.com/blog/engineering/10-ways-microservices-create-new-security-challenges</w:t>
      </w:r>
    </w:p>
    <w:p w14:paraId="7517AE6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it-IT"/>
        </w:rPr>
        <w:lastRenderedPageBreak/>
        <w:t xml:space="preserve">Liao, H., Liu, Y., &amp; Li, P. (2023). </w:t>
      </w:r>
      <w:r w:rsidRPr="00D304EC">
        <w:rPr>
          <w:rFonts w:ascii="Calibri" w:hAnsi="Calibri" w:cs="Calibri"/>
          <w:color w:val="000000" w:themeColor="text1"/>
          <w:sz w:val="22"/>
          <w:szCs w:val="22"/>
        </w:rPr>
        <w:t>Information systems adoption and knowledge performance: An absorptive capacity perspective. Frontiers in Psychology, 13, 1062780. https://doi.org/10.3389/fpsyg.2022.1062780</w:t>
      </w:r>
    </w:p>
    <w:p w14:paraId="288B3F00"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Logz.io. (2024). Observability Pulse 2024 report. Retrieved from https://logz.io/observability-pulse-2024/</w:t>
      </w:r>
    </w:p>
    <w:p w14:paraId="00FCB93F"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de-DE"/>
        </w:rPr>
        <w:t xml:space="preserve">Malatji, M., Von Solms, S., &amp; Marnewick, A. (2019). </w:t>
      </w:r>
      <w:r w:rsidRPr="00D304EC">
        <w:rPr>
          <w:rFonts w:ascii="Calibri" w:hAnsi="Calibri" w:cs="Calibri"/>
          <w:color w:val="000000" w:themeColor="text1"/>
          <w:sz w:val="22"/>
          <w:szCs w:val="22"/>
        </w:rPr>
        <w:t>Socio-technical systems cybersecurity framework. Information and Computer Security, 27(2), 233–272. https://doi.org/10.1108/ICS-03-2018-0031</w:t>
      </w:r>
    </w:p>
    <w:p w14:paraId="7A5B5BF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Michelotto, F., &amp; Joia, L. A. (2024). Organizational digital transformation readiness: An exploratory investigation. Journal of Theoretical and Applied Electronic Commerce Research, 19(4), 3283–3304. https://doi.org/10.3390/jtaer19040159</w:t>
      </w:r>
    </w:p>
    <w:p w14:paraId="1DE4B1EF"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Mubeen, S., Asadollah, S. A., Papadopoulos, A. V., Ashjaei, M., Pei-Breivold, H., &amp; Behnam, M. (2018). Management of service level agreements for cloud services in IoT: A systematic mapping study. IEEE Access, 6, 30184–30207. https://doi.org/10.1109/ACCESS.2017.2744677</w:t>
      </w:r>
    </w:p>
    <w:p w14:paraId="698AE5AE"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National Institute of Standards and Technology (NIST). (2023). Framework for secure software development using microservices (NIST Special Publication 800-237).</w:t>
      </w:r>
    </w:p>
    <w:p w14:paraId="109A2579"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Opara-Martins, J., Sahandi, R., &amp; Tian, F. (2016). Critical analysis of vendor lock-in and its impact on cloud computing migration: A business perspective. Journal of Cloud Computing: Advances, Systems and Applications, 5(4), 1–18. https://doi.org/10.1186/s13677-016-0054-z</w:t>
      </w:r>
    </w:p>
    <w:p w14:paraId="049C3D98"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Rahaman, M. S., Islam, A., Cerny, T., &amp; Hutton, S. (2023). Static-analysis-based solutions to security challenges in cloud-native systems: Systematic mapping study. Sensors, 23(4), 1755. https://doi.org/10.3390/s23041755</w:t>
      </w:r>
    </w:p>
    <w:p w14:paraId="78F3B141"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Rajapakse, R. N., Zahedi, M., Babar, M. A., &amp; Shen, H. (2022). Challenges and solutions when adopting DevSecOps: A systematic review. Information and Software Technology, 141, 106700. https://doi.org/10.1016/j.infsof.2021.106700</w:t>
      </w:r>
    </w:p>
    <w:p w14:paraId="37E3FDEE"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Rogers, E. M. (2003). Diffusion of innovations (5th ed.). Free Press.</w:t>
      </w:r>
    </w:p>
    <w:p w14:paraId="40915BEB"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Rose, S., Borchert, O., Mitchell, S., &amp; Connelly, S. (2020). Zero trust architecture (NIST Special Publication 800-207). National Institute of Standards and Technology. https://doi.org/10.6028/NIST.SP.800-207</w:t>
      </w:r>
    </w:p>
    <w:p w14:paraId="238012A6"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de-DE"/>
        </w:rPr>
        <w:t xml:space="preserve">Russo, N., Mamede, H. S., Reis, L., Martins, J., &amp; Branco, F. (2023). </w:t>
      </w:r>
      <w:r w:rsidRPr="00D304EC">
        <w:rPr>
          <w:rFonts w:ascii="Calibri" w:hAnsi="Calibri" w:cs="Calibri"/>
          <w:color w:val="000000" w:themeColor="text1"/>
          <w:sz w:val="22"/>
          <w:szCs w:val="22"/>
        </w:rPr>
        <w:t>Exploring a multidisciplinary assessment of organisational maturity in business continuity: A perspective and future research outlook. Applied Sciences, 13(21), 11846. https://doi.org/10.3390/app132111846</w:t>
      </w:r>
    </w:p>
    <w:p w14:paraId="035840B3"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lastRenderedPageBreak/>
        <w:t>SoftwareSeni. (2026). The great microservices consolidation: What the CNCF 2025 survey reveals about industry trends. Retrieved from https://www.softwareseni.com/the-great-microservices-consolidation-what-the-cncf-2025-survey-reveals-about-industry-trends/</w:t>
      </w:r>
    </w:p>
    <w:p w14:paraId="6BB6D70F"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Söylemez, M., Tekinerdogan, B., &amp; Tarhan, A. K. (2022). Challenges and solution directions of microservice architectures: A systematic literature review. Applied Sciences, 12(11), 5507. https://doi.org/10.3390/app12115507</w:t>
      </w:r>
    </w:p>
    <w:p w14:paraId="606557F4" w14:textId="77777777" w:rsidR="007E0EBC" w:rsidRPr="00D304EC" w:rsidRDefault="00000000" w:rsidP="00531EF3">
      <w:pPr>
        <w:spacing w:line="360" w:lineRule="auto"/>
        <w:ind w:left="720" w:hanging="720"/>
        <w:jc w:val="both"/>
        <w:rPr>
          <w:rFonts w:ascii="Calibri" w:hAnsi="Calibri" w:cs="Calibri"/>
          <w:color w:val="000000" w:themeColor="text1"/>
          <w:sz w:val="22"/>
          <w:szCs w:val="22"/>
          <w:lang w:val="fr-FR"/>
        </w:rPr>
      </w:pPr>
      <w:r w:rsidRPr="00D304EC">
        <w:rPr>
          <w:rFonts w:ascii="Calibri" w:hAnsi="Calibri" w:cs="Calibri"/>
          <w:color w:val="000000" w:themeColor="text1"/>
          <w:sz w:val="22"/>
          <w:szCs w:val="22"/>
        </w:rPr>
        <w:t xml:space="preserve">Swain, A. K., &amp; Garza, V. R. (2023). Key factors in achieving service level agreements (SLA) for information technology (IT) incident resolution. </w:t>
      </w:r>
      <w:r w:rsidRPr="00D304EC">
        <w:rPr>
          <w:rFonts w:ascii="Calibri" w:hAnsi="Calibri" w:cs="Calibri"/>
          <w:color w:val="000000" w:themeColor="text1"/>
          <w:sz w:val="22"/>
          <w:szCs w:val="22"/>
          <w:lang w:val="fr-FR"/>
        </w:rPr>
        <w:t>Information Systems Frontiers, 25(2), 819–834. https://doi.org/10.1007/s10796-022-10266-5</w:t>
      </w:r>
    </w:p>
    <w:p w14:paraId="2AEC0F12"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fr-FR"/>
        </w:rPr>
        <w:t xml:space="preserve">Teece, D. J., Pisano, G., &amp; Shuen, A. (1997). </w:t>
      </w:r>
      <w:r w:rsidRPr="00D304EC">
        <w:rPr>
          <w:rFonts w:ascii="Calibri" w:hAnsi="Calibri" w:cs="Calibri"/>
          <w:color w:val="000000" w:themeColor="text1"/>
          <w:sz w:val="22"/>
          <w:szCs w:val="22"/>
        </w:rPr>
        <w:t>Dynamic capabilities and strategic management. Strategic Management Journal, 18(7), 509–533. https://doi.org/10.1002/(SICI)1097-0266(199708)18:7&lt;509::AID-SMJ882&gt;3.0.CO;2-Z</w:t>
      </w:r>
    </w:p>
    <w:p w14:paraId="3D0B00CD"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The Open Group. (n.d.). TOGAF® Series Guide: Microservices Architecture (MSA). Retrieved from https://pubs.opengroup.org/togaf-standard/guides/microservices-architecture.html</w:t>
      </w:r>
    </w:p>
    <w:p w14:paraId="6A2A9B73"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lang w:val="de-DE"/>
        </w:rPr>
        <w:t xml:space="preserve">Tornatzky, L. G., &amp; Fleischer, M. (1990). </w:t>
      </w:r>
      <w:r w:rsidRPr="00D304EC">
        <w:rPr>
          <w:rFonts w:ascii="Calibri" w:hAnsi="Calibri" w:cs="Calibri"/>
          <w:color w:val="000000" w:themeColor="text1"/>
          <w:sz w:val="22"/>
          <w:szCs w:val="22"/>
        </w:rPr>
        <w:t>The processes of technological innovation. Lexington Books.</w:t>
      </w:r>
    </w:p>
    <w:p w14:paraId="7F9A88F4"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Trist, E. L., &amp; Bamforth, K. W. (1951). Some social and psychological consequences of the longwall method of coal-getting. Human Relations, 4(1), 3–38. https://doi.org/10.1177/001872675100400101</w:t>
      </w:r>
    </w:p>
    <w:p w14:paraId="6684F458"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Wallace, S., Green, K. Y., Johnson, C., Cooper, J., &amp; Gilstrap, C. (2020). An extended TOE framework for cybersecurity-adoption decisions. Communications of the Association for Information Systems, 47, 338–363. https://doi.org/10.17705/1CAIS.04716</w:t>
      </w:r>
    </w:p>
    <w:p w14:paraId="159ECFFA"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Yeoh, W., Liu, M., Shore, M., &amp; Jiang, F. (2023). Zero trust cybersecurity: Critical success factors and a maturity assessment framework. Computers &amp; Security, 133, 103412. https://doi.org/10.1016/j.cose.2023.103412</w:t>
      </w:r>
    </w:p>
    <w:p w14:paraId="089D74E7" w14:textId="77777777" w:rsidR="007E0EBC" w:rsidRPr="00D304EC" w:rsidRDefault="00000000" w:rsidP="00531EF3">
      <w:pPr>
        <w:spacing w:line="360" w:lineRule="auto"/>
        <w:ind w:left="720" w:hanging="720"/>
        <w:jc w:val="both"/>
        <w:rPr>
          <w:rFonts w:ascii="Calibri" w:hAnsi="Calibri" w:cs="Calibri"/>
          <w:color w:val="000000" w:themeColor="text1"/>
          <w:sz w:val="22"/>
          <w:szCs w:val="22"/>
        </w:rPr>
      </w:pPr>
      <w:r w:rsidRPr="00D304EC">
        <w:rPr>
          <w:rFonts w:ascii="Calibri" w:hAnsi="Calibri" w:cs="Calibri"/>
          <w:color w:val="000000" w:themeColor="text1"/>
          <w:sz w:val="22"/>
          <w:szCs w:val="22"/>
        </w:rPr>
        <w:t>Zhou, C., Barati, M., &amp; Shafiq, O. (2023). A compliance-based architecture for supporting GDPR accountability in cloud computing. Future Generation Computer Systems, 145, 104–120. https://doi.org/10.1016/j.future.2023.03.021</w:t>
      </w:r>
    </w:p>
    <w:sectPr w:rsidR="007E0EBC" w:rsidRPr="00D304EC">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D5275B"/>
    <w:multiLevelType w:val="hybridMultilevel"/>
    <w:tmpl w:val="346EB7EA"/>
    <w:lvl w:ilvl="0" w:tplc="046866E8">
      <w:start w:val="1"/>
      <w:numFmt w:val="bullet"/>
      <w:lvlText w:val="•"/>
      <w:lvlJc w:val="left"/>
      <w:pPr>
        <w:ind w:left="576" w:hanging="288"/>
      </w:pPr>
    </w:lvl>
    <w:lvl w:ilvl="1" w:tplc="639261C0">
      <w:numFmt w:val="decimal"/>
      <w:lvlText w:val=""/>
      <w:lvlJc w:val="left"/>
    </w:lvl>
    <w:lvl w:ilvl="2" w:tplc="85EAC090">
      <w:numFmt w:val="decimal"/>
      <w:lvlText w:val=""/>
      <w:lvlJc w:val="left"/>
    </w:lvl>
    <w:lvl w:ilvl="3" w:tplc="F2BEEA9A">
      <w:numFmt w:val="decimal"/>
      <w:lvlText w:val=""/>
      <w:lvlJc w:val="left"/>
    </w:lvl>
    <w:lvl w:ilvl="4" w:tplc="BC50ED0C">
      <w:numFmt w:val="decimal"/>
      <w:lvlText w:val=""/>
      <w:lvlJc w:val="left"/>
    </w:lvl>
    <w:lvl w:ilvl="5" w:tplc="A880BE60">
      <w:numFmt w:val="decimal"/>
      <w:lvlText w:val=""/>
      <w:lvlJc w:val="left"/>
    </w:lvl>
    <w:lvl w:ilvl="6" w:tplc="D8E0CAE4">
      <w:numFmt w:val="decimal"/>
      <w:lvlText w:val=""/>
      <w:lvlJc w:val="left"/>
    </w:lvl>
    <w:lvl w:ilvl="7" w:tplc="22DA53C2">
      <w:numFmt w:val="decimal"/>
      <w:lvlText w:val=""/>
      <w:lvlJc w:val="left"/>
    </w:lvl>
    <w:lvl w:ilvl="8" w:tplc="BF84B54E">
      <w:numFmt w:val="decimal"/>
      <w:lvlText w:val=""/>
      <w:lvlJc w:val="left"/>
    </w:lvl>
  </w:abstractNum>
  <w:abstractNum w:abstractNumId="1" w15:restartNumberingAfterBreak="0">
    <w:nsid w:val="78F5243D"/>
    <w:multiLevelType w:val="hybridMultilevel"/>
    <w:tmpl w:val="D7D82064"/>
    <w:lvl w:ilvl="0" w:tplc="22DE013E">
      <w:start w:val="1"/>
      <w:numFmt w:val="bullet"/>
      <w:lvlText w:val="●"/>
      <w:lvlJc w:val="left"/>
      <w:pPr>
        <w:ind w:left="720" w:hanging="360"/>
      </w:pPr>
    </w:lvl>
    <w:lvl w:ilvl="1" w:tplc="1840A22C">
      <w:start w:val="1"/>
      <w:numFmt w:val="bullet"/>
      <w:lvlText w:val="○"/>
      <w:lvlJc w:val="left"/>
      <w:pPr>
        <w:ind w:left="1440" w:hanging="360"/>
      </w:pPr>
    </w:lvl>
    <w:lvl w:ilvl="2" w:tplc="E8F4785C">
      <w:start w:val="1"/>
      <w:numFmt w:val="bullet"/>
      <w:lvlText w:val="■"/>
      <w:lvlJc w:val="left"/>
      <w:pPr>
        <w:ind w:left="2160" w:hanging="360"/>
      </w:pPr>
    </w:lvl>
    <w:lvl w:ilvl="3" w:tplc="ECB46596">
      <w:start w:val="1"/>
      <w:numFmt w:val="bullet"/>
      <w:lvlText w:val="●"/>
      <w:lvlJc w:val="left"/>
      <w:pPr>
        <w:ind w:left="2880" w:hanging="360"/>
      </w:pPr>
    </w:lvl>
    <w:lvl w:ilvl="4" w:tplc="A1FA9806">
      <w:start w:val="1"/>
      <w:numFmt w:val="bullet"/>
      <w:lvlText w:val="○"/>
      <w:lvlJc w:val="left"/>
      <w:pPr>
        <w:ind w:left="3600" w:hanging="360"/>
      </w:pPr>
    </w:lvl>
    <w:lvl w:ilvl="5" w:tplc="B100B8CE">
      <w:start w:val="1"/>
      <w:numFmt w:val="bullet"/>
      <w:lvlText w:val="■"/>
      <w:lvlJc w:val="left"/>
      <w:pPr>
        <w:ind w:left="4320" w:hanging="360"/>
      </w:pPr>
    </w:lvl>
    <w:lvl w:ilvl="6" w:tplc="3CE6AF24">
      <w:start w:val="1"/>
      <w:numFmt w:val="bullet"/>
      <w:lvlText w:val="●"/>
      <w:lvlJc w:val="left"/>
      <w:pPr>
        <w:ind w:left="5040" w:hanging="360"/>
      </w:pPr>
    </w:lvl>
    <w:lvl w:ilvl="7" w:tplc="958EFE74">
      <w:start w:val="1"/>
      <w:numFmt w:val="bullet"/>
      <w:lvlText w:val="●"/>
      <w:lvlJc w:val="left"/>
      <w:pPr>
        <w:ind w:left="5760" w:hanging="360"/>
      </w:pPr>
    </w:lvl>
    <w:lvl w:ilvl="8" w:tplc="44EC8EFA">
      <w:start w:val="1"/>
      <w:numFmt w:val="bullet"/>
      <w:lvlText w:val="●"/>
      <w:lvlJc w:val="left"/>
      <w:pPr>
        <w:ind w:left="6480" w:hanging="360"/>
      </w:pPr>
    </w:lvl>
  </w:abstractNum>
  <w:num w:numId="1" w16cid:durableId="154803511">
    <w:abstractNumId w:val="1"/>
    <w:lvlOverride w:ilvl="0">
      <w:startOverride w:val="1"/>
    </w:lvlOverride>
  </w:num>
  <w:num w:numId="2" w16cid:durableId="48682704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0EBC"/>
    <w:rsid w:val="001E5353"/>
    <w:rsid w:val="00531EF3"/>
    <w:rsid w:val="007E0EBC"/>
    <w:rsid w:val="007F195B"/>
    <w:rsid w:val="00A70ADA"/>
    <w:rsid w:val="00A72FDD"/>
    <w:rsid w:val="00AD3120"/>
    <w:rsid w:val="00AE53B6"/>
    <w:rsid w:val="00B04512"/>
    <w:rsid w:val="00D304EC"/>
    <w:rsid w:val="00FB4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544B47"/>
  <w15:docId w15:val="{180CA2A3-CB36-4F19-9125-E9FED2A3C6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32</Pages>
  <Words>11679</Words>
  <Characters>66574</Characters>
  <Application>Microsoft Office Word</Application>
  <DocSecurity>0</DocSecurity>
  <Lines>554</Lines>
  <Paragraphs>156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Anupam Mazumdar</cp:lastModifiedBy>
  <cp:revision>4</cp:revision>
  <dcterms:created xsi:type="dcterms:W3CDTF">2026-07-15T10:29:00Z</dcterms:created>
  <dcterms:modified xsi:type="dcterms:W3CDTF">2026-07-15T10:30:00Z</dcterms:modified>
</cp:coreProperties>
</file>