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200EA" w14:textId="77777777" w:rsidR="00D4559E" w:rsidRDefault="00D4559E" w:rsidP="00D4559E">
      <w:pPr>
        <w:rPr>
          <w:lang w:val="en-GB"/>
        </w:rPr>
      </w:pPr>
      <w:r w:rsidRPr="00791657">
        <w:rPr>
          <w:noProof/>
          <w:lang w:val="en-GB"/>
        </w:rPr>
        <w:drawing>
          <wp:inline distT="0" distB="0" distL="0" distR="0" wp14:anchorId="5646601A" wp14:editId="64E1B8AF">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6670" cy="600075"/>
                    </a:xfrm>
                    <a:prstGeom prst="rect">
                      <a:avLst/>
                    </a:prstGeom>
                  </pic:spPr>
                </pic:pic>
              </a:graphicData>
            </a:graphic>
          </wp:inline>
        </w:drawing>
      </w:r>
    </w:p>
    <w:p w14:paraId="53F9D44B" w14:textId="77777777" w:rsidR="00D4559E" w:rsidRPr="00791657" w:rsidRDefault="00D4559E" w:rsidP="00D4559E">
      <w:pPr>
        <w:pStyle w:val="BodyText"/>
        <w:spacing w:before="8"/>
        <w:rPr>
          <w:rFonts w:ascii="Arial"/>
          <w:b/>
          <w:sz w:val="28"/>
          <w:szCs w:val="28"/>
        </w:rPr>
      </w:pPr>
    </w:p>
    <w:p w14:paraId="32521F6F" w14:textId="77777777" w:rsidR="00D4559E" w:rsidRPr="00791657" w:rsidRDefault="00D4559E" w:rsidP="00D4559E">
      <w:pPr>
        <w:pStyle w:val="BodyText"/>
        <w:spacing w:before="4"/>
        <w:rPr>
          <w:rFonts w:ascii="Arial"/>
          <w:b/>
          <w:sz w:val="28"/>
          <w:szCs w:val="28"/>
        </w:rPr>
      </w:pPr>
    </w:p>
    <w:p w14:paraId="336E7326" w14:textId="77777777" w:rsidR="00D4559E" w:rsidRPr="00640ADB" w:rsidRDefault="00D4559E" w:rsidP="00D4559E">
      <w:pPr>
        <w:jc w:val="center"/>
        <w:rPr>
          <w:sz w:val="36"/>
          <w:szCs w:val="36"/>
        </w:rPr>
      </w:pPr>
    </w:p>
    <w:p w14:paraId="2F444A54" w14:textId="77777777" w:rsidR="00D4559E" w:rsidRPr="00640ADB" w:rsidRDefault="00D4559E" w:rsidP="00D4559E">
      <w:pPr>
        <w:rPr>
          <w:sz w:val="44"/>
          <w:szCs w:val="44"/>
        </w:rPr>
      </w:pPr>
      <w:proofErr w:type="spellStart"/>
      <w:r w:rsidRPr="00640ADB">
        <w:rPr>
          <w:b/>
          <w:bCs/>
          <w:sz w:val="44"/>
          <w:szCs w:val="44"/>
        </w:rPr>
        <w:t>Programme</w:t>
      </w:r>
      <w:proofErr w:type="spellEnd"/>
      <w:r w:rsidRPr="00640ADB">
        <w:rPr>
          <w:sz w:val="44"/>
          <w:szCs w:val="44"/>
        </w:rPr>
        <w:t>: BA Business Management</w:t>
      </w:r>
    </w:p>
    <w:p w14:paraId="69E443F7" w14:textId="77777777" w:rsidR="00D4559E" w:rsidRPr="00640ADB" w:rsidRDefault="00D4559E" w:rsidP="00D4559E">
      <w:pPr>
        <w:rPr>
          <w:sz w:val="44"/>
          <w:szCs w:val="44"/>
        </w:rPr>
      </w:pPr>
      <w:r w:rsidRPr="00640ADB">
        <w:rPr>
          <w:b/>
          <w:bCs/>
          <w:sz w:val="44"/>
          <w:szCs w:val="44"/>
        </w:rPr>
        <w:t>Module</w:t>
      </w:r>
      <w:r w:rsidRPr="00640ADB">
        <w:rPr>
          <w:sz w:val="44"/>
          <w:szCs w:val="44"/>
        </w:rPr>
        <w:t xml:space="preserve">: </w:t>
      </w:r>
      <w:r>
        <w:rPr>
          <w:sz w:val="44"/>
          <w:szCs w:val="44"/>
        </w:rPr>
        <w:t xml:space="preserve">Community Engagement </w:t>
      </w:r>
    </w:p>
    <w:p w14:paraId="7510578F" w14:textId="77777777" w:rsidR="00D4559E" w:rsidRPr="00640ADB" w:rsidRDefault="00D4559E" w:rsidP="00D4559E">
      <w:pPr>
        <w:rPr>
          <w:sz w:val="44"/>
          <w:szCs w:val="44"/>
        </w:rPr>
      </w:pPr>
      <w:r w:rsidRPr="00640ADB">
        <w:rPr>
          <w:b/>
          <w:bCs/>
          <w:sz w:val="44"/>
          <w:szCs w:val="44"/>
        </w:rPr>
        <w:t>Module code</w:t>
      </w:r>
      <w:r w:rsidRPr="00640ADB">
        <w:rPr>
          <w:sz w:val="44"/>
          <w:szCs w:val="44"/>
        </w:rPr>
        <w:t xml:space="preserve">: </w:t>
      </w:r>
      <w:r>
        <w:rPr>
          <w:sz w:val="44"/>
          <w:szCs w:val="44"/>
        </w:rPr>
        <w:t>LCBB4002</w:t>
      </w:r>
    </w:p>
    <w:p w14:paraId="0EFBFA52" w14:textId="77777777" w:rsidR="00D4559E" w:rsidRPr="00640ADB" w:rsidRDefault="00D4559E" w:rsidP="00D4559E">
      <w:pPr>
        <w:rPr>
          <w:sz w:val="44"/>
          <w:szCs w:val="44"/>
        </w:rPr>
      </w:pPr>
      <w:r w:rsidRPr="00640ADB">
        <w:rPr>
          <w:b/>
          <w:bCs/>
          <w:sz w:val="44"/>
          <w:szCs w:val="44"/>
        </w:rPr>
        <w:t>Lecturer</w:t>
      </w:r>
      <w:r w:rsidRPr="00640ADB">
        <w:rPr>
          <w:sz w:val="44"/>
          <w:szCs w:val="44"/>
        </w:rPr>
        <w:t xml:space="preserve">: </w:t>
      </w:r>
      <w:r>
        <w:rPr>
          <w:sz w:val="44"/>
          <w:szCs w:val="44"/>
        </w:rPr>
        <w:t xml:space="preserve">Molly Jack </w:t>
      </w:r>
    </w:p>
    <w:p w14:paraId="73BEC885" w14:textId="6F933198" w:rsidR="00D4559E" w:rsidRPr="00373359" w:rsidRDefault="00D4559E" w:rsidP="00D4559E">
      <w:pPr>
        <w:rPr>
          <w:rFonts w:ascii="Times New Roman" w:hAnsi="Times New Roman" w:cs="Times New Roman"/>
          <w:i/>
          <w:iCs/>
          <w:sz w:val="48"/>
          <w:szCs w:val="44"/>
        </w:rPr>
      </w:pPr>
      <w:r w:rsidRPr="00640ADB">
        <w:rPr>
          <w:b/>
          <w:bCs/>
          <w:sz w:val="44"/>
          <w:szCs w:val="44"/>
        </w:rPr>
        <w:t>Assignment Title</w:t>
      </w:r>
      <w:r w:rsidRPr="00640ADB">
        <w:rPr>
          <w:sz w:val="44"/>
          <w:szCs w:val="44"/>
        </w:rPr>
        <w:t xml:space="preserve">: </w:t>
      </w:r>
      <w:r>
        <w:rPr>
          <w:rFonts w:cstheme="minorHAnsi"/>
          <w:sz w:val="44"/>
          <w:szCs w:val="40"/>
        </w:rPr>
        <w:t>Assessment 2</w:t>
      </w:r>
    </w:p>
    <w:p w14:paraId="791F8103" w14:textId="77777777" w:rsidR="00D4559E" w:rsidRPr="00640ADB" w:rsidRDefault="00D4559E" w:rsidP="00D4559E">
      <w:pPr>
        <w:rPr>
          <w:sz w:val="44"/>
          <w:szCs w:val="44"/>
        </w:rPr>
      </w:pPr>
      <w:r w:rsidRPr="00640ADB">
        <w:rPr>
          <w:b/>
          <w:bCs/>
          <w:sz w:val="44"/>
          <w:szCs w:val="44"/>
        </w:rPr>
        <w:t>Student</w:t>
      </w:r>
      <w:r w:rsidRPr="00640ADB">
        <w:rPr>
          <w:sz w:val="44"/>
          <w:szCs w:val="44"/>
        </w:rPr>
        <w:t>: Maria Diana Patarlageanu</w:t>
      </w:r>
    </w:p>
    <w:p w14:paraId="48A5431B" w14:textId="77777777" w:rsidR="00D4559E" w:rsidRPr="00640ADB" w:rsidRDefault="00D4559E" w:rsidP="00D4559E">
      <w:pPr>
        <w:rPr>
          <w:sz w:val="44"/>
          <w:szCs w:val="44"/>
        </w:rPr>
      </w:pPr>
      <w:r w:rsidRPr="00640ADB">
        <w:rPr>
          <w:b/>
          <w:bCs/>
          <w:sz w:val="44"/>
          <w:szCs w:val="44"/>
        </w:rPr>
        <w:t>Student ID</w:t>
      </w:r>
      <w:r w:rsidRPr="00640ADB">
        <w:rPr>
          <w:sz w:val="44"/>
          <w:szCs w:val="44"/>
        </w:rPr>
        <w:t>: 191</w:t>
      </w:r>
      <w:r>
        <w:rPr>
          <w:sz w:val="44"/>
          <w:szCs w:val="44"/>
        </w:rPr>
        <w:t>7704</w:t>
      </w:r>
    </w:p>
    <w:p w14:paraId="7A8A2D04" w14:textId="77777777" w:rsidR="00D4559E" w:rsidRPr="00791657" w:rsidRDefault="00D4559E" w:rsidP="00D4559E">
      <w:pPr>
        <w:rPr>
          <w:sz w:val="28"/>
          <w:szCs w:val="28"/>
          <w:lang w:val="en-GB"/>
        </w:rPr>
      </w:pPr>
    </w:p>
    <w:p w14:paraId="21EDDB94" w14:textId="77777777" w:rsidR="00D4559E" w:rsidRPr="003C6EFB" w:rsidRDefault="00D4559E" w:rsidP="00D4559E">
      <w:pPr>
        <w:rPr>
          <w:lang w:val="en-GB"/>
        </w:rPr>
      </w:pPr>
    </w:p>
    <w:p w14:paraId="3D0D909C" w14:textId="77777777" w:rsidR="00D4559E" w:rsidRPr="003C6EFB" w:rsidRDefault="00D4559E" w:rsidP="00D4559E">
      <w:pPr>
        <w:rPr>
          <w:lang w:val="en-GB"/>
        </w:rPr>
      </w:pPr>
    </w:p>
    <w:p w14:paraId="4C719453" w14:textId="77777777" w:rsidR="00D4559E" w:rsidRPr="003C6EFB" w:rsidRDefault="00D4559E" w:rsidP="00D4559E">
      <w:pPr>
        <w:rPr>
          <w:lang w:val="en-GB"/>
        </w:rPr>
      </w:pPr>
    </w:p>
    <w:p w14:paraId="3C542452" w14:textId="77777777" w:rsidR="00D4559E" w:rsidRPr="003C6EFB" w:rsidRDefault="00D4559E" w:rsidP="00D4559E">
      <w:pPr>
        <w:rPr>
          <w:lang w:val="en-GB"/>
        </w:rPr>
      </w:pPr>
    </w:p>
    <w:p w14:paraId="03023469" w14:textId="77777777" w:rsidR="00D4559E" w:rsidRPr="003C6EFB" w:rsidRDefault="00D4559E" w:rsidP="00D4559E">
      <w:pPr>
        <w:rPr>
          <w:lang w:val="en-GB"/>
        </w:rPr>
      </w:pPr>
    </w:p>
    <w:p w14:paraId="06A152BA" w14:textId="77777777" w:rsidR="00D4559E" w:rsidRPr="003C6EFB" w:rsidRDefault="00D4559E" w:rsidP="00D4559E">
      <w:pPr>
        <w:rPr>
          <w:lang w:val="en-GB"/>
        </w:rPr>
      </w:pPr>
    </w:p>
    <w:p w14:paraId="75EF4DFC" w14:textId="77777777" w:rsidR="00D4559E" w:rsidRPr="003C6EFB" w:rsidRDefault="00D4559E" w:rsidP="00D4559E">
      <w:pPr>
        <w:rPr>
          <w:lang w:val="en-GB"/>
        </w:rPr>
      </w:pPr>
    </w:p>
    <w:p w14:paraId="788FB804" w14:textId="77777777" w:rsidR="00D4559E" w:rsidRPr="003C6EFB" w:rsidRDefault="00D4559E" w:rsidP="00D4559E">
      <w:pPr>
        <w:rPr>
          <w:lang w:val="en-GB"/>
        </w:rPr>
      </w:pPr>
    </w:p>
    <w:p w14:paraId="3C936FB5" w14:textId="77777777" w:rsidR="00D4559E" w:rsidRPr="003C6EFB" w:rsidRDefault="00D4559E" w:rsidP="00D4559E">
      <w:pPr>
        <w:rPr>
          <w:lang w:val="en-GB"/>
        </w:rPr>
      </w:pPr>
    </w:p>
    <w:sdt>
      <w:sdtPr>
        <w:rPr>
          <w:rFonts w:asciiTheme="minorHAnsi" w:eastAsiaTheme="minorHAnsi" w:hAnsiTheme="minorHAnsi" w:cstheme="minorBidi"/>
          <w:b w:val="0"/>
          <w:bCs w:val="0"/>
          <w:color w:val="auto"/>
          <w:sz w:val="22"/>
          <w:szCs w:val="22"/>
        </w:rPr>
        <w:id w:val="-1561390864"/>
        <w:docPartObj>
          <w:docPartGallery w:val="Table of Contents"/>
          <w:docPartUnique/>
        </w:docPartObj>
      </w:sdtPr>
      <w:sdtEndPr>
        <w:rPr>
          <w:noProof/>
        </w:rPr>
      </w:sdtEndPr>
      <w:sdtContent>
        <w:p w14:paraId="7F314F23" w14:textId="77777777" w:rsidR="00D4559E" w:rsidRDefault="00D4559E" w:rsidP="00D4559E">
          <w:pPr>
            <w:pStyle w:val="TOCHeading"/>
          </w:pPr>
          <w:r>
            <w:t>TABLE OF CONTENTS</w:t>
          </w:r>
        </w:p>
        <w:p w14:paraId="21B5F07F" w14:textId="77777777" w:rsidR="00D4559E" w:rsidRDefault="00D4559E" w:rsidP="00D4559E">
          <w:pPr>
            <w:pStyle w:val="TOC1"/>
            <w:tabs>
              <w:tab w:val="right" w:leader="dot" w:pos="9350"/>
            </w:tabs>
            <w:rPr>
              <w:rFonts w:eastAsiaTheme="minorEastAsia"/>
              <w:noProof/>
              <w:lang w:val="en-IN" w:eastAsia="en-IN"/>
            </w:rPr>
          </w:pPr>
          <w:r>
            <w:fldChar w:fldCharType="begin"/>
          </w:r>
          <w:r>
            <w:instrText xml:space="preserve"> TOC \o "1-3" \h \z \u </w:instrText>
          </w:r>
          <w:r>
            <w:fldChar w:fldCharType="separate"/>
          </w:r>
          <w:hyperlink w:anchor="_Toc80827510" w:history="1">
            <w:r w:rsidRPr="005841BC">
              <w:rPr>
                <w:rStyle w:val="Hyperlink"/>
                <w:noProof/>
                <w:lang w:val="en-GB"/>
              </w:rPr>
              <w:t>INTRODUCTION</w:t>
            </w:r>
            <w:r>
              <w:rPr>
                <w:noProof/>
                <w:webHidden/>
              </w:rPr>
              <w:tab/>
            </w:r>
            <w:r>
              <w:rPr>
                <w:noProof/>
                <w:webHidden/>
              </w:rPr>
              <w:fldChar w:fldCharType="begin"/>
            </w:r>
            <w:r>
              <w:rPr>
                <w:noProof/>
                <w:webHidden/>
              </w:rPr>
              <w:instrText xml:space="preserve"> PAGEREF _Toc80827510 \h </w:instrText>
            </w:r>
            <w:r>
              <w:rPr>
                <w:noProof/>
                <w:webHidden/>
              </w:rPr>
            </w:r>
            <w:r>
              <w:rPr>
                <w:noProof/>
                <w:webHidden/>
              </w:rPr>
              <w:fldChar w:fldCharType="separate"/>
            </w:r>
            <w:r>
              <w:rPr>
                <w:noProof/>
                <w:webHidden/>
              </w:rPr>
              <w:t>2</w:t>
            </w:r>
            <w:r>
              <w:rPr>
                <w:noProof/>
                <w:webHidden/>
              </w:rPr>
              <w:fldChar w:fldCharType="end"/>
            </w:r>
          </w:hyperlink>
        </w:p>
        <w:p w14:paraId="5BD7F880" w14:textId="77777777" w:rsidR="00D4559E" w:rsidRDefault="00D4559E" w:rsidP="00D4559E">
          <w:pPr>
            <w:pStyle w:val="TOC1"/>
            <w:tabs>
              <w:tab w:val="right" w:leader="dot" w:pos="9350"/>
            </w:tabs>
            <w:rPr>
              <w:rFonts w:eastAsiaTheme="minorEastAsia"/>
              <w:noProof/>
              <w:lang w:val="en-IN" w:eastAsia="en-IN"/>
            </w:rPr>
          </w:pPr>
          <w:hyperlink w:anchor="_Toc80827511" w:history="1">
            <w:r w:rsidRPr="005841BC">
              <w:rPr>
                <w:rStyle w:val="Hyperlink"/>
                <w:noProof/>
                <w:lang w:val="en-GB"/>
              </w:rPr>
              <w:t>BODY</w:t>
            </w:r>
            <w:r>
              <w:rPr>
                <w:noProof/>
                <w:webHidden/>
              </w:rPr>
              <w:tab/>
            </w:r>
            <w:r>
              <w:rPr>
                <w:noProof/>
                <w:webHidden/>
              </w:rPr>
              <w:fldChar w:fldCharType="begin"/>
            </w:r>
            <w:r>
              <w:rPr>
                <w:noProof/>
                <w:webHidden/>
              </w:rPr>
              <w:instrText xml:space="preserve"> PAGEREF _Toc80827511 \h </w:instrText>
            </w:r>
            <w:r>
              <w:rPr>
                <w:noProof/>
                <w:webHidden/>
              </w:rPr>
            </w:r>
            <w:r>
              <w:rPr>
                <w:noProof/>
                <w:webHidden/>
              </w:rPr>
              <w:fldChar w:fldCharType="separate"/>
            </w:r>
            <w:r>
              <w:rPr>
                <w:noProof/>
                <w:webHidden/>
              </w:rPr>
              <w:t>3</w:t>
            </w:r>
            <w:r>
              <w:rPr>
                <w:noProof/>
                <w:webHidden/>
              </w:rPr>
              <w:fldChar w:fldCharType="end"/>
            </w:r>
          </w:hyperlink>
        </w:p>
        <w:p w14:paraId="07652177" w14:textId="77777777" w:rsidR="00D4559E" w:rsidRDefault="00D4559E" w:rsidP="00D4559E">
          <w:pPr>
            <w:pStyle w:val="TOC1"/>
            <w:tabs>
              <w:tab w:val="right" w:leader="dot" w:pos="9350"/>
            </w:tabs>
            <w:rPr>
              <w:rFonts w:eastAsiaTheme="minorEastAsia"/>
              <w:noProof/>
              <w:lang w:val="en-IN" w:eastAsia="en-IN"/>
            </w:rPr>
          </w:pPr>
          <w:hyperlink w:anchor="_Toc80827512" w:history="1">
            <w:r w:rsidRPr="005841BC">
              <w:rPr>
                <w:rStyle w:val="Hyperlink"/>
                <w:noProof/>
                <w:lang w:val="en-GB"/>
              </w:rPr>
              <w:t>CONCLUSION</w:t>
            </w:r>
            <w:r>
              <w:rPr>
                <w:noProof/>
                <w:webHidden/>
              </w:rPr>
              <w:tab/>
            </w:r>
            <w:r>
              <w:rPr>
                <w:noProof/>
                <w:webHidden/>
              </w:rPr>
              <w:fldChar w:fldCharType="begin"/>
            </w:r>
            <w:r>
              <w:rPr>
                <w:noProof/>
                <w:webHidden/>
              </w:rPr>
              <w:instrText xml:space="preserve"> PAGEREF _Toc80827512 \h </w:instrText>
            </w:r>
            <w:r>
              <w:rPr>
                <w:noProof/>
                <w:webHidden/>
              </w:rPr>
            </w:r>
            <w:r>
              <w:rPr>
                <w:noProof/>
                <w:webHidden/>
              </w:rPr>
              <w:fldChar w:fldCharType="separate"/>
            </w:r>
            <w:r>
              <w:rPr>
                <w:noProof/>
                <w:webHidden/>
              </w:rPr>
              <w:t>9</w:t>
            </w:r>
            <w:r>
              <w:rPr>
                <w:noProof/>
                <w:webHidden/>
              </w:rPr>
              <w:fldChar w:fldCharType="end"/>
            </w:r>
          </w:hyperlink>
        </w:p>
        <w:p w14:paraId="4DC19956" w14:textId="77777777" w:rsidR="00D4559E" w:rsidRDefault="00D4559E" w:rsidP="00D4559E">
          <w:pPr>
            <w:pStyle w:val="TOC1"/>
            <w:tabs>
              <w:tab w:val="right" w:leader="dot" w:pos="9350"/>
            </w:tabs>
            <w:rPr>
              <w:rFonts w:eastAsiaTheme="minorEastAsia"/>
              <w:noProof/>
              <w:lang w:val="en-IN" w:eastAsia="en-IN"/>
            </w:rPr>
          </w:pPr>
          <w:hyperlink w:anchor="_Toc80827513" w:history="1">
            <w:r w:rsidRPr="005841BC">
              <w:rPr>
                <w:rStyle w:val="Hyperlink"/>
                <w:noProof/>
                <w:lang w:val="en-GB"/>
              </w:rPr>
              <w:t>REFERENCES</w:t>
            </w:r>
            <w:r>
              <w:rPr>
                <w:noProof/>
                <w:webHidden/>
              </w:rPr>
              <w:tab/>
            </w:r>
            <w:r>
              <w:rPr>
                <w:noProof/>
                <w:webHidden/>
              </w:rPr>
              <w:fldChar w:fldCharType="begin"/>
            </w:r>
            <w:r>
              <w:rPr>
                <w:noProof/>
                <w:webHidden/>
              </w:rPr>
              <w:instrText xml:space="preserve"> PAGEREF _Toc80827513 \h </w:instrText>
            </w:r>
            <w:r>
              <w:rPr>
                <w:noProof/>
                <w:webHidden/>
              </w:rPr>
            </w:r>
            <w:r>
              <w:rPr>
                <w:noProof/>
                <w:webHidden/>
              </w:rPr>
              <w:fldChar w:fldCharType="separate"/>
            </w:r>
            <w:r>
              <w:rPr>
                <w:noProof/>
                <w:webHidden/>
              </w:rPr>
              <w:t>10</w:t>
            </w:r>
            <w:r>
              <w:rPr>
                <w:noProof/>
                <w:webHidden/>
              </w:rPr>
              <w:fldChar w:fldCharType="end"/>
            </w:r>
          </w:hyperlink>
        </w:p>
        <w:p w14:paraId="1724608C" w14:textId="77777777" w:rsidR="00D4559E" w:rsidRDefault="00D4559E" w:rsidP="00D4559E">
          <w:r>
            <w:rPr>
              <w:b/>
              <w:bCs/>
              <w:noProof/>
            </w:rPr>
            <w:fldChar w:fldCharType="end"/>
          </w:r>
        </w:p>
      </w:sdtContent>
    </w:sdt>
    <w:p w14:paraId="69988857" w14:textId="77777777" w:rsidR="00D4559E" w:rsidRPr="003C6EFB" w:rsidRDefault="00D4559E" w:rsidP="00D4559E">
      <w:pPr>
        <w:rPr>
          <w:lang w:val="en-GB"/>
        </w:rPr>
      </w:pPr>
    </w:p>
    <w:p w14:paraId="1BB35543" w14:textId="77777777" w:rsidR="00D4559E" w:rsidRPr="003C6EFB" w:rsidRDefault="00D4559E" w:rsidP="00D4559E">
      <w:pPr>
        <w:rPr>
          <w:lang w:val="en-GB"/>
        </w:rPr>
      </w:pPr>
    </w:p>
    <w:p w14:paraId="49DAB525" w14:textId="77777777" w:rsidR="00D4559E" w:rsidRPr="003C6EFB" w:rsidRDefault="00D4559E" w:rsidP="00D4559E">
      <w:pPr>
        <w:rPr>
          <w:lang w:val="en-GB"/>
        </w:rPr>
      </w:pPr>
    </w:p>
    <w:p w14:paraId="6664230E" w14:textId="77777777" w:rsidR="00D4559E" w:rsidRPr="003C6EFB" w:rsidRDefault="00D4559E" w:rsidP="00D4559E">
      <w:pPr>
        <w:rPr>
          <w:lang w:val="en-GB"/>
        </w:rPr>
      </w:pPr>
    </w:p>
    <w:p w14:paraId="2AA1CF64" w14:textId="77777777" w:rsidR="00D4559E" w:rsidRPr="003C6EFB" w:rsidRDefault="00D4559E" w:rsidP="00D4559E">
      <w:pPr>
        <w:rPr>
          <w:lang w:val="en-GB"/>
        </w:rPr>
      </w:pPr>
    </w:p>
    <w:p w14:paraId="1C9DFA1C" w14:textId="77777777" w:rsidR="00D4559E" w:rsidRPr="003C6EFB" w:rsidRDefault="00D4559E" w:rsidP="00D4559E">
      <w:pPr>
        <w:rPr>
          <w:lang w:val="en-GB"/>
        </w:rPr>
      </w:pPr>
    </w:p>
    <w:p w14:paraId="7390C249" w14:textId="77777777" w:rsidR="00D4559E" w:rsidRPr="003C6EFB" w:rsidRDefault="00D4559E" w:rsidP="00D4559E">
      <w:pPr>
        <w:rPr>
          <w:lang w:val="en-GB"/>
        </w:rPr>
      </w:pPr>
    </w:p>
    <w:p w14:paraId="137A5A9E" w14:textId="77777777" w:rsidR="00D4559E" w:rsidRPr="003C6EFB" w:rsidRDefault="00D4559E" w:rsidP="00D4559E">
      <w:pPr>
        <w:rPr>
          <w:lang w:val="en-GB"/>
        </w:rPr>
      </w:pPr>
    </w:p>
    <w:p w14:paraId="57F308AF" w14:textId="77777777" w:rsidR="00D4559E" w:rsidRPr="003C6EFB" w:rsidRDefault="00D4559E" w:rsidP="00D4559E">
      <w:pPr>
        <w:rPr>
          <w:lang w:val="en-GB"/>
        </w:rPr>
      </w:pPr>
    </w:p>
    <w:p w14:paraId="21A0FEA3" w14:textId="77777777" w:rsidR="00D4559E" w:rsidRPr="003C6EFB" w:rsidRDefault="00D4559E" w:rsidP="00D4559E">
      <w:pPr>
        <w:rPr>
          <w:lang w:val="en-GB"/>
        </w:rPr>
      </w:pPr>
    </w:p>
    <w:p w14:paraId="38557D9F" w14:textId="77777777" w:rsidR="00D4559E" w:rsidRPr="003C6EFB" w:rsidRDefault="00D4559E" w:rsidP="00D4559E">
      <w:pPr>
        <w:rPr>
          <w:lang w:val="en-GB"/>
        </w:rPr>
      </w:pPr>
    </w:p>
    <w:p w14:paraId="42C0FE66" w14:textId="77777777" w:rsidR="00D4559E" w:rsidRPr="003C6EFB" w:rsidRDefault="00D4559E" w:rsidP="00D4559E">
      <w:pPr>
        <w:rPr>
          <w:lang w:val="en-GB"/>
        </w:rPr>
      </w:pPr>
    </w:p>
    <w:p w14:paraId="00EC6D65" w14:textId="77777777" w:rsidR="00D4559E" w:rsidRDefault="00D4559E" w:rsidP="00D4559E">
      <w:pPr>
        <w:rPr>
          <w:rFonts w:asciiTheme="majorHAnsi" w:eastAsiaTheme="majorEastAsia" w:hAnsiTheme="majorHAnsi" w:cstheme="majorBidi"/>
          <w:b/>
          <w:bCs/>
          <w:color w:val="2F5496" w:themeColor="accent1" w:themeShade="BF"/>
          <w:sz w:val="28"/>
          <w:szCs w:val="28"/>
          <w:lang w:val="en-GB"/>
        </w:rPr>
      </w:pPr>
      <w:bookmarkStart w:id="0" w:name="_Toc80684580"/>
      <w:bookmarkStart w:id="1" w:name="_Toc80827510"/>
      <w:r>
        <w:rPr>
          <w:lang w:val="en-GB"/>
        </w:rPr>
        <w:br w:type="page"/>
      </w:r>
    </w:p>
    <w:p w14:paraId="092D631B" w14:textId="77777777" w:rsidR="00D4559E" w:rsidRPr="003C6EFB" w:rsidRDefault="00D4559E" w:rsidP="00D4559E">
      <w:pPr>
        <w:pStyle w:val="Heading1"/>
        <w:spacing w:line="360" w:lineRule="auto"/>
        <w:jc w:val="both"/>
        <w:rPr>
          <w:lang w:val="en-GB"/>
        </w:rPr>
      </w:pPr>
      <w:r w:rsidRPr="003C6EFB">
        <w:rPr>
          <w:lang w:val="en-GB"/>
        </w:rPr>
        <w:lastRenderedPageBreak/>
        <w:t>INTRODUCTION</w:t>
      </w:r>
      <w:bookmarkEnd w:id="0"/>
      <w:bookmarkEnd w:id="1"/>
    </w:p>
    <w:p w14:paraId="2D3FCB1E" w14:textId="77777777" w:rsidR="00D4559E" w:rsidRPr="00486385" w:rsidRDefault="00D4559E" w:rsidP="00D4559E">
      <w:pPr>
        <w:spacing w:line="360" w:lineRule="auto"/>
        <w:jc w:val="both"/>
        <w:rPr>
          <w:rFonts w:cstheme="minorHAnsi"/>
          <w:sz w:val="24"/>
          <w:szCs w:val="24"/>
          <w:lang w:val="en-GB"/>
        </w:rPr>
      </w:pPr>
      <w:r w:rsidRPr="00486385">
        <w:rPr>
          <w:rFonts w:cstheme="minorHAnsi"/>
          <w:sz w:val="24"/>
          <w:szCs w:val="24"/>
          <w:lang w:val="en-GB"/>
        </w:rPr>
        <w:t>The good health of a person can be regarded as physical, mental and social well-being. For this, individuals need a balanced diet and frequent exercise for spending healthy lifestyle.  There are various campaigns and initiatives in the UK that supports people with healthy well-being. The British Heart Foundations’ collaborative program with We Are Undefeatable encourages people and supports them with the treatment of long-time diseases. Basically, the We Are Undefeatable is the cooperation between many clinical groups that urges people with potential health concerns to discover proactive and disease-compatible methods (</w:t>
      </w:r>
      <w:r w:rsidRPr="00486385">
        <w:rPr>
          <w:rFonts w:cstheme="minorHAnsi"/>
          <w:sz w:val="24"/>
          <w:szCs w:val="24"/>
        </w:rPr>
        <w:t>Aaron McDonald, 2021</w:t>
      </w:r>
      <w:r w:rsidRPr="00486385">
        <w:rPr>
          <w:rFonts w:cstheme="minorHAnsi"/>
          <w:sz w:val="24"/>
          <w:szCs w:val="24"/>
          <w:lang w:val="en-GB"/>
        </w:rPr>
        <w:t xml:space="preserve">). </w:t>
      </w:r>
    </w:p>
    <w:p w14:paraId="036007BF" w14:textId="77777777" w:rsidR="00D4559E" w:rsidRPr="00486385" w:rsidRDefault="00D4559E" w:rsidP="00D4559E">
      <w:pPr>
        <w:spacing w:line="360" w:lineRule="auto"/>
        <w:jc w:val="both"/>
        <w:rPr>
          <w:rFonts w:cstheme="minorHAnsi"/>
          <w:sz w:val="24"/>
          <w:szCs w:val="24"/>
          <w:lang w:val="en-GB"/>
        </w:rPr>
      </w:pPr>
      <w:r w:rsidRPr="00486385">
        <w:rPr>
          <w:rFonts w:cstheme="minorHAnsi"/>
          <w:sz w:val="24"/>
          <w:szCs w:val="24"/>
          <w:lang w:val="en-GB"/>
        </w:rPr>
        <w:t>The National Stroke Programme was mainly developed by NHS England and with the collaboration of the Stroke Association of UK in various consultations with clinical experts and people that impacted with stroke. This initiative has served millions of people in the UK and changes their lives (</w:t>
      </w:r>
      <w:r w:rsidRPr="00486385">
        <w:rPr>
          <w:rFonts w:cstheme="minorHAnsi"/>
          <w:sz w:val="24"/>
          <w:szCs w:val="24"/>
        </w:rPr>
        <w:t>Stroke, 2021</w:t>
      </w:r>
      <w:r w:rsidRPr="00486385">
        <w:rPr>
          <w:rFonts w:cstheme="minorHAnsi"/>
          <w:sz w:val="24"/>
          <w:szCs w:val="24"/>
          <w:lang w:val="en-GB"/>
        </w:rPr>
        <w:t>). Further, in this reflection report, these two charities' initiative programmes in the United Kingdom, BHF and Stroke Association, which are part of We are Undefeatable and The National Stroke Program respectively will be analysed in a critical way. In addition, the study of comparisons, differences, impacts, social media involvement, community engagements and more will be presented. The research will also be made amongst projects and initiatives.</w:t>
      </w:r>
    </w:p>
    <w:p w14:paraId="1615CAF2" w14:textId="77777777" w:rsidR="00D4559E" w:rsidRDefault="00D4559E" w:rsidP="00D4559E">
      <w:pPr>
        <w:pStyle w:val="Heading1"/>
        <w:spacing w:line="360" w:lineRule="auto"/>
        <w:jc w:val="both"/>
        <w:rPr>
          <w:lang w:val="en-GB"/>
        </w:rPr>
      </w:pPr>
      <w:bookmarkStart w:id="2" w:name="_Toc80684581"/>
      <w:bookmarkStart w:id="3" w:name="_Toc80827511"/>
      <w:r w:rsidRPr="003C6EFB">
        <w:rPr>
          <w:lang w:val="en-GB"/>
        </w:rPr>
        <w:t>BODY</w:t>
      </w:r>
      <w:bookmarkEnd w:id="2"/>
      <w:bookmarkEnd w:id="3"/>
    </w:p>
    <w:p w14:paraId="5D17699C"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During the evaluation of the assessment.1 with the We Are Undefeatable Initiative, the critical analysis of the project has been reviewed for BHF. The Stroke Association is another charity that supports individuals with heart conditions, or especially the charity is working to enhance people's lives after a stroke. The stroke association collaborates with NHS England and the Stroke Association or it can be said that it has been proposed jointly by NHS and Stoke association in the UK. The programme supports the health and care system to provide improved prevention and treatment for the 80,000 individuals who suffer from a stroke in England each year and to fulfil the goals set forth in the long-term Plan. The programme builds on the national 2007-2017 Strategy for Stroke (</w:t>
      </w:r>
      <w:r w:rsidRPr="00486385">
        <w:rPr>
          <w:rFonts w:cstheme="minorHAnsi"/>
          <w:color w:val="000000" w:themeColor="text1"/>
          <w:sz w:val="24"/>
          <w:szCs w:val="24"/>
        </w:rPr>
        <w:t>Stroke, 2021</w:t>
      </w:r>
      <w:r w:rsidRPr="00486385">
        <w:rPr>
          <w:rFonts w:cstheme="minorHAnsi"/>
          <w:color w:val="000000" w:themeColor="text1"/>
          <w:sz w:val="24"/>
          <w:szCs w:val="24"/>
          <w:lang w:val="en-GB"/>
        </w:rPr>
        <w:t>).</w:t>
      </w:r>
    </w:p>
    <w:p w14:paraId="663B7700"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lastRenderedPageBreak/>
        <w:t>There are mainly various differences in both the projects and the initiatives and the comparison can be made like as:</w:t>
      </w:r>
    </w:p>
    <w:p w14:paraId="12511DC2" w14:textId="77777777" w:rsidR="00D4559E" w:rsidRPr="00486385" w:rsidRDefault="00D4559E" w:rsidP="00D4559E">
      <w:pPr>
        <w:spacing w:line="360" w:lineRule="auto"/>
        <w:jc w:val="center"/>
        <w:rPr>
          <w:rFonts w:cstheme="minorHAnsi"/>
          <w:b/>
          <w:color w:val="000000" w:themeColor="text1"/>
          <w:sz w:val="24"/>
          <w:szCs w:val="24"/>
          <w:lang w:val="en-GB"/>
        </w:rPr>
      </w:pPr>
      <w:r w:rsidRPr="00486385">
        <w:rPr>
          <w:rFonts w:cstheme="minorHAnsi"/>
          <w:b/>
          <w:color w:val="000000" w:themeColor="text1"/>
          <w:sz w:val="24"/>
          <w:szCs w:val="24"/>
          <w:lang w:val="en-GB"/>
        </w:rPr>
        <w:t>TABLE: COMPARISON AND DIFFERENCES BETWEEN THE INITIATIVES</w:t>
      </w:r>
    </w:p>
    <w:tbl>
      <w:tblPr>
        <w:tblStyle w:val="TableGrid"/>
        <w:tblW w:w="0" w:type="auto"/>
        <w:tblLook w:val="04A0" w:firstRow="1" w:lastRow="0" w:firstColumn="1" w:lastColumn="0" w:noHBand="0" w:noVBand="1"/>
      </w:tblPr>
      <w:tblGrid>
        <w:gridCol w:w="804"/>
        <w:gridCol w:w="1354"/>
        <w:gridCol w:w="3383"/>
        <w:gridCol w:w="3809"/>
      </w:tblGrid>
      <w:tr w:rsidR="00D4559E" w14:paraId="46653DEA" w14:textId="77777777" w:rsidTr="00622D31">
        <w:tc>
          <w:tcPr>
            <w:tcW w:w="812" w:type="dxa"/>
          </w:tcPr>
          <w:p w14:paraId="4CEF5E63"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S.NO</w:t>
            </w:r>
          </w:p>
        </w:tc>
        <w:tc>
          <w:tcPr>
            <w:tcW w:w="1354" w:type="dxa"/>
          </w:tcPr>
          <w:p w14:paraId="1604DDAD"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BASIS</w:t>
            </w:r>
          </w:p>
        </w:tc>
        <w:tc>
          <w:tcPr>
            <w:tcW w:w="3452" w:type="dxa"/>
          </w:tcPr>
          <w:p w14:paraId="53B8E3ED" w14:textId="77777777" w:rsidR="00D4559E" w:rsidRPr="00486385" w:rsidRDefault="00D4559E" w:rsidP="00622D31">
            <w:pPr>
              <w:spacing w:line="360" w:lineRule="auto"/>
              <w:jc w:val="center"/>
              <w:rPr>
                <w:rFonts w:cstheme="minorHAnsi"/>
                <w:b/>
                <w:color w:val="000000" w:themeColor="text1"/>
                <w:sz w:val="24"/>
                <w:szCs w:val="24"/>
                <w:lang w:val="en-GB"/>
              </w:rPr>
            </w:pPr>
            <w:r w:rsidRPr="00486385">
              <w:rPr>
                <w:rFonts w:cstheme="minorHAnsi"/>
                <w:b/>
                <w:color w:val="000000" w:themeColor="text1"/>
                <w:sz w:val="24"/>
                <w:szCs w:val="24"/>
                <w:lang w:val="en-GB"/>
              </w:rPr>
              <w:t>“We Are Undefeatable”</w:t>
            </w:r>
          </w:p>
        </w:tc>
        <w:tc>
          <w:tcPr>
            <w:tcW w:w="3958" w:type="dxa"/>
          </w:tcPr>
          <w:p w14:paraId="770CF022" w14:textId="77777777" w:rsidR="00D4559E" w:rsidRPr="00486385" w:rsidRDefault="00D4559E" w:rsidP="00622D31">
            <w:pPr>
              <w:spacing w:line="360" w:lineRule="auto"/>
              <w:jc w:val="center"/>
              <w:rPr>
                <w:rFonts w:cstheme="minorHAnsi"/>
                <w:b/>
                <w:color w:val="000000" w:themeColor="text1"/>
                <w:sz w:val="24"/>
                <w:szCs w:val="24"/>
                <w:lang w:val="en-GB"/>
              </w:rPr>
            </w:pPr>
            <w:r w:rsidRPr="00486385">
              <w:rPr>
                <w:rFonts w:cstheme="minorHAnsi"/>
                <w:b/>
                <w:color w:val="000000" w:themeColor="text1"/>
                <w:sz w:val="24"/>
                <w:szCs w:val="24"/>
                <w:lang w:val="en-GB"/>
              </w:rPr>
              <w:t>“The National Stroke Program”</w:t>
            </w:r>
          </w:p>
        </w:tc>
      </w:tr>
      <w:tr w:rsidR="00D4559E" w14:paraId="26D4231F" w14:textId="77777777" w:rsidTr="00622D31">
        <w:tc>
          <w:tcPr>
            <w:tcW w:w="812" w:type="dxa"/>
          </w:tcPr>
          <w:p w14:paraId="350513B3" w14:textId="77777777" w:rsidR="00D4559E" w:rsidRPr="00486385" w:rsidRDefault="00D4559E" w:rsidP="00D4559E">
            <w:pPr>
              <w:pStyle w:val="ListParagraph"/>
              <w:numPr>
                <w:ilvl w:val="0"/>
                <w:numId w:val="1"/>
              </w:numPr>
              <w:spacing w:after="0" w:line="360" w:lineRule="auto"/>
              <w:jc w:val="both"/>
              <w:rPr>
                <w:rFonts w:cstheme="minorHAnsi"/>
                <w:b/>
                <w:color w:val="000000" w:themeColor="text1"/>
                <w:sz w:val="24"/>
                <w:szCs w:val="24"/>
                <w:lang w:val="en-GB"/>
              </w:rPr>
            </w:pPr>
          </w:p>
        </w:tc>
        <w:tc>
          <w:tcPr>
            <w:tcW w:w="1354" w:type="dxa"/>
          </w:tcPr>
          <w:p w14:paraId="1ED17DC4"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FOCUS </w:t>
            </w:r>
          </w:p>
        </w:tc>
        <w:tc>
          <w:tcPr>
            <w:tcW w:w="3452" w:type="dxa"/>
          </w:tcPr>
          <w:p w14:paraId="65D28378"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The main focus of this initiative is on the people with long term diseases covering diabetics, hepatitis, arthritis and more.</w:t>
            </w:r>
          </w:p>
        </w:tc>
        <w:tc>
          <w:tcPr>
            <w:tcW w:w="3958" w:type="dxa"/>
          </w:tcPr>
          <w:p w14:paraId="580A866F"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color w:val="000000" w:themeColor="text1"/>
                <w:sz w:val="24"/>
                <w:szCs w:val="24"/>
                <w:lang w:val="en-GB"/>
              </w:rPr>
              <w:t xml:space="preserve">The main focus of this initiative is on the people with heart diseases or mainly the people that experienced a stroke. </w:t>
            </w:r>
          </w:p>
        </w:tc>
      </w:tr>
      <w:tr w:rsidR="00D4559E" w14:paraId="41991A14" w14:textId="77777777" w:rsidTr="00622D31">
        <w:tc>
          <w:tcPr>
            <w:tcW w:w="812" w:type="dxa"/>
          </w:tcPr>
          <w:p w14:paraId="33542B16" w14:textId="77777777" w:rsidR="00D4559E" w:rsidRPr="00486385" w:rsidRDefault="00D4559E" w:rsidP="00D4559E">
            <w:pPr>
              <w:pStyle w:val="ListParagraph"/>
              <w:numPr>
                <w:ilvl w:val="0"/>
                <w:numId w:val="1"/>
              </w:numPr>
              <w:spacing w:after="0" w:line="360" w:lineRule="auto"/>
              <w:jc w:val="both"/>
              <w:rPr>
                <w:rFonts w:cstheme="minorHAnsi"/>
                <w:b/>
                <w:color w:val="000000" w:themeColor="text1"/>
                <w:sz w:val="24"/>
                <w:szCs w:val="24"/>
                <w:lang w:val="en-GB"/>
              </w:rPr>
            </w:pPr>
          </w:p>
        </w:tc>
        <w:tc>
          <w:tcPr>
            <w:tcW w:w="1354" w:type="dxa"/>
          </w:tcPr>
          <w:p w14:paraId="3F05C821"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AIM </w:t>
            </w:r>
          </w:p>
        </w:tc>
        <w:tc>
          <w:tcPr>
            <w:tcW w:w="3452" w:type="dxa"/>
          </w:tcPr>
          <w:p w14:paraId="5BDB6B5C" w14:textId="77777777" w:rsidR="00D4559E" w:rsidRPr="00486385" w:rsidRDefault="00D4559E" w:rsidP="00D4559E">
            <w:pPr>
              <w:pStyle w:val="ListParagraph"/>
              <w:numPr>
                <w:ilvl w:val="0"/>
                <w:numId w:val="3"/>
              </w:numPr>
              <w:spacing w:after="0"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To encourage persons living with health conditions to create physical activity in their life and celebrating every big or small achievement in their condition.</w:t>
            </w:r>
          </w:p>
        </w:tc>
        <w:tc>
          <w:tcPr>
            <w:tcW w:w="3958" w:type="dxa"/>
          </w:tcPr>
          <w:p w14:paraId="0BB28C4E" w14:textId="77777777" w:rsidR="00D4559E" w:rsidRPr="00486385" w:rsidRDefault="00D4559E" w:rsidP="00D4559E">
            <w:pPr>
              <w:pStyle w:val="ListParagraph"/>
              <w:numPr>
                <w:ilvl w:val="0"/>
                <w:numId w:val="2"/>
              </w:numPr>
              <w:spacing w:after="0"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The significant relationship between stroke and dementia reduces preventable dementia occurrences.</w:t>
            </w:r>
          </w:p>
          <w:p w14:paraId="5BBD44AE" w14:textId="77777777" w:rsidR="00D4559E" w:rsidRPr="00486385" w:rsidRDefault="00D4559E" w:rsidP="00622D31">
            <w:pPr>
              <w:spacing w:line="360" w:lineRule="auto"/>
              <w:jc w:val="both"/>
              <w:rPr>
                <w:rFonts w:cstheme="minorHAnsi"/>
                <w:color w:val="000000" w:themeColor="text1"/>
                <w:sz w:val="24"/>
                <w:szCs w:val="24"/>
                <w:lang w:val="en-GB"/>
              </w:rPr>
            </w:pPr>
          </w:p>
          <w:p w14:paraId="0700B7D5" w14:textId="77777777" w:rsidR="00D4559E" w:rsidRPr="00486385" w:rsidRDefault="00D4559E" w:rsidP="00D4559E">
            <w:pPr>
              <w:pStyle w:val="ListParagraph"/>
              <w:numPr>
                <w:ilvl w:val="0"/>
                <w:numId w:val="2"/>
              </w:numPr>
              <w:spacing w:after="0"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To Reduced health disparities, especially related to social and racial status.</w:t>
            </w:r>
          </w:p>
        </w:tc>
      </w:tr>
      <w:tr w:rsidR="00D4559E" w14:paraId="0E228179" w14:textId="77777777" w:rsidTr="00622D31">
        <w:tc>
          <w:tcPr>
            <w:tcW w:w="812" w:type="dxa"/>
          </w:tcPr>
          <w:p w14:paraId="298A57D8" w14:textId="77777777" w:rsidR="00D4559E" w:rsidRPr="00486385" w:rsidRDefault="00D4559E" w:rsidP="00D4559E">
            <w:pPr>
              <w:pStyle w:val="ListParagraph"/>
              <w:numPr>
                <w:ilvl w:val="0"/>
                <w:numId w:val="1"/>
              </w:numPr>
              <w:spacing w:after="0" w:line="360" w:lineRule="auto"/>
              <w:jc w:val="both"/>
              <w:rPr>
                <w:rFonts w:cstheme="minorHAnsi"/>
                <w:b/>
                <w:color w:val="000000" w:themeColor="text1"/>
                <w:sz w:val="24"/>
                <w:szCs w:val="24"/>
                <w:lang w:val="en-GB"/>
              </w:rPr>
            </w:pPr>
          </w:p>
        </w:tc>
        <w:tc>
          <w:tcPr>
            <w:tcW w:w="1354" w:type="dxa"/>
          </w:tcPr>
          <w:p w14:paraId="3B58C67F"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TIME </w:t>
            </w:r>
          </w:p>
        </w:tc>
        <w:tc>
          <w:tcPr>
            <w:tcW w:w="3452" w:type="dxa"/>
          </w:tcPr>
          <w:p w14:paraId="57C3C57C"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This started in the year 2019 and is set for the </w:t>
            </w:r>
            <w:proofErr w:type="gramStart"/>
            <w:r w:rsidRPr="00486385">
              <w:rPr>
                <w:rFonts w:cstheme="minorHAnsi"/>
                <w:color w:val="000000" w:themeColor="text1"/>
                <w:sz w:val="24"/>
                <w:szCs w:val="24"/>
                <w:lang w:val="en-GB"/>
              </w:rPr>
              <w:t>long term</w:t>
            </w:r>
            <w:proofErr w:type="gramEnd"/>
            <w:r w:rsidRPr="00486385">
              <w:rPr>
                <w:rFonts w:cstheme="minorHAnsi"/>
                <w:color w:val="000000" w:themeColor="text1"/>
                <w:sz w:val="24"/>
                <w:szCs w:val="24"/>
                <w:lang w:val="en-GB"/>
              </w:rPr>
              <w:t xml:space="preserve"> plan to treat people with various diseases in the UK. </w:t>
            </w:r>
          </w:p>
        </w:tc>
        <w:tc>
          <w:tcPr>
            <w:tcW w:w="3958" w:type="dxa"/>
          </w:tcPr>
          <w:p w14:paraId="0C7C0D9A"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This initiative was also started in the year 2019 and set to be complete with twice as many patients receiving therapy for clot-busting thrombolytic, which ensures 20% by 2025.</w:t>
            </w:r>
          </w:p>
        </w:tc>
      </w:tr>
      <w:tr w:rsidR="00D4559E" w14:paraId="18C7D4F5" w14:textId="77777777" w:rsidTr="00622D31">
        <w:tc>
          <w:tcPr>
            <w:tcW w:w="812" w:type="dxa"/>
          </w:tcPr>
          <w:p w14:paraId="5CCDBF18" w14:textId="77777777" w:rsidR="00D4559E" w:rsidRPr="00486385" w:rsidRDefault="00D4559E" w:rsidP="00D4559E">
            <w:pPr>
              <w:pStyle w:val="ListParagraph"/>
              <w:numPr>
                <w:ilvl w:val="0"/>
                <w:numId w:val="1"/>
              </w:numPr>
              <w:spacing w:after="0" w:line="360" w:lineRule="auto"/>
              <w:jc w:val="both"/>
              <w:rPr>
                <w:rFonts w:cstheme="minorHAnsi"/>
                <w:b/>
                <w:color w:val="000000" w:themeColor="text1"/>
                <w:sz w:val="24"/>
                <w:szCs w:val="24"/>
                <w:lang w:val="en-GB"/>
              </w:rPr>
            </w:pPr>
          </w:p>
        </w:tc>
        <w:tc>
          <w:tcPr>
            <w:tcW w:w="1354" w:type="dxa"/>
          </w:tcPr>
          <w:p w14:paraId="5C28E823"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SUPPORT</w:t>
            </w:r>
          </w:p>
        </w:tc>
        <w:tc>
          <w:tcPr>
            <w:tcW w:w="3452" w:type="dxa"/>
          </w:tcPr>
          <w:p w14:paraId="285E808D"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color w:val="000000" w:themeColor="text1"/>
                <w:sz w:val="24"/>
                <w:szCs w:val="24"/>
                <w:lang w:val="en-GB"/>
              </w:rPr>
              <w:t xml:space="preserve">The campaign is headed by sixteen renowned health and </w:t>
            </w:r>
            <w:r w:rsidRPr="00486385">
              <w:rPr>
                <w:rFonts w:cstheme="minorHAnsi"/>
                <w:color w:val="000000" w:themeColor="text1"/>
                <w:sz w:val="24"/>
                <w:szCs w:val="24"/>
                <w:lang w:val="en-GB"/>
              </w:rPr>
              <w:lastRenderedPageBreak/>
              <w:t>social welfare organisations, using their expertise and insight.</w:t>
            </w:r>
          </w:p>
        </w:tc>
        <w:tc>
          <w:tcPr>
            <w:tcW w:w="3958" w:type="dxa"/>
          </w:tcPr>
          <w:p w14:paraId="4C766209"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lastRenderedPageBreak/>
              <w:t xml:space="preserve">This initiative is mainly made with the collaboration of NHS (National </w:t>
            </w:r>
            <w:r w:rsidRPr="00486385">
              <w:rPr>
                <w:rFonts w:cstheme="minorHAnsi"/>
                <w:color w:val="000000" w:themeColor="text1"/>
                <w:sz w:val="24"/>
                <w:szCs w:val="24"/>
                <w:lang w:val="en-GB"/>
              </w:rPr>
              <w:lastRenderedPageBreak/>
              <w:t xml:space="preserve">Health System) and Stroke Association itself. </w:t>
            </w:r>
          </w:p>
          <w:p w14:paraId="749BD1AD"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Also, Integrated Care Systems (ICS) and STPs (Sustainability and Transformation Partnerships) partnered to lead an improvement in the area of stroke. </w:t>
            </w:r>
          </w:p>
        </w:tc>
      </w:tr>
      <w:tr w:rsidR="00D4559E" w14:paraId="5FD250A4" w14:textId="77777777" w:rsidTr="00622D31">
        <w:tc>
          <w:tcPr>
            <w:tcW w:w="812" w:type="dxa"/>
          </w:tcPr>
          <w:p w14:paraId="45417F43" w14:textId="77777777" w:rsidR="00D4559E" w:rsidRPr="00486385" w:rsidRDefault="00D4559E" w:rsidP="00D4559E">
            <w:pPr>
              <w:pStyle w:val="ListParagraph"/>
              <w:numPr>
                <w:ilvl w:val="0"/>
                <w:numId w:val="1"/>
              </w:numPr>
              <w:spacing w:after="0" w:line="360" w:lineRule="auto"/>
              <w:jc w:val="both"/>
              <w:rPr>
                <w:rFonts w:cstheme="minorHAnsi"/>
                <w:b/>
                <w:color w:val="000000" w:themeColor="text1"/>
                <w:sz w:val="24"/>
                <w:szCs w:val="24"/>
                <w:lang w:val="en-GB"/>
              </w:rPr>
            </w:pPr>
          </w:p>
        </w:tc>
        <w:tc>
          <w:tcPr>
            <w:tcW w:w="1354" w:type="dxa"/>
          </w:tcPr>
          <w:p w14:paraId="7CBC1962" w14:textId="77777777" w:rsidR="00D4559E" w:rsidRPr="00486385" w:rsidRDefault="00D4559E" w:rsidP="00622D31">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FINANCING </w:t>
            </w:r>
          </w:p>
        </w:tc>
        <w:tc>
          <w:tcPr>
            <w:tcW w:w="3452" w:type="dxa"/>
          </w:tcPr>
          <w:p w14:paraId="5726C1F5"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The initiative is significantly funded by National Lottery Funding and being supported by UK's Government. </w:t>
            </w:r>
          </w:p>
        </w:tc>
        <w:tc>
          <w:tcPr>
            <w:tcW w:w="3958" w:type="dxa"/>
          </w:tcPr>
          <w:p w14:paraId="04EBA980" w14:textId="77777777" w:rsidR="00D4559E" w:rsidRPr="00486385" w:rsidRDefault="00D4559E" w:rsidP="00622D31">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Primarily, funding will be made by NHS. Secondly, ICSs is urged to create, capital financing bids using the ICS/STP budget from 2020 onwards. Integrated Stroke Delivery Networks (ISDNs) will be established.</w:t>
            </w:r>
          </w:p>
        </w:tc>
      </w:tr>
    </w:tbl>
    <w:p w14:paraId="226C85D0" w14:textId="77777777" w:rsidR="00D4559E" w:rsidRPr="00486385" w:rsidRDefault="00D4559E" w:rsidP="00D4559E">
      <w:pPr>
        <w:spacing w:line="360" w:lineRule="auto"/>
        <w:jc w:val="center"/>
        <w:rPr>
          <w:rFonts w:cstheme="minorHAnsi"/>
          <w:b/>
          <w:color w:val="000000" w:themeColor="text1"/>
          <w:sz w:val="24"/>
          <w:szCs w:val="24"/>
          <w:lang w:val="en-GB"/>
        </w:rPr>
      </w:pPr>
      <w:r w:rsidRPr="00486385">
        <w:rPr>
          <w:rFonts w:cstheme="minorHAnsi"/>
          <w:b/>
          <w:color w:val="000000" w:themeColor="text1"/>
          <w:sz w:val="24"/>
          <w:szCs w:val="24"/>
          <w:lang w:val="en-GB"/>
        </w:rPr>
        <w:t xml:space="preserve">Source: (Authors’ work; </w:t>
      </w:r>
      <w:r w:rsidRPr="00486385">
        <w:rPr>
          <w:rFonts w:cstheme="minorHAnsi"/>
          <w:b/>
          <w:color w:val="000000" w:themeColor="text1"/>
          <w:sz w:val="24"/>
          <w:szCs w:val="24"/>
        </w:rPr>
        <w:t xml:space="preserve">Stroke, 2021; McDonald, 2021; </w:t>
      </w:r>
      <w:r w:rsidRPr="00486385">
        <w:rPr>
          <w:rFonts w:cstheme="minorHAnsi"/>
          <w:b/>
          <w:color w:val="000000" w:themeColor="text1"/>
          <w:sz w:val="24"/>
          <w:szCs w:val="24"/>
          <w:shd w:val="clear" w:color="auto" w:fill="FFFFFF"/>
        </w:rPr>
        <w:t xml:space="preserve">Hyndman, </w:t>
      </w:r>
      <w:r>
        <w:rPr>
          <w:rFonts w:cstheme="minorHAnsi"/>
          <w:b/>
          <w:color w:val="000000" w:themeColor="text1"/>
          <w:sz w:val="24"/>
          <w:szCs w:val="24"/>
          <w:shd w:val="clear" w:color="auto" w:fill="FFFFFF"/>
        </w:rPr>
        <w:t xml:space="preserve">2020, </w:t>
      </w:r>
      <w:r w:rsidRPr="00486385">
        <w:rPr>
          <w:rFonts w:cstheme="minorHAnsi"/>
          <w:b/>
          <w:color w:val="000000" w:themeColor="text1"/>
          <w:sz w:val="24"/>
          <w:szCs w:val="24"/>
          <w:shd w:val="clear" w:color="auto" w:fill="FFFFFF"/>
        </w:rPr>
        <w:t>and McConville, 2018</w:t>
      </w:r>
      <w:r w:rsidRPr="00486385">
        <w:rPr>
          <w:rFonts w:cstheme="minorHAnsi"/>
          <w:b/>
          <w:color w:val="000000" w:themeColor="text1"/>
          <w:sz w:val="24"/>
          <w:szCs w:val="24"/>
          <w:lang w:val="en-GB"/>
        </w:rPr>
        <w:t>).</w:t>
      </w:r>
    </w:p>
    <w:p w14:paraId="3856350F"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The above table is mainly indicating the potential comparison of both the initiatives and their supporting members that helps in making the charitable services done in the region with full effectiveness. </w:t>
      </w:r>
    </w:p>
    <w:p w14:paraId="5E3E58A3"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COMMUNITY ENGAGEMENT APPROACHES</w:t>
      </w:r>
    </w:p>
    <w:p w14:paraId="18DB5D67"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We Are Undefeatable</w:t>
      </w:r>
    </w:p>
    <w:p w14:paraId="329AF962"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During the project evaluation, it was noticed that in the We Are Undefeatable programme of sports England numerous methods and approaches have been applied. Research has shown a wide range of techniques to involve many BHF partners, including the need for imaginative British Heart Foundation competitions in which stakeholders can participate in a number of areas such as encouraging clients in admiring blogs and trusting in them, filling gaps in several competitions and providing award-winning products (</w:t>
      </w:r>
      <w:r w:rsidRPr="00486385">
        <w:rPr>
          <w:rFonts w:cstheme="minorHAnsi"/>
          <w:color w:val="000000" w:themeColor="text1"/>
          <w:sz w:val="24"/>
          <w:szCs w:val="24"/>
          <w:shd w:val="clear" w:color="auto" w:fill="FFFFFF"/>
        </w:rPr>
        <w:t>Smith, 2021</w:t>
      </w:r>
      <w:r w:rsidRPr="00486385">
        <w:rPr>
          <w:rFonts w:cstheme="minorHAnsi"/>
          <w:color w:val="000000" w:themeColor="text1"/>
          <w:sz w:val="24"/>
          <w:szCs w:val="24"/>
          <w:lang w:val="en-GB"/>
        </w:rPr>
        <w:t xml:space="preserve">). We Are Undefeatable campaign has </w:t>
      </w:r>
      <w:r w:rsidRPr="00486385">
        <w:rPr>
          <w:rFonts w:cstheme="minorHAnsi"/>
          <w:color w:val="000000" w:themeColor="text1"/>
          <w:sz w:val="24"/>
          <w:szCs w:val="24"/>
          <w:lang w:val="en-GB"/>
        </w:rPr>
        <w:lastRenderedPageBreak/>
        <w:t>provided a persuasive foundation for many investors to be involved, such as healthy social cardiac networks, and to ensure people are protected from mental and physical illness. As images and pictures are engaging and interesting, We Are Undefeatable improved the ability of potential subscribers, favourites and comments. Video knowledge of healthcare is more successful in communicating concepts in drawing on different players and community methods (</w:t>
      </w:r>
      <w:r w:rsidRPr="00486385">
        <w:rPr>
          <w:rFonts w:eastAsia="Calibri" w:cstheme="minorHAnsi"/>
          <w:color w:val="000000" w:themeColor="text1"/>
          <w:sz w:val="24"/>
          <w:szCs w:val="24"/>
          <w:lang w:val="en-GB"/>
        </w:rPr>
        <w:t>Carter, 2019</w:t>
      </w:r>
      <w:r w:rsidRPr="00486385">
        <w:rPr>
          <w:rFonts w:cstheme="minorHAnsi"/>
          <w:color w:val="000000" w:themeColor="text1"/>
          <w:sz w:val="24"/>
          <w:szCs w:val="24"/>
          <w:lang w:val="en-GB"/>
        </w:rPr>
        <w:t>).</w:t>
      </w:r>
    </w:p>
    <w:p w14:paraId="7E5DEA95"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The National Stroke Programme</w:t>
      </w:r>
    </w:p>
    <w:p w14:paraId="73FD48FE"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On the other hand, the stroke association principally employs, including focus groups, community meetings, online engagements, and surveys for consumers, these four ways of community involvement in the National Stroke Programme are used for community engagements. Local NHS organisations are being required to establish their own STP/ICS-Level Plans for the next 5 years as part of processes, together with their local authority counterparts and other partners it will be beneficial to enhance the engagement with the people. Further, Commissioners will put in place strategies to guarantee local implementation, as part of their immediate and prolonged planning of the goals outlined in a </w:t>
      </w:r>
      <w:proofErr w:type="gramStart"/>
      <w:r w:rsidRPr="00486385">
        <w:rPr>
          <w:rFonts w:cstheme="minorHAnsi"/>
          <w:color w:val="000000" w:themeColor="text1"/>
          <w:sz w:val="24"/>
          <w:szCs w:val="24"/>
          <w:lang w:val="en-GB"/>
        </w:rPr>
        <w:t>Long Term</w:t>
      </w:r>
      <w:proofErr w:type="gramEnd"/>
      <w:r w:rsidRPr="00486385">
        <w:rPr>
          <w:rFonts w:cstheme="minorHAnsi"/>
          <w:color w:val="000000" w:themeColor="text1"/>
          <w:sz w:val="24"/>
          <w:szCs w:val="24"/>
          <w:lang w:val="en-GB"/>
        </w:rPr>
        <w:t xml:space="preserve"> Plan, and ensuring that they engage their communities to enhance patient outcomes (</w:t>
      </w:r>
      <w:r w:rsidRPr="00486385">
        <w:rPr>
          <w:rFonts w:cstheme="minorHAnsi"/>
          <w:color w:val="000000" w:themeColor="text1"/>
          <w:sz w:val="24"/>
          <w:szCs w:val="24"/>
          <w:shd w:val="clear" w:color="auto" w:fill="FFFFFF"/>
        </w:rPr>
        <w:t xml:space="preserve">Den </w:t>
      </w:r>
      <w:proofErr w:type="spellStart"/>
      <w:r w:rsidRPr="00486385">
        <w:rPr>
          <w:rFonts w:cstheme="minorHAnsi"/>
          <w:color w:val="000000" w:themeColor="text1"/>
          <w:sz w:val="24"/>
          <w:szCs w:val="24"/>
          <w:shd w:val="clear" w:color="auto" w:fill="FFFFFF"/>
        </w:rPr>
        <w:t>Broeder</w:t>
      </w:r>
      <w:proofErr w:type="spellEnd"/>
      <w:r w:rsidRPr="00486385">
        <w:rPr>
          <w:rFonts w:cstheme="minorHAnsi"/>
          <w:color w:val="000000" w:themeColor="text1"/>
          <w:sz w:val="24"/>
          <w:szCs w:val="24"/>
          <w:shd w:val="clear" w:color="auto" w:fill="FFFFFF"/>
        </w:rPr>
        <w:t>, 2021; Stroke, 2021</w:t>
      </w:r>
      <w:r w:rsidRPr="00486385">
        <w:rPr>
          <w:rFonts w:cstheme="minorHAnsi"/>
          <w:color w:val="000000" w:themeColor="text1"/>
          <w:sz w:val="24"/>
          <w:szCs w:val="24"/>
          <w:lang w:val="en-GB"/>
        </w:rPr>
        <w:t>).</w:t>
      </w:r>
    </w:p>
    <w:p w14:paraId="56E623A5"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STRATEGIES</w:t>
      </w:r>
    </w:p>
    <w:p w14:paraId="55F25605" w14:textId="77777777" w:rsidR="00D4559E"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In addition, there are various strategies that have been used by We Are Undefeatable that make them effective in working and reaching potential people. There are a number of ways to promote public participation, including an urgent situation with a non-profit portrait. People tend to do minimum work if an emergency does not occur, and so a very important fact might be useful through fascinating Internet content (</w:t>
      </w:r>
      <w:r w:rsidRPr="00486385">
        <w:rPr>
          <w:rFonts w:cstheme="minorHAnsi"/>
          <w:color w:val="000000" w:themeColor="text1"/>
          <w:sz w:val="24"/>
          <w:szCs w:val="24"/>
          <w:shd w:val="clear" w:color="auto" w:fill="FFFFFF"/>
        </w:rPr>
        <w:t>Hyndman, 2020</w:t>
      </w:r>
      <w:r>
        <w:rPr>
          <w:rFonts w:cstheme="minorHAnsi"/>
          <w:color w:val="000000" w:themeColor="text1"/>
          <w:sz w:val="24"/>
          <w:szCs w:val="24"/>
          <w:shd w:val="clear" w:color="auto" w:fill="FFFFFF"/>
        </w:rPr>
        <w:t>).</w:t>
      </w:r>
    </w:p>
    <w:p w14:paraId="4CDAD8EE"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Digital </w:t>
      </w:r>
      <w:r>
        <w:rPr>
          <w:rFonts w:cstheme="minorHAnsi"/>
          <w:b/>
          <w:color w:val="000000" w:themeColor="text1"/>
          <w:sz w:val="24"/>
          <w:szCs w:val="24"/>
          <w:lang w:val="en-GB"/>
        </w:rPr>
        <w:t>engagement</w:t>
      </w:r>
    </w:p>
    <w:p w14:paraId="02C0F782"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The We Are Undefeatable campaign employs numerous internet websites to improve its efficiency. In the form of prizes, certificates, incentives, and various joint transactions in the form of talks, meetings with directors or showcases non-profit in other events, employees, supporters, investors and regions may be given various advantages. The We Are Undefeatable campaign </w:t>
      </w:r>
      <w:r w:rsidRPr="00486385">
        <w:rPr>
          <w:rFonts w:cstheme="minorHAnsi"/>
          <w:color w:val="000000" w:themeColor="text1"/>
          <w:sz w:val="24"/>
          <w:szCs w:val="24"/>
          <w:lang w:val="en-GB"/>
        </w:rPr>
        <w:lastRenderedPageBreak/>
        <w:t>has made more active use of digital channels to link customers, groups and investors. Social health organisations can employ a range of digital networking tools in order to be more efficient (</w:t>
      </w:r>
      <w:r w:rsidRPr="00486385">
        <w:rPr>
          <w:rFonts w:cstheme="minorHAnsi"/>
          <w:color w:val="000000" w:themeColor="text1"/>
          <w:sz w:val="24"/>
          <w:szCs w:val="24"/>
          <w:shd w:val="clear" w:color="auto" w:fill="FFFFFF"/>
        </w:rPr>
        <w:t xml:space="preserve">Foster, 2021; </w:t>
      </w:r>
      <w:r w:rsidRPr="00486385">
        <w:rPr>
          <w:rFonts w:cstheme="minorHAnsi"/>
          <w:color w:val="000000" w:themeColor="text1"/>
          <w:sz w:val="24"/>
          <w:szCs w:val="24"/>
        </w:rPr>
        <w:t>Aaron McDonald, 2021</w:t>
      </w:r>
      <w:r w:rsidRPr="00486385">
        <w:rPr>
          <w:rFonts w:cstheme="minorHAnsi"/>
          <w:color w:val="000000" w:themeColor="text1"/>
          <w:sz w:val="24"/>
          <w:szCs w:val="24"/>
          <w:lang w:val="en-GB"/>
        </w:rPr>
        <w:t>).</w:t>
      </w:r>
    </w:p>
    <w:p w14:paraId="3FE3EFEC"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On the other hand, The National Stroke Programme is also using digital channels to effectively integrate with the community and the people that recovered just after the stroke. There are numerous ways through which digital channels can be used to improve reach and efficiency. The Stroke Association is mainly engaged with the endorsements of popular people and influencers to crucially reach needy people. Digital channels like web conferencing, social media, and more are being used by the Stroke Association to effectively maintain the initiative for treating people with heart strokes (</w:t>
      </w:r>
      <w:r w:rsidRPr="00486385">
        <w:rPr>
          <w:rFonts w:cstheme="minorHAnsi"/>
          <w:color w:val="000000" w:themeColor="text1"/>
          <w:sz w:val="24"/>
          <w:szCs w:val="24"/>
          <w:shd w:val="clear" w:color="auto" w:fill="FFFFFF"/>
        </w:rPr>
        <w:t>Kuriakose and Xiao, 2020</w:t>
      </w:r>
      <w:r w:rsidRPr="00486385">
        <w:rPr>
          <w:rFonts w:cstheme="minorHAnsi"/>
          <w:color w:val="000000" w:themeColor="text1"/>
          <w:sz w:val="24"/>
          <w:szCs w:val="24"/>
          <w:lang w:val="en-GB"/>
        </w:rPr>
        <w:t>). The following are the benefits of this:</w:t>
      </w:r>
    </w:p>
    <w:p w14:paraId="26780555" w14:textId="77777777" w:rsidR="00D4559E" w:rsidRPr="00486385" w:rsidRDefault="00D4559E" w:rsidP="00D4559E">
      <w:pPr>
        <w:pStyle w:val="ListParagraph"/>
        <w:numPr>
          <w:ilvl w:val="0"/>
          <w:numId w:val="4"/>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Improve post-hospital approaches for stroke rehabilitation through online channels </w:t>
      </w:r>
    </w:p>
    <w:p w14:paraId="65715B21" w14:textId="77777777" w:rsidR="00D4559E" w:rsidRPr="00486385" w:rsidRDefault="00D4559E" w:rsidP="00D4559E">
      <w:pPr>
        <w:pStyle w:val="ListParagraph"/>
        <w:numPr>
          <w:ilvl w:val="0"/>
          <w:numId w:val="4"/>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Train additional hospital experts to provide national service in more locations and through online channels</w:t>
      </w:r>
    </w:p>
    <w:p w14:paraId="48C1E53E" w14:textId="77777777" w:rsidR="00D4559E" w:rsidRPr="00486385" w:rsidRDefault="00D4559E" w:rsidP="00D4559E">
      <w:pPr>
        <w:pStyle w:val="ListParagraph"/>
        <w:numPr>
          <w:ilvl w:val="0"/>
          <w:numId w:val="4"/>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Ensure that three times more patients receive six months of recovery and need review such as from 29 to 90% (Stroke, 2021).</w:t>
      </w:r>
    </w:p>
    <w:p w14:paraId="518456B6"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 xml:space="preserve">Social media engagements </w:t>
      </w:r>
    </w:p>
    <w:p w14:paraId="5CFF6021"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Social media support is another engagement channel that is being used by both initiatives in order to effectively provide people with the services (</w:t>
      </w:r>
      <w:r w:rsidRPr="00486385">
        <w:rPr>
          <w:rFonts w:cstheme="minorHAnsi"/>
          <w:color w:val="000000" w:themeColor="text1"/>
          <w:sz w:val="24"/>
          <w:szCs w:val="24"/>
          <w:shd w:val="clear" w:color="auto" w:fill="FFFFFF"/>
        </w:rPr>
        <w:t>Lucas, 2017</w:t>
      </w:r>
      <w:r w:rsidRPr="00486385">
        <w:rPr>
          <w:rFonts w:cstheme="minorHAnsi"/>
          <w:color w:val="000000" w:themeColor="text1"/>
          <w:sz w:val="24"/>
          <w:szCs w:val="24"/>
          <w:lang w:val="en-GB"/>
        </w:rPr>
        <w:t>). The following are the two social media channels through which both the initiative i.e. We Are Undefeatable and The National Stroke Programme is being engaged:</w:t>
      </w:r>
    </w:p>
    <w:p w14:paraId="4C17ADED"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b/>
          <w:color w:val="000000" w:themeColor="text1"/>
          <w:sz w:val="24"/>
          <w:szCs w:val="24"/>
          <w:lang w:val="en-GB"/>
        </w:rPr>
        <w:t xml:space="preserve">Instagram: </w:t>
      </w:r>
      <w:r w:rsidRPr="00486385">
        <w:rPr>
          <w:rFonts w:cstheme="minorHAnsi"/>
          <w:color w:val="000000" w:themeColor="text1"/>
          <w:sz w:val="24"/>
          <w:szCs w:val="24"/>
          <w:lang w:val="en-GB"/>
        </w:rPr>
        <w:t xml:space="preserve">Instagram is perhaps the best location to share short videos </w:t>
      </w:r>
      <w:proofErr w:type="spellStart"/>
      <w:r w:rsidRPr="00486385">
        <w:rPr>
          <w:rFonts w:cstheme="minorHAnsi"/>
          <w:color w:val="000000" w:themeColor="text1"/>
          <w:sz w:val="24"/>
          <w:szCs w:val="24"/>
          <w:lang w:val="en-GB"/>
        </w:rPr>
        <w:t>i.e</w:t>
      </w:r>
      <w:proofErr w:type="spellEnd"/>
      <w:r w:rsidRPr="00486385">
        <w:rPr>
          <w:rFonts w:cstheme="minorHAnsi"/>
          <w:color w:val="000000" w:themeColor="text1"/>
          <w:sz w:val="24"/>
          <w:szCs w:val="24"/>
          <w:lang w:val="en-GB"/>
        </w:rPr>
        <w:t xml:space="preserve"> reels and pictures with better confidentiality; it also ensures that Internet contributions are stored safely. It allows the We Are Undefeatable Campaign to promote multimedia publicity among its supporters and stakeholders to increase awareness of this project and to track the many commitments and partnerships (</w:t>
      </w:r>
      <w:r w:rsidRPr="00486385">
        <w:rPr>
          <w:rFonts w:cstheme="minorHAnsi"/>
          <w:color w:val="000000" w:themeColor="text1"/>
          <w:sz w:val="24"/>
          <w:szCs w:val="24"/>
          <w:shd w:val="clear" w:color="auto" w:fill="FFFFFF"/>
        </w:rPr>
        <w:t>Harris et al., 2019</w:t>
      </w:r>
      <w:r w:rsidRPr="00486385">
        <w:rPr>
          <w:rFonts w:cstheme="minorHAnsi"/>
          <w:color w:val="000000" w:themeColor="text1"/>
          <w:sz w:val="24"/>
          <w:szCs w:val="24"/>
          <w:lang w:val="en-GB"/>
        </w:rPr>
        <w:t xml:space="preserve">). </w:t>
      </w:r>
    </w:p>
    <w:p w14:paraId="43783211"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National Stroke Association is using Instagram as one of the most effective manners that charity could ever use social media:</w:t>
      </w:r>
    </w:p>
    <w:p w14:paraId="75258F43" w14:textId="77777777" w:rsidR="00D4559E" w:rsidRPr="00486385" w:rsidRDefault="00D4559E" w:rsidP="00D4559E">
      <w:pPr>
        <w:pStyle w:val="ListParagraph"/>
        <w:numPr>
          <w:ilvl w:val="0"/>
          <w:numId w:val="5"/>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lastRenderedPageBreak/>
        <w:t>Sharing aim and asking donations, make use of Instagram in order to communicate their purpose, urge support, request grants and make an effect on visceral and powerful media.</w:t>
      </w:r>
    </w:p>
    <w:p w14:paraId="3CF5FC6B" w14:textId="77777777" w:rsidR="00D4559E" w:rsidRPr="00486385" w:rsidRDefault="00D4559E" w:rsidP="00D4559E">
      <w:pPr>
        <w:pStyle w:val="ListParagraph"/>
        <w:numPr>
          <w:ilvl w:val="0"/>
          <w:numId w:val="5"/>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Connecting Instagram with Facebook, another advantage of Instagram is that National Stroke Programme uses it to simultaneously run advertisements on both platforms </w:t>
      </w:r>
      <w:proofErr w:type="gramStart"/>
      <w:r w:rsidRPr="00486385">
        <w:rPr>
          <w:rFonts w:cstheme="minorHAnsi"/>
          <w:color w:val="000000" w:themeColor="text1"/>
          <w:sz w:val="24"/>
          <w:szCs w:val="24"/>
          <w:lang w:val="en-GB"/>
        </w:rPr>
        <w:t>i.e.</w:t>
      </w:r>
      <w:proofErr w:type="gramEnd"/>
      <w:r w:rsidRPr="00486385">
        <w:rPr>
          <w:rFonts w:cstheme="minorHAnsi"/>
          <w:color w:val="000000" w:themeColor="text1"/>
          <w:sz w:val="24"/>
          <w:szCs w:val="24"/>
          <w:lang w:val="en-GB"/>
        </w:rPr>
        <w:t xml:space="preserve"> Instagram and Facebook and observe how they work.</w:t>
      </w:r>
    </w:p>
    <w:p w14:paraId="43E1711C" w14:textId="77777777" w:rsidR="00D4559E" w:rsidRPr="00486385" w:rsidRDefault="00D4559E" w:rsidP="00D4559E">
      <w:pPr>
        <w:pStyle w:val="ListParagraph"/>
        <w:numPr>
          <w:ilvl w:val="0"/>
          <w:numId w:val="5"/>
        </w:num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 xml:space="preserve">National Stroke Programme uses hashtags; story mentions, IGTV and more to </w:t>
      </w:r>
      <w:proofErr w:type="gramStart"/>
      <w:r w:rsidRPr="00486385">
        <w:rPr>
          <w:rFonts w:cstheme="minorHAnsi"/>
          <w:color w:val="000000" w:themeColor="text1"/>
          <w:sz w:val="24"/>
          <w:szCs w:val="24"/>
          <w:lang w:val="en-GB"/>
        </w:rPr>
        <w:t>effective</w:t>
      </w:r>
      <w:proofErr w:type="gramEnd"/>
      <w:r w:rsidRPr="00486385">
        <w:rPr>
          <w:rFonts w:cstheme="minorHAnsi"/>
          <w:color w:val="000000" w:themeColor="text1"/>
          <w:sz w:val="24"/>
          <w:szCs w:val="24"/>
          <w:lang w:val="en-GB"/>
        </w:rPr>
        <w:t xml:space="preserve"> make aware people of the charity facilities and urge them to donate. Also, the influencers also collaborate with the charity (</w:t>
      </w:r>
      <w:proofErr w:type="spellStart"/>
      <w:r w:rsidRPr="00486385">
        <w:rPr>
          <w:rFonts w:cstheme="minorHAnsi"/>
          <w:color w:val="000000" w:themeColor="text1"/>
          <w:sz w:val="24"/>
          <w:szCs w:val="24"/>
          <w:shd w:val="clear" w:color="auto" w:fill="FFFFFF"/>
        </w:rPr>
        <w:t>Kailani</w:t>
      </w:r>
      <w:proofErr w:type="spellEnd"/>
      <w:r w:rsidRPr="00486385">
        <w:rPr>
          <w:rFonts w:cstheme="minorHAnsi"/>
          <w:color w:val="000000" w:themeColor="text1"/>
          <w:sz w:val="24"/>
          <w:szCs w:val="24"/>
          <w:shd w:val="clear" w:color="auto" w:fill="FFFFFF"/>
        </w:rPr>
        <w:t xml:space="preserve"> and </w:t>
      </w:r>
      <w:proofErr w:type="spellStart"/>
      <w:r w:rsidRPr="00486385">
        <w:rPr>
          <w:rFonts w:cstheme="minorHAnsi"/>
          <w:color w:val="000000" w:themeColor="text1"/>
          <w:sz w:val="24"/>
          <w:szCs w:val="24"/>
          <w:shd w:val="clear" w:color="auto" w:fill="FFFFFF"/>
        </w:rPr>
        <w:t>Slama</w:t>
      </w:r>
      <w:proofErr w:type="spellEnd"/>
      <w:r w:rsidRPr="00486385">
        <w:rPr>
          <w:rFonts w:cstheme="minorHAnsi"/>
          <w:color w:val="000000" w:themeColor="text1"/>
          <w:sz w:val="24"/>
          <w:szCs w:val="24"/>
          <w:shd w:val="clear" w:color="auto" w:fill="FFFFFF"/>
        </w:rPr>
        <w:t>, 2019</w:t>
      </w:r>
      <w:r w:rsidRPr="00486385">
        <w:rPr>
          <w:rFonts w:cstheme="minorHAnsi"/>
          <w:color w:val="000000" w:themeColor="text1"/>
          <w:sz w:val="24"/>
          <w:szCs w:val="24"/>
          <w:lang w:val="en-GB"/>
        </w:rPr>
        <w:t>).</w:t>
      </w:r>
    </w:p>
    <w:p w14:paraId="3ABD09A7"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b/>
          <w:color w:val="000000" w:themeColor="text1"/>
          <w:sz w:val="24"/>
          <w:szCs w:val="24"/>
          <w:lang w:val="en-GB"/>
        </w:rPr>
        <w:t xml:space="preserve">Facebook: </w:t>
      </w:r>
      <w:r w:rsidRPr="00486385">
        <w:rPr>
          <w:rFonts w:cstheme="minorHAnsi"/>
          <w:color w:val="000000" w:themeColor="text1"/>
          <w:sz w:val="24"/>
          <w:szCs w:val="24"/>
          <w:lang w:val="en-GB"/>
        </w:rPr>
        <w:t>The initiative We Are Undefeatable has assigned innovative presenters to reflect on regions and places where bad health issues have been recognised. The social media channel publishes several plans and photos of various assistants.  The easiest way of drawing attention is to write about the importance of health in many people's everyday lives, and also about the possible development of societies, through the We Are Undefeatable campaign (</w:t>
      </w:r>
      <w:r w:rsidRPr="00486385">
        <w:rPr>
          <w:rFonts w:cstheme="minorHAnsi"/>
          <w:color w:val="000000" w:themeColor="text1"/>
          <w:sz w:val="24"/>
          <w:szCs w:val="24"/>
          <w:shd w:val="clear" w:color="auto" w:fill="FFFFFF"/>
        </w:rPr>
        <w:t>Lucas, 2017</w:t>
      </w:r>
      <w:r w:rsidRPr="00486385">
        <w:rPr>
          <w:rFonts w:cstheme="minorHAnsi"/>
          <w:color w:val="000000" w:themeColor="text1"/>
          <w:sz w:val="24"/>
          <w:szCs w:val="24"/>
          <w:lang w:val="en-GB"/>
        </w:rPr>
        <w:t>).</w:t>
      </w:r>
    </w:p>
    <w:p w14:paraId="01281447"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On the other hand, The National Stroke Programme is also using social media engagement through Facebook they invite consumers to donate, support or engage in the initiatives that aid people in their neighbourhood through collaboration with volunteers through digital platforms. Positive storytelling is also used by Stroke Association to communicate the effects of their work or the individuals they serve (Harries et al., 2019).</w:t>
      </w:r>
    </w:p>
    <w:p w14:paraId="799E9BA4"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t>Stakeholders’ participation</w:t>
      </w:r>
    </w:p>
    <w:p w14:paraId="54C5D718" w14:textId="77777777" w:rsidR="00D4559E" w:rsidRPr="00486385" w:rsidRDefault="00D4559E" w:rsidP="00D4559E">
      <w:pPr>
        <w:spacing w:line="360" w:lineRule="auto"/>
        <w:jc w:val="both"/>
        <w:rPr>
          <w:rFonts w:cstheme="minorHAnsi"/>
          <w:color w:val="000000" w:themeColor="text1"/>
          <w:sz w:val="24"/>
          <w:szCs w:val="24"/>
          <w:lang w:val="en-GB"/>
        </w:rPr>
      </w:pPr>
      <w:r w:rsidRPr="00486385">
        <w:rPr>
          <w:rFonts w:cstheme="minorHAnsi"/>
          <w:color w:val="000000" w:themeColor="text1"/>
          <w:sz w:val="24"/>
          <w:szCs w:val="24"/>
          <w:lang w:val="en-GB"/>
        </w:rPr>
        <w:t>The participation of stakeholders in activities for We Are Undefeatable and National Stroke Programme are almost similar, such as community health that has numerous advantages. If adequate finances are available to safeguard the existing health of the society, prevent individuals from physical and psychic diseases, and make them feel comfortable, the project will be very effective. Thus, the investors, healthcare professionals, hospitals, volunteers are effectively engaged in both the initiatives that help in the effective attainment of the objective (</w:t>
      </w:r>
      <w:r w:rsidRPr="00486385">
        <w:rPr>
          <w:rFonts w:cstheme="minorHAnsi"/>
          <w:color w:val="000000" w:themeColor="text1"/>
          <w:sz w:val="24"/>
          <w:szCs w:val="24"/>
          <w:shd w:val="clear" w:color="auto" w:fill="FFFFFF"/>
        </w:rPr>
        <w:t>Hyndman and McConville, 2018</w:t>
      </w:r>
      <w:r w:rsidRPr="00486385">
        <w:rPr>
          <w:rFonts w:cstheme="minorHAnsi"/>
          <w:color w:val="000000" w:themeColor="text1"/>
          <w:sz w:val="24"/>
          <w:szCs w:val="24"/>
          <w:lang w:val="en-GB"/>
        </w:rPr>
        <w:t>).</w:t>
      </w:r>
    </w:p>
    <w:p w14:paraId="44D9841E"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b/>
          <w:color w:val="000000" w:themeColor="text1"/>
          <w:sz w:val="24"/>
          <w:szCs w:val="24"/>
          <w:lang w:val="en-GB"/>
        </w:rPr>
        <w:lastRenderedPageBreak/>
        <w:t>Justification</w:t>
      </w:r>
    </w:p>
    <w:p w14:paraId="67AE48EA" w14:textId="77777777" w:rsidR="00D4559E" w:rsidRPr="00486385" w:rsidRDefault="00D4559E" w:rsidP="00D4559E">
      <w:pPr>
        <w:spacing w:line="360" w:lineRule="auto"/>
        <w:jc w:val="both"/>
        <w:rPr>
          <w:rFonts w:cstheme="minorHAnsi"/>
          <w:b/>
          <w:color w:val="000000" w:themeColor="text1"/>
          <w:sz w:val="24"/>
          <w:szCs w:val="24"/>
          <w:lang w:val="en-GB"/>
        </w:rPr>
      </w:pPr>
      <w:r w:rsidRPr="00486385">
        <w:rPr>
          <w:rFonts w:cstheme="minorHAnsi"/>
          <w:color w:val="000000" w:themeColor="text1"/>
          <w:sz w:val="24"/>
          <w:szCs w:val="24"/>
          <w:lang w:val="en-GB"/>
        </w:rPr>
        <w:t>Both the initiatives are working fine in their areas like as We Are Undefeatable is mainly engaged with sustainable living and the treatment of people with long term diseases of all types whereas the National Stroke Programme is mainly made by NHS to deliver the after services to the people that experienced heart strokes. Further, National Stroke Programme has the crucial impacts that improve models for stroke survivors in post-hospital rehabilitation. Make the proportion of patients receiving thrombectomy with the removal of clots 10 times higher to terminate their stroke so that another 1,600 people are independent each year following their stroke (Stoke, 2021).</w:t>
      </w:r>
    </w:p>
    <w:p w14:paraId="243026EE" w14:textId="77777777" w:rsidR="00D4559E" w:rsidRDefault="00D4559E" w:rsidP="00D4559E">
      <w:pPr>
        <w:rPr>
          <w:rFonts w:asciiTheme="majorHAnsi" w:eastAsiaTheme="majorEastAsia" w:hAnsiTheme="majorHAnsi" w:cstheme="majorBidi"/>
          <w:b/>
          <w:bCs/>
          <w:color w:val="2F5496" w:themeColor="accent1" w:themeShade="BF"/>
          <w:sz w:val="28"/>
          <w:szCs w:val="28"/>
          <w:lang w:val="en-GB"/>
        </w:rPr>
      </w:pPr>
      <w:r>
        <w:rPr>
          <w:lang w:val="en-GB"/>
        </w:rPr>
        <w:br w:type="page"/>
      </w:r>
    </w:p>
    <w:p w14:paraId="66523DD8" w14:textId="77777777" w:rsidR="00D4559E" w:rsidRDefault="00D4559E" w:rsidP="00D4559E">
      <w:pPr>
        <w:pStyle w:val="Heading1"/>
        <w:spacing w:line="360" w:lineRule="auto"/>
        <w:jc w:val="both"/>
        <w:rPr>
          <w:lang w:val="en-GB"/>
        </w:rPr>
      </w:pPr>
      <w:bookmarkStart w:id="4" w:name="_Toc80684582"/>
      <w:bookmarkStart w:id="5" w:name="_Toc80827512"/>
      <w:r w:rsidRPr="003C6EFB">
        <w:rPr>
          <w:lang w:val="en-GB"/>
        </w:rPr>
        <w:lastRenderedPageBreak/>
        <w:t>CONCLUSION</w:t>
      </w:r>
      <w:bookmarkEnd w:id="4"/>
      <w:bookmarkEnd w:id="5"/>
    </w:p>
    <w:p w14:paraId="7C1B68F2" w14:textId="77777777" w:rsidR="00D4559E" w:rsidRDefault="00D4559E" w:rsidP="00D4559E">
      <w:pPr>
        <w:spacing w:line="360" w:lineRule="auto"/>
        <w:jc w:val="both"/>
        <w:rPr>
          <w:color w:val="000000" w:themeColor="text1"/>
          <w:sz w:val="24"/>
          <w:szCs w:val="24"/>
          <w:lang w:val="en-GB"/>
        </w:rPr>
      </w:pPr>
      <w:r w:rsidRPr="004D0662">
        <w:rPr>
          <w:sz w:val="24"/>
          <w:szCs w:val="24"/>
          <w:lang w:val="en-GB"/>
        </w:rPr>
        <w:t xml:space="preserve">From the analysis, it can be said that </w:t>
      </w:r>
      <w:r w:rsidRPr="004D0662">
        <w:rPr>
          <w:color w:val="000000" w:themeColor="text1"/>
          <w:sz w:val="24"/>
          <w:szCs w:val="24"/>
          <w:lang w:val="en-GB"/>
        </w:rPr>
        <w:t>National Stroke Programme and We Are Undefeatable both are working fine in the areas that help</w:t>
      </w:r>
      <w:r>
        <w:rPr>
          <w:color w:val="000000" w:themeColor="text1"/>
          <w:sz w:val="24"/>
          <w:szCs w:val="24"/>
          <w:lang w:val="en-GB"/>
        </w:rPr>
        <w:t xml:space="preserve"> them to effectively promote health and service people with diseases. Further, from the analysis, it can be said that </w:t>
      </w:r>
      <w:r w:rsidRPr="004D0662">
        <w:rPr>
          <w:color w:val="000000" w:themeColor="text1"/>
          <w:sz w:val="24"/>
          <w:szCs w:val="24"/>
          <w:lang w:val="en-GB"/>
        </w:rPr>
        <w:t>National Stroke Programme</w:t>
      </w:r>
      <w:r>
        <w:rPr>
          <w:color w:val="000000" w:themeColor="text1"/>
          <w:sz w:val="24"/>
          <w:szCs w:val="24"/>
          <w:lang w:val="en-GB"/>
        </w:rPr>
        <w:t xml:space="preserve"> is effectively working fine than the initiative </w:t>
      </w:r>
      <w:r w:rsidRPr="004D0662">
        <w:rPr>
          <w:color w:val="000000" w:themeColor="text1"/>
          <w:sz w:val="24"/>
          <w:szCs w:val="24"/>
          <w:lang w:val="en-GB"/>
        </w:rPr>
        <w:t>We Are Undefeatable</w:t>
      </w:r>
      <w:r>
        <w:rPr>
          <w:color w:val="000000" w:themeColor="text1"/>
          <w:sz w:val="24"/>
          <w:szCs w:val="24"/>
          <w:lang w:val="en-GB"/>
        </w:rPr>
        <w:t xml:space="preserve"> as they have more effective community engagement to the people and deliver services in a more effective and efficient manner. For instance: the social media engagement and digital channels in being effectively used by </w:t>
      </w:r>
      <w:r w:rsidRPr="004D0662">
        <w:rPr>
          <w:color w:val="000000" w:themeColor="text1"/>
          <w:sz w:val="24"/>
          <w:szCs w:val="24"/>
          <w:lang w:val="en-GB"/>
        </w:rPr>
        <w:t xml:space="preserve">National Stroke Programme </w:t>
      </w:r>
      <w:r>
        <w:rPr>
          <w:color w:val="000000" w:themeColor="text1"/>
          <w:sz w:val="24"/>
          <w:szCs w:val="24"/>
          <w:lang w:val="en-GB"/>
        </w:rPr>
        <w:t xml:space="preserve">than </w:t>
      </w:r>
      <w:r w:rsidRPr="004D0662">
        <w:rPr>
          <w:color w:val="000000" w:themeColor="text1"/>
          <w:sz w:val="24"/>
          <w:szCs w:val="24"/>
          <w:lang w:val="en-GB"/>
        </w:rPr>
        <w:t>We Are Undefeatable</w:t>
      </w:r>
      <w:r>
        <w:rPr>
          <w:color w:val="000000" w:themeColor="text1"/>
          <w:sz w:val="24"/>
          <w:szCs w:val="24"/>
          <w:lang w:val="en-GB"/>
        </w:rPr>
        <w:t xml:space="preserve"> thus, </w:t>
      </w:r>
      <w:r w:rsidRPr="004D0662">
        <w:rPr>
          <w:color w:val="000000" w:themeColor="text1"/>
          <w:sz w:val="24"/>
          <w:szCs w:val="24"/>
          <w:lang w:val="en-GB"/>
        </w:rPr>
        <w:t>National Stroke Programme</w:t>
      </w:r>
      <w:r>
        <w:rPr>
          <w:color w:val="000000" w:themeColor="text1"/>
          <w:sz w:val="24"/>
          <w:szCs w:val="24"/>
          <w:lang w:val="en-GB"/>
        </w:rPr>
        <w:t xml:space="preserve"> is more effectively serving the nations. </w:t>
      </w:r>
      <w:r w:rsidRPr="004D0662">
        <w:rPr>
          <w:color w:val="000000" w:themeColor="text1"/>
          <w:sz w:val="24"/>
          <w:szCs w:val="24"/>
          <w:lang w:val="en-GB"/>
        </w:rPr>
        <w:t>National Stroke Programme</w:t>
      </w:r>
      <w:r>
        <w:rPr>
          <w:color w:val="000000" w:themeColor="text1"/>
          <w:sz w:val="24"/>
          <w:szCs w:val="24"/>
          <w:lang w:val="en-GB"/>
        </w:rPr>
        <w:t xml:space="preserve"> is also supported by NHS (National Health Services) and backed by Stroke Association in the UK. </w:t>
      </w:r>
    </w:p>
    <w:p w14:paraId="4296182E" w14:textId="77777777" w:rsidR="00D4559E" w:rsidRDefault="00D4559E" w:rsidP="00D4559E">
      <w:pPr>
        <w:spacing w:line="360" w:lineRule="auto"/>
        <w:jc w:val="both"/>
        <w:rPr>
          <w:color w:val="000000" w:themeColor="text1"/>
          <w:sz w:val="24"/>
          <w:szCs w:val="24"/>
          <w:lang w:val="en-GB"/>
        </w:rPr>
      </w:pPr>
      <w:r>
        <w:rPr>
          <w:color w:val="000000" w:themeColor="text1"/>
          <w:sz w:val="24"/>
          <w:szCs w:val="24"/>
          <w:lang w:val="en-GB"/>
        </w:rPr>
        <w:t xml:space="preserve">On the other hand, </w:t>
      </w:r>
      <w:r w:rsidRPr="004D0662">
        <w:rPr>
          <w:color w:val="000000" w:themeColor="text1"/>
          <w:sz w:val="24"/>
          <w:szCs w:val="24"/>
          <w:lang w:val="en-GB"/>
        </w:rPr>
        <w:t>We Are Undefeatable</w:t>
      </w:r>
      <w:r>
        <w:rPr>
          <w:color w:val="000000" w:themeColor="text1"/>
          <w:sz w:val="24"/>
          <w:szCs w:val="24"/>
          <w:lang w:val="en-GB"/>
        </w:rPr>
        <w:t xml:space="preserve"> has some recommendations to be evolved that will help them to effectively implement in the systems and process, such as the use of social media engagement can be enhanced and improved by training the volunteers and employees that will help in identifying more potential patients. In addition, from the positive side, </w:t>
      </w:r>
      <w:r w:rsidRPr="004D0662">
        <w:rPr>
          <w:color w:val="000000" w:themeColor="text1"/>
          <w:sz w:val="24"/>
          <w:szCs w:val="24"/>
          <w:lang w:val="en-GB"/>
        </w:rPr>
        <w:t>We Are Undefeatable</w:t>
      </w:r>
      <w:r>
        <w:rPr>
          <w:color w:val="000000" w:themeColor="text1"/>
          <w:sz w:val="24"/>
          <w:szCs w:val="24"/>
          <w:lang w:val="en-GB"/>
        </w:rPr>
        <w:t xml:space="preserve"> have greater stakeholder participation than </w:t>
      </w:r>
      <w:r w:rsidRPr="004D0662">
        <w:rPr>
          <w:color w:val="000000" w:themeColor="text1"/>
          <w:sz w:val="24"/>
          <w:szCs w:val="24"/>
          <w:lang w:val="en-GB"/>
        </w:rPr>
        <w:t>National Stroke Programme</w:t>
      </w:r>
      <w:r>
        <w:rPr>
          <w:color w:val="000000" w:themeColor="text1"/>
          <w:sz w:val="24"/>
          <w:szCs w:val="24"/>
          <w:lang w:val="en-GB"/>
        </w:rPr>
        <w:t xml:space="preserve"> which is the area that helps in funding support and volunteering the duties. </w:t>
      </w:r>
    </w:p>
    <w:p w14:paraId="132A77C0" w14:textId="77777777" w:rsidR="00D4559E" w:rsidRDefault="00D4559E" w:rsidP="00D4559E">
      <w:pPr>
        <w:rPr>
          <w:rFonts w:asciiTheme="majorHAnsi" w:eastAsiaTheme="majorEastAsia" w:hAnsiTheme="majorHAnsi" w:cstheme="majorBidi"/>
          <w:b/>
          <w:bCs/>
          <w:color w:val="2F5496" w:themeColor="accent1" w:themeShade="BF"/>
          <w:sz w:val="28"/>
          <w:szCs w:val="28"/>
          <w:lang w:val="en-GB"/>
        </w:rPr>
      </w:pPr>
      <w:r>
        <w:rPr>
          <w:lang w:val="en-GB"/>
        </w:rPr>
        <w:br w:type="page"/>
      </w:r>
    </w:p>
    <w:p w14:paraId="5F40CED3" w14:textId="77777777" w:rsidR="00D4559E" w:rsidRDefault="00D4559E" w:rsidP="00D4559E">
      <w:pPr>
        <w:pStyle w:val="Heading1"/>
        <w:spacing w:line="360" w:lineRule="auto"/>
        <w:jc w:val="both"/>
        <w:rPr>
          <w:lang w:val="en-GB"/>
        </w:rPr>
      </w:pPr>
      <w:bookmarkStart w:id="6" w:name="_Toc80684583"/>
      <w:bookmarkStart w:id="7" w:name="_Toc80827513"/>
      <w:r>
        <w:rPr>
          <w:lang w:val="en-GB"/>
        </w:rPr>
        <w:lastRenderedPageBreak/>
        <w:t>REFERENCES</w:t>
      </w:r>
      <w:bookmarkEnd w:id="6"/>
      <w:bookmarkEnd w:id="7"/>
    </w:p>
    <w:p w14:paraId="544B58D5" w14:textId="77777777" w:rsidR="00D4559E" w:rsidRPr="00E31221" w:rsidRDefault="00D4559E" w:rsidP="00D4559E">
      <w:pPr>
        <w:tabs>
          <w:tab w:val="left" w:pos="1306"/>
        </w:tabs>
        <w:spacing w:line="360" w:lineRule="auto"/>
        <w:jc w:val="both"/>
        <w:rPr>
          <w:rFonts w:cstheme="minorHAnsi"/>
          <w:color w:val="000000" w:themeColor="text1"/>
          <w:sz w:val="24"/>
          <w:szCs w:val="24"/>
        </w:rPr>
      </w:pPr>
      <w:r w:rsidRPr="00E31221">
        <w:rPr>
          <w:rFonts w:cstheme="minorHAnsi"/>
          <w:color w:val="000000" w:themeColor="text1"/>
          <w:sz w:val="24"/>
          <w:szCs w:val="24"/>
        </w:rPr>
        <w:t xml:space="preserve">McDonald, </w:t>
      </w:r>
      <w:r>
        <w:rPr>
          <w:rFonts w:cstheme="minorHAnsi"/>
          <w:color w:val="000000" w:themeColor="text1"/>
          <w:sz w:val="24"/>
          <w:szCs w:val="24"/>
        </w:rPr>
        <w:t xml:space="preserve">A. </w:t>
      </w:r>
      <w:r w:rsidRPr="00E31221">
        <w:rPr>
          <w:rFonts w:cstheme="minorHAnsi"/>
          <w:color w:val="000000" w:themeColor="text1"/>
          <w:sz w:val="24"/>
          <w:szCs w:val="24"/>
        </w:rPr>
        <w:t xml:space="preserve">(2021) </w:t>
      </w:r>
      <w:r w:rsidRPr="00CD5D27">
        <w:rPr>
          <w:rFonts w:cstheme="minorHAnsi"/>
          <w:color w:val="000000" w:themeColor="text1"/>
          <w:sz w:val="24"/>
          <w:szCs w:val="24"/>
        </w:rPr>
        <w:t>British Heart Foundation joins We Are Undefeatable campaign’</w:t>
      </w:r>
      <w:r>
        <w:rPr>
          <w:rFonts w:cstheme="minorHAnsi"/>
          <w:i/>
          <w:color w:val="000000" w:themeColor="text1"/>
          <w:sz w:val="24"/>
          <w:szCs w:val="24"/>
        </w:rPr>
        <w:t xml:space="preserve"> </w:t>
      </w:r>
      <w:proofErr w:type="spellStart"/>
      <w:r>
        <w:rPr>
          <w:rFonts w:cstheme="minorHAnsi"/>
          <w:i/>
          <w:color w:val="000000" w:themeColor="text1"/>
          <w:sz w:val="24"/>
          <w:szCs w:val="24"/>
        </w:rPr>
        <w:t>british</w:t>
      </w:r>
      <w:proofErr w:type="spellEnd"/>
      <w:r>
        <w:rPr>
          <w:rFonts w:cstheme="minorHAnsi"/>
          <w:i/>
          <w:color w:val="000000" w:themeColor="text1"/>
          <w:sz w:val="24"/>
          <w:szCs w:val="24"/>
        </w:rPr>
        <w:t xml:space="preserve"> Health Foundation. </w:t>
      </w:r>
      <w:r w:rsidRPr="00E31221">
        <w:rPr>
          <w:rFonts w:cstheme="minorHAnsi"/>
          <w:color w:val="000000" w:themeColor="text1"/>
          <w:sz w:val="24"/>
          <w:szCs w:val="24"/>
        </w:rPr>
        <w:t xml:space="preserve">Available at </w:t>
      </w:r>
      <w:hyperlink r:id="rId6" w:history="1">
        <w:r w:rsidRPr="00C8680B">
          <w:rPr>
            <w:rStyle w:val="Hyperlink"/>
            <w:rFonts w:cstheme="minorHAnsi"/>
            <w:sz w:val="24"/>
            <w:szCs w:val="24"/>
          </w:rPr>
          <w:t>https://www.bhf.org.uk/what-we-do/news-from-the-bhf/news-archive/2021/august/british-heart-foundation-joins-we-are-undefeatable-campaign</w:t>
        </w:r>
      </w:hyperlink>
      <w:r w:rsidRPr="00E31221">
        <w:rPr>
          <w:rFonts w:cstheme="minorHAnsi"/>
          <w:color w:val="000000" w:themeColor="text1"/>
          <w:sz w:val="24"/>
          <w:szCs w:val="24"/>
        </w:rPr>
        <w:t xml:space="preserve"> (</w:t>
      </w:r>
      <w:r>
        <w:rPr>
          <w:rFonts w:cstheme="minorHAnsi"/>
          <w:color w:val="000000" w:themeColor="text1"/>
          <w:sz w:val="24"/>
          <w:szCs w:val="24"/>
        </w:rPr>
        <w:t>A</w:t>
      </w:r>
      <w:r w:rsidRPr="00E31221">
        <w:rPr>
          <w:rFonts w:cstheme="minorHAnsi"/>
          <w:color w:val="000000" w:themeColor="text1"/>
          <w:sz w:val="24"/>
          <w:szCs w:val="24"/>
        </w:rPr>
        <w:t>ccessed on 24 Aug</w:t>
      </w:r>
      <w:r>
        <w:rPr>
          <w:rFonts w:cstheme="minorHAnsi"/>
          <w:color w:val="000000" w:themeColor="text1"/>
          <w:sz w:val="24"/>
          <w:szCs w:val="24"/>
        </w:rPr>
        <w:t>ust 20</w:t>
      </w:r>
      <w:r w:rsidRPr="00E31221">
        <w:rPr>
          <w:rFonts w:cstheme="minorHAnsi"/>
          <w:color w:val="000000" w:themeColor="text1"/>
          <w:sz w:val="24"/>
          <w:szCs w:val="24"/>
        </w:rPr>
        <w:t>21)</w:t>
      </w:r>
      <w:r>
        <w:rPr>
          <w:rFonts w:cstheme="minorHAnsi"/>
          <w:color w:val="000000" w:themeColor="text1"/>
          <w:sz w:val="24"/>
          <w:szCs w:val="24"/>
        </w:rPr>
        <w:t>.</w:t>
      </w:r>
    </w:p>
    <w:p w14:paraId="699BB799"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eastAsia="Calibri" w:cstheme="minorHAnsi"/>
          <w:color w:val="000000" w:themeColor="text1"/>
          <w:sz w:val="24"/>
          <w:szCs w:val="24"/>
          <w:lang w:val="en-GB"/>
        </w:rPr>
        <w:t>Carter, L.</w:t>
      </w:r>
      <w:r>
        <w:rPr>
          <w:rFonts w:eastAsia="Calibri" w:cstheme="minorHAnsi"/>
          <w:color w:val="000000" w:themeColor="text1"/>
          <w:sz w:val="24"/>
          <w:szCs w:val="24"/>
          <w:lang w:val="en-GB"/>
        </w:rPr>
        <w:t xml:space="preserve"> </w:t>
      </w:r>
      <w:r w:rsidRPr="00E31221">
        <w:rPr>
          <w:rFonts w:eastAsia="Calibri" w:cstheme="minorHAnsi"/>
          <w:color w:val="000000" w:themeColor="text1"/>
          <w:sz w:val="24"/>
          <w:szCs w:val="24"/>
          <w:lang w:val="en-GB"/>
        </w:rPr>
        <w:t xml:space="preserve">Williams, L. and </w:t>
      </w:r>
      <w:proofErr w:type="spellStart"/>
      <w:r w:rsidRPr="00E31221">
        <w:rPr>
          <w:rFonts w:eastAsia="Calibri" w:cstheme="minorHAnsi"/>
          <w:color w:val="000000" w:themeColor="text1"/>
          <w:sz w:val="24"/>
          <w:szCs w:val="24"/>
          <w:lang w:val="en-GB"/>
        </w:rPr>
        <w:t>Cosijn</w:t>
      </w:r>
      <w:proofErr w:type="spellEnd"/>
      <w:r w:rsidRPr="00E31221">
        <w:rPr>
          <w:rFonts w:eastAsia="Calibri" w:cstheme="minorHAnsi"/>
          <w:color w:val="000000" w:themeColor="text1"/>
          <w:sz w:val="24"/>
          <w:szCs w:val="24"/>
          <w:lang w:val="en-GB"/>
        </w:rPr>
        <w:t>, M.</w:t>
      </w:r>
      <w:r>
        <w:rPr>
          <w:rFonts w:eastAsia="Calibri" w:cstheme="minorHAnsi"/>
          <w:color w:val="000000" w:themeColor="text1"/>
          <w:sz w:val="24"/>
          <w:szCs w:val="24"/>
          <w:lang w:val="en-GB"/>
        </w:rPr>
        <w:t xml:space="preserve"> </w:t>
      </w:r>
      <w:r w:rsidRPr="00E31221">
        <w:rPr>
          <w:rFonts w:eastAsia="Calibri" w:cstheme="minorHAnsi"/>
          <w:color w:val="000000" w:themeColor="text1"/>
          <w:sz w:val="24"/>
          <w:szCs w:val="24"/>
          <w:lang w:val="en-GB"/>
        </w:rPr>
        <w:t>(2019)</w:t>
      </w:r>
      <w:r>
        <w:rPr>
          <w:rFonts w:eastAsia="Calibri" w:cstheme="minorHAnsi"/>
          <w:color w:val="000000" w:themeColor="text1"/>
          <w:sz w:val="24"/>
          <w:szCs w:val="24"/>
          <w:lang w:val="en-GB"/>
        </w:rPr>
        <w:t xml:space="preserve"> </w:t>
      </w:r>
      <w:r w:rsidRPr="009327FE">
        <w:rPr>
          <w:rFonts w:eastAsia="Calibri" w:cstheme="minorHAnsi"/>
          <w:i/>
          <w:iCs/>
          <w:color w:val="000000" w:themeColor="text1"/>
          <w:sz w:val="24"/>
          <w:szCs w:val="24"/>
          <w:lang w:val="en-GB"/>
        </w:rPr>
        <w:t>The Principles and Practices of Ethical Community Engagement.</w:t>
      </w:r>
    </w:p>
    <w:p w14:paraId="15DF48B8"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eastAsia="Calibri" w:cstheme="minorHAnsi"/>
          <w:color w:val="000000" w:themeColor="text1"/>
          <w:sz w:val="24"/>
          <w:szCs w:val="24"/>
          <w:lang w:val="en-GB"/>
        </w:rPr>
        <w:t>Chin, S., (2019). Best Practices for Community Engagement (Doctoral dissertation, University of British Columbia).</w:t>
      </w:r>
    </w:p>
    <w:p w14:paraId="31F5700B" w14:textId="77777777" w:rsidR="00D4559E" w:rsidRPr="00E31221" w:rsidRDefault="00D4559E" w:rsidP="00D4559E">
      <w:pPr>
        <w:tabs>
          <w:tab w:val="left" w:pos="1306"/>
        </w:tabs>
        <w:spacing w:line="360" w:lineRule="auto"/>
        <w:jc w:val="both"/>
        <w:rPr>
          <w:rFonts w:cstheme="minorHAnsi"/>
          <w:color w:val="000000" w:themeColor="text1"/>
          <w:sz w:val="24"/>
          <w:szCs w:val="24"/>
          <w:shd w:val="clear" w:color="auto" w:fill="FFFFFF"/>
        </w:rPr>
      </w:pPr>
      <w:r w:rsidRPr="00E31221">
        <w:rPr>
          <w:rFonts w:cstheme="minorHAnsi"/>
          <w:color w:val="000000" w:themeColor="text1"/>
          <w:sz w:val="24"/>
          <w:szCs w:val="24"/>
          <w:shd w:val="clear" w:color="auto" w:fill="FFFFFF"/>
        </w:rPr>
        <w:t xml:space="preserve">Den </w:t>
      </w:r>
      <w:proofErr w:type="spellStart"/>
      <w:r w:rsidRPr="00E31221">
        <w:rPr>
          <w:rFonts w:cstheme="minorHAnsi"/>
          <w:color w:val="000000" w:themeColor="text1"/>
          <w:sz w:val="24"/>
          <w:szCs w:val="24"/>
          <w:shd w:val="clear" w:color="auto" w:fill="FFFFFF"/>
        </w:rPr>
        <w:t>Broeder</w:t>
      </w:r>
      <w:proofErr w:type="spellEnd"/>
      <w:r w:rsidRPr="00E31221">
        <w:rPr>
          <w:rFonts w:cstheme="minorHAnsi"/>
          <w:color w:val="000000" w:themeColor="text1"/>
          <w:sz w:val="24"/>
          <w:szCs w:val="24"/>
          <w:shd w:val="clear" w:color="auto" w:fill="FFFFFF"/>
        </w:rPr>
        <w:t xml:space="preserve">, L., South, J., </w:t>
      </w:r>
      <w:proofErr w:type="spellStart"/>
      <w:r w:rsidRPr="00E31221">
        <w:rPr>
          <w:rFonts w:cstheme="minorHAnsi"/>
          <w:color w:val="000000" w:themeColor="text1"/>
          <w:sz w:val="24"/>
          <w:szCs w:val="24"/>
          <w:shd w:val="clear" w:color="auto" w:fill="FFFFFF"/>
        </w:rPr>
        <w:t>Rothoff</w:t>
      </w:r>
      <w:proofErr w:type="spellEnd"/>
      <w:r w:rsidRPr="00E31221">
        <w:rPr>
          <w:rFonts w:cstheme="minorHAnsi"/>
          <w:color w:val="000000" w:themeColor="text1"/>
          <w:sz w:val="24"/>
          <w:szCs w:val="24"/>
          <w:shd w:val="clear" w:color="auto" w:fill="FFFFFF"/>
        </w:rPr>
        <w:t xml:space="preserve">, A., Bagnall, A. M., </w:t>
      </w:r>
      <w:proofErr w:type="spellStart"/>
      <w:r w:rsidRPr="00E31221">
        <w:rPr>
          <w:rFonts w:cstheme="minorHAnsi"/>
          <w:color w:val="000000" w:themeColor="text1"/>
          <w:sz w:val="24"/>
          <w:szCs w:val="24"/>
          <w:shd w:val="clear" w:color="auto" w:fill="FFFFFF"/>
        </w:rPr>
        <w:t>Azarhoosh</w:t>
      </w:r>
      <w:proofErr w:type="spellEnd"/>
      <w:r w:rsidRPr="00E31221">
        <w:rPr>
          <w:rFonts w:cstheme="minorHAnsi"/>
          <w:color w:val="000000" w:themeColor="text1"/>
          <w:sz w:val="24"/>
          <w:szCs w:val="24"/>
          <w:shd w:val="clear" w:color="auto" w:fill="FFFFFF"/>
        </w:rPr>
        <w:t xml:space="preserve">, F., van der Linden, G., ... &amp; </w:t>
      </w:r>
      <w:proofErr w:type="spellStart"/>
      <w:r w:rsidRPr="00E31221">
        <w:rPr>
          <w:rFonts w:cstheme="minorHAnsi"/>
          <w:color w:val="000000" w:themeColor="text1"/>
          <w:sz w:val="24"/>
          <w:szCs w:val="24"/>
          <w:shd w:val="clear" w:color="auto" w:fill="FFFFFF"/>
        </w:rPr>
        <w:t>Wagemakers</w:t>
      </w:r>
      <w:proofErr w:type="spellEnd"/>
      <w:r w:rsidRPr="00E31221">
        <w:rPr>
          <w:rFonts w:cstheme="minorHAnsi"/>
          <w:color w:val="000000" w:themeColor="text1"/>
          <w:sz w:val="24"/>
          <w:szCs w:val="24"/>
          <w:shd w:val="clear" w:color="auto" w:fill="FFFFFF"/>
        </w:rPr>
        <w:t xml:space="preserve">, A. (2021). Community engagement in deprived </w:t>
      </w:r>
      <w:proofErr w:type="spellStart"/>
      <w:r w:rsidRPr="00E31221">
        <w:rPr>
          <w:rFonts w:cstheme="minorHAnsi"/>
          <w:color w:val="000000" w:themeColor="text1"/>
          <w:sz w:val="24"/>
          <w:szCs w:val="24"/>
          <w:shd w:val="clear" w:color="auto" w:fill="FFFFFF"/>
        </w:rPr>
        <w:t>neighbourhoods</w:t>
      </w:r>
      <w:proofErr w:type="spellEnd"/>
      <w:r w:rsidRPr="00E31221">
        <w:rPr>
          <w:rFonts w:cstheme="minorHAnsi"/>
          <w:color w:val="000000" w:themeColor="text1"/>
          <w:sz w:val="24"/>
          <w:szCs w:val="24"/>
          <w:shd w:val="clear" w:color="auto" w:fill="FFFFFF"/>
        </w:rPr>
        <w:t xml:space="preserve"> during the COVID-19 crisis: perspectives for more resilient and healthier communities. </w:t>
      </w:r>
      <w:r w:rsidRPr="00E31221">
        <w:rPr>
          <w:rFonts w:cstheme="minorHAnsi"/>
          <w:i/>
          <w:iCs/>
          <w:color w:val="000000" w:themeColor="text1"/>
          <w:sz w:val="24"/>
          <w:szCs w:val="24"/>
          <w:shd w:val="clear" w:color="auto" w:fill="FFFFFF"/>
        </w:rPr>
        <w:t>Health Promotion International</w:t>
      </w:r>
      <w:r w:rsidRPr="00E31221">
        <w:rPr>
          <w:rFonts w:cstheme="minorHAnsi"/>
          <w:color w:val="000000" w:themeColor="text1"/>
          <w:sz w:val="24"/>
          <w:szCs w:val="24"/>
          <w:shd w:val="clear" w:color="auto" w:fill="FFFFFF"/>
        </w:rPr>
        <w:t>.</w:t>
      </w:r>
    </w:p>
    <w:p w14:paraId="2FD82E7D"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cstheme="minorHAnsi"/>
          <w:color w:val="000000" w:themeColor="text1"/>
          <w:sz w:val="24"/>
          <w:szCs w:val="24"/>
          <w:shd w:val="clear" w:color="auto" w:fill="FFFFFF"/>
        </w:rPr>
        <w:t>Foster, C. R. (2021). </w:t>
      </w:r>
      <w:r w:rsidRPr="00E31221">
        <w:rPr>
          <w:rFonts w:cstheme="minorHAnsi"/>
          <w:i/>
          <w:iCs/>
          <w:color w:val="000000" w:themeColor="text1"/>
          <w:sz w:val="24"/>
          <w:szCs w:val="24"/>
          <w:shd w:val="clear" w:color="auto" w:fill="FFFFFF"/>
        </w:rPr>
        <w:t xml:space="preserve">A ‘self-production approach for charities’: Supporting </w:t>
      </w:r>
      <w:proofErr w:type="gramStart"/>
      <w:r w:rsidRPr="00E31221">
        <w:rPr>
          <w:rFonts w:cstheme="minorHAnsi"/>
          <w:i/>
          <w:iCs/>
          <w:color w:val="000000" w:themeColor="text1"/>
          <w:sz w:val="24"/>
          <w:szCs w:val="24"/>
          <w:shd w:val="clear" w:color="auto" w:fill="FFFFFF"/>
        </w:rPr>
        <w:t>And</w:t>
      </w:r>
      <w:proofErr w:type="gramEnd"/>
      <w:r w:rsidRPr="00E31221">
        <w:rPr>
          <w:rFonts w:cstheme="minorHAnsi"/>
          <w:i/>
          <w:iCs/>
          <w:color w:val="000000" w:themeColor="text1"/>
          <w:sz w:val="24"/>
          <w:szCs w:val="24"/>
          <w:shd w:val="clear" w:color="auto" w:fill="FFFFFF"/>
        </w:rPr>
        <w:t xml:space="preserve"> Developing In-House Video Production In Small UK Charities</w:t>
      </w:r>
      <w:r w:rsidRPr="00E31221">
        <w:rPr>
          <w:rFonts w:cstheme="minorHAnsi"/>
          <w:color w:val="000000" w:themeColor="text1"/>
          <w:sz w:val="24"/>
          <w:szCs w:val="24"/>
          <w:shd w:val="clear" w:color="auto" w:fill="FFFFFF"/>
        </w:rPr>
        <w:t> (Doctoral dissertation, The Open University).</w:t>
      </w:r>
    </w:p>
    <w:p w14:paraId="137C38BF"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cstheme="minorHAnsi"/>
          <w:color w:val="000000" w:themeColor="text1"/>
          <w:sz w:val="24"/>
          <w:szCs w:val="24"/>
          <w:shd w:val="clear" w:color="auto" w:fill="FFFFFF"/>
        </w:rPr>
        <w:t>Harris, E., Neely, D., and Saxton, G. D. (2019). Social media, signaling, and donations: Testing the financial returns on nonprofits’ social media investment. </w:t>
      </w:r>
      <w:r w:rsidRPr="00E31221">
        <w:rPr>
          <w:rFonts w:cstheme="minorHAnsi"/>
          <w:i/>
          <w:iCs/>
          <w:color w:val="000000" w:themeColor="text1"/>
          <w:sz w:val="24"/>
          <w:szCs w:val="24"/>
          <w:shd w:val="clear" w:color="auto" w:fill="FFFFFF"/>
        </w:rPr>
        <w:t xml:space="preserve">Signaling, and Donations: Testing the Financial Returns on </w:t>
      </w:r>
      <w:r w:rsidRPr="0031482C">
        <w:rPr>
          <w:rFonts w:cstheme="minorHAnsi"/>
          <w:i/>
          <w:iCs/>
          <w:color w:val="000000" w:themeColor="text1"/>
          <w:sz w:val="24"/>
          <w:szCs w:val="24"/>
          <w:shd w:val="clear" w:color="auto" w:fill="FFFFFF"/>
        </w:rPr>
        <w:t xml:space="preserve">Nonprofits’ Social Media Investment </w:t>
      </w:r>
      <w:hyperlink r:id="rId7" w:tgtFrame="_blank" w:history="1">
        <w:r w:rsidRPr="0031482C">
          <w:rPr>
            <w:rStyle w:val="Hyperlink"/>
            <w:rFonts w:cstheme="minorHAnsi"/>
            <w:color w:val="505050"/>
            <w:shd w:val="clear" w:color="auto" w:fill="FFFFFF"/>
          </w:rPr>
          <w:t>http://dx.doi.org/10.2139/ssrn.3360173</w:t>
        </w:r>
      </w:hyperlink>
    </w:p>
    <w:p w14:paraId="1F99A7DE" w14:textId="77777777" w:rsidR="00D4559E" w:rsidRPr="00E31221" w:rsidRDefault="00D4559E" w:rsidP="00D4559E">
      <w:pPr>
        <w:tabs>
          <w:tab w:val="left" w:pos="1306"/>
        </w:tabs>
        <w:spacing w:line="360" w:lineRule="auto"/>
        <w:jc w:val="both"/>
        <w:rPr>
          <w:rFonts w:cstheme="minorHAnsi"/>
          <w:color w:val="000000" w:themeColor="text1"/>
          <w:sz w:val="24"/>
          <w:szCs w:val="24"/>
          <w:shd w:val="clear" w:color="auto" w:fill="FFFFFF"/>
        </w:rPr>
      </w:pPr>
      <w:r w:rsidRPr="00E31221">
        <w:rPr>
          <w:rFonts w:cstheme="minorHAnsi"/>
          <w:color w:val="000000" w:themeColor="text1"/>
          <w:sz w:val="24"/>
          <w:szCs w:val="24"/>
          <w:shd w:val="clear" w:color="auto" w:fill="FFFFFF"/>
        </w:rPr>
        <w:t>Hyndman, N. (2020). UK charities and the pandemic:</w:t>
      </w:r>
      <w:r w:rsidRPr="009012A2">
        <w:t xml:space="preserve"> </w:t>
      </w:r>
      <w:r w:rsidRPr="009012A2">
        <w:rPr>
          <w:rFonts w:cstheme="minorHAnsi"/>
          <w:color w:val="000000" w:themeColor="text1"/>
          <w:sz w:val="24"/>
          <w:szCs w:val="24"/>
          <w:shd w:val="clear" w:color="auto" w:fill="FFFFFF"/>
        </w:rPr>
        <w:t>Navigating the perfect storm. Journal of Accounting &amp; Organizational Change, 16(4), 587-592. https://doi.org/10.1108/JAOC-08-2020-0114</w:t>
      </w:r>
    </w:p>
    <w:p w14:paraId="64C9B721"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cstheme="minorHAnsi"/>
          <w:color w:val="000000" w:themeColor="text1"/>
          <w:sz w:val="24"/>
          <w:szCs w:val="24"/>
          <w:shd w:val="clear" w:color="auto" w:fill="FFFFFF"/>
        </w:rPr>
        <w:t>Hyndman, N., and McConville, D. (2018). Trust and accountability in UK charities: Exploring the virtuous circle. </w:t>
      </w:r>
      <w:r w:rsidRPr="00E31221">
        <w:rPr>
          <w:rFonts w:cstheme="minorHAnsi"/>
          <w:i/>
          <w:iCs/>
          <w:color w:val="000000" w:themeColor="text1"/>
          <w:sz w:val="24"/>
          <w:szCs w:val="24"/>
          <w:shd w:val="clear" w:color="auto" w:fill="FFFFFF"/>
        </w:rPr>
        <w:t>The British Accounting Review</w:t>
      </w:r>
      <w:r w:rsidRPr="00E31221">
        <w:rPr>
          <w:rFonts w:cstheme="minorHAnsi"/>
          <w:color w:val="000000" w:themeColor="text1"/>
          <w:sz w:val="24"/>
          <w:szCs w:val="24"/>
          <w:shd w:val="clear" w:color="auto" w:fill="FFFFFF"/>
        </w:rPr>
        <w:t>, </w:t>
      </w:r>
      <w:r w:rsidRPr="00E31221">
        <w:rPr>
          <w:rFonts w:cstheme="minorHAnsi"/>
          <w:i/>
          <w:iCs/>
          <w:color w:val="000000" w:themeColor="text1"/>
          <w:sz w:val="24"/>
          <w:szCs w:val="24"/>
          <w:shd w:val="clear" w:color="auto" w:fill="FFFFFF"/>
        </w:rPr>
        <w:t>50</w:t>
      </w:r>
      <w:r w:rsidRPr="00E31221">
        <w:rPr>
          <w:rFonts w:cstheme="minorHAnsi"/>
          <w:color w:val="000000" w:themeColor="text1"/>
          <w:sz w:val="24"/>
          <w:szCs w:val="24"/>
          <w:shd w:val="clear" w:color="auto" w:fill="FFFFFF"/>
        </w:rPr>
        <w:t>(2), 227-</w:t>
      </w:r>
      <w:proofErr w:type="gramStart"/>
      <w:r w:rsidRPr="00E31221">
        <w:rPr>
          <w:rFonts w:cstheme="minorHAnsi"/>
          <w:color w:val="000000" w:themeColor="text1"/>
          <w:sz w:val="24"/>
          <w:szCs w:val="24"/>
          <w:shd w:val="clear" w:color="auto" w:fill="FFFFFF"/>
        </w:rPr>
        <w:t>237..</w:t>
      </w:r>
      <w:proofErr w:type="gramEnd"/>
    </w:p>
    <w:p w14:paraId="298351C5"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proofErr w:type="spellStart"/>
      <w:r w:rsidRPr="00E31221">
        <w:rPr>
          <w:rFonts w:cstheme="minorHAnsi"/>
          <w:color w:val="000000" w:themeColor="text1"/>
          <w:sz w:val="24"/>
          <w:szCs w:val="24"/>
          <w:shd w:val="clear" w:color="auto" w:fill="FFFFFF"/>
        </w:rPr>
        <w:t>Kailani</w:t>
      </w:r>
      <w:proofErr w:type="spellEnd"/>
      <w:r w:rsidRPr="00E31221">
        <w:rPr>
          <w:rFonts w:cstheme="minorHAnsi"/>
          <w:color w:val="000000" w:themeColor="text1"/>
          <w:sz w:val="24"/>
          <w:szCs w:val="24"/>
          <w:shd w:val="clear" w:color="auto" w:fill="FFFFFF"/>
        </w:rPr>
        <w:t xml:space="preserve">, N., and </w:t>
      </w:r>
      <w:proofErr w:type="spellStart"/>
      <w:r w:rsidRPr="00E31221">
        <w:rPr>
          <w:rFonts w:cstheme="minorHAnsi"/>
          <w:color w:val="000000" w:themeColor="text1"/>
          <w:sz w:val="24"/>
          <w:szCs w:val="24"/>
          <w:shd w:val="clear" w:color="auto" w:fill="FFFFFF"/>
        </w:rPr>
        <w:t>Slama</w:t>
      </w:r>
      <w:proofErr w:type="spellEnd"/>
      <w:r w:rsidRPr="00E31221">
        <w:rPr>
          <w:rFonts w:cstheme="minorHAnsi"/>
          <w:color w:val="000000" w:themeColor="text1"/>
          <w:sz w:val="24"/>
          <w:szCs w:val="24"/>
          <w:shd w:val="clear" w:color="auto" w:fill="FFFFFF"/>
        </w:rPr>
        <w:t xml:space="preserve">, M. (2020). Accelerating Islamic charities in Indonesia: zakat, </w:t>
      </w:r>
      <w:proofErr w:type="spellStart"/>
      <w:r w:rsidRPr="00E31221">
        <w:rPr>
          <w:rFonts w:cstheme="minorHAnsi"/>
          <w:color w:val="000000" w:themeColor="text1"/>
          <w:sz w:val="24"/>
          <w:szCs w:val="24"/>
          <w:shd w:val="clear" w:color="auto" w:fill="FFFFFF"/>
        </w:rPr>
        <w:t>sedekah</w:t>
      </w:r>
      <w:proofErr w:type="spellEnd"/>
      <w:r w:rsidRPr="00E31221">
        <w:rPr>
          <w:rFonts w:cstheme="minorHAnsi"/>
          <w:color w:val="000000" w:themeColor="text1"/>
          <w:sz w:val="24"/>
          <w:szCs w:val="24"/>
          <w:shd w:val="clear" w:color="auto" w:fill="FFFFFF"/>
        </w:rPr>
        <w:t xml:space="preserve"> and the immediacy of social media. </w:t>
      </w:r>
      <w:r w:rsidRPr="00E31221">
        <w:rPr>
          <w:rFonts w:cstheme="minorHAnsi"/>
          <w:i/>
          <w:iCs/>
          <w:color w:val="000000" w:themeColor="text1"/>
          <w:sz w:val="24"/>
          <w:szCs w:val="24"/>
          <w:shd w:val="clear" w:color="auto" w:fill="FFFFFF"/>
        </w:rPr>
        <w:t>South East Asia Research</w:t>
      </w:r>
      <w:r w:rsidRPr="00E31221">
        <w:rPr>
          <w:rFonts w:cstheme="minorHAnsi"/>
          <w:color w:val="000000" w:themeColor="text1"/>
          <w:sz w:val="24"/>
          <w:szCs w:val="24"/>
          <w:shd w:val="clear" w:color="auto" w:fill="FFFFFF"/>
        </w:rPr>
        <w:t>, </w:t>
      </w:r>
      <w:r w:rsidRPr="00E31221">
        <w:rPr>
          <w:rFonts w:cstheme="minorHAnsi"/>
          <w:i/>
          <w:iCs/>
          <w:color w:val="000000" w:themeColor="text1"/>
          <w:sz w:val="24"/>
          <w:szCs w:val="24"/>
          <w:shd w:val="clear" w:color="auto" w:fill="FFFFFF"/>
        </w:rPr>
        <w:t>28</w:t>
      </w:r>
      <w:r w:rsidRPr="00E31221">
        <w:rPr>
          <w:rFonts w:cstheme="minorHAnsi"/>
          <w:color w:val="000000" w:themeColor="text1"/>
          <w:sz w:val="24"/>
          <w:szCs w:val="24"/>
          <w:shd w:val="clear" w:color="auto" w:fill="FFFFFF"/>
        </w:rPr>
        <w:t>(1), 70-86.</w:t>
      </w:r>
    </w:p>
    <w:p w14:paraId="2DE4B1CF"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cstheme="minorHAnsi"/>
          <w:color w:val="000000" w:themeColor="text1"/>
          <w:sz w:val="24"/>
          <w:szCs w:val="24"/>
          <w:shd w:val="clear" w:color="auto" w:fill="FFFFFF"/>
        </w:rPr>
        <w:lastRenderedPageBreak/>
        <w:t>Kuriakose, D., and Xiao, Z. (2020). Pathophysiology and treatment of stroke: present status and future perspectives. </w:t>
      </w:r>
      <w:r w:rsidRPr="00E31221">
        <w:rPr>
          <w:rFonts w:cstheme="minorHAnsi"/>
          <w:i/>
          <w:iCs/>
          <w:color w:val="000000" w:themeColor="text1"/>
          <w:sz w:val="24"/>
          <w:szCs w:val="24"/>
          <w:shd w:val="clear" w:color="auto" w:fill="FFFFFF"/>
        </w:rPr>
        <w:t>International journal of molecular sciences</w:t>
      </w:r>
      <w:r w:rsidRPr="00E31221">
        <w:rPr>
          <w:rFonts w:cstheme="minorHAnsi"/>
          <w:color w:val="000000" w:themeColor="text1"/>
          <w:sz w:val="24"/>
          <w:szCs w:val="24"/>
          <w:shd w:val="clear" w:color="auto" w:fill="FFFFFF"/>
        </w:rPr>
        <w:t>, </w:t>
      </w:r>
      <w:r w:rsidRPr="00E31221">
        <w:rPr>
          <w:rFonts w:cstheme="minorHAnsi"/>
          <w:i/>
          <w:iCs/>
          <w:color w:val="000000" w:themeColor="text1"/>
          <w:sz w:val="24"/>
          <w:szCs w:val="24"/>
          <w:shd w:val="clear" w:color="auto" w:fill="FFFFFF"/>
        </w:rPr>
        <w:t>21</w:t>
      </w:r>
      <w:r w:rsidRPr="00E31221">
        <w:rPr>
          <w:rFonts w:cstheme="minorHAnsi"/>
          <w:color w:val="000000" w:themeColor="text1"/>
          <w:sz w:val="24"/>
          <w:szCs w:val="24"/>
          <w:shd w:val="clear" w:color="auto" w:fill="FFFFFF"/>
        </w:rPr>
        <w:t>(20), 7609.</w:t>
      </w:r>
    </w:p>
    <w:p w14:paraId="3986115D" w14:textId="77777777" w:rsidR="00D4559E" w:rsidRPr="00E31221" w:rsidRDefault="00D4559E" w:rsidP="00D4559E">
      <w:pPr>
        <w:tabs>
          <w:tab w:val="left" w:pos="1306"/>
        </w:tabs>
        <w:spacing w:line="360" w:lineRule="auto"/>
        <w:jc w:val="both"/>
        <w:rPr>
          <w:rFonts w:eastAsia="Calibri" w:cstheme="minorHAnsi"/>
          <w:color w:val="000000" w:themeColor="text1"/>
          <w:sz w:val="24"/>
          <w:szCs w:val="24"/>
          <w:lang w:val="en-GB"/>
        </w:rPr>
      </w:pPr>
      <w:r w:rsidRPr="00E31221">
        <w:rPr>
          <w:rFonts w:cstheme="minorHAnsi"/>
          <w:color w:val="000000" w:themeColor="text1"/>
          <w:sz w:val="24"/>
          <w:szCs w:val="24"/>
          <w:shd w:val="clear" w:color="auto" w:fill="FFFFFF"/>
        </w:rPr>
        <w:t>Lucas, E. (2017). Reinventing the rattling tin: How UK charities use Facebook in fundraising. </w:t>
      </w:r>
      <w:r w:rsidRPr="00E31221">
        <w:rPr>
          <w:rFonts w:cstheme="minorHAnsi"/>
          <w:i/>
          <w:iCs/>
          <w:color w:val="000000" w:themeColor="text1"/>
          <w:sz w:val="24"/>
          <w:szCs w:val="24"/>
          <w:shd w:val="clear" w:color="auto" w:fill="FFFFFF"/>
        </w:rPr>
        <w:t>International Journal of Nonprofit and Voluntary Sector Marketing</w:t>
      </w:r>
      <w:r w:rsidRPr="00E31221">
        <w:rPr>
          <w:rFonts w:cstheme="minorHAnsi"/>
          <w:color w:val="000000" w:themeColor="text1"/>
          <w:sz w:val="24"/>
          <w:szCs w:val="24"/>
          <w:shd w:val="clear" w:color="auto" w:fill="FFFFFF"/>
        </w:rPr>
        <w:t>, </w:t>
      </w:r>
      <w:r w:rsidRPr="00E31221">
        <w:rPr>
          <w:rFonts w:cstheme="minorHAnsi"/>
          <w:i/>
          <w:iCs/>
          <w:color w:val="000000" w:themeColor="text1"/>
          <w:sz w:val="24"/>
          <w:szCs w:val="24"/>
          <w:shd w:val="clear" w:color="auto" w:fill="FFFFFF"/>
        </w:rPr>
        <w:t>22</w:t>
      </w:r>
      <w:r w:rsidRPr="00E31221">
        <w:rPr>
          <w:rFonts w:cstheme="minorHAnsi"/>
          <w:color w:val="000000" w:themeColor="text1"/>
          <w:sz w:val="24"/>
          <w:szCs w:val="24"/>
          <w:shd w:val="clear" w:color="auto" w:fill="FFFFFF"/>
        </w:rPr>
        <w:t>(2), e1576.</w:t>
      </w:r>
    </w:p>
    <w:p w14:paraId="6754FB58" w14:textId="77777777" w:rsidR="00D4559E" w:rsidRPr="00E31221" w:rsidRDefault="00D4559E" w:rsidP="00D4559E">
      <w:pPr>
        <w:spacing w:line="360" w:lineRule="auto"/>
        <w:jc w:val="both"/>
        <w:rPr>
          <w:rFonts w:cstheme="minorHAnsi"/>
          <w:color w:val="000000" w:themeColor="text1"/>
          <w:sz w:val="24"/>
          <w:szCs w:val="24"/>
          <w:shd w:val="clear" w:color="auto" w:fill="FFFFFF"/>
        </w:rPr>
      </w:pPr>
      <w:r w:rsidRPr="00E31221">
        <w:rPr>
          <w:rFonts w:cstheme="minorHAnsi"/>
          <w:color w:val="000000" w:themeColor="text1"/>
          <w:sz w:val="24"/>
          <w:szCs w:val="24"/>
          <w:shd w:val="clear" w:color="auto" w:fill="FFFFFF"/>
        </w:rPr>
        <w:t>Smith, W. (2021). Community Insights and Inspiring Change: Fighting Oral Health Inequalities in the UK. </w:t>
      </w:r>
      <w:r w:rsidRPr="00E31221">
        <w:rPr>
          <w:rFonts w:cstheme="minorHAnsi"/>
          <w:i/>
          <w:iCs/>
          <w:color w:val="000000" w:themeColor="text1"/>
          <w:sz w:val="24"/>
          <w:szCs w:val="24"/>
          <w:shd w:val="clear" w:color="auto" w:fill="FFFFFF"/>
        </w:rPr>
        <w:t>Primary Dental Journal</w:t>
      </w:r>
      <w:r w:rsidRPr="00E31221">
        <w:rPr>
          <w:rFonts w:cstheme="minorHAnsi"/>
          <w:color w:val="000000" w:themeColor="text1"/>
          <w:sz w:val="24"/>
          <w:szCs w:val="24"/>
          <w:shd w:val="clear" w:color="auto" w:fill="FFFFFF"/>
        </w:rPr>
        <w:t>, </w:t>
      </w:r>
      <w:r w:rsidRPr="00E31221">
        <w:rPr>
          <w:rFonts w:cstheme="minorHAnsi"/>
          <w:i/>
          <w:iCs/>
          <w:color w:val="000000" w:themeColor="text1"/>
          <w:sz w:val="24"/>
          <w:szCs w:val="24"/>
          <w:shd w:val="clear" w:color="auto" w:fill="FFFFFF"/>
        </w:rPr>
        <w:t>10</w:t>
      </w:r>
      <w:r w:rsidRPr="00E31221">
        <w:rPr>
          <w:rFonts w:cstheme="minorHAnsi"/>
          <w:color w:val="000000" w:themeColor="text1"/>
          <w:sz w:val="24"/>
          <w:szCs w:val="24"/>
          <w:shd w:val="clear" w:color="auto" w:fill="FFFFFF"/>
        </w:rPr>
        <w:t>(2), 37-39.</w:t>
      </w:r>
    </w:p>
    <w:p w14:paraId="423B41A6" w14:textId="77777777" w:rsidR="00D4559E" w:rsidRPr="00E31221" w:rsidRDefault="00D4559E" w:rsidP="00D4559E">
      <w:pPr>
        <w:spacing w:line="360" w:lineRule="auto"/>
        <w:jc w:val="both"/>
        <w:rPr>
          <w:rFonts w:cstheme="minorHAnsi"/>
          <w:color w:val="000000" w:themeColor="text1"/>
          <w:sz w:val="24"/>
          <w:szCs w:val="24"/>
        </w:rPr>
      </w:pPr>
      <w:r w:rsidRPr="00E31221">
        <w:rPr>
          <w:rFonts w:cstheme="minorHAnsi"/>
          <w:color w:val="000000" w:themeColor="text1"/>
          <w:sz w:val="24"/>
          <w:szCs w:val="24"/>
        </w:rPr>
        <w:t xml:space="preserve">Stroke, (2021) </w:t>
      </w:r>
      <w:r w:rsidRPr="00E31221">
        <w:rPr>
          <w:rFonts w:cstheme="minorHAnsi"/>
          <w:i/>
          <w:color w:val="000000" w:themeColor="text1"/>
          <w:sz w:val="24"/>
          <w:szCs w:val="24"/>
        </w:rPr>
        <w:t xml:space="preserve">NHS England Long Term Plan and the National Stroke </w:t>
      </w:r>
      <w:proofErr w:type="spellStart"/>
      <w:r w:rsidRPr="00E31221">
        <w:rPr>
          <w:rFonts w:cstheme="minorHAnsi"/>
          <w:i/>
          <w:color w:val="000000" w:themeColor="text1"/>
          <w:sz w:val="24"/>
          <w:szCs w:val="24"/>
        </w:rPr>
        <w:t>Programme</w:t>
      </w:r>
      <w:proofErr w:type="spellEnd"/>
      <w:r w:rsidRPr="00E31221">
        <w:rPr>
          <w:rFonts w:cstheme="minorHAnsi"/>
          <w:i/>
          <w:color w:val="000000" w:themeColor="text1"/>
          <w:sz w:val="24"/>
          <w:szCs w:val="24"/>
        </w:rPr>
        <w:t xml:space="preserve"> </w:t>
      </w:r>
      <w:r w:rsidRPr="00E31221">
        <w:rPr>
          <w:rFonts w:cstheme="minorHAnsi"/>
          <w:color w:val="000000" w:themeColor="text1"/>
          <w:sz w:val="24"/>
          <w:szCs w:val="24"/>
        </w:rPr>
        <w:t>(Online)Available at https://www.stroke.org.uk/get-involved/campaigning/nhs-long-term-plan (Last accessed on 24 Aug. 21)</w:t>
      </w:r>
    </w:p>
    <w:p w14:paraId="76525F9C" w14:textId="77777777" w:rsidR="00D4559E" w:rsidRPr="00E31221" w:rsidRDefault="00D4559E" w:rsidP="00D4559E">
      <w:pPr>
        <w:rPr>
          <w:lang w:val="en-GB"/>
        </w:rPr>
      </w:pPr>
    </w:p>
    <w:p w14:paraId="512AC980" w14:textId="77777777" w:rsidR="00D4559E" w:rsidRPr="002746A4" w:rsidRDefault="00D4559E" w:rsidP="00D4559E">
      <w:pPr>
        <w:rPr>
          <w:b/>
          <w:i/>
          <w:sz w:val="24"/>
          <w:szCs w:val="24"/>
        </w:rPr>
      </w:pPr>
    </w:p>
    <w:p w14:paraId="718107A4" w14:textId="77777777" w:rsidR="00D4559E" w:rsidRPr="00C87D00" w:rsidRDefault="00D4559E" w:rsidP="00D4559E">
      <w:pPr>
        <w:tabs>
          <w:tab w:val="left" w:pos="1306"/>
        </w:tabs>
        <w:spacing w:line="360" w:lineRule="auto"/>
        <w:jc w:val="both"/>
        <w:rPr>
          <w:rFonts w:ascii="Times New Roman" w:hAnsi="Times New Roman" w:cs="Times New Roman"/>
          <w:sz w:val="24"/>
        </w:rPr>
      </w:pPr>
    </w:p>
    <w:p w14:paraId="7E0F1E1A" w14:textId="77777777" w:rsidR="00D4559E" w:rsidRPr="00A40F83" w:rsidRDefault="00D4559E" w:rsidP="00D4559E">
      <w:pPr>
        <w:rPr>
          <w:lang w:val="en-GB"/>
        </w:rPr>
      </w:pPr>
    </w:p>
    <w:p w14:paraId="2502D1A5" w14:textId="77777777" w:rsidR="00D4559E" w:rsidRPr="004D0662" w:rsidRDefault="00D4559E" w:rsidP="00D4559E">
      <w:pPr>
        <w:pStyle w:val="Heading1"/>
        <w:spacing w:line="360" w:lineRule="auto"/>
        <w:jc w:val="both"/>
        <w:rPr>
          <w:lang w:val="en-GB"/>
        </w:rPr>
      </w:pPr>
      <w:r>
        <w:rPr>
          <w:lang w:val="en-GB"/>
        </w:rPr>
        <w:t xml:space="preserve">        </w:t>
      </w:r>
      <w:r w:rsidRPr="004D0662">
        <w:rPr>
          <w:lang w:val="en-GB"/>
        </w:rPr>
        <w:t xml:space="preserve">   </w:t>
      </w:r>
    </w:p>
    <w:p w14:paraId="783166B4" w14:textId="77777777" w:rsidR="00D4559E" w:rsidRPr="003C6EFB" w:rsidRDefault="00D4559E" w:rsidP="00D4559E">
      <w:pPr>
        <w:pStyle w:val="Heading1"/>
        <w:spacing w:line="360" w:lineRule="auto"/>
        <w:jc w:val="both"/>
        <w:rPr>
          <w:lang w:val="en-GB"/>
        </w:rPr>
      </w:pPr>
      <w:r w:rsidRPr="003C6EFB">
        <w:rPr>
          <w:lang w:val="en-GB"/>
        </w:rPr>
        <w:t xml:space="preserve"> </w:t>
      </w:r>
    </w:p>
    <w:p w14:paraId="1A3DF756" w14:textId="77777777" w:rsidR="00D4559E" w:rsidRPr="003C6EFB" w:rsidRDefault="00D4559E" w:rsidP="00D4559E">
      <w:pPr>
        <w:rPr>
          <w:lang w:val="en-GB"/>
        </w:rPr>
      </w:pPr>
    </w:p>
    <w:p w14:paraId="159425D3" w14:textId="77777777" w:rsidR="00E26EA6" w:rsidRDefault="00E26EA6"/>
    <w:sectPr w:rsidR="00E26EA6" w:rsidSect="00196E4E">
      <w:footerReference w:type="default" r:id="rId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0391"/>
      <w:docPartObj>
        <w:docPartGallery w:val="Page Numbers (Bottom of Page)"/>
        <w:docPartUnique/>
      </w:docPartObj>
    </w:sdtPr>
    <w:sdtEndPr/>
    <w:sdtContent>
      <w:p w14:paraId="4276F95A" w14:textId="77777777" w:rsidR="00A40F83" w:rsidRDefault="00D4559E">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6948BB1F" w14:textId="77777777" w:rsidR="00A40F83" w:rsidRDefault="00D4559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054AF"/>
    <w:multiLevelType w:val="hybridMultilevel"/>
    <w:tmpl w:val="0D8E68EE"/>
    <w:lvl w:ilvl="0" w:tplc="ABB4AA0C">
      <w:start w:val="1"/>
      <w:numFmt w:val="bullet"/>
      <w:lvlText w:val=""/>
      <w:lvlJc w:val="left"/>
      <w:pPr>
        <w:ind w:left="720" w:hanging="360"/>
      </w:pPr>
      <w:rPr>
        <w:rFonts w:ascii="Symbol" w:hAnsi="Symbol" w:hint="default"/>
      </w:rPr>
    </w:lvl>
    <w:lvl w:ilvl="1" w:tplc="09A69DF0" w:tentative="1">
      <w:start w:val="1"/>
      <w:numFmt w:val="bullet"/>
      <w:lvlText w:val="o"/>
      <w:lvlJc w:val="left"/>
      <w:pPr>
        <w:ind w:left="1440" w:hanging="360"/>
      </w:pPr>
      <w:rPr>
        <w:rFonts w:ascii="Courier New" w:hAnsi="Courier New" w:cs="Courier New" w:hint="default"/>
      </w:rPr>
    </w:lvl>
    <w:lvl w:ilvl="2" w:tplc="88E2B044" w:tentative="1">
      <w:start w:val="1"/>
      <w:numFmt w:val="bullet"/>
      <w:lvlText w:val=""/>
      <w:lvlJc w:val="left"/>
      <w:pPr>
        <w:ind w:left="2160" w:hanging="360"/>
      </w:pPr>
      <w:rPr>
        <w:rFonts w:ascii="Wingdings" w:hAnsi="Wingdings" w:hint="default"/>
      </w:rPr>
    </w:lvl>
    <w:lvl w:ilvl="3" w:tplc="BDEA63FC" w:tentative="1">
      <w:start w:val="1"/>
      <w:numFmt w:val="bullet"/>
      <w:lvlText w:val=""/>
      <w:lvlJc w:val="left"/>
      <w:pPr>
        <w:ind w:left="2880" w:hanging="360"/>
      </w:pPr>
      <w:rPr>
        <w:rFonts w:ascii="Symbol" w:hAnsi="Symbol" w:hint="default"/>
      </w:rPr>
    </w:lvl>
    <w:lvl w:ilvl="4" w:tplc="4C524902" w:tentative="1">
      <w:start w:val="1"/>
      <w:numFmt w:val="bullet"/>
      <w:lvlText w:val="o"/>
      <w:lvlJc w:val="left"/>
      <w:pPr>
        <w:ind w:left="3600" w:hanging="360"/>
      </w:pPr>
      <w:rPr>
        <w:rFonts w:ascii="Courier New" w:hAnsi="Courier New" w:cs="Courier New" w:hint="default"/>
      </w:rPr>
    </w:lvl>
    <w:lvl w:ilvl="5" w:tplc="260AD510" w:tentative="1">
      <w:start w:val="1"/>
      <w:numFmt w:val="bullet"/>
      <w:lvlText w:val=""/>
      <w:lvlJc w:val="left"/>
      <w:pPr>
        <w:ind w:left="4320" w:hanging="360"/>
      </w:pPr>
      <w:rPr>
        <w:rFonts w:ascii="Wingdings" w:hAnsi="Wingdings" w:hint="default"/>
      </w:rPr>
    </w:lvl>
    <w:lvl w:ilvl="6" w:tplc="81F86434" w:tentative="1">
      <w:start w:val="1"/>
      <w:numFmt w:val="bullet"/>
      <w:lvlText w:val=""/>
      <w:lvlJc w:val="left"/>
      <w:pPr>
        <w:ind w:left="5040" w:hanging="360"/>
      </w:pPr>
      <w:rPr>
        <w:rFonts w:ascii="Symbol" w:hAnsi="Symbol" w:hint="default"/>
      </w:rPr>
    </w:lvl>
    <w:lvl w:ilvl="7" w:tplc="764A8882" w:tentative="1">
      <w:start w:val="1"/>
      <w:numFmt w:val="bullet"/>
      <w:lvlText w:val="o"/>
      <w:lvlJc w:val="left"/>
      <w:pPr>
        <w:ind w:left="5760" w:hanging="360"/>
      </w:pPr>
      <w:rPr>
        <w:rFonts w:ascii="Courier New" w:hAnsi="Courier New" w:cs="Courier New" w:hint="default"/>
      </w:rPr>
    </w:lvl>
    <w:lvl w:ilvl="8" w:tplc="74C4EC64" w:tentative="1">
      <w:start w:val="1"/>
      <w:numFmt w:val="bullet"/>
      <w:lvlText w:val=""/>
      <w:lvlJc w:val="left"/>
      <w:pPr>
        <w:ind w:left="6480" w:hanging="360"/>
      </w:pPr>
      <w:rPr>
        <w:rFonts w:ascii="Wingdings" w:hAnsi="Wingdings" w:hint="default"/>
      </w:rPr>
    </w:lvl>
  </w:abstractNum>
  <w:abstractNum w:abstractNumId="1" w15:restartNumberingAfterBreak="0">
    <w:nsid w:val="44471C47"/>
    <w:multiLevelType w:val="hybridMultilevel"/>
    <w:tmpl w:val="2E56116C"/>
    <w:lvl w:ilvl="0" w:tplc="2BA836F2">
      <w:start w:val="1"/>
      <w:numFmt w:val="bullet"/>
      <w:lvlText w:val=""/>
      <w:lvlJc w:val="left"/>
      <w:pPr>
        <w:ind w:left="720" w:hanging="360"/>
      </w:pPr>
      <w:rPr>
        <w:rFonts w:ascii="Symbol" w:hAnsi="Symbol" w:hint="default"/>
      </w:rPr>
    </w:lvl>
    <w:lvl w:ilvl="1" w:tplc="4DFA0950" w:tentative="1">
      <w:start w:val="1"/>
      <w:numFmt w:val="bullet"/>
      <w:lvlText w:val="o"/>
      <w:lvlJc w:val="left"/>
      <w:pPr>
        <w:ind w:left="1440" w:hanging="360"/>
      </w:pPr>
      <w:rPr>
        <w:rFonts w:ascii="Courier New" w:hAnsi="Courier New" w:cs="Courier New" w:hint="default"/>
      </w:rPr>
    </w:lvl>
    <w:lvl w:ilvl="2" w:tplc="AC20B3EC" w:tentative="1">
      <w:start w:val="1"/>
      <w:numFmt w:val="bullet"/>
      <w:lvlText w:val=""/>
      <w:lvlJc w:val="left"/>
      <w:pPr>
        <w:ind w:left="2160" w:hanging="360"/>
      </w:pPr>
      <w:rPr>
        <w:rFonts w:ascii="Wingdings" w:hAnsi="Wingdings" w:hint="default"/>
      </w:rPr>
    </w:lvl>
    <w:lvl w:ilvl="3" w:tplc="FE78D8E4" w:tentative="1">
      <w:start w:val="1"/>
      <w:numFmt w:val="bullet"/>
      <w:lvlText w:val=""/>
      <w:lvlJc w:val="left"/>
      <w:pPr>
        <w:ind w:left="2880" w:hanging="360"/>
      </w:pPr>
      <w:rPr>
        <w:rFonts w:ascii="Symbol" w:hAnsi="Symbol" w:hint="default"/>
      </w:rPr>
    </w:lvl>
    <w:lvl w:ilvl="4" w:tplc="2A1A880E" w:tentative="1">
      <w:start w:val="1"/>
      <w:numFmt w:val="bullet"/>
      <w:lvlText w:val="o"/>
      <w:lvlJc w:val="left"/>
      <w:pPr>
        <w:ind w:left="3600" w:hanging="360"/>
      </w:pPr>
      <w:rPr>
        <w:rFonts w:ascii="Courier New" w:hAnsi="Courier New" w:cs="Courier New" w:hint="default"/>
      </w:rPr>
    </w:lvl>
    <w:lvl w:ilvl="5" w:tplc="E2927D94" w:tentative="1">
      <w:start w:val="1"/>
      <w:numFmt w:val="bullet"/>
      <w:lvlText w:val=""/>
      <w:lvlJc w:val="left"/>
      <w:pPr>
        <w:ind w:left="4320" w:hanging="360"/>
      </w:pPr>
      <w:rPr>
        <w:rFonts w:ascii="Wingdings" w:hAnsi="Wingdings" w:hint="default"/>
      </w:rPr>
    </w:lvl>
    <w:lvl w:ilvl="6" w:tplc="F84E8484" w:tentative="1">
      <w:start w:val="1"/>
      <w:numFmt w:val="bullet"/>
      <w:lvlText w:val=""/>
      <w:lvlJc w:val="left"/>
      <w:pPr>
        <w:ind w:left="5040" w:hanging="360"/>
      </w:pPr>
      <w:rPr>
        <w:rFonts w:ascii="Symbol" w:hAnsi="Symbol" w:hint="default"/>
      </w:rPr>
    </w:lvl>
    <w:lvl w:ilvl="7" w:tplc="30663FFE" w:tentative="1">
      <w:start w:val="1"/>
      <w:numFmt w:val="bullet"/>
      <w:lvlText w:val="o"/>
      <w:lvlJc w:val="left"/>
      <w:pPr>
        <w:ind w:left="5760" w:hanging="360"/>
      </w:pPr>
      <w:rPr>
        <w:rFonts w:ascii="Courier New" w:hAnsi="Courier New" w:cs="Courier New" w:hint="default"/>
      </w:rPr>
    </w:lvl>
    <w:lvl w:ilvl="8" w:tplc="6AB66932" w:tentative="1">
      <w:start w:val="1"/>
      <w:numFmt w:val="bullet"/>
      <w:lvlText w:val=""/>
      <w:lvlJc w:val="left"/>
      <w:pPr>
        <w:ind w:left="6480" w:hanging="360"/>
      </w:pPr>
      <w:rPr>
        <w:rFonts w:ascii="Wingdings" w:hAnsi="Wingdings" w:hint="default"/>
      </w:rPr>
    </w:lvl>
  </w:abstractNum>
  <w:abstractNum w:abstractNumId="2" w15:restartNumberingAfterBreak="0">
    <w:nsid w:val="5143311F"/>
    <w:multiLevelType w:val="hybridMultilevel"/>
    <w:tmpl w:val="4080C978"/>
    <w:lvl w:ilvl="0" w:tplc="435EC4C0">
      <w:start w:val="1"/>
      <w:numFmt w:val="bullet"/>
      <w:lvlText w:val=""/>
      <w:lvlJc w:val="left"/>
      <w:pPr>
        <w:ind w:left="720" w:hanging="360"/>
      </w:pPr>
      <w:rPr>
        <w:rFonts w:ascii="Symbol" w:hAnsi="Symbol" w:hint="default"/>
      </w:rPr>
    </w:lvl>
    <w:lvl w:ilvl="1" w:tplc="AAC26330" w:tentative="1">
      <w:start w:val="1"/>
      <w:numFmt w:val="bullet"/>
      <w:lvlText w:val="o"/>
      <w:lvlJc w:val="left"/>
      <w:pPr>
        <w:ind w:left="1440" w:hanging="360"/>
      </w:pPr>
      <w:rPr>
        <w:rFonts w:ascii="Courier New" w:hAnsi="Courier New" w:cs="Courier New" w:hint="default"/>
      </w:rPr>
    </w:lvl>
    <w:lvl w:ilvl="2" w:tplc="98EE7380" w:tentative="1">
      <w:start w:val="1"/>
      <w:numFmt w:val="bullet"/>
      <w:lvlText w:val=""/>
      <w:lvlJc w:val="left"/>
      <w:pPr>
        <w:ind w:left="2160" w:hanging="360"/>
      </w:pPr>
      <w:rPr>
        <w:rFonts w:ascii="Wingdings" w:hAnsi="Wingdings" w:hint="default"/>
      </w:rPr>
    </w:lvl>
    <w:lvl w:ilvl="3" w:tplc="63760D82" w:tentative="1">
      <w:start w:val="1"/>
      <w:numFmt w:val="bullet"/>
      <w:lvlText w:val=""/>
      <w:lvlJc w:val="left"/>
      <w:pPr>
        <w:ind w:left="2880" w:hanging="360"/>
      </w:pPr>
      <w:rPr>
        <w:rFonts w:ascii="Symbol" w:hAnsi="Symbol" w:hint="default"/>
      </w:rPr>
    </w:lvl>
    <w:lvl w:ilvl="4" w:tplc="9ACE35D0" w:tentative="1">
      <w:start w:val="1"/>
      <w:numFmt w:val="bullet"/>
      <w:lvlText w:val="o"/>
      <w:lvlJc w:val="left"/>
      <w:pPr>
        <w:ind w:left="3600" w:hanging="360"/>
      </w:pPr>
      <w:rPr>
        <w:rFonts w:ascii="Courier New" w:hAnsi="Courier New" w:cs="Courier New" w:hint="default"/>
      </w:rPr>
    </w:lvl>
    <w:lvl w:ilvl="5" w:tplc="C9960D14" w:tentative="1">
      <w:start w:val="1"/>
      <w:numFmt w:val="bullet"/>
      <w:lvlText w:val=""/>
      <w:lvlJc w:val="left"/>
      <w:pPr>
        <w:ind w:left="4320" w:hanging="360"/>
      </w:pPr>
      <w:rPr>
        <w:rFonts w:ascii="Wingdings" w:hAnsi="Wingdings" w:hint="default"/>
      </w:rPr>
    </w:lvl>
    <w:lvl w:ilvl="6" w:tplc="007CFBD6" w:tentative="1">
      <w:start w:val="1"/>
      <w:numFmt w:val="bullet"/>
      <w:lvlText w:val=""/>
      <w:lvlJc w:val="left"/>
      <w:pPr>
        <w:ind w:left="5040" w:hanging="360"/>
      </w:pPr>
      <w:rPr>
        <w:rFonts w:ascii="Symbol" w:hAnsi="Symbol" w:hint="default"/>
      </w:rPr>
    </w:lvl>
    <w:lvl w:ilvl="7" w:tplc="D1B46C5C" w:tentative="1">
      <w:start w:val="1"/>
      <w:numFmt w:val="bullet"/>
      <w:lvlText w:val="o"/>
      <w:lvlJc w:val="left"/>
      <w:pPr>
        <w:ind w:left="5760" w:hanging="360"/>
      </w:pPr>
      <w:rPr>
        <w:rFonts w:ascii="Courier New" w:hAnsi="Courier New" w:cs="Courier New" w:hint="default"/>
      </w:rPr>
    </w:lvl>
    <w:lvl w:ilvl="8" w:tplc="657E2E08" w:tentative="1">
      <w:start w:val="1"/>
      <w:numFmt w:val="bullet"/>
      <w:lvlText w:val=""/>
      <w:lvlJc w:val="left"/>
      <w:pPr>
        <w:ind w:left="6480" w:hanging="360"/>
      </w:pPr>
      <w:rPr>
        <w:rFonts w:ascii="Wingdings" w:hAnsi="Wingdings" w:hint="default"/>
      </w:rPr>
    </w:lvl>
  </w:abstractNum>
  <w:abstractNum w:abstractNumId="3" w15:restartNumberingAfterBreak="0">
    <w:nsid w:val="60711163"/>
    <w:multiLevelType w:val="hybridMultilevel"/>
    <w:tmpl w:val="4BF8DC22"/>
    <w:lvl w:ilvl="0" w:tplc="D0CEEE76">
      <w:start w:val="1"/>
      <w:numFmt w:val="bullet"/>
      <w:lvlText w:val=""/>
      <w:lvlJc w:val="left"/>
      <w:pPr>
        <w:ind w:left="720" w:hanging="360"/>
      </w:pPr>
      <w:rPr>
        <w:rFonts w:ascii="Symbol" w:hAnsi="Symbol" w:hint="default"/>
      </w:rPr>
    </w:lvl>
    <w:lvl w:ilvl="1" w:tplc="B02E5F82" w:tentative="1">
      <w:start w:val="1"/>
      <w:numFmt w:val="bullet"/>
      <w:lvlText w:val="o"/>
      <w:lvlJc w:val="left"/>
      <w:pPr>
        <w:ind w:left="1440" w:hanging="360"/>
      </w:pPr>
      <w:rPr>
        <w:rFonts w:ascii="Courier New" w:hAnsi="Courier New" w:cs="Courier New" w:hint="default"/>
      </w:rPr>
    </w:lvl>
    <w:lvl w:ilvl="2" w:tplc="6652B22C" w:tentative="1">
      <w:start w:val="1"/>
      <w:numFmt w:val="bullet"/>
      <w:lvlText w:val=""/>
      <w:lvlJc w:val="left"/>
      <w:pPr>
        <w:ind w:left="2160" w:hanging="360"/>
      </w:pPr>
      <w:rPr>
        <w:rFonts w:ascii="Wingdings" w:hAnsi="Wingdings" w:hint="default"/>
      </w:rPr>
    </w:lvl>
    <w:lvl w:ilvl="3" w:tplc="DA1857F4" w:tentative="1">
      <w:start w:val="1"/>
      <w:numFmt w:val="bullet"/>
      <w:lvlText w:val=""/>
      <w:lvlJc w:val="left"/>
      <w:pPr>
        <w:ind w:left="2880" w:hanging="360"/>
      </w:pPr>
      <w:rPr>
        <w:rFonts w:ascii="Symbol" w:hAnsi="Symbol" w:hint="default"/>
      </w:rPr>
    </w:lvl>
    <w:lvl w:ilvl="4" w:tplc="A80C579E" w:tentative="1">
      <w:start w:val="1"/>
      <w:numFmt w:val="bullet"/>
      <w:lvlText w:val="o"/>
      <w:lvlJc w:val="left"/>
      <w:pPr>
        <w:ind w:left="3600" w:hanging="360"/>
      </w:pPr>
      <w:rPr>
        <w:rFonts w:ascii="Courier New" w:hAnsi="Courier New" w:cs="Courier New" w:hint="default"/>
      </w:rPr>
    </w:lvl>
    <w:lvl w:ilvl="5" w:tplc="D65AFD50" w:tentative="1">
      <w:start w:val="1"/>
      <w:numFmt w:val="bullet"/>
      <w:lvlText w:val=""/>
      <w:lvlJc w:val="left"/>
      <w:pPr>
        <w:ind w:left="4320" w:hanging="360"/>
      </w:pPr>
      <w:rPr>
        <w:rFonts w:ascii="Wingdings" w:hAnsi="Wingdings" w:hint="default"/>
      </w:rPr>
    </w:lvl>
    <w:lvl w:ilvl="6" w:tplc="ACBA0386" w:tentative="1">
      <w:start w:val="1"/>
      <w:numFmt w:val="bullet"/>
      <w:lvlText w:val=""/>
      <w:lvlJc w:val="left"/>
      <w:pPr>
        <w:ind w:left="5040" w:hanging="360"/>
      </w:pPr>
      <w:rPr>
        <w:rFonts w:ascii="Symbol" w:hAnsi="Symbol" w:hint="default"/>
      </w:rPr>
    </w:lvl>
    <w:lvl w:ilvl="7" w:tplc="73C83174" w:tentative="1">
      <w:start w:val="1"/>
      <w:numFmt w:val="bullet"/>
      <w:lvlText w:val="o"/>
      <w:lvlJc w:val="left"/>
      <w:pPr>
        <w:ind w:left="5760" w:hanging="360"/>
      </w:pPr>
      <w:rPr>
        <w:rFonts w:ascii="Courier New" w:hAnsi="Courier New" w:cs="Courier New" w:hint="default"/>
      </w:rPr>
    </w:lvl>
    <w:lvl w:ilvl="8" w:tplc="9B12A3EC" w:tentative="1">
      <w:start w:val="1"/>
      <w:numFmt w:val="bullet"/>
      <w:lvlText w:val=""/>
      <w:lvlJc w:val="left"/>
      <w:pPr>
        <w:ind w:left="6480" w:hanging="360"/>
      </w:pPr>
      <w:rPr>
        <w:rFonts w:ascii="Wingdings" w:hAnsi="Wingdings" w:hint="default"/>
      </w:rPr>
    </w:lvl>
  </w:abstractNum>
  <w:abstractNum w:abstractNumId="4" w15:restartNumberingAfterBreak="0">
    <w:nsid w:val="73F2541C"/>
    <w:multiLevelType w:val="hybridMultilevel"/>
    <w:tmpl w:val="000AFA5C"/>
    <w:lvl w:ilvl="0" w:tplc="322E8946">
      <w:start w:val="1"/>
      <w:numFmt w:val="decimal"/>
      <w:lvlText w:val="%1."/>
      <w:lvlJc w:val="left"/>
      <w:pPr>
        <w:ind w:left="720" w:hanging="360"/>
      </w:pPr>
      <w:rPr>
        <w:rFonts w:hint="default"/>
      </w:rPr>
    </w:lvl>
    <w:lvl w:ilvl="1" w:tplc="A90CC74E" w:tentative="1">
      <w:start w:val="1"/>
      <w:numFmt w:val="lowerLetter"/>
      <w:lvlText w:val="%2."/>
      <w:lvlJc w:val="left"/>
      <w:pPr>
        <w:ind w:left="1440" w:hanging="360"/>
      </w:pPr>
    </w:lvl>
    <w:lvl w:ilvl="2" w:tplc="B9AA513E" w:tentative="1">
      <w:start w:val="1"/>
      <w:numFmt w:val="lowerRoman"/>
      <w:lvlText w:val="%3."/>
      <w:lvlJc w:val="right"/>
      <w:pPr>
        <w:ind w:left="2160" w:hanging="180"/>
      </w:pPr>
    </w:lvl>
    <w:lvl w:ilvl="3" w:tplc="138E7050" w:tentative="1">
      <w:start w:val="1"/>
      <w:numFmt w:val="decimal"/>
      <w:lvlText w:val="%4."/>
      <w:lvlJc w:val="left"/>
      <w:pPr>
        <w:ind w:left="2880" w:hanging="360"/>
      </w:pPr>
    </w:lvl>
    <w:lvl w:ilvl="4" w:tplc="27C059C8" w:tentative="1">
      <w:start w:val="1"/>
      <w:numFmt w:val="lowerLetter"/>
      <w:lvlText w:val="%5."/>
      <w:lvlJc w:val="left"/>
      <w:pPr>
        <w:ind w:left="3600" w:hanging="360"/>
      </w:pPr>
    </w:lvl>
    <w:lvl w:ilvl="5" w:tplc="CCF66EF4" w:tentative="1">
      <w:start w:val="1"/>
      <w:numFmt w:val="lowerRoman"/>
      <w:lvlText w:val="%6."/>
      <w:lvlJc w:val="right"/>
      <w:pPr>
        <w:ind w:left="4320" w:hanging="180"/>
      </w:pPr>
    </w:lvl>
    <w:lvl w:ilvl="6" w:tplc="24F883F0" w:tentative="1">
      <w:start w:val="1"/>
      <w:numFmt w:val="decimal"/>
      <w:lvlText w:val="%7."/>
      <w:lvlJc w:val="left"/>
      <w:pPr>
        <w:ind w:left="5040" w:hanging="360"/>
      </w:pPr>
    </w:lvl>
    <w:lvl w:ilvl="7" w:tplc="2494ACE4" w:tentative="1">
      <w:start w:val="1"/>
      <w:numFmt w:val="lowerLetter"/>
      <w:lvlText w:val="%8."/>
      <w:lvlJc w:val="left"/>
      <w:pPr>
        <w:ind w:left="5760" w:hanging="360"/>
      </w:pPr>
    </w:lvl>
    <w:lvl w:ilvl="8" w:tplc="1898F3DE"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A8B"/>
    <w:rsid w:val="007A7A8B"/>
    <w:rsid w:val="00D4559E"/>
    <w:rsid w:val="00E26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EBFCF"/>
  <w15:chartTrackingRefBased/>
  <w15:docId w15:val="{380E8688-FAED-4707-A9FB-AB25C0C09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59E"/>
    <w:pPr>
      <w:spacing w:after="200" w:line="276" w:lineRule="auto"/>
    </w:pPr>
  </w:style>
  <w:style w:type="paragraph" w:styleId="Heading1">
    <w:name w:val="heading 1"/>
    <w:basedOn w:val="Normal"/>
    <w:next w:val="Normal"/>
    <w:link w:val="Heading1Char"/>
    <w:uiPriority w:val="9"/>
    <w:qFormat/>
    <w:rsid w:val="00D4559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59E"/>
    <w:rPr>
      <w:rFonts w:asciiTheme="majorHAnsi" w:eastAsiaTheme="majorEastAsia" w:hAnsiTheme="majorHAnsi" w:cstheme="majorBidi"/>
      <w:b/>
      <w:bCs/>
      <w:color w:val="2F5496" w:themeColor="accent1" w:themeShade="BF"/>
      <w:sz w:val="28"/>
      <w:szCs w:val="28"/>
    </w:rPr>
  </w:style>
  <w:style w:type="paragraph" w:styleId="Footer">
    <w:name w:val="footer"/>
    <w:basedOn w:val="Normal"/>
    <w:link w:val="FooterChar"/>
    <w:uiPriority w:val="99"/>
    <w:unhideWhenUsed/>
    <w:rsid w:val="00D455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559E"/>
  </w:style>
  <w:style w:type="paragraph" w:styleId="TOCHeading">
    <w:name w:val="TOC Heading"/>
    <w:basedOn w:val="Heading1"/>
    <w:next w:val="Normal"/>
    <w:uiPriority w:val="39"/>
    <w:unhideWhenUsed/>
    <w:qFormat/>
    <w:rsid w:val="00D4559E"/>
    <w:pPr>
      <w:outlineLvl w:val="9"/>
    </w:pPr>
  </w:style>
  <w:style w:type="paragraph" w:styleId="TOC1">
    <w:name w:val="toc 1"/>
    <w:basedOn w:val="Normal"/>
    <w:next w:val="Normal"/>
    <w:autoRedefine/>
    <w:uiPriority w:val="39"/>
    <w:unhideWhenUsed/>
    <w:rsid w:val="00D4559E"/>
    <w:pPr>
      <w:spacing w:after="100"/>
    </w:pPr>
  </w:style>
  <w:style w:type="character" w:styleId="Hyperlink">
    <w:name w:val="Hyperlink"/>
    <w:basedOn w:val="DefaultParagraphFont"/>
    <w:uiPriority w:val="99"/>
    <w:unhideWhenUsed/>
    <w:rsid w:val="00D4559E"/>
    <w:rPr>
      <w:color w:val="0563C1" w:themeColor="hyperlink"/>
      <w:u w:val="single"/>
    </w:rPr>
  </w:style>
  <w:style w:type="table" w:styleId="TableGrid">
    <w:name w:val="Table Grid"/>
    <w:basedOn w:val="TableNormal"/>
    <w:uiPriority w:val="59"/>
    <w:rsid w:val="00D4559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4559E"/>
    <w:pPr>
      <w:ind w:left="720"/>
      <w:contextualSpacing/>
    </w:pPr>
  </w:style>
  <w:style w:type="paragraph" w:styleId="BodyText">
    <w:name w:val="Body Text"/>
    <w:basedOn w:val="Normal"/>
    <w:link w:val="BodyTextChar"/>
    <w:uiPriority w:val="1"/>
    <w:qFormat/>
    <w:rsid w:val="00D4559E"/>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D4559E"/>
    <w:rPr>
      <w:rFonts w:ascii="Arial MT" w:eastAsia="Arial MT" w:hAnsi="Arial MT" w:cs="Arial MT"/>
    </w:rPr>
  </w:style>
  <w:style w:type="paragraph" w:customStyle="1" w:styleId="TableParagraph">
    <w:name w:val="Table Paragraph"/>
    <w:basedOn w:val="Normal"/>
    <w:uiPriority w:val="1"/>
    <w:qFormat/>
    <w:rsid w:val="00D4559E"/>
    <w:pPr>
      <w:widowControl w:val="0"/>
      <w:autoSpaceDE w:val="0"/>
      <w:autoSpaceDN w:val="0"/>
      <w:spacing w:after="0" w:line="240" w:lineRule="auto"/>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x.doi.org/10.2139/ssrn.336017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hf.org.uk/what-we-do/news-from-the-bhf/news-archive/2021/august/british-heart-foundation-joins-we-are-undefeatable-campaig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2493</Words>
  <Characters>14215</Characters>
  <Application>Microsoft Office Word</Application>
  <DocSecurity>0</DocSecurity>
  <Lines>118</Lines>
  <Paragraphs>33</Paragraphs>
  <ScaleCrop>false</ScaleCrop>
  <Company/>
  <LinksUpToDate>false</LinksUpToDate>
  <CharactersWithSpaces>16675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Patarlageanu</dc:creator>
  <cp:keywords/>
  <dc:description/>
  <cp:lastModifiedBy>Delia Patarlageanu</cp:lastModifiedBy>
  <cp:revision>2</cp:revision>
  <dcterms:created xsi:type="dcterms:W3CDTF">2021-08-30T13:29:00Z</dcterms:created>
  <dcterms:modified xsi:type="dcterms:W3CDTF">2021-08-30T13:33:00Z</dcterms:modified>
</cp:coreProperties>
</file>