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D4367" w:rsidRPr="000D4367" w:rsidRDefault="000D4367" w:rsidP="000D4367">
      <w:pPr>
        <w:rPr>
          <w:rFonts w:ascii="Georgia" w:hAnsi="Georgia"/>
          <w:b/>
          <w:sz w:val="22"/>
          <w:szCs w:val="22"/>
        </w:rPr>
      </w:pPr>
      <w:r w:rsidRPr="000D4367">
        <w:rPr>
          <w:rFonts w:ascii="Georgia" w:hAnsi="Georgia"/>
          <w:b/>
          <w:sz w:val="22"/>
          <w:szCs w:val="22"/>
        </w:rPr>
        <w:t xml:space="preserve">The Politics of Heritage </w:t>
      </w:r>
    </w:p>
    <w:p w:rsidR="000D4367" w:rsidRDefault="000D4367" w:rsidP="000D4367">
      <w:pPr>
        <w:rPr>
          <w:rFonts w:ascii="Georgia" w:hAnsi="Georgia"/>
          <w:sz w:val="22"/>
          <w:szCs w:val="22"/>
        </w:rPr>
      </w:pPr>
    </w:p>
    <w:p w:rsidR="004F0F78" w:rsidRPr="004F0F78" w:rsidRDefault="004F0F78" w:rsidP="004F0F78">
      <w:pPr>
        <w:rPr>
          <w:rFonts w:ascii="Georgia" w:hAnsi="Georgia"/>
          <w:i/>
          <w:sz w:val="22"/>
          <w:szCs w:val="22"/>
        </w:rPr>
      </w:pPr>
      <w:r>
        <w:rPr>
          <w:rFonts w:ascii="Georgia" w:hAnsi="Georgia"/>
          <w:sz w:val="22"/>
          <w:szCs w:val="22"/>
        </w:rPr>
        <w:t xml:space="preserve">Abbots, E-J, (forthcoming) </w:t>
      </w:r>
      <w:r w:rsidRPr="00205755">
        <w:rPr>
          <w:rFonts w:cs="Times New Roman"/>
          <w:iCs/>
          <w:color w:val="000000"/>
          <w:sz w:val="22"/>
        </w:rPr>
        <w:t>‘</w:t>
      </w:r>
      <w:r w:rsidRPr="004111C9">
        <w:rPr>
          <w:rFonts w:ascii="Georgia" w:hAnsi="Georgia" w:cs="Times New Roman"/>
          <w:iCs/>
          <w:color w:val="000000"/>
          <w:sz w:val="22"/>
        </w:rPr>
        <w:t>From Vegetable Plots to Volleyball Courts: Landscape, Class and the Politics of Time in Highland Ecuador’</w:t>
      </w:r>
      <w:r>
        <w:rPr>
          <w:rFonts w:ascii="Georgia" w:hAnsi="Georgia" w:cs="Times New Roman"/>
          <w:iCs/>
          <w:color w:val="000000"/>
          <w:sz w:val="22"/>
        </w:rPr>
        <w:t xml:space="preserve">, </w:t>
      </w:r>
      <w:r w:rsidRPr="004F0F78">
        <w:rPr>
          <w:rFonts w:ascii="Georgia" w:hAnsi="Georgia" w:cs="Times New Roman"/>
          <w:i/>
          <w:iCs/>
          <w:color w:val="000000"/>
          <w:sz w:val="22"/>
        </w:rPr>
        <w:t>American Ethnologist</w:t>
      </w:r>
    </w:p>
    <w:p w:rsidR="004F0F78" w:rsidRDefault="004F0F78" w:rsidP="004F0F78">
      <w:pPr>
        <w:widowControl w:val="0"/>
        <w:tabs>
          <w:tab w:val="left" w:pos="0"/>
          <w:tab w:val="left" w:pos="1120"/>
          <w:tab w:val="left" w:pos="168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before="100" w:beforeAutospacing="1" w:after="100" w:afterAutospacing="1"/>
        <w:rPr>
          <w:rFonts w:ascii="Georgia" w:hAnsi="Georgia"/>
          <w:szCs w:val="22"/>
        </w:rPr>
      </w:pPr>
      <w:r w:rsidRPr="00ED3BDA">
        <w:rPr>
          <w:rFonts w:ascii="Georgia" w:hAnsi="Georgia"/>
          <w:sz w:val="22"/>
          <w:szCs w:val="22"/>
        </w:rPr>
        <w:t>Abbots, E-J. (</w:t>
      </w:r>
      <w:proofErr w:type="gramStart"/>
      <w:r w:rsidRPr="00ED3BDA">
        <w:rPr>
          <w:rFonts w:ascii="Georgia" w:hAnsi="Georgia"/>
          <w:sz w:val="22"/>
          <w:szCs w:val="22"/>
        </w:rPr>
        <w:t>forthcoming</w:t>
      </w:r>
      <w:proofErr w:type="gramEnd"/>
      <w:r w:rsidRPr="00ED3BDA">
        <w:rPr>
          <w:rFonts w:ascii="Georgia" w:hAnsi="Georgia"/>
          <w:sz w:val="22"/>
          <w:szCs w:val="22"/>
        </w:rPr>
        <w:t xml:space="preserve">) </w:t>
      </w:r>
      <w:proofErr w:type="gramStart"/>
      <w:r w:rsidRPr="00ED3BDA">
        <w:rPr>
          <w:rFonts w:ascii="Georgia" w:hAnsi="Georgia"/>
          <w:color w:val="000000"/>
          <w:sz w:val="22"/>
        </w:rPr>
        <w:t xml:space="preserve">‘Embodying Country-City Relations: The Figure of the </w:t>
      </w:r>
      <w:r w:rsidRPr="00ED3BDA">
        <w:rPr>
          <w:rFonts w:ascii="Georgia" w:hAnsi="Georgia"/>
          <w:i/>
          <w:color w:val="000000"/>
          <w:sz w:val="22"/>
        </w:rPr>
        <w:t>Chola Cuencana</w:t>
      </w:r>
      <w:r w:rsidRPr="00ED3BDA">
        <w:rPr>
          <w:rFonts w:ascii="Georgia" w:hAnsi="Georgia"/>
          <w:color w:val="000000"/>
          <w:sz w:val="22"/>
        </w:rPr>
        <w:t xml:space="preserve"> in Highland Ecuador’ in </w:t>
      </w:r>
      <w:r w:rsidRPr="00ED3BDA">
        <w:rPr>
          <w:rFonts w:ascii="Georgia" w:hAnsi="Georgia"/>
          <w:i/>
          <w:color w:val="000000"/>
          <w:sz w:val="22"/>
        </w:rPr>
        <w:t>Food and Foodways in the Country and the City</w:t>
      </w:r>
      <w:r w:rsidRPr="00ED3BDA">
        <w:rPr>
          <w:rFonts w:ascii="Georgia" w:hAnsi="Georgia"/>
          <w:color w:val="000000"/>
          <w:sz w:val="22"/>
        </w:rPr>
        <w:t>.</w:t>
      </w:r>
      <w:proofErr w:type="gramEnd"/>
      <w:r w:rsidRPr="00ED3BDA">
        <w:rPr>
          <w:rFonts w:ascii="Georgia" w:hAnsi="Georgia"/>
          <w:color w:val="000000"/>
          <w:sz w:val="22"/>
        </w:rPr>
        <w:t xml:space="preserve"> N. </w:t>
      </w:r>
      <w:proofErr w:type="spellStart"/>
      <w:r w:rsidRPr="00ED3BDA">
        <w:rPr>
          <w:rFonts w:ascii="Georgia" w:hAnsi="Georgia"/>
          <w:color w:val="000000"/>
          <w:sz w:val="22"/>
        </w:rPr>
        <w:t>Domingos</w:t>
      </w:r>
      <w:proofErr w:type="spellEnd"/>
      <w:r w:rsidRPr="00ED3BDA">
        <w:rPr>
          <w:rFonts w:ascii="Georgia" w:hAnsi="Georgia"/>
          <w:color w:val="000000"/>
          <w:sz w:val="22"/>
        </w:rPr>
        <w:t xml:space="preserve">, J. </w:t>
      </w:r>
      <w:proofErr w:type="spellStart"/>
      <w:r w:rsidRPr="00ED3BDA">
        <w:rPr>
          <w:rFonts w:ascii="Georgia" w:hAnsi="Georgia"/>
          <w:color w:val="000000"/>
          <w:sz w:val="22"/>
        </w:rPr>
        <w:t>Sobral</w:t>
      </w:r>
      <w:proofErr w:type="spellEnd"/>
      <w:r w:rsidRPr="00ED3BDA">
        <w:rPr>
          <w:rFonts w:ascii="Georgia" w:hAnsi="Georgia"/>
          <w:color w:val="000000"/>
          <w:sz w:val="22"/>
        </w:rPr>
        <w:t xml:space="preserve"> &amp; H.G. West (eds.)</w:t>
      </w:r>
      <w:r>
        <w:rPr>
          <w:rFonts w:ascii="Georgia" w:hAnsi="Georgia"/>
          <w:color w:val="000000"/>
          <w:sz w:val="22"/>
        </w:rPr>
        <w:t>, Oxford: Berg/Bloomsbury</w:t>
      </w:r>
    </w:p>
    <w:p w:rsidR="004F0F78" w:rsidRDefault="004F0F78" w:rsidP="004F0F78">
      <w:pPr>
        <w:spacing w:before="100" w:beforeAutospacing="1" w:after="100" w:afterAutospacing="1"/>
        <w:rPr>
          <w:rFonts w:ascii="Georgia" w:hAnsi="Georgia"/>
          <w:sz w:val="22"/>
          <w:szCs w:val="22"/>
        </w:rPr>
      </w:pPr>
      <w:r w:rsidRPr="004E32DE">
        <w:rPr>
          <w:rFonts w:ascii="Georgia" w:hAnsi="Georgia"/>
          <w:sz w:val="22"/>
          <w:szCs w:val="22"/>
        </w:rPr>
        <w:t xml:space="preserve">Benavides, Hugo O. (2004) </w:t>
      </w:r>
      <w:r w:rsidRPr="004E32DE">
        <w:rPr>
          <w:rFonts w:ascii="Georgia" w:hAnsi="Georgia"/>
          <w:i/>
          <w:sz w:val="22"/>
          <w:szCs w:val="22"/>
        </w:rPr>
        <w:t xml:space="preserve">Making Ecuadorian Histories: Four Centuries of Defining Power </w:t>
      </w:r>
      <w:r w:rsidRPr="004E32DE">
        <w:rPr>
          <w:rFonts w:ascii="Georgia" w:hAnsi="Georgia"/>
          <w:sz w:val="22"/>
          <w:szCs w:val="22"/>
        </w:rPr>
        <w:t xml:space="preserve">Texas: University of Texas Press </w:t>
      </w:r>
    </w:p>
    <w:p w:rsidR="000D4367" w:rsidRDefault="000D4367" w:rsidP="004F0F78">
      <w:pPr>
        <w:spacing w:before="100" w:beforeAutospacing="1" w:after="100" w:afterAutospacing="1"/>
        <w:rPr>
          <w:rFonts w:ascii="Georgia" w:hAnsi="Georgia"/>
          <w:sz w:val="22"/>
          <w:szCs w:val="22"/>
        </w:rPr>
      </w:pPr>
      <w:proofErr w:type="spellStart"/>
      <w:r>
        <w:rPr>
          <w:rFonts w:ascii="Georgia" w:hAnsi="Georgia"/>
          <w:sz w:val="22"/>
          <w:szCs w:val="22"/>
        </w:rPr>
        <w:t>Bessiere</w:t>
      </w:r>
      <w:proofErr w:type="spellEnd"/>
      <w:r>
        <w:rPr>
          <w:rFonts w:ascii="Georgia" w:hAnsi="Georgia"/>
          <w:sz w:val="22"/>
          <w:szCs w:val="22"/>
        </w:rPr>
        <w:t xml:space="preserve">, J (1998) Local Development and Heritage: Traditional Food and Cuisine as Tourist Attractions in Rural Areas. </w:t>
      </w:r>
      <w:proofErr w:type="spellStart"/>
      <w:r>
        <w:rPr>
          <w:rFonts w:ascii="Georgia" w:hAnsi="Georgia"/>
          <w:i/>
          <w:sz w:val="22"/>
          <w:szCs w:val="22"/>
        </w:rPr>
        <w:t>Sociologia</w:t>
      </w:r>
      <w:proofErr w:type="spellEnd"/>
      <w:r>
        <w:rPr>
          <w:rFonts w:ascii="Georgia" w:hAnsi="Georgia"/>
          <w:i/>
          <w:sz w:val="22"/>
          <w:szCs w:val="22"/>
        </w:rPr>
        <w:t xml:space="preserve"> </w:t>
      </w:r>
      <w:proofErr w:type="spellStart"/>
      <w:r>
        <w:rPr>
          <w:rFonts w:ascii="Georgia" w:hAnsi="Georgia"/>
          <w:i/>
          <w:sz w:val="22"/>
          <w:szCs w:val="22"/>
        </w:rPr>
        <w:t>Ruralis</w:t>
      </w:r>
      <w:proofErr w:type="spellEnd"/>
      <w:r>
        <w:rPr>
          <w:rFonts w:ascii="Georgia" w:hAnsi="Georgia"/>
          <w:sz w:val="22"/>
          <w:szCs w:val="22"/>
        </w:rPr>
        <w:t xml:space="preserve"> 38(1): 21-34</w:t>
      </w:r>
    </w:p>
    <w:p w:rsidR="000D4367" w:rsidRDefault="000D4367" w:rsidP="000D4367">
      <w:pPr>
        <w:rPr>
          <w:rFonts w:ascii="Georgia" w:hAnsi="Georgia"/>
          <w:sz w:val="22"/>
          <w:szCs w:val="22"/>
        </w:rPr>
      </w:pPr>
      <w:proofErr w:type="spellStart"/>
      <w:r>
        <w:rPr>
          <w:rFonts w:ascii="Georgia" w:hAnsi="Georgia"/>
          <w:sz w:val="22"/>
          <w:szCs w:val="22"/>
        </w:rPr>
        <w:t>Breglia</w:t>
      </w:r>
      <w:proofErr w:type="spellEnd"/>
      <w:r>
        <w:rPr>
          <w:rFonts w:ascii="Georgia" w:hAnsi="Georgia"/>
          <w:sz w:val="22"/>
          <w:szCs w:val="22"/>
        </w:rPr>
        <w:t xml:space="preserve">, L. (2006) </w:t>
      </w:r>
      <w:r w:rsidRPr="007A71D7">
        <w:rPr>
          <w:rFonts w:ascii="Georgia" w:hAnsi="Georgia"/>
          <w:i/>
          <w:sz w:val="22"/>
          <w:szCs w:val="22"/>
        </w:rPr>
        <w:t>Monumental Ambivalence: The Politics of Heritage</w:t>
      </w:r>
      <w:r>
        <w:rPr>
          <w:rFonts w:ascii="Georgia" w:hAnsi="Georgia"/>
          <w:sz w:val="22"/>
          <w:szCs w:val="22"/>
        </w:rPr>
        <w:t xml:space="preserve">. Austin, TX: University of Texas Press </w:t>
      </w:r>
    </w:p>
    <w:p w:rsidR="004F0F78" w:rsidRPr="00BC6AF7" w:rsidRDefault="004F0F78" w:rsidP="004F0F78">
      <w:pPr>
        <w:pStyle w:val="BodyText2"/>
        <w:spacing w:before="100" w:beforeAutospacing="1" w:after="100" w:afterAutospacing="1"/>
        <w:jc w:val="left"/>
        <w:rPr>
          <w:rFonts w:ascii="Georgia" w:hAnsi="Georgia"/>
        </w:rPr>
      </w:pPr>
      <w:proofErr w:type="spellStart"/>
      <w:r w:rsidRPr="00BC6AF7">
        <w:rPr>
          <w:rFonts w:ascii="Georgia" w:hAnsi="Georgia"/>
        </w:rPr>
        <w:t>Condori</w:t>
      </w:r>
      <w:proofErr w:type="spellEnd"/>
      <w:r w:rsidRPr="00BC6AF7">
        <w:rPr>
          <w:rFonts w:ascii="Georgia" w:hAnsi="Georgia"/>
        </w:rPr>
        <w:t>, Carlos M (1991) ‘History and Prehistory in Bolivia: What About the Indians?’ in</w:t>
      </w:r>
      <w:r w:rsidRPr="00BC6AF7">
        <w:rPr>
          <w:rFonts w:ascii="Georgia" w:hAnsi="Georgia"/>
          <w:i/>
        </w:rPr>
        <w:t xml:space="preserve"> Conflict in the Archaeology of Living Traditions</w:t>
      </w:r>
      <w:r w:rsidRPr="00BC6AF7">
        <w:rPr>
          <w:rFonts w:ascii="Georgia" w:hAnsi="Georgia"/>
        </w:rPr>
        <w:t xml:space="preserve">. R Layton (ed) pp 46-59 London: </w:t>
      </w:r>
      <w:proofErr w:type="spellStart"/>
      <w:r w:rsidRPr="00BC6AF7">
        <w:rPr>
          <w:rFonts w:ascii="Georgia" w:hAnsi="Georgia"/>
        </w:rPr>
        <w:t>Unwin</w:t>
      </w:r>
      <w:proofErr w:type="spellEnd"/>
    </w:p>
    <w:p w:rsidR="004F0F78" w:rsidRDefault="004F0F78" w:rsidP="004F0F78">
      <w:pPr>
        <w:pStyle w:val="BodyText2"/>
        <w:spacing w:before="100" w:beforeAutospacing="1" w:after="100" w:afterAutospacing="1"/>
        <w:jc w:val="left"/>
        <w:rPr>
          <w:rFonts w:ascii="Georgia" w:hAnsi="Georgia"/>
          <w:szCs w:val="22"/>
        </w:rPr>
      </w:pPr>
      <w:r>
        <w:rPr>
          <w:rFonts w:ascii="Georgia" w:hAnsi="Georgia"/>
          <w:szCs w:val="22"/>
        </w:rPr>
        <w:t xml:space="preserve">Dicks, B (2008) Performing the Hidden Injuries of Class in Coal-Mining Heritage. </w:t>
      </w:r>
      <w:r w:rsidRPr="000C6A99">
        <w:rPr>
          <w:rFonts w:ascii="Georgia" w:hAnsi="Georgia"/>
          <w:i/>
          <w:szCs w:val="22"/>
        </w:rPr>
        <w:t xml:space="preserve">Sociology </w:t>
      </w:r>
      <w:r>
        <w:rPr>
          <w:rFonts w:ascii="Georgia" w:hAnsi="Georgia"/>
          <w:szCs w:val="22"/>
        </w:rPr>
        <w:t>42(3): 436-452</w:t>
      </w:r>
    </w:p>
    <w:p w:rsidR="004F0F78" w:rsidRDefault="004F0F78" w:rsidP="004F0F78">
      <w:pPr>
        <w:pStyle w:val="BodyText2"/>
        <w:spacing w:before="100" w:beforeAutospacing="1" w:after="100" w:afterAutospacing="1"/>
        <w:jc w:val="left"/>
        <w:rPr>
          <w:rFonts w:ascii="Georgia" w:hAnsi="Georgia"/>
          <w:szCs w:val="22"/>
        </w:rPr>
      </w:pPr>
      <w:proofErr w:type="spellStart"/>
      <w:r w:rsidRPr="00BC6AF7">
        <w:rPr>
          <w:rFonts w:ascii="Georgia" w:hAnsi="Georgia"/>
          <w:szCs w:val="22"/>
        </w:rPr>
        <w:t>Fabian</w:t>
      </w:r>
      <w:proofErr w:type="spellEnd"/>
      <w:r w:rsidRPr="00BC6AF7">
        <w:rPr>
          <w:rFonts w:ascii="Georgia" w:hAnsi="Georgia"/>
          <w:szCs w:val="22"/>
        </w:rPr>
        <w:t xml:space="preserve">, Johannes (1983) </w:t>
      </w:r>
      <w:r w:rsidRPr="00BC6AF7">
        <w:rPr>
          <w:rFonts w:ascii="Georgia" w:hAnsi="Georgia"/>
          <w:i/>
          <w:szCs w:val="22"/>
        </w:rPr>
        <w:t xml:space="preserve">Time and the Other: How Anthropology Makes its Object. </w:t>
      </w:r>
      <w:r w:rsidRPr="00BC6AF7">
        <w:rPr>
          <w:rFonts w:ascii="Georgia" w:hAnsi="Georgia"/>
          <w:szCs w:val="22"/>
        </w:rPr>
        <w:t>New York: Columbia University Press. (Chapter 1</w:t>
      </w:r>
      <w:r>
        <w:rPr>
          <w:rFonts w:ascii="Georgia" w:hAnsi="Georgia"/>
          <w:szCs w:val="22"/>
        </w:rPr>
        <w:t>)</w:t>
      </w:r>
      <w:r w:rsidRPr="00BC6AF7">
        <w:rPr>
          <w:rFonts w:ascii="Georgia" w:hAnsi="Georgia"/>
          <w:szCs w:val="22"/>
        </w:rPr>
        <w:t xml:space="preserve"> </w:t>
      </w:r>
    </w:p>
    <w:p w:rsidR="004F0F78" w:rsidRDefault="004F0F78" w:rsidP="004F0F78">
      <w:pPr>
        <w:spacing w:before="100" w:beforeAutospacing="1" w:after="100" w:afterAutospacing="1"/>
        <w:rPr>
          <w:rFonts w:ascii="Georgia" w:hAnsi="Georgia"/>
          <w:sz w:val="22"/>
          <w:szCs w:val="22"/>
        </w:rPr>
      </w:pPr>
      <w:r>
        <w:rPr>
          <w:rFonts w:ascii="Georgia" w:hAnsi="Georgia"/>
          <w:sz w:val="22"/>
          <w:szCs w:val="22"/>
        </w:rPr>
        <w:t xml:space="preserve">Hall, S. (2008) ‘Whose Heritage? Unsettling ‘The Heritage’, re-imagining the post-nation’ in </w:t>
      </w:r>
      <w:r w:rsidRPr="00B119FB">
        <w:rPr>
          <w:rFonts w:ascii="Georgia" w:hAnsi="Georgia"/>
          <w:i/>
          <w:sz w:val="22"/>
          <w:szCs w:val="22"/>
        </w:rPr>
        <w:t>The Heritage Reader</w:t>
      </w:r>
      <w:r>
        <w:rPr>
          <w:rFonts w:ascii="Georgia" w:hAnsi="Georgia"/>
          <w:sz w:val="22"/>
          <w:szCs w:val="22"/>
        </w:rPr>
        <w:t xml:space="preserve">, G. </w:t>
      </w:r>
      <w:proofErr w:type="spellStart"/>
      <w:r>
        <w:rPr>
          <w:rFonts w:ascii="Georgia" w:hAnsi="Georgia"/>
          <w:sz w:val="22"/>
          <w:szCs w:val="22"/>
        </w:rPr>
        <w:t>Fairclough</w:t>
      </w:r>
      <w:proofErr w:type="spellEnd"/>
      <w:r>
        <w:rPr>
          <w:rFonts w:ascii="Georgia" w:hAnsi="Georgia"/>
          <w:sz w:val="22"/>
          <w:szCs w:val="22"/>
        </w:rPr>
        <w:t xml:space="preserve"> et al (</w:t>
      </w:r>
      <w:proofErr w:type="spellStart"/>
      <w:proofErr w:type="gramStart"/>
      <w:r>
        <w:rPr>
          <w:rFonts w:ascii="Georgia" w:hAnsi="Georgia"/>
          <w:sz w:val="22"/>
          <w:szCs w:val="22"/>
        </w:rPr>
        <w:t>eds</w:t>
      </w:r>
      <w:proofErr w:type="spellEnd"/>
      <w:proofErr w:type="gramEnd"/>
      <w:r>
        <w:rPr>
          <w:rFonts w:ascii="Georgia" w:hAnsi="Georgia"/>
          <w:sz w:val="22"/>
          <w:szCs w:val="22"/>
        </w:rPr>
        <w:t xml:space="preserve">), pp. 219-229. London: </w:t>
      </w:r>
      <w:proofErr w:type="spellStart"/>
      <w:r>
        <w:rPr>
          <w:rFonts w:ascii="Georgia" w:hAnsi="Georgia"/>
          <w:sz w:val="22"/>
          <w:szCs w:val="22"/>
        </w:rPr>
        <w:t>Routledge</w:t>
      </w:r>
      <w:proofErr w:type="spellEnd"/>
      <w:r>
        <w:rPr>
          <w:rFonts w:ascii="Georgia" w:hAnsi="Georgia"/>
          <w:sz w:val="22"/>
          <w:szCs w:val="22"/>
        </w:rPr>
        <w:t xml:space="preserve">. </w:t>
      </w:r>
    </w:p>
    <w:p w:rsidR="000D4367" w:rsidRPr="007135DD" w:rsidRDefault="000D4367" w:rsidP="000D4367">
      <w:pPr>
        <w:rPr>
          <w:rFonts w:ascii="Georgia" w:hAnsi="Georgia"/>
          <w:sz w:val="22"/>
          <w:szCs w:val="22"/>
        </w:rPr>
      </w:pPr>
      <w:r w:rsidRPr="007135DD">
        <w:rPr>
          <w:rFonts w:ascii="Georgia" w:hAnsi="Georgia"/>
          <w:sz w:val="22"/>
          <w:szCs w:val="22"/>
        </w:rPr>
        <w:t xml:space="preserve">Herzfeld, Michael. (1991) </w:t>
      </w:r>
      <w:r w:rsidRPr="007135DD">
        <w:rPr>
          <w:rFonts w:ascii="Georgia" w:hAnsi="Georgia"/>
          <w:i/>
          <w:sz w:val="22"/>
          <w:szCs w:val="22"/>
        </w:rPr>
        <w:t>A Place in History: Social and Monumental Time in a Cretan Town</w:t>
      </w:r>
      <w:r w:rsidRPr="007135DD">
        <w:rPr>
          <w:rFonts w:ascii="Georgia" w:hAnsi="Georgia"/>
          <w:sz w:val="22"/>
          <w:szCs w:val="22"/>
        </w:rPr>
        <w:t xml:space="preserve">. Princeton: Princeton University Press (Chapter 1) </w:t>
      </w:r>
    </w:p>
    <w:p w:rsidR="004F0F78" w:rsidRDefault="004F0F78" w:rsidP="004F0F78">
      <w:pPr>
        <w:spacing w:before="100" w:beforeAutospacing="1" w:after="100" w:afterAutospacing="1"/>
        <w:rPr>
          <w:rFonts w:ascii="Georgia" w:hAnsi="Georgia"/>
          <w:sz w:val="22"/>
        </w:rPr>
      </w:pPr>
      <w:r w:rsidRPr="003D4DE7">
        <w:rPr>
          <w:rFonts w:ascii="Georgia" w:hAnsi="Georgia"/>
          <w:sz w:val="22"/>
          <w:szCs w:val="22"/>
        </w:rPr>
        <w:t>Layton, Robert (2008) ‘Conflict in the Archaeology of Living Traditions’</w:t>
      </w:r>
      <w:r>
        <w:rPr>
          <w:rFonts w:ascii="Georgia" w:hAnsi="Georgia"/>
          <w:sz w:val="22"/>
          <w:szCs w:val="22"/>
        </w:rPr>
        <w:t xml:space="preserve"> in </w:t>
      </w:r>
      <w:r w:rsidRPr="00B119FB">
        <w:rPr>
          <w:rFonts w:ascii="Georgia" w:hAnsi="Georgia"/>
          <w:i/>
          <w:sz w:val="22"/>
          <w:szCs w:val="22"/>
        </w:rPr>
        <w:t>The Heritage Reader</w:t>
      </w:r>
      <w:r>
        <w:rPr>
          <w:rFonts w:ascii="Georgia" w:hAnsi="Georgia"/>
          <w:sz w:val="22"/>
          <w:szCs w:val="22"/>
        </w:rPr>
        <w:t xml:space="preserve">, G. </w:t>
      </w:r>
      <w:proofErr w:type="spellStart"/>
      <w:r>
        <w:rPr>
          <w:rFonts w:ascii="Georgia" w:hAnsi="Georgia"/>
          <w:sz w:val="22"/>
          <w:szCs w:val="22"/>
        </w:rPr>
        <w:t>Fairclough</w:t>
      </w:r>
      <w:proofErr w:type="spellEnd"/>
      <w:r>
        <w:rPr>
          <w:rFonts w:ascii="Georgia" w:hAnsi="Georgia"/>
          <w:sz w:val="22"/>
          <w:szCs w:val="22"/>
        </w:rPr>
        <w:t xml:space="preserve"> et al (</w:t>
      </w:r>
      <w:proofErr w:type="spellStart"/>
      <w:r>
        <w:rPr>
          <w:rFonts w:ascii="Georgia" w:hAnsi="Georgia"/>
          <w:sz w:val="22"/>
          <w:szCs w:val="22"/>
        </w:rPr>
        <w:t>eds</w:t>
      </w:r>
      <w:proofErr w:type="spellEnd"/>
      <w:r>
        <w:rPr>
          <w:rFonts w:ascii="Georgia" w:hAnsi="Georgia"/>
          <w:sz w:val="22"/>
          <w:szCs w:val="22"/>
        </w:rPr>
        <w:t xml:space="preserve">), pp. 256-273. London: </w:t>
      </w:r>
      <w:proofErr w:type="spellStart"/>
      <w:r>
        <w:rPr>
          <w:rFonts w:ascii="Georgia" w:hAnsi="Georgia"/>
          <w:sz w:val="22"/>
          <w:szCs w:val="22"/>
        </w:rPr>
        <w:t>Routledge</w:t>
      </w:r>
      <w:proofErr w:type="spellEnd"/>
      <w:r>
        <w:rPr>
          <w:rFonts w:ascii="Georgia" w:hAnsi="Georgia"/>
          <w:sz w:val="22"/>
          <w:szCs w:val="22"/>
        </w:rPr>
        <w:t xml:space="preserve">. </w:t>
      </w:r>
      <w:proofErr w:type="gramStart"/>
      <w:r w:rsidRPr="003D4DE7">
        <w:rPr>
          <w:rFonts w:ascii="Georgia" w:hAnsi="Georgia"/>
          <w:sz w:val="22"/>
          <w:szCs w:val="22"/>
        </w:rPr>
        <w:t xml:space="preserve">Also available as the ‘Introduction’ in </w:t>
      </w:r>
      <w:r w:rsidRPr="003D4DE7">
        <w:rPr>
          <w:rFonts w:ascii="Georgia" w:hAnsi="Georgia"/>
          <w:i/>
          <w:sz w:val="22"/>
        </w:rPr>
        <w:t>Conflict in the Archaeology of Living Traditions</w:t>
      </w:r>
      <w:r w:rsidRPr="003D4DE7">
        <w:rPr>
          <w:rFonts w:ascii="Georgia" w:hAnsi="Georgia"/>
          <w:sz w:val="22"/>
        </w:rPr>
        <w:t>.</w:t>
      </w:r>
      <w:proofErr w:type="gramEnd"/>
      <w:r w:rsidRPr="003D4DE7">
        <w:rPr>
          <w:rFonts w:ascii="Georgia" w:hAnsi="Georgia"/>
          <w:sz w:val="22"/>
        </w:rPr>
        <w:t xml:space="preserve"> R Layton (ed) pp 46-59 London: </w:t>
      </w:r>
      <w:proofErr w:type="spellStart"/>
      <w:r w:rsidRPr="003D4DE7">
        <w:rPr>
          <w:rFonts w:ascii="Georgia" w:hAnsi="Georgia"/>
          <w:sz w:val="22"/>
        </w:rPr>
        <w:t>Unwin</w:t>
      </w:r>
      <w:proofErr w:type="spellEnd"/>
    </w:p>
    <w:p w:rsidR="004F0F78" w:rsidRDefault="004F0F78" w:rsidP="004F0F78">
      <w:pPr>
        <w:pStyle w:val="BodyText2"/>
        <w:spacing w:before="100" w:beforeAutospacing="1" w:after="100" w:afterAutospacing="1"/>
        <w:jc w:val="left"/>
        <w:rPr>
          <w:rFonts w:ascii="Georgia" w:hAnsi="Georgia"/>
          <w:szCs w:val="22"/>
        </w:rPr>
      </w:pPr>
      <w:r>
        <w:rPr>
          <w:rFonts w:ascii="Georgia" w:hAnsi="Georgia"/>
          <w:szCs w:val="22"/>
        </w:rPr>
        <w:t xml:space="preserve">West, S (2010) ‘Heritage and Class’ in </w:t>
      </w:r>
      <w:r w:rsidRPr="00296DCD">
        <w:rPr>
          <w:rFonts w:ascii="Georgia" w:hAnsi="Georgia"/>
          <w:i/>
          <w:szCs w:val="22"/>
        </w:rPr>
        <w:t>Understanding the Politics of Heritage</w:t>
      </w:r>
      <w:r>
        <w:rPr>
          <w:rFonts w:ascii="Georgia" w:hAnsi="Georgia"/>
          <w:szCs w:val="22"/>
        </w:rPr>
        <w:t xml:space="preserve">, R. Harrison (ed.), pp. 270-303. Manchester: Manchester University Press. </w:t>
      </w:r>
    </w:p>
    <w:p w:rsidR="004F0F78" w:rsidRDefault="004F0F78" w:rsidP="004F0F78">
      <w:pPr>
        <w:pStyle w:val="BodyText2"/>
        <w:spacing w:before="100" w:beforeAutospacing="1" w:after="100" w:afterAutospacing="1"/>
        <w:jc w:val="left"/>
        <w:rPr>
          <w:rFonts w:ascii="Georgia" w:hAnsi="Georgia"/>
        </w:rPr>
      </w:pPr>
      <w:r>
        <w:rPr>
          <w:rFonts w:ascii="Georgia" w:hAnsi="Georgia"/>
        </w:rPr>
        <w:t xml:space="preserve">Winter, Tim (2011) </w:t>
      </w:r>
      <w:r w:rsidRPr="004E32DE">
        <w:rPr>
          <w:rFonts w:ascii="Georgia" w:hAnsi="Georgia"/>
          <w:i/>
        </w:rPr>
        <w:t>Post-Conflict Heritage, Postcolonial Tourism: Tourism, Politics and Development at Angkor</w:t>
      </w:r>
      <w:r>
        <w:rPr>
          <w:rFonts w:ascii="Georgia" w:hAnsi="Georgia"/>
        </w:rPr>
        <w:t xml:space="preserve">. London: </w:t>
      </w:r>
      <w:proofErr w:type="spellStart"/>
      <w:r>
        <w:rPr>
          <w:rFonts w:ascii="Georgia" w:hAnsi="Georgia"/>
        </w:rPr>
        <w:t>Routledge</w:t>
      </w:r>
      <w:proofErr w:type="spellEnd"/>
    </w:p>
    <w:p w:rsidR="000D4367" w:rsidRDefault="000D4367" w:rsidP="000D4367">
      <w:pPr>
        <w:rPr>
          <w:rFonts w:ascii="Georgia" w:hAnsi="Georgia"/>
          <w:b/>
        </w:rPr>
      </w:pPr>
    </w:p>
    <w:p w:rsidR="000D4367" w:rsidRDefault="000D4367" w:rsidP="000D4367">
      <w:pPr>
        <w:rPr>
          <w:rFonts w:ascii="Georgia" w:hAnsi="Georgia"/>
          <w:b/>
        </w:rPr>
      </w:pPr>
    </w:p>
    <w:p w:rsidR="000D4367" w:rsidRPr="000D4367" w:rsidRDefault="000D4367" w:rsidP="000D4367">
      <w:pPr>
        <w:rPr>
          <w:rFonts w:ascii="Georgia" w:hAnsi="Georgia"/>
          <w:b/>
        </w:rPr>
      </w:pPr>
      <w:r w:rsidRPr="000D4367">
        <w:rPr>
          <w:rFonts w:ascii="Georgia" w:hAnsi="Georgia"/>
          <w:b/>
        </w:rPr>
        <w:t xml:space="preserve">Cultural Restitution and Repatriation </w:t>
      </w:r>
    </w:p>
    <w:p w:rsidR="000D4367" w:rsidRPr="000D4367" w:rsidRDefault="000D4367" w:rsidP="000D4367">
      <w:pPr>
        <w:rPr>
          <w:rFonts w:ascii="Georgia" w:hAnsi="Georgia"/>
        </w:rPr>
      </w:pPr>
    </w:p>
    <w:p w:rsidR="004F0F78" w:rsidRPr="00165B1F" w:rsidRDefault="004F0F78" w:rsidP="004F0F78">
      <w:pPr>
        <w:rPr>
          <w:rFonts w:ascii="Georgia" w:hAnsi="Georgia" w:cs="Arial"/>
          <w:sz w:val="22"/>
        </w:rPr>
      </w:pPr>
      <w:r w:rsidRPr="00165B1F">
        <w:rPr>
          <w:rFonts w:ascii="Georgia" w:hAnsi="Georgia" w:cs="Arial"/>
          <w:sz w:val="22"/>
        </w:rPr>
        <w:t>National Geographic ‘Andes Expedition’: Virtual Autopsy</w:t>
      </w:r>
    </w:p>
    <w:p w:rsidR="004F0F78" w:rsidRPr="00165B1F" w:rsidRDefault="004F0F78" w:rsidP="004F0F78">
      <w:pPr>
        <w:rPr>
          <w:rFonts w:ascii="Georgia" w:hAnsi="Georgia"/>
          <w:sz w:val="22"/>
        </w:rPr>
      </w:pPr>
      <w:r w:rsidRPr="00165B1F">
        <w:rPr>
          <w:rFonts w:ascii="Georgia" w:hAnsi="Georgia" w:cs="Arial"/>
          <w:sz w:val="22"/>
          <w:u w:val="single"/>
        </w:rPr>
        <w:t>http://www.nationalgeographic.com/andes/</w:t>
      </w:r>
    </w:p>
    <w:p w:rsidR="004F0F78" w:rsidRDefault="004F0F78" w:rsidP="004F0F78">
      <w:pPr>
        <w:rPr>
          <w:rFonts w:ascii="Georgia" w:hAnsi="Georgia"/>
          <w:sz w:val="22"/>
        </w:rPr>
      </w:pP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  <w:r w:rsidRPr="000D4367">
        <w:rPr>
          <w:rFonts w:ascii="Georgia" w:hAnsi="Georgia" w:cs="Arial"/>
          <w:color w:val="000FCA"/>
          <w:szCs w:val="26"/>
          <w:lang w:val="en-US"/>
        </w:rPr>
        <w:lastRenderedPageBreak/>
        <w:t>NAGPRA Website: http://www.nps.gov/history/nagpra/</w:t>
      </w: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</w:p>
    <w:p w:rsidR="000D4367" w:rsidRPr="000D4367" w:rsidRDefault="006914E3" w:rsidP="000D4367">
      <w:pPr>
        <w:rPr>
          <w:rFonts w:ascii="Georgia" w:hAnsi="Georgia" w:cs="Arial"/>
          <w:szCs w:val="26"/>
          <w:lang w:val="en-US"/>
        </w:rPr>
      </w:pPr>
      <w:hyperlink r:id="rId4" w:history="1">
        <w:r w:rsidR="000D4367" w:rsidRPr="000D4367">
          <w:rPr>
            <w:rStyle w:val="Hyperlink"/>
            <w:rFonts w:ascii="Georgia" w:hAnsi="Georgia" w:cs="Arial"/>
            <w:szCs w:val="26"/>
            <w:lang w:val="en-US"/>
          </w:rPr>
          <w:t>http://anthropology.si.edu/repatriation/index.htm</w:t>
        </w:r>
      </w:hyperlink>
      <w:r w:rsidR="000D4367" w:rsidRPr="000D4367">
        <w:rPr>
          <w:rFonts w:ascii="Georgia" w:hAnsi="Georgia" w:cs="Arial"/>
          <w:szCs w:val="26"/>
          <w:lang w:val="en-US"/>
        </w:rPr>
        <w:t xml:space="preserve"> (See for Larsen Bay Repatriation)</w:t>
      </w:r>
    </w:p>
    <w:p w:rsidR="000D4367" w:rsidRPr="000D4367" w:rsidRDefault="000D4367" w:rsidP="000D4367">
      <w:pPr>
        <w:rPr>
          <w:rFonts w:ascii="Georgia" w:hAnsi="Georgia"/>
          <w:b/>
          <w:i/>
        </w:rPr>
      </w:pP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  <w:r w:rsidRPr="000D4367">
        <w:rPr>
          <w:rFonts w:ascii="Georgia" w:hAnsi="Georgia" w:cs="Arial"/>
          <w:szCs w:val="26"/>
          <w:lang w:val="en-US"/>
        </w:rPr>
        <w:t xml:space="preserve">Bray, L and T. </w:t>
      </w:r>
      <w:proofErr w:type="spellStart"/>
      <w:r w:rsidRPr="000D4367">
        <w:rPr>
          <w:rFonts w:ascii="Georgia" w:hAnsi="Georgia" w:cs="Arial"/>
          <w:szCs w:val="26"/>
          <w:lang w:val="en-US"/>
        </w:rPr>
        <w:t>Killon</w:t>
      </w:r>
      <w:proofErr w:type="spellEnd"/>
      <w:r w:rsidRPr="000D4367">
        <w:rPr>
          <w:rFonts w:ascii="Georgia" w:hAnsi="Georgia" w:cs="Arial"/>
          <w:szCs w:val="26"/>
          <w:lang w:val="en-US"/>
        </w:rPr>
        <w:t xml:space="preserve"> (eds.) (1994) </w:t>
      </w:r>
      <w:r w:rsidRPr="000D4367">
        <w:rPr>
          <w:rFonts w:ascii="Georgia" w:hAnsi="Georgia" w:cs="Arial"/>
          <w:i/>
          <w:szCs w:val="26"/>
          <w:lang w:val="en-US"/>
        </w:rPr>
        <w:t>Reckoning with the Dead: The Larsen Bay Repatriation and the Smithsonian Institution</w:t>
      </w:r>
      <w:r w:rsidRPr="000D4367">
        <w:rPr>
          <w:rFonts w:ascii="Georgia" w:hAnsi="Georgia" w:cs="Arial"/>
          <w:szCs w:val="26"/>
          <w:lang w:val="en-US"/>
        </w:rPr>
        <w:t>. Washington: Smithsonian Institution Press</w:t>
      </w:r>
    </w:p>
    <w:p w:rsidR="000D4367" w:rsidRPr="000D4367" w:rsidRDefault="000D4367" w:rsidP="000D4367">
      <w:pPr>
        <w:pStyle w:val="BodyText2"/>
        <w:spacing w:before="100" w:beforeAutospacing="1" w:after="100" w:afterAutospacing="1"/>
        <w:jc w:val="left"/>
        <w:rPr>
          <w:rFonts w:ascii="Georgia" w:hAnsi="Georgia"/>
          <w:sz w:val="24"/>
        </w:rPr>
      </w:pPr>
      <w:proofErr w:type="spellStart"/>
      <w:r w:rsidRPr="000D4367">
        <w:rPr>
          <w:rFonts w:ascii="Georgia" w:hAnsi="Georgia"/>
          <w:sz w:val="24"/>
        </w:rPr>
        <w:t>Brodie</w:t>
      </w:r>
      <w:proofErr w:type="spellEnd"/>
      <w:r w:rsidRPr="000D4367">
        <w:rPr>
          <w:rFonts w:ascii="Georgia" w:hAnsi="Georgia"/>
          <w:sz w:val="24"/>
        </w:rPr>
        <w:t xml:space="preserve">, N. et al (eds.) (2001) </w:t>
      </w:r>
      <w:r w:rsidRPr="000D4367">
        <w:rPr>
          <w:rFonts w:ascii="Georgia" w:hAnsi="Georgia"/>
          <w:i/>
          <w:sz w:val="24"/>
        </w:rPr>
        <w:t>Trade in Illicit Antiquities: The Destruction of the World’s Archaeological Heritage</w:t>
      </w:r>
      <w:r w:rsidRPr="000D4367">
        <w:rPr>
          <w:rFonts w:ascii="Georgia" w:hAnsi="Georgia"/>
          <w:sz w:val="24"/>
        </w:rPr>
        <w:t xml:space="preserve">. Cambridge: McDonald Institute </w:t>
      </w:r>
    </w:p>
    <w:p w:rsidR="000D4367" w:rsidRPr="000D4367" w:rsidRDefault="000D4367" w:rsidP="000D4367">
      <w:pPr>
        <w:pStyle w:val="BodyText2"/>
        <w:spacing w:before="100" w:beforeAutospacing="1" w:after="100" w:afterAutospacing="1"/>
        <w:jc w:val="left"/>
        <w:rPr>
          <w:rFonts w:ascii="Georgia" w:hAnsi="Georgia"/>
          <w:sz w:val="24"/>
        </w:rPr>
      </w:pPr>
      <w:proofErr w:type="spellStart"/>
      <w:r w:rsidRPr="000D4367">
        <w:rPr>
          <w:rFonts w:ascii="Georgia" w:hAnsi="Georgia"/>
          <w:sz w:val="24"/>
        </w:rPr>
        <w:t>Cleere</w:t>
      </w:r>
      <w:proofErr w:type="spellEnd"/>
      <w:r w:rsidRPr="000D4367">
        <w:rPr>
          <w:rFonts w:ascii="Georgia" w:hAnsi="Georgia"/>
          <w:sz w:val="24"/>
        </w:rPr>
        <w:t xml:space="preserve">, H. (1993) Managing the Archaeological Heritage, </w:t>
      </w:r>
      <w:r w:rsidRPr="000D4367">
        <w:rPr>
          <w:rFonts w:ascii="Georgia" w:hAnsi="Georgia"/>
          <w:i/>
          <w:sz w:val="24"/>
        </w:rPr>
        <w:t>Antiquity</w:t>
      </w:r>
      <w:r w:rsidRPr="000D4367">
        <w:rPr>
          <w:rFonts w:ascii="Georgia" w:hAnsi="Georgia"/>
          <w:sz w:val="24"/>
        </w:rPr>
        <w:t xml:space="preserve"> 67: 255: 400-402. </w:t>
      </w:r>
      <w:r w:rsidRPr="000D4367">
        <w:rPr>
          <w:rFonts w:ascii="Georgia" w:hAnsi="Georgia"/>
          <w:i/>
          <w:sz w:val="24"/>
        </w:rPr>
        <w:t>This is an introduction to the special section which is well worth reading, especially the article by O’Keefe</w:t>
      </w:r>
    </w:p>
    <w:p w:rsidR="000D4367" w:rsidRPr="000D4367" w:rsidRDefault="000D4367" w:rsidP="000D4367">
      <w:pPr>
        <w:pStyle w:val="BodyText2"/>
        <w:spacing w:before="100" w:beforeAutospacing="1" w:after="100" w:afterAutospacing="1"/>
        <w:jc w:val="left"/>
        <w:rPr>
          <w:rFonts w:ascii="Georgia" w:hAnsi="Georgia"/>
          <w:b/>
          <w:sz w:val="24"/>
        </w:rPr>
      </w:pPr>
      <w:r w:rsidRPr="000D4367">
        <w:rPr>
          <w:rFonts w:ascii="Georgia" w:hAnsi="Georgia"/>
          <w:b/>
          <w:sz w:val="24"/>
        </w:rPr>
        <w:t xml:space="preserve">Clifford, J. (1997) </w:t>
      </w:r>
      <w:r w:rsidRPr="000D4367">
        <w:rPr>
          <w:rFonts w:ascii="Georgia" w:hAnsi="Georgia"/>
          <w:b/>
          <w:i/>
          <w:sz w:val="24"/>
        </w:rPr>
        <w:t>Routes: Travel and Translation in the Late Twentieth Century</w:t>
      </w:r>
      <w:r w:rsidRPr="000D4367">
        <w:rPr>
          <w:rFonts w:ascii="Georgia" w:hAnsi="Georgia"/>
          <w:b/>
          <w:sz w:val="24"/>
        </w:rPr>
        <w:t xml:space="preserve">. Cambridge, Mass: Harvard University Press (Chapter 5, ‘Four Northwest Coast Museums: Travel Reflections’) </w:t>
      </w: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  <w:proofErr w:type="spellStart"/>
      <w:proofErr w:type="gramStart"/>
      <w:r w:rsidRPr="000D4367">
        <w:rPr>
          <w:rFonts w:ascii="Georgia" w:hAnsi="Georgia" w:cs="Arial"/>
          <w:szCs w:val="26"/>
          <w:lang w:val="en-US"/>
        </w:rPr>
        <w:t>Deloria</w:t>
      </w:r>
      <w:proofErr w:type="spellEnd"/>
      <w:r w:rsidRPr="000D4367">
        <w:rPr>
          <w:rFonts w:ascii="Georgia" w:hAnsi="Georgia" w:cs="Arial"/>
          <w:szCs w:val="26"/>
          <w:lang w:val="en-US"/>
        </w:rPr>
        <w:t xml:space="preserve">, V </w:t>
      </w:r>
      <w:proofErr w:type="spellStart"/>
      <w:r w:rsidRPr="000D4367">
        <w:rPr>
          <w:rFonts w:ascii="Georgia" w:hAnsi="Georgia" w:cs="Arial"/>
          <w:szCs w:val="26"/>
          <w:lang w:val="en-US"/>
        </w:rPr>
        <w:t>Jr</w:t>
      </w:r>
      <w:proofErr w:type="spellEnd"/>
      <w:r w:rsidRPr="000D4367">
        <w:rPr>
          <w:rFonts w:ascii="Georgia" w:hAnsi="Georgia" w:cs="Arial"/>
          <w:szCs w:val="26"/>
          <w:lang w:val="en-US"/>
        </w:rPr>
        <w:t xml:space="preserve"> (1992) ‘Indians, Archaeologists and the Future.</w:t>
      </w:r>
      <w:proofErr w:type="gramEnd"/>
      <w:r w:rsidRPr="000D4367">
        <w:rPr>
          <w:rFonts w:ascii="Georgia" w:hAnsi="Georgia" w:cs="Arial"/>
          <w:szCs w:val="26"/>
          <w:lang w:val="en-US"/>
        </w:rPr>
        <w:t xml:space="preserve"> </w:t>
      </w:r>
      <w:r w:rsidRPr="000D4367">
        <w:rPr>
          <w:rFonts w:ascii="Georgia" w:hAnsi="Georgia" w:cs="Arial"/>
          <w:i/>
          <w:szCs w:val="26"/>
          <w:lang w:val="en-US"/>
        </w:rPr>
        <w:t>American Antiquity</w:t>
      </w:r>
      <w:r w:rsidRPr="000D4367">
        <w:rPr>
          <w:rFonts w:ascii="Georgia" w:hAnsi="Georgia" w:cs="Arial"/>
          <w:szCs w:val="26"/>
          <w:lang w:val="en-US"/>
        </w:rPr>
        <w:t xml:space="preserve"> 57(4): 595-598</w:t>
      </w:r>
    </w:p>
    <w:p w:rsidR="000D4367" w:rsidRPr="000D4367" w:rsidRDefault="000D4367" w:rsidP="000D4367">
      <w:pPr>
        <w:pStyle w:val="BodyText2"/>
        <w:spacing w:before="100" w:beforeAutospacing="1" w:after="100" w:afterAutospacing="1"/>
        <w:jc w:val="left"/>
        <w:rPr>
          <w:rFonts w:ascii="Georgia" w:hAnsi="Georgia"/>
          <w:sz w:val="24"/>
        </w:rPr>
      </w:pPr>
      <w:r w:rsidRPr="000D4367">
        <w:rPr>
          <w:rFonts w:ascii="Georgia" w:hAnsi="Georgia"/>
          <w:sz w:val="24"/>
        </w:rPr>
        <w:t xml:space="preserve">Greenfield, J. (1986) The Return of Cultural Property, </w:t>
      </w:r>
      <w:r w:rsidRPr="000D4367">
        <w:rPr>
          <w:rFonts w:ascii="Georgia" w:hAnsi="Georgia"/>
          <w:i/>
          <w:sz w:val="24"/>
        </w:rPr>
        <w:t>Antiquity</w:t>
      </w:r>
      <w:r w:rsidRPr="000D4367">
        <w:rPr>
          <w:rFonts w:ascii="Georgia" w:hAnsi="Georgia"/>
          <w:sz w:val="24"/>
        </w:rPr>
        <w:t xml:space="preserve"> 60: 29-35. </w:t>
      </w:r>
    </w:p>
    <w:p w:rsidR="000D4367" w:rsidRPr="000D4367" w:rsidRDefault="000D4367" w:rsidP="000D4367">
      <w:pPr>
        <w:pStyle w:val="BodyText2"/>
        <w:spacing w:before="100" w:beforeAutospacing="1" w:after="100" w:afterAutospacing="1"/>
        <w:jc w:val="left"/>
        <w:rPr>
          <w:rFonts w:ascii="Georgia" w:hAnsi="Georgia"/>
          <w:sz w:val="24"/>
        </w:rPr>
      </w:pPr>
      <w:r w:rsidRPr="000D4367">
        <w:rPr>
          <w:rFonts w:ascii="Georgia" w:hAnsi="Georgia"/>
          <w:sz w:val="24"/>
        </w:rPr>
        <w:t xml:space="preserve">Greenfield, J. (1989) </w:t>
      </w:r>
      <w:r w:rsidRPr="000D4367">
        <w:rPr>
          <w:rFonts w:ascii="Georgia" w:hAnsi="Georgia"/>
          <w:i/>
          <w:sz w:val="24"/>
        </w:rPr>
        <w:t>The Return of Cultural Treasures</w:t>
      </w:r>
      <w:r w:rsidRPr="000D4367">
        <w:rPr>
          <w:rFonts w:ascii="Georgia" w:hAnsi="Georgia"/>
          <w:sz w:val="24"/>
        </w:rPr>
        <w:t>. Cambridge: CUP</w:t>
      </w: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  <w:r w:rsidRPr="000D4367">
        <w:rPr>
          <w:rFonts w:ascii="Georgia" w:hAnsi="Georgia" w:cs="Arial"/>
          <w:szCs w:val="26"/>
          <w:lang w:val="en-US"/>
        </w:rPr>
        <w:t xml:space="preserve">Kramer, J (2004) ‘Figurative repatriation: First Nations ‘artist-warriors’ recover, reclaim, and return cultural property through self-definition. </w:t>
      </w:r>
      <w:r w:rsidRPr="000D4367">
        <w:rPr>
          <w:rFonts w:ascii="Georgia" w:hAnsi="Georgia" w:cs="Arial"/>
          <w:i/>
          <w:szCs w:val="26"/>
          <w:lang w:val="en-US"/>
        </w:rPr>
        <w:t>Journal of Material Culture</w:t>
      </w:r>
      <w:r w:rsidRPr="000D4367">
        <w:rPr>
          <w:rFonts w:ascii="Georgia" w:hAnsi="Georgia" w:cs="Arial"/>
          <w:szCs w:val="26"/>
          <w:lang w:val="en-US"/>
        </w:rPr>
        <w:t xml:space="preserve"> 9(2): 161-82</w:t>
      </w: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</w:p>
    <w:p w:rsidR="000D4367" w:rsidRPr="000D4367" w:rsidRDefault="000D4367" w:rsidP="000D4367">
      <w:pPr>
        <w:rPr>
          <w:rFonts w:ascii="Georgia" w:hAnsi="Georgia" w:cs="Arial"/>
          <w:b/>
          <w:szCs w:val="26"/>
          <w:lang w:val="en-US"/>
        </w:rPr>
      </w:pPr>
      <w:proofErr w:type="spellStart"/>
      <w:r w:rsidRPr="000D4367">
        <w:rPr>
          <w:rFonts w:ascii="Georgia" w:hAnsi="Georgia" w:cs="Arial"/>
          <w:b/>
          <w:szCs w:val="26"/>
          <w:lang w:val="en-US"/>
        </w:rPr>
        <w:t>Krmpotich</w:t>
      </w:r>
      <w:proofErr w:type="spellEnd"/>
      <w:r w:rsidRPr="000D4367">
        <w:rPr>
          <w:rFonts w:ascii="Georgia" w:hAnsi="Georgia" w:cs="Arial"/>
          <w:b/>
          <w:szCs w:val="26"/>
          <w:lang w:val="en-US"/>
        </w:rPr>
        <w:t xml:space="preserve">, C et al. (2010) The substance of bones: The emotive materiality and affective presence of human remains. </w:t>
      </w:r>
      <w:r w:rsidRPr="000D4367">
        <w:rPr>
          <w:rFonts w:ascii="Georgia" w:hAnsi="Georgia" w:cs="Arial"/>
          <w:b/>
          <w:i/>
          <w:iCs/>
          <w:szCs w:val="26"/>
          <w:lang w:val="en-US"/>
        </w:rPr>
        <w:t xml:space="preserve">Journal of Material Culture </w:t>
      </w:r>
      <w:r w:rsidRPr="000D4367">
        <w:rPr>
          <w:rFonts w:ascii="Georgia" w:hAnsi="Georgia" w:cs="Arial"/>
          <w:b/>
          <w:szCs w:val="26"/>
          <w:lang w:val="en-US"/>
        </w:rPr>
        <w:t>15(4): 371-84</w:t>
      </w:r>
    </w:p>
    <w:p w:rsidR="004F0F78" w:rsidRDefault="004F0F78" w:rsidP="004F0F78">
      <w:pPr>
        <w:pStyle w:val="BodyText2"/>
        <w:spacing w:before="100" w:beforeAutospacing="1" w:after="100" w:afterAutospacing="1"/>
        <w:jc w:val="left"/>
        <w:rPr>
          <w:rFonts w:ascii="Georgia" w:hAnsi="Georgia"/>
          <w:szCs w:val="22"/>
        </w:rPr>
      </w:pPr>
      <w:r w:rsidRPr="003D4DE7">
        <w:rPr>
          <w:rFonts w:ascii="Georgia" w:hAnsi="Georgia"/>
          <w:szCs w:val="22"/>
        </w:rPr>
        <w:t>L</w:t>
      </w:r>
      <w:r>
        <w:rPr>
          <w:rFonts w:ascii="Georgia" w:hAnsi="Georgia"/>
          <w:szCs w:val="22"/>
        </w:rPr>
        <w:t>illey,</w:t>
      </w:r>
      <w:r w:rsidRPr="003D4DE7">
        <w:rPr>
          <w:rFonts w:ascii="Georgia" w:hAnsi="Georgia"/>
          <w:szCs w:val="22"/>
        </w:rPr>
        <w:t xml:space="preserve"> (2008) ‘</w:t>
      </w:r>
      <w:r>
        <w:rPr>
          <w:rFonts w:ascii="Georgia" w:hAnsi="Georgia"/>
          <w:szCs w:val="22"/>
        </w:rPr>
        <w:t>Professional Attitudes to Indigenous Interests in the Native Title Era</w:t>
      </w:r>
      <w:r w:rsidRPr="003D4DE7">
        <w:rPr>
          <w:rFonts w:ascii="Georgia" w:hAnsi="Georgia"/>
          <w:szCs w:val="22"/>
        </w:rPr>
        <w:t>’</w:t>
      </w:r>
      <w:r>
        <w:rPr>
          <w:rFonts w:ascii="Georgia" w:hAnsi="Georgia"/>
          <w:szCs w:val="22"/>
        </w:rPr>
        <w:t xml:space="preserve"> in </w:t>
      </w:r>
      <w:r w:rsidRPr="00B119FB">
        <w:rPr>
          <w:rFonts w:ascii="Georgia" w:hAnsi="Georgia"/>
          <w:i/>
          <w:szCs w:val="22"/>
        </w:rPr>
        <w:t>The Heritage Reader</w:t>
      </w:r>
      <w:r>
        <w:rPr>
          <w:rFonts w:ascii="Georgia" w:hAnsi="Georgia"/>
          <w:szCs w:val="22"/>
        </w:rPr>
        <w:t xml:space="preserve">, G. </w:t>
      </w:r>
      <w:proofErr w:type="spellStart"/>
      <w:r>
        <w:rPr>
          <w:rFonts w:ascii="Georgia" w:hAnsi="Georgia"/>
          <w:szCs w:val="22"/>
        </w:rPr>
        <w:t>Fairclough</w:t>
      </w:r>
      <w:proofErr w:type="spellEnd"/>
      <w:r>
        <w:rPr>
          <w:rFonts w:ascii="Georgia" w:hAnsi="Georgia"/>
          <w:szCs w:val="22"/>
        </w:rPr>
        <w:t xml:space="preserve"> et al (</w:t>
      </w:r>
      <w:proofErr w:type="spellStart"/>
      <w:r>
        <w:rPr>
          <w:rFonts w:ascii="Georgia" w:hAnsi="Georgia"/>
          <w:szCs w:val="22"/>
        </w:rPr>
        <w:t>eds</w:t>
      </w:r>
      <w:proofErr w:type="spellEnd"/>
      <w:r>
        <w:rPr>
          <w:rFonts w:ascii="Georgia" w:hAnsi="Georgia"/>
          <w:szCs w:val="22"/>
        </w:rPr>
        <w:t xml:space="preserve">), pp. 191-208. London: </w:t>
      </w:r>
      <w:proofErr w:type="spellStart"/>
      <w:r>
        <w:rPr>
          <w:rFonts w:ascii="Georgia" w:hAnsi="Georgia"/>
          <w:szCs w:val="22"/>
        </w:rPr>
        <w:t>Routledge</w:t>
      </w:r>
      <w:proofErr w:type="spellEnd"/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  <w:proofErr w:type="spellStart"/>
      <w:r w:rsidRPr="000D4367">
        <w:rPr>
          <w:rFonts w:ascii="Georgia" w:hAnsi="Georgia" w:cs="Arial"/>
          <w:szCs w:val="26"/>
          <w:lang w:val="en-US"/>
        </w:rPr>
        <w:t>Krmpotich</w:t>
      </w:r>
      <w:proofErr w:type="spellEnd"/>
      <w:r w:rsidRPr="000D4367">
        <w:rPr>
          <w:rFonts w:ascii="Georgia" w:hAnsi="Georgia" w:cs="Arial"/>
          <w:szCs w:val="26"/>
          <w:lang w:val="en-US"/>
        </w:rPr>
        <w:t xml:space="preserve">, C. (2010) Remembering and Repatriation: The Production of Kinship, Memory and Respect. </w:t>
      </w:r>
      <w:r w:rsidRPr="000D4367">
        <w:rPr>
          <w:rFonts w:ascii="Georgia" w:hAnsi="Georgia" w:cs="Arial"/>
          <w:i/>
          <w:iCs/>
          <w:szCs w:val="26"/>
          <w:lang w:val="en-US"/>
        </w:rPr>
        <w:t xml:space="preserve">Journal of Material Culture </w:t>
      </w:r>
      <w:r w:rsidRPr="000D4367">
        <w:rPr>
          <w:rFonts w:ascii="Georgia" w:hAnsi="Georgia" w:cs="Arial"/>
          <w:szCs w:val="26"/>
          <w:lang w:val="en-US"/>
        </w:rPr>
        <w:t>15(2): 157-179</w:t>
      </w: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  <w:proofErr w:type="spellStart"/>
      <w:r w:rsidRPr="000D4367">
        <w:rPr>
          <w:rFonts w:ascii="Georgia" w:hAnsi="Georgia" w:cs="Arial"/>
          <w:szCs w:val="26"/>
          <w:lang w:val="en-US"/>
        </w:rPr>
        <w:t>Meskell</w:t>
      </w:r>
      <w:proofErr w:type="spellEnd"/>
      <w:r w:rsidRPr="000D4367">
        <w:rPr>
          <w:rFonts w:ascii="Georgia" w:hAnsi="Georgia" w:cs="Arial"/>
          <w:szCs w:val="26"/>
          <w:lang w:val="en-US"/>
        </w:rPr>
        <w:t xml:space="preserve">, L. (2010) Human Rights and Heritage Ethics. </w:t>
      </w:r>
      <w:r w:rsidRPr="000D4367">
        <w:rPr>
          <w:rFonts w:ascii="Georgia" w:hAnsi="Georgia" w:cs="Arial"/>
          <w:i/>
          <w:iCs/>
          <w:szCs w:val="26"/>
          <w:lang w:val="en-US"/>
        </w:rPr>
        <w:t xml:space="preserve">Anthropological Quarterly </w:t>
      </w:r>
      <w:r w:rsidRPr="000D4367">
        <w:rPr>
          <w:rFonts w:ascii="Georgia" w:hAnsi="Georgia" w:cs="Arial"/>
          <w:szCs w:val="26"/>
          <w:lang w:val="en-US"/>
        </w:rPr>
        <w:t>83(4): 839-59.</w:t>
      </w: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  <w:proofErr w:type="spellStart"/>
      <w:proofErr w:type="gramStart"/>
      <w:r w:rsidRPr="000D4367">
        <w:rPr>
          <w:rFonts w:ascii="Georgia" w:hAnsi="Georgia" w:cs="Arial"/>
          <w:szCs w:val="26"/>
          <w:lang w:val="en-US"/>
        </w:rPr>
        <w:t>Meighan</w:t>
      </w:r>
      <w:proofErr w:type="spellEnd"/>
      <w:r w:rsidRPr="000D4367">
        <w:rPr>
          <w:rFonts w:ascii="Georgia" w:hAnsi="Georgia" w:cs="Arial"/>
          <w:szCs w:val="26"/>
          <w:lang w:val="en-US"/>
        </w:rPr>
        <w:t>, C. (1992) ‘Some Scholar’s Views of Reburial.</w:t>
      </w:r>
      <w:proofErr w:type="gramEnd"/>
      <w:r w:rsidRPr="000D4367">
        <w:rPr>
          <w:rFonts w:ascii="Georgia" w:hAnsi="Georgia" w:cs="Arial"/>
          <w:szCs w:val="26"/>
          <w:lang w:val="en-US"/>
        </w:rPr>
        <w:t xml:space="preserve"> </w:t>
      </w:r>
      <w:r w:rsidRPr="000D4367">
        <w:rPr>
          <w:rFonts w:ascii="Georgia" w:hAnsi="Georgia" w:cs="Arial"/>
          <w:i/>
          <w:szCs w:val="26"/>
          <w:lang w:val="en-US"/>
        </w:rPr>
        <w:t>American Antiquity</w:t>
      </w:r>
      <w:r w:rsidRPr="000D4367">
        <w:rPr>
          <w:rFonts w:ascii="Georgia" w:hAnsi="Georgia" w:cs="Arial"/>
          <w:szCs w:val="26"/>
          <w:lang w:val="en-US"/>
        </w:rPr>
        <w:t xml:space="preserve"> 57(4): 74-710</w:t>
      </w: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  <w:r w:rsidRPr="000D4367">
        <w:rPr>
          <w:rFonts w:ascii="Georgia" w:hAnsi="Georgia" w:cs="Arial"/>
          <w:szCs w:val="26"/>
          <w:lang w:val="en-US"/>
        </w:rPr>
        <w:t xml:space="preserve">Nash, S. E. </w:t>
      </w:r>
      <w:proofErr w:type="gramStart"/>
      <w:r w:rsidRPr="000D4367">
        <w:rPr>
          <w:rFonts w:ascii="Georgia" w:hAnsi="Georgia" w:cs="Arial"/>
          <w:szCs w:val="26"/>
          <w:lang w:val="en-US"/>
        </w:rPr>
        <w:t>And C. Colwell-</w:t>
      </w:r>
      <w:proofErr w:type="spellStart"/>
      <w:r w:rsidRPr="000D4367">
        <w:rPr>
          <w:rFonts w:ascii="Georgia" w:hAnsi="Georgia" w:cs="Arial"/>
          <w:szCs w:val="26"/>
          <w:lang w:val="en-US"/>
        </w:rPr>
        <w:t>Chanthaphonh</w:t>
      </w:r>
      <w:proofErr w:type="spellEnd"/>
      <w:r w:rsidRPr="000D4367">
        <w:rPr>
          <w:rFonts w:ascii="Georgia" w:hAnsi="Georgia" w:cs="Arial"/>
          <w:szCs w:val="26"/>
          <w:lang w:val="en-US"/>
        </w:rPr>
        <w:t xml:space="preserve"> (2010) NAGPRA after Two Decades.</w:t>
      </w:r>
      <w:proofErr w:type="gramEnd"/>
      <w:r w:rsidRPr="000D4367">
        <w:rPr>
          <w:rFonts w:ascii="Georgia" w:hAnsi="Georgia" w:cs="Arial"/>
          <w:szCs w:val="26"/>
          <w:lang w:val="en-US"/>
        </w:rPr>
        <w:t xml:space="preserve"> </w:t>
      </w:r>
      <w:r w:rsidRPr="000D4367">
        <w:rPr>
          <w:rFonts w:ascii="Georgia" w:hAnsi="Georgia" w:cs="Arial"/>
          <w:i/>
          <w:iCs/>
          <w:szCs w:val="26"/>
          <w:lang w:val="en-US"/>
        </w:rPr>
        <w:t xml:space="preserve">Museum Anthropology </w:t>
      </w:r>
      <w:r w:rsidRPr="000D4367">
        <w:rPr>
          <w:rFonts w:ascii="Georgia" w:hAnsi="Georgia" w:cs="Arial"/>
          <w:szCs w:val="26"/>
          <w:lang w:val="en-US"/>
        </w:rPr>
        <w:t>33(2): 99-104.</w:t>
      </w:r>
    </w:p>
    <w:p w:rsidR="000D4367" w:rsidRPr="000D4367" w:rsidRDefault="000D4367" w:rsidP="000D4367">
      <w:pPr>
        <w:pStyle w:val="BodyText2"/>
        <w:spacing w:before="100" w:beforeAutospacing="1" w:after="100" w:afterAutospacing="1"/>
        <w:jc w:val="left"/>
        <w:rPr>
          <w:rFonts w:ascii="Georgia" w:hAnsi="Georgia"/>
          <w:sz w:val="24"/>
        </w:rPr>
      </w:pPr>
      <w:r w:rsidRPr="000D4367">
        <w:rPr>
          <w:rFonts w:ascii="Georgia" w:hAnsi="Georgia"/>
          <w:sz w:val="24"/>
        </w:rPr>
        <w:lastRenderedPageBreak/>
        <w:t xml:space="preserve">O’Keefe, P. (1993) The European Convention for the Protection of Archaeological Heritage, </w:t>
      </w:r>
      <w:r w:rsidRPr="000D4367">
        <w:rPr>
          <w:rFonts w:ascii="Georgia" w:hAnsi="Georgia"/>
          <w:i/>
          <w:sz w:val="24"/>
        </w:rPr>
        <w:t>Antiquity</w:t>
      </w:r>
      <w:r w:rsidRPr="000D4367">
        <w:rPr>
          <w:rFonts w:ascii="Georgia" w:hAnsi="Georgia"/>
          <w:sz w:val="24"/>
        </w:rPr>
        <w:t xml:space="preserve"> 67: 255: 406-413. </w:t>
      </w:r>
    </w:p>
    <w:p w:rsidR="000D4367" w:rsidRPr="000D4367" w:rsidRDefault="000D4367" w:rsidP="000D4367">
      <w:pPr>
        <w:rPr>
          <w:rFonts w:ascii="Georgia" w:hAnsi="Georgia"/>
        </w:rPr>
      </w:pPr>
      <w:proofErr w:type="gramStart"/>
      <w:r w:rsidRPr="000D4367">
        <w:rPr>
          <w:rFonts w:ascii="Georgia" w:hAnsi="Georgia" w:cs="Arial"/>
          <w:szCs w:val="26"/>
          <w:lang w:val="en-US"/>
        </w:rPr>
        <w:t xml:space="preserve">Silverman, H and D. Fairchild </w:t>
      </w:r>
      <w:proofErr w:type="spellStart"/>
      <w:r w:rsidRPr="000D4367">
        <w:rPr>
          <w:rFonts w:ascii="Georgia" w:hAnsi="Georgia" w:cs="Arial"/>
          <w:szCs w:val="26"/>
          <w:lang w:val="en-US"/>
        </w:rPr>
        <w:t>Ruggles</w:t>
      </w:r>
      <w:proofErr w:type="spellEnd"/>
      <w:r w:rsidRPr="000D4367">
        <w:rPr>
          <w:rFonts w:ascii="Georgia" w:hAnsi="Georgia" w:cs="Arial"/>
          <w:szCs w:val="26"/>
          <w:lang w:val="en-US"/>
        </w:rPr>
        <w:t xml:space="preserve"> (ed.) (2008) </w:t>
      </w:r>
      <w:r w:rsidRPr="000D4367">
        <w:rPr>
          <w:rFonts w:ascii="Georgia" w:hAnsi="Georgia" w:cs="Arial"/>
          <w:i/>
          <w:szCs w:val="26"/>
          <w:lang w:val="en-US"/>
        </w:rPr>
        <w:t>Cultural Heritage and Human Rights</w:t>
      </w:r>
      <w:r w:rsidRPr="000D4367">
        <w:rPr>
          <w:rFonts w:ascii="Georgia" w:hAnsi="Georgia" w:cs="Arial"/>
          <w:szCs w:val="26"/>
          <w:lang w:val="en-US"/>
        </w:rPr>
        <w:t>.</w:t>
      </w:r>
      <w:proofErr w:type="gramEnd"/>
      <w:r w:rsidRPr="000D4367">
        <w:rPr>
          <w:rFonts w:ascii="Georgia" w:hAnsi="Georgia" w:cs="Arial"/>
          <w:szCs w:val="26"/>
          <w:lang w:val="en-US"/>
        </w:rPr>
        <w:t xml:space="preserve"> London: Springer</w:t>
      </w: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</w:p>
    <w:p w:rsidR="000D4367" w:rsidRPr="000D4367" w:rsidRDefault="000D4367" w:rsidP="000D4367">
      <w:pPr>
        <w:rPr>
          <w:rFonts w:ascii="Georgia" w:hAnsi="Georgia" w:cs="Arial"/>
          <w:b/>
          <w:szCs w:val="26"/>
          <w:lang w:val="en-US"/>
        </w:rPr>
      </w:pPr>
      <w:r w:rsidRPr="000D4367">
        <w:rPr>
          <w:rFonts w:ascii="Georgia" w:hAnsi="Georgia" w:cs="Arial"/>
          <w:b/>
          <w:szCs w:val="26"/>
          <w:lang w:val="en-US"/>
        </w:rPr>
        <w:t xml:space="preserve">Singh, K., (2010) Repatriation without Patria: Repatriating for Tibet. </w:t>
      </w:r>
      <w:r w:rsidRPr="000D4367">
        <w:rPr>
          <w:rFonts w:ascii="Georgia" w:hAnsi="Georgia" w:cs="Arial"/>
          <w:b/>
          <w:i/>
          <w:iCs/>
          <w:szCs w:val="26"/>
          <w:lang w:val="en-US"/>
        </w:rPr>
        <w:t xml:space="preserve">Journal of Material Culture </w:t>
      </w:r>
      <w:r w:rsidRPr="000D4367">
        <w:rPr>
          <w:rFonts w:ascii="Georgia" w:hAnsi="Georgia" w:cs="Arial"/>
          <w:b/>
          <w:szCs w:val="26"/>
          <w:lang w:val="en-US"/>
        </w:rPr>
        <w:t>15(2): 131-55</w:t>
      </w: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  <w:proofErr w:type="spellStart"/>
      <w:proofErr w:type="gramStart"/>
      <w:r w:rsidRPr="000D4367">
        <w:rPr>
          <w:rFonts w:ascii="Georgia" w:hAnsi="Georgia" w:cs="Arial"/>
          <w:szCs w:val="26"/>
          <w:lang w:val="en-US"/>
        </w:rPr>
        <w:t>Strathern</w:t>
      </w:r>
      <w:proofErr w:type="spellEnd"/>
      <w:r w:rsidRPr="000D4367">
        <w:rPr>
          <w:rFonts w:ascii="Georgia" w:hAnsi="Georgia" w:cs="Arial"/>
          <w:szCs w:val="26"/>
          <w:lang w:val="en-US"/>
        </w:rPr>
        <w:t>, M (2004) ‘The Whole Person and its Artifacts.</w:t>
      </w:r>
      <w:proofErr w:type="gramEnd"/>
      <w:r w:rsidRPr="000D4367">
        <w:rPr>
          <w:rFonts w:ascii="Georgia" w:hAnsi="Georgia" w:cs="Arial"/>
          <w:szCs w:val="26"/>
          <w:lang w:val="en-US"/>
        </w:rPr>
        <w:t xml:space="preserve"> </w:t>
      </w:r>
      <w:r w:rsidRPr="000D4367">
        <w:rPr>
          <w:rFonts w:ascii="Georgia" w:hAnsi="Georgia" w:cs="Arial"/>
          <w:i/>
          <w:szCs w:val="26"/>
          <w:lang w:val="en-US"/>
        </w:rPr>
        <w:t>Annual Review of Anthropology</w:t>
      </w:r>
      <w:r w:rsidRPr="000D4367">
        <w:rPr>
          <w:rFonts w:ascii="Georgia" w:hAnsi="Georgia" w:cs="Arial"/>
          <w:szCs w:val="26"/>
          <w:lang w:val="en-US"/>
        </w:rPr>
        <w:t xml:space="preserve"> 33: xiv, 1-19</w:t>
      </w:r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</w:p>
    <w:p w:rsidR="000D4367" w:rsidRPr="000D4367" w:rsidRDefault="000D4367" w:rsidP="000D4367">
      <w:r w:rsidRPr="000D4367">
        <w:rPr>
          <w:rFonts w:ascii="Georgia" w:hAnsi="Georgia"/>
          <w:szCs w:val="22"/>
        </w:rPr>
        <w:t xml:space="preserve">Van </w:t>
      </w:r>
      <w:proofErr w:type="spellStart"/>
      <w:r w:rsidRPr="000D4367">
        <w:rPr>
          <w:rFonts w:ascii="Georgia" w:hAnsi="Georgia"/>
          <w:szCs w:val="22"/>
        </w:rPr>
        <w:t>Krieken</w:t>
      </w:r>
      <w:proofErr w:type="spellEnd"/>
      <w:r w:rsidRPr="000D4367">
        <w:rPr>
          <w:rFonts w:ascii="Georgia" w:hAnsi="Georgia"/>
          <w:szCs w:val="22"/>
        </w:rPr>
        <w:t>-Peters, J. (2010) ‘</w:t>
      </w:r>
      <w:proofErr w:type="gramStart"/>
      <w:r w:rsidRPr="000D4367">
        <w:rPr>
          <w:rFonts w:ascii="Georgia" w:hAnsi="Georgia"/>
          <w:szCs w:val="22"/>
        </w:rPr>
        <w:t>An</w:t>
      </w:r>
      <w:proofErr w:type="gramEnd"/>
      <w:r w:rsidRPr="000D4367">
        <w:rPr>
          <w:rFonts w:ascii="Georgia" w:hAnsi="Georgia"/>
          <w:szCs w:val="22"/>
        </w:rPr>
        <w:t xml:space="preserve"> ivory bull’s head from Afghanistan: legal and ethical dilemmas in national and globalised heritage’ in </w:t>
      </w:r>
      <w:r w:rsidRPr="000D4367">
        <w:rPr>
          <w:rFonts w:ascii="Georgia" w:hAnsi="Georgia"/>
          <w:i/>
          <w:szCs w:val="22"/>
        </w:rPr>
        <w:t xml:space="preserve">Heritage and Globalisation, </w:t>
      </w:r>
      <w:proofErr w:type="spellStart"/>
      <w:r w:rsidRPr="000D4367">
        <w:rPr>
          <w:rFonts w:ascii="Georgia" w:hAnsi="Georgia"/>
          <w:szCs w:val="22"/>
        </w:rPr>
        <w:t>Labadi</w:t>
      </w:r>
      <w:proofErr w:type="spellEnd"/>
      <w:r w:rsidRPr="000D4367">
        <w:rPr>
          <w:rFonts w:ascii="Georgia" w:hAnsi="Georgia"/>
          <w:szCs w:val="22"/>
        </w:rPr>
        <w:t xml:space="preserve">, S and C. Lang (eds.), pp. 85-96. London: </w:t>
      </w:r>
      <w:proofErr w:type="spellStart"/>
      <w:r w:rsidRPr="000D4367">
        <w:rPr>
          <w:rFonts w:ascii="Georgia" w:hAnsi="Georgia"/>
          <w:szCs w:val="22"/>
        </w:rPr>
        <w:t>Routledge</w:t>
      </w:r>
      <w:proofErr w:type="spellEnd"/>
    </w:p>
    <w:p w:rsidR="000D4367" w:rsidRPr="000D4367" w:rsidRDefault="000D4367" w:rsidP="000D4367">
      <w:pPr>
        <w:rPr>
          <w:rFonts w:ascii="Georgia" w:hAnsi="Georgia" w:cs="Arial"/>
          <w:szCs w:val="26"/>
          <w:lang w:val="en-US"/>
        </w:rPr>
      </w:pPr>
    </w:p>
    <w:p w:rsidR="000D4367" w:rsidRPr="000D4367" w:rsidRDefault="000D4367" w:rsidP="000D4367">
      <w:pPr>
        <w:rPr>
          <w:rFonts w:ascii="Georgia" w:hAnsi="Georgia" w:cs="Arial"/>
          <w:b/>
          <w:szCs w:val="26"/>
          <w:lang w:val="en-US"/>
        </w:rPr>
      </w:pPr>
      <w:r w:rsidRPr="000D4367">
        <w:rPr>
          <w:rFonts w:ascii="Georgia" w:hAnsi="Georgia" w:cs="Arial"/>
          <w:b/>
          <w:szCs w:val="26"/>
          <w:lang w:val="en-US"/>
        </w:rPr>
        <w:t xml:space="preserve">Watkins, J. (2003) Beyond the Margin: American Indians, First Nations, and Archaeology in North America. </w:t>
      </w:r>
      <w:r w:rsidRPr="000D4367">
        <w:rPr>
          <w:rFonts w:ascii="Georgia" w:hAnsi="Georgia" w:cs="Arial"/>
          <w:b/>
          <w:i/>
          <w:iCs/>
          <w:szCs w:val="26"/>
          <w:lang w:val="en-US"/>
        </w:rPr>
        <w:t xml:space="preserve">American Antiquity </w:t>
      </w:r>
      <w:r w:rsidRPr="000D4367">
        <w:rPr>
          <w:rFonts w:ascii="Georgia" w:hAnsi="Georgia" w:cs="Arial"/>
          <w:b/>
          <w:szCs w:val="26"/>
          <w:lang w:val="en-US"/>
        </w:rPr>
        <w:t>68(2): 273-85</w:t>
      </w:r>
    </w:p>
    <w:p w:rsidR="000D4367" w:rsidRPr="000D4367" w:rsidRDefault="000D4367" w:rsidP="000D4367">
      <w:pPr>
        <w:rPr>
          <w:rFonts w:ascii="Georgia" w:hAnsi="Georgia"/>
        </w:rPr>
      </w:pPr>
    </w:p>
    <w:p w:rsidR="000D4367" w:rsidRPr="000D4367" w:rsidRDefault="000D4367">
      <w:pPr>
        <w:rPr>
          <w:rFonts w:asciiTheme="minorHAnsi" w:hAnsiTheme="minorHAnsi"/>
          <w:lang w:val="en-US"/>
        </w:rPr>
      </w:pPr>
    </w:p>
    <w:sectPr w:rsidR="000D4367" w:rsidRPr="000D4367" w:rsidSect="00BE21A3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Baskerville">
    <w:altName w:val="Perpetua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7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doNotAutofitConstrainedTables/>
    <w:splitPgBreakAndParaMark/>
    <w:doNotVertAlignCellWithSp/>
    <w:doNotBreakConstrainedForcedTable/>
    <w:useAnsiKerningPairs/>
    <w:cachedColBalance/>
  </w:compat>
  <w:rsids>
    <w:rsidRoot w:val="000D4367"/>
    <w:rsid w:val="000D4367"/>
    <w:rsid w:val="004F0F78"/>
    <w:rsid w:val="00553421"/>
    <w:rsid w:val="006914E3"/>
  </w:rsids>
  <m:mathPr>
    <m:mathFont m:val="Cambria Math"/>
    <m:brkBin m:val="before"/>
    <m:brkBinSub m:val="--"/>
    <m:smallFrac m:val="off"/>
    <m:dispDef m:val="off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2" w:uiPriority="0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4367"/>
    <w:rPr>
      <w:rFonts w:ascii="Baskerville" w:hAnsi="Baskerville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link w:val="BodyText2Char"/>
    <w:rsid w:val="000D4367"/>
    <w:pPr>
      <w:jc w:val="both"/>
    </w:pPr>
    <w:rPr>
      <w:rFonts w:ascii="Arial" w:eastAsia="Times New Roman" w:hAnsi="Arial" w:cs="Times New Roman"/>
      <w:sz w:val="22"/>
      <w:szCs w:val="20"/>
      <w:lang w:eastAsia="en-GB"/>
    </w:rPr>
  </w:style>
  <w:style w:type="character" w:customStyle="1" w:styleId="BodyText2Char">
    <w:name w:val="Body Text 2 Char"/>
    <w:basedOn w:val="DefaultParagraphFont"/>
    <w:link w:val="BodyText2"/>
    <w:rsid w:val="000D4367"/>
    <w:rPr>
      <w:rFonts w:ascii="Arial" w:eastAsia="Times New Roman" w:hAnsi="Arial" w:cs="Times New Roman"/>
      <w:sz w:val="22"/>
      <w:szCs w:val="20"/>
      <w:lang w:val="en-GB" w:eastAsia="en-GB"/>
    </w:rPr>
  </w:style>
  <w:style w:type="character" w:styleId="Hyperlink">
    <w:name w:val="Hyperlink"/>
    <w:basedOn w:val="DefaultParagraphFont"/>
    <w:rsid w:val="000D4367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anthropology.si.edu/repatriation/index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764</Words>
  <Characters>4359</Characters>
  <Application>Microsoft Office Word</Application>
  <DocSecurity>0</DocSecurity>
  <Lines>36</Lines>
  <Paragraphs>10</Paragraphs>
  <ScaleCrop>false</ScaleCrop>
  <Company/>
  <LinksUpToDate>false</LinksUpToDate>
  <CharactersWithSpaces>5113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Emma-Jayne Abbots</dc:creator>
  <cp:lastModifiedBy>Quentin</cp:lastModifiedBy>
  <cp:revision>2</cp:revision>
  <dcterms:created xsi:type="dcterms:W3CDTF">2013-03-07T16:33:00Z</dcterms:created>
  <dcterms:modified xsi:type="dcterms:W3CDTF">2013-03-07T16:33:00Z</dcterms:modified>
</cp:coreProperties>
</file>