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2D05" w:rsidRDefault="00C12D05" w:rsidP="00C12D05">
      <w:r>
        <w:rPr>
          <w:noProof/>
          <w:lang w:eastAsia="en-GB"/>
        </w:rPr>
        <w:drawing>
          <wp:inline distT="0" distB="0" distL="0" distR="0">
            <wp:extent cx="2519986" cy="1080135"/>
            <wp:effectExtent l="0" t="0" r="0" b="5715"/>
            <wp:docPr id="4" name="Picture 4"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8" descr="University of Wales Trinity Saint David Logo Vector - (.SVG + .PNG) -  Tukuz.Com"/>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6041" b="20153"/>
                    <a:stretch/>
                  </pic:blipFill>
                  <pic:spPr bwMode="auto">
                    <a:xfrm>
                      <a:off x="0" y="0"/>
                      <a:ext cx="2556370" cy="1095730"/>
                    </a:xfrm>
                    <a:prstGeom prst="rect">
                      <a:avLst/>
                    </a:prstGeom>
                    <a:noFill/>
                    <a:ln>
                      <a:noFill/>
                    </a:ln>
                    <a:extLst>
                      <a:ext uri="{53640926-AAD7-44D8-BBD7-CCE9431645EC}">
                        <a14:shadowObscured xmlns:a14="http://schemas.microsoft.com/office/drawing/2010/main"/>
                      </a:ext>
                    </a:extLst>
                  </pic:spPr>
                </pic:pic>
              </a:graphicData>
            </a:graphic>
          </wp:inline>
        </w:drawing>
      </w:r>
    </w:p>
    <w:p w:rsidR="00C12D05" w:rsidRDefault="00C12D05" w:rsidP="00C12D05"/>
    <w:p w:rsidR="00C12D05" w:rsidRDefault="00C12D05" w:rsidP="00C12D05"/>
    <w:p w:rsidR="00C12D05" w:rsidRDefault="00C12D05" w:rsidP="00C12D05">
      <w:pPr>
        <w:jc w:val="center"/>
      </w:pPr>
      <w:r>
        <w:t>PROGRAMME: MSc International Business with Data Analytics</w:t>
      </w:r>
    </w:p>
    <w:p w:rsidR="00C12D05" w:rsidRDefault="00C12D05" w:rsidP="00C12D05">
      <w:pPr>
        <w:jc w:val="center"/>
      </w:pPr>
    </w:p>
    <w:p w:rsidR="00C12D05" w:rsidRDefault="00C12D05" w:rsidP="00C12D05">
      <w:pPr>
        <w:jc w:val="center"/>
      </w:pPr>
      <w:r>
        <w:t>MODULE TITLE &amp; CODE: Strategic Management (LCMB7003)</w:t>
      </w:r>
    </w:p>
    <w:p w:rsidR="00C12D05" w:rsidRDefault="00C12D05" w:rsidP="00C12D05">
      <w:pPr>
        <w:jc w:val="center"/>
      </w:pPr>
    </w:p>
    <w:p w:rsidR="00C12D05" w:rsidRDefault="00C12D05" w:rsidP="00C12D05">
      <w:pPr>
        <w:jc w:val="center"/>
      </w:pPr>
      <w:r>
        <w:t>ASSESSMENT TITLE: Strategic Analysis and Evaluation of Unilever</w:t>
      </w:r>
    </w:p>
    <w:p w:rsidR="00C12D05" w:rsidRDefault="00C12D05" w:rsidP="00C12D05">
      <w:pPr>
        <w:jc w:val="center"/>
      </w:pPr>
    </w:p>
    <w:p w:rsidR="00C12D05" w:rsidRDefault="00C12D05" w:rsidP="00C12D05"/>
    <w:p w:rsidR="00C12D05" w:rsidRPr="00BE150F" w:rsidRDefault="00C12D05" w:rsidP="00BE150F">
      <w:pPr>
        <w:jc w:val="center"/>
      </w:pPr>
      <w:r>
        <w:t xml:space="preserve">Student Name: </w:t>
      </w:r>
      <w:r w:rsidR="00BE150F">
        <w:t xml:space="preserve"> </w:t>
      </w:r>
      <w:r w:rsidR="00BE150F" w:rsidRPr="00BE150F">
        <w:t xml:space="preserve">Mohammad </w:t>
      </w:r>
      <w:proofErr w:type="spellStart"/>
      <w:r w:rsidR="00BE150F" w:rsidRPr="00BE150F">
        <w:t>umer</w:t>
      </w:r>
      <w:proofErr w:type="spellEnd"/>
      <w:r w:rsidR="00BE150F" w:rsidRPr="00BE150F">
        <w:t xml:space="preserve"> khan</w:t>
      </w:r>
    </w:p>
    <w:p w:rsidR="00C12D05" w:rsidRDefault="00C12D05" w:rsidP="00C12D05">
      <w:pPr>
        <w:jc w:val="center"/>
      </w:pPr>
      <w:r>
        <w:t xml:space="preserve">Student ID: </w:t>
      </w:r>
      <w:r w:rsidR="00BE150F">
        <w:t xml:space="preserve"> </w:t>
      </w:r>
      <w:r w:rsidR="00BE150F" w:rsidRPr="00BE150F">
        <w:t>2504525</w:t>
      </w:r>
    </w:p>
    <w:p w:rsidR="00C12D05" w:rsidRDefault="00C12D05" w:rsidP="00C12D05">
      <w:pPr>
        <w:jc w:val="center"/>
      </w:pPr>
      <w:r>
        <w:t>WORD COUNT: 5466</w:t>
      </w:r>
    </w:p>
    <w:p w:rsidR="00DD25CC" w:rsidRDefault="00C12D05" w:rsidP="00C12D05">
      <w:pPr>
        <w:jc w:val="center"/>
      </w:pPr>
      <w:r>
        <w:t>SUBMISSION DATE: 1 May 2026</w:t>
      </w:r>
    </w:p>
    <w:p w:rsidR="00DD25CC" w:rsidRDefault="00DD25CC">
      <w:pPr>
        <w:spacing w:line="278" w:lineRule="auto"/>
        <w:jc w:val="left"/>
      </w:pPr>
      <w:r>
        <w:br w:type="page"/>
      </w:r>
    </w:p>
    <w:sdt>
      <w:sdtPr>
        <w:id w:val="2081248065"/>
        <w:docPartObj>
          <w:docPartGallery w:val="Table of Contents"/>
          <w:docPartUnique/>
        </w:docPartObj>
      </w:sdtPr>
      <w:sdtEndPr>
        <w:rPr>
          <w:rFonts w:ascii="Arial" w:eastAsiaTheme="minorHAnsi" w:hAnsi="Arial" w:cstheme="minorBidi"/>
          <w:b/>
          <w:bCs/>
          <w:noProof/>
          <w:color w:val="auto"/>
          <w:kern w:val="2"/>
          <w:sz w:val="24"/>
          <w:szCs w:val="24"/>
          <w:lang w:val="en-GB"/>
          <w14:ligatures w14:val="standardContextual"/>
        </w:rPr>
      </w:sdtEndPr>
      <w:sdtContent>
        <w:p w:rsidR="00DD25CC" w:rsidRDefault="00DD25CC">
          <w:pPr>
            <w:pStyle w:val="TOCHeading"/>
          </w:pPr>
          <w:r>
            <w:t>Table of Contents</w:t>
          </w:r>
        </w:p>
        <w:p w:rsidR="00DD25CC" w:rsidRDefault="00DD25CC">
          <w:pPr>
            <w:pStyle w:val="TOC1"/>
            <w:tabs>
              <w:tab w:val="right" w:leader="dot" w:pos="9016"/>
            </w:tabs>
            <w:rPr>
              <w:noProof/>
            </w:rPr>
          </w:pPr>
          <w:r>
            <w:fldChar w:fldCharType="begin"/>
          </w:r>
          <w:r>
            <w:instrText xml:space="preserve"> TOC \o "1-3" \h \z \u </w:instrText>
          </w:r>
          <w:r>
            <w:fldChar w:fldCharType="separate"/>
          </w:r>
          <w:hyperlink w:anchor="_Toc228493272" w:history="1">
            <w:r w:rsidRPr="00E44AD4">
              <w:rPr>
                <w:rStyle w:val="Hyperlink"/>
                <w:noProof/>
              </w:rPr>
              <w:t>1. ORGANISATIONAL CONTEXT</w:t>
            </w:r>
            <w:r>
              <w:rPr>
                <w:noProof/>
                <w:webHidden/>
              </w:rPr>
              <w:tab/>
            </w:r>
            <w:r>
              <w:rPr>
                <w:noProof/>
                <w:webHidden/>
              </w:rPr>
              <w:fldChar w:fldCharType="begin"/>
            </w:r>
            <w:r>
              <w:rPr>
                <w:noProof/>
                <w:webHidden/>
              </w:rPr>
              <w:instrText xml:space="preserve"> PAGEREF _Toc228493272 \h </w:instrText>
            </w:r>
            <w:r>
              <w:rPr>
                <w:noProof/>
                <w:webHidden/>
              </w:rPr>
            </w:r>
            <w:r>
              <w:rPr>
                <w:noProof/>
                <w:webHidden/>
              </w:rPr>
              <w:fldChar w:fldCharType="separate"/>
            </w:r>
            <w:r>
              <w:rPr>
                <w:noProof/>
                <w:webHidden/>
              </w:rPr>
              <w:t>3</w:t>
            </w:r>
            <w:r>
              <w:rPr>
                <w:noProof/>
                <w:webHidden/>
              </w:rPr>
              <w:fldChar w:fldCharType="end"/>
            </w:r>
          </w:hyperlink>
        </w:p>
        <w:p w:rsidR="00DD25CC" w:rsidRDefault="00DD25CC">
          <w:pPr>
            <w:pStyle w:val="TOC2"/>
            <w:tabs>
              <w:tab w:val="right" w:leader="dot" w:pos="9016"/>
            </w:tabs>
            <w:rPr>
              <w:noProof/>
            </w:rPr>
          </w:pPr>
          <w:hyperlink w:anchor="_Toc228493273" w:history="1">
            <w:r w:rsidRPr="00E44AD4">
              <w:rPr>
                <w:rStyle w:val="Hyperlink"/>
                <w:noProof/>
              </w:rPr>
              <w:t>1.1 Company Overview</w:t>
            </w:r>
            <w:r>
              <w:rPr>
                <w:noProof/>
                <w:webHidden/>
              </w:rPr>
              <w:tab/>
            </w:r>
            <w:r>
              <w:rPr>
                <w:noProof/>
                <w:webHidden/>
              </w:rPr>
              <w:fldChar w:fldCharType="begin"/>
            </w:r>
            <w:r>
              <w:rPr>
                <w:noProof/>
                <w:webHidden/>
              </w:rPr>
              <w:instrText xml:space="preserve"> PAGEREF _Toc228493273 \h </w:instrText>
            </w:r>
            <w:r>
              <w:rPr>
                <w:noProof/>
                <w:webHidden/>
              </w:rPr>
            </w:r>
            <w:r>
              <w:rPr>
                <w:noProof/>
                <w:webHidden/>
              </w:rPr>
              <w:fldChar w:fldCharType="separate"/>
            </w:r>
            <w:r>
              <w:rPr>
                <w:noProof/>
                <w:webHidden/>
              </w:rPr>
              <w:t>3</w:t>
            </w:r>
            <w:r>
              <w:rPr>
                <w:noProof/>
                <w:webHidden/>
              </w:rPr>
              <w:fldChar w:fldCharType="end"/>
            </w:r>
          </w:hyperlink>
        </w:p>
        <w:p w:rsidR="00DD25CC" w:rsidRDefault="00DD25CC">
          <w:pPr>
            <w:pStyle w:val="TOC2"/>
            <w:tabs>
              <w:tab w:val="right" w:leader="dot" w:pos="9016"/>
            </w:tabs>
            <w:rPr>
              <w:noProof/>
            </w:rPr>
          </w:pPr>
          <w:hyperlink w:anchor="_Toc228493274" w:history="1">
            <w:r w:rsidRPr="00E44AD4">
              <w:rPr>
                <w:rStyle w:val="Hyperlink"/>
                <w:noProof/>
              </w:rPr>
              <w:t>1.2 Mission, Vision and Business Model</w:t>
            </w:r>
            <w:r>
              <w:rPr>
                <w:noProof/>
                <w:webHidden/>
              </w:rPr>
              <w:tab/>
            </w:r>
            <w:r>
              <w:rPr>
                <w:noProof/>
                <w:webHidden/>
              </w:rPr>
              <w:fldChar w:fldCharType="begin"/>
            </w:r>
            <w:r>
              <w:rPr>
                <w:noProof/>
                <w:webHidden/>
              </w:rPr>
              <w:instrText xml:space="preserve"> PAGEREF _Toc228493274 \h </w:instrText>
            </w:r>
            <w:r>
              <w:rPr>
                <w:noProof/>
                <w:webHidden/>
              </w:rPr>
            </w:r>
            <w:r>
              <w:rPr>
                <w:noProof/>
                <w:webHidden/>
              </w:rPr>
              <w:fldChar w:fldCharType="separate"/>
            </w:r>
            <w:r>
              <w:rPr>
                <w:noProof/>
                <w:webHidden/>
              </w:rPr>
              <w:t>4</w:t>
            </w:r>
            <w:r>
              <w:rPr>
                <w:noProof/>
                <w:webHidden/>
              </w:rPr>
              <w:fldChar w:fldCharType="end"/>
            </w:r>
          </w:hyperlink>
        </w:p>
        <w:p w:rsidR="00DD25CC" w:rsidRDefault="00DD25CC">
          <w:pPr>
            <w:pStyle w:val="TOC2"/>
            <w:tabs>
              <w:tab w:val="right" w:leader="dot" w:pos="9016"/>
            </w:tabs>
            <w:rPr>
              <w:noProof/>
            </w:rPr>
          </w:pPr>
          <w:hyperlink w:anchor="_Toc228493275" w:history="1">
            <w:r w:rsidRPr="00E44AD4">
              <w:rPr>
                <w:rStyle w:val="Hyperlink"/>
                <w:noProof/>
              </w:rPr>
              <w:t>1.3 Industry and Market Position</w:t>
            </w:r>
            <w:r>
              <w:rPr>
                <w:noProof/>
                <w:webHidden/>
              </w:rPr>
              <w:tab/>
            </w:r>
            <w:r>
              <w:rPr>
                <w:noProof/>
                <w:webHidden/>
              </w:rPr>
              <w:fldChar w:fldCharType="begin"/>
            </w:r>
            <w:r>
              <w:rPr>
                <w:noProof/>
                <w:webHidden/>
              </w:rPr>
              <w:instrText xml:space="preserve"> PAGEREF _Toc228493275 \h </w:instrText>
            </w:r>
            <w:r>
              <w:rPr>
                <w:noProof/>
                <w:webHidden/>
              </w:rPr>
            </w:r>
            <w:r>
              <w:rPr>
                <w:noProof/>
                <w:webHidden/>
              </w:rPr>
              <w:fldChar w:fldCharType="separate"/>
            </w:r>
            <w:r>
              <w:rPr>
                <w:noProof/>
                <w:webHidden/>
              </w:rPr>
              <w:t>4</w:t>
            </w:r>
            <w:r>
              <w:rPr>
                <w:noProof/>
                <w:webHidden/>
              </w:rPr>
              <w:fldChar w:fldCharType="end"/>
            </w:r>
          </w:hyperlink>
        </w:p>
        <w:p w:rsidR="00DD25CC" w:rsidRDefault="00DD25CC">
          <w:pPr>
            <w:pStyle w:val="TOC1"/>
            <w:tabs>
              <w:tab w:val="right" w:leader="dot" w:pos="9016"/>
            </w:tabs>
            <w:rPr>
              <w:noProof/>
            </w:rPr>
          </w:pPr>
          <w:hyperlink w:anchor="_Toc228493276" w:history="1">
            <w:r w:rsidRPr="00E44AD4">
              <w:rPr>
                <w:rStyle w:val="Hyperlink"/>
                <w:noProof/>
              </w:rPr>
              <w:t>2. EXTERNAL &amp; INTERNAL ENVIRONMENT ANALYSIS</w:t>
            </w:r>
            <w:r>
              <w:rPr>
                <w:noProof/>
                <w:webHidden/>
              </w:rPr>
              <w:tab/>
            </w:r>
            <w:r>
              <w:rPr>
                <w:noProof/>
                <w:webHidden/>
              </w:rPr>
              <w:fldChar w:fldCharType="begin"/>
            </w:r>
            <w:r>
              <w:rPr>
                <w:noProof/>
                <w:webHidden/>
              </w:rPr>
              <w:instrText xml:space="preserve"> PAGEREF _Toc228493276 \h </w:instrText>
            </w:r>
            <w:r>
              <w:rPr>
                <w:noProof/>
                <w:webHidden/>
              </w:rPr>
            </w:r>
            <w:r>
              <w:rPr>
                <w:noProof/>
                <w:webHidden/>
              </w:rPr>
              <w:fldChar w:fldCharType="separate"/>
            </w:r>
            <w:r>
              <w:rPr>
                <w:noProof/>
                <w:webHidden/>
              </w:rPr>
              <w:t>5</w:t>
            </w:r>
            <w:r>
              <w:rPr>
                <w:noProof/>
                <w:webHidden/>
              </w:rPr>
              <w:fldChar w:fldCharType="end"/>
            </w:r>
          </w:hyperlink>
        </w:p>
        <w:p w:rsidR="00DD25CC" w:rsidRDefault="00DD25CC">
          <w:pPr>
            <w:pStyle w:val="TOC2"/>
            <w:tabs>
              <w:tab w:val="right" w:leader="dot" w:pos="9016"/>
            </w:tabs>
            <w:rPr>
              <w:noProof/>
            </w:rPr>
          </w:pPr>
          <w:hyperlink w:anchor="_Toc228493277" w:history="1">
            <w:r w:rsidRPr="00E44AD4">
              <w:rPr>
                <w:rStyle w:val="Hyperlink"/>
                <w:noProof/>
              </w:rPr>
              <w:t>2.1 PESTEL ANALYSIS</w:t>
            </w:r>
            <w:r>
              <w:rPr>
                <w:noProof/>
                <w:webHidden/>
              </w:rPr>
              <w:tab/>
            </w:r>
            <w:r>
              <w:rPr>
                <w:noProof/>
                <w:webHidden/>
              </w:rPr>
              <w:fldChar w:fldCharType="begin"/>
            </w:r>
            <w:r>
              <w:rPr>
                <w:noProof/>
                <w:webHidden/>
              </w:rPr>
              <w:instrText xml:space="preserve"> PAGEREF _Toc228493277 \h </w:instrText>
            </w:r>
            <w:r>
              <w:rPr>
                <w:noProof/>
                <w:webHidden/>
              </w:rPr>
            </w:r>
            <w:r>
              <w:rPr>
                <w:noProof/>
                <w:webHidden/>
              </w:rPr>
              <w:fldChar w:fldCharType="separate"/>
            </w:r>
            <w:r>
              <w:rPr>
                <w:noProof/>
                <w:webHidden/>
              </w:rPr>
              <w:t>5</w:t>
            </w:r>
            <w:r>
              <w:rPr>
                <w:noProof/>
                <w:webHidden/>
              </w:rPr>
              <w:fldChar w:fldCharType="end"/>
            </w:r>
          </w:hyperlink>
        </w:p>
        <w:p w:rsidR="00DD25CC" w:rsidRDefault="00DD25CC">
          <w:pPr>
            <w:pStyle w:val="TOC2"/>
            <w:tabs>
              <w:tab w:val="right" w:leader="dot" w:pos="9016"/>
            </w:tabs>
            <w:rPr>
              <w:noProof/>
            </w:rPr>
          </w:pPr>
          <w:hyperlink w:anchor="_Toc228493278" w:history="1">
            <w:r w:rsidRPr="00E44AD4">
              <w:rPr>
                <w:rStyle w:val="Hyperlink"/>
                <w:noProof/>
              </w:rPr>
              <w:t>2.2 PORTER’S FIVE FORCES</w:t>
            </w:r>
            <w:r>
              <w:rPr>
                <w:noProof/>
                <w:webHidden/>
              </w:rPr>
              <w:tab/>
            </w:r>
            <w:r>
              <w:rPr>
                <w:noProof/>
                <w:webHidden/>
              </w:rPr>
              <w:fldChar w:fldCharType="begin"/>
            </w:r>
            <w:r>
              <w:rPr>
                <w:noProof/>
                <w:webHidden/>
              </w:rPr>
              <w:instrText xml:space="preserve"> PAGEREF _Toc228493278 \h </w:instrText>
            </w:r>
            <w:r>
              <w:rPr>
                <w:noProof/>
                <w:webHidden/>
              </w:rPr>
            </w:r>
            <w:r>
              <w:rPr>
                <w:noProof/>
                <w:webHidden/>
              </w:rPr>
              <w:fldChar w:fldCharType="separate"/>
            </w:r>
            <w:r>
              <w:rPr>
                <w:noProof/>
                <w:webHidden/>
              </w:rPr>
              <w:t>7</w:t>
            </w:r>
            <w:r>
              <w:rPr>
                <w:noProof/>
                <w:webHidden/>
              </w:rPr>
              <w:fldChar w:fldCharType="end"/>
            </w:r>
          </w:hyperlink>
        </w:p>
        <w:p w:rsidR="00DD25CC" w:rsidRDefault="00DD25CC">
          <w:pPr>
            <w:pStyle w:val="TOC2"/>
            <w:tabs>
              <w:tab w:val="right" w:leader="dot" w:pos="9016"/>
            </w:tabs>
            <w:rPr>
              <w:noProof/>
            </w:rPr>
          </w:pPr>
          <w:hyperlink w:anchor="_Toc228493279" w:history="1">
            <w:r w:rsidRPr="00E44AD4">
              <w:rPr>
                <w:rStyle w:val="Hyperlink"/>
                <w:noProof/>
              </w:rPr>
              <w:t>2.3 CRITICAL SUCCESS FACTORS (CSFs)</w:t>
            </w:r>
            <w:r>
              <w:rPr>
                <w:noProof/>
                <w:webHidden/>
              </w:rPr>
              <w:tab/>
            </w:r>
            <w:r>
              <w:rPr>
                <w:noProof/>
                <w:webHidden/>
              </w:rPr>
              <w:fldChar w:fldCharType="begin"/>
            </w:r>
            <w:r>
              <w:rPr>
                <w:noProof/>
                <w:webHidden/>
              </w:rPr>
              <w:instrText xml:space="preserve"> PAGEREF _Toc228493279 \h </w:instrText>
            </w:r>
            <w:r>
              <w:rPr>
                <w:noProof/>
                <w:webHidden/>
              </w:rPr>
            </w:r>
            <w:r>
              <w:rPr>
                <w:noProof/>
                <w:webHidden/>
              </w:rPr>
              <w:fldChar w:fldCharType="separate"/>
            </w:r>
            <w:r>
              <w:rPr>
                <w:noProof/>
                <w:webHidden/>
              </w:rPr>
              <w:t>8</w:t>
            </w:r>
            <w:r>
              <w:rPr>
                <w:noProof/>
                <w:webHidden/>
              </w:rPr>
              <w:fldChar w:fldCharType="end"/>
            </w:r>
          </w:hyperlink>
        </w:p>
        <w:p w:rsidR="00DD25CC" w:rsidRDefault="00DD25CC">
          <w:pPr>
            <w:pStyle w:val="TOC2"/>
            <w:tabs>
              <w:tab w:val="right" w:leader="dot" w:pos="9016"/>
            </w:tabs>
            <w:rPr>
              <w:noProof/>
            </w:rPr>
          </w:pPr>
          <w:hyperlink w:anchor="_Toc228493280" w:history="1">
            <w:r w:rsidRPr="00E44AD4">
              <w:rPr>
                <w:rStyle w:val="Hyperlink"/>
                <w:noProof/>
              </w:rPr>
              <w:t>2.4 INTERNAL ANALYSIS USING VRIO</w:t>
            </w:r>
            <w:r>
              <w:rPr>
                <w:noProof/>
                <w:webHidden/>
              </w:rPr>
              <w:tab/>
            </w:r>
            <w:r>
              <w:rPr>
                <w:noProof/>
                <w:webHidden/>
              </w:rPr>
              <w:fldChar w:fldCharType="begin"/>
            </w:r>
            <w:r>
              <w:rPr>
                <w:noProof/>
                <w:webHidden/>
              </w:rPr>
              <w:instrText xml:space="preserve"> PAGEREF _Toc228493280 \h </w:instrText>
            </w:r>
            <w:r>
              <w:rPr>
                <w:noProof/>
                <w:webHidden/>
              </w:rPr>
            </w:r>
            <w:r>
              <w:rPr>
                <w:noProof/>
                <w:webHidden/>
              </w:rPr>
              <w:fldChar w:fldCharType="separate"/>
            </w:r>
            <w:r>
              <w:rPr>
                <w:noProof/>
                <w:webHidden/>
              </w:rPr>
              <w:t>9</w:t>
            </w:r>
            <w:r>
              <w:rPr>
                <w:noProof/>
                <w:webHidden/>
              </w:rPr>
              <w:fldChar w:fldCharType="end"/>
            </w:r>
          </w:hyperlink>
        </w:p>
        <w:p w:rsidR="00DD25CC" w:rsidRDefault="00DD25CC">
          <w:pPr>
            <w:pStyle w:val="TOC2"/>
            <w:tabs>
              <w:tab w:val="right" w:leader="dot" w:pos="9016"/>
            </w:tabs>
            <w:rPr>
              <w:noProof/>
            </w:rPr>
          </w:pPr>
          <w:hyperlink w:anchor="_Toc228493281" w:history="1">
            <w:r w:rsidRPr="00E44AD4">
              <w:rPr>
                <w:rStyle w:val="Hyperlink"/>
                <w:noProof/>
              </w:rPr>
              <w:t>2.5 LINKING INTERNAL CAPABILITIES TO COMPETITIVE ADVANTAGE</w:t>
            </w:r>
            <w:r>
              <w:rPr>
                <w:noProof/>
                <w:webHidden/>
              </w:rPr>
              <w:tab/>
            </w:r>
            <w:r>
              <w:rPr>
                <w:noProof/>
                <w:webHidden/>
              </w:rPr>
              <w:fldChar w:fldCharType="begin"/>
            </w:r>
            <w:r>
              <w:rPr>
                <w:noProof/>
                <w:webHidden/>
              </w:rPr>
              <w:instrText xml:space="preserve"> PAGEREF _Toc228493281 \h </w:instrText>
            </w:r>
            <w:r>
              <w:rPr>
                <w:noProof/>
                <w:webHidden/>
              </w:rPr>
            </w:r>
            <w:r>
              <w:rPr>
                <w:noProof/>
                <w:webHidden/>
              </w:rPr>
              <w:fldChar w:fldCharType="separate"/>
            </w:r>
            <w:r>
              <w:rPr>
                <w:noProof/>
                <w:webHidden/>
              </w:rPr>
              <w:t>11</w:t>
            </w:r>
            <w:r>
              <w:rPr>
                <w:noProof/>
                <w:webHidden/>
              </w:rPr>
              <w:fldChar w:fldCharType="end"/>
            </w:r>
          </w:hyperlink>
        </w:p>
        <w:p w:rsidR="00DD25CC" w:rsidRDefault="00DD25CC">
          <w:pPr>
            <w:pStyle w:val="TOC1"/>
            <w:tabs>
              <w:tab w:val="right" w:leader="dot" w:pos="9016"/>
            </w:tabs>
            <w:rPr>
              <w:noProof/>
            </w:rPr>
          </w:pPr>
          <w:hyperlink w:anchor="_Toc228493282" w:history="1">
            <w:r w:rsidRPr="00E44AD4">
              <w:rPr>
                <w:rStyle w:val="Hyperlink"/>
                <w:noProof/>
              </w:rPr>
              <w:t>3. CSR &amp; SUSTAINABILITY</w:t>
            </w:r>
            <w:r>
              <w:rPr>
                <w:noProof/>
                <w:webHidden/>
              </w:rPr>
              <w:tab/>
            </w:r>
            <w:r>
              <w:rPr>
                <w:noProof/>
                <w:webHidden/>
              </w:rPr>
              <w:fldChar w:fldCharType="begin"/>
            </w:r>
            <w:r>
              <w:rPr>
                <w:noProof/>
                <w:webHidden/>
              </w:rPr>
              <w:instrText xml:space="preserve"> PAGEREF _Toc228493282 \h </w:instrText>
            </w:r>
            <w:r>
              <w:rPr>
                <w:noProof/>
                <w:webHidden/>
              </w:rPr>
            </w:r>
            <w:r>
              <w:rPr>
                <w:noProof/>
                <w:webHidden/>
              </w:rPr>
              <w:fldChar w:fldCharType="separate"/>
            </w:r>
            <w:r>
              <w:rPr>
                <w:noProof/>
                <w:webHidden/>
              </w:rPr>
              <w:t>11</w:t>
            </w:r>
            <w:r>
              <w:rPr>
                <w:noProof/>
                <w:webHidden/>
              </w:rPr>
              <w:fldChar w:fldCharType="end"/>
            </w:r>
          </w:hyperlink>
        </w:p>
        <w:p w:rsidR="00DD25CC" w:rsidRDefault="00DD25CC">
          <w:pPr>
            <w:pStyle w:val="TOC2"/>
            <w:tabs>
              <w:tab w:val="right" w:leader="dot" w:pos="9016"/>
            </w:tabs>
            <w:rPr>
              <w:noProof/>
            </w:rPr>
          </w:pPr>
          <w:hyperlink w:anchor="_Toc228493283" w:history="1">
            <w:r w:rsidRPr="00E44AD4">
              <w:rPr>
                <w:rStyle w:val="Hyperlink"/>
                <w:noProof/>
              </w:rPr>
              <w:t>3.1 CSR Strategy</w:t>
            </w:r>
            <w:r>
              <w:rPr>
                <w:noProof/>
                <w:webHidden/>
              </w:rPr>
              <w:tab/>
            </w:r>
            <w:r>
              <w:rPr>
                <w:noProof/>
                <w:webHidden/>
              </w:rPr>
              <w:fldChar w:fldCharType="begin"/>
            </w:r>
            <w:r>
              <w:rPr>
                <w:noProof/>
                <w:webHidden/>
              </w:rPr>
              <w:instrText xml:space="preserve"> PAGEREF _Toc228493283 \h </w:instrText>
            </w:r>
            <w:r>
              <w:rPr>
                <w:noProof/>
                <w:webHidden/>
              </w:rPr>
            </w:r>
            <w:r>
              <w:rPr>
                <w:noProof/>
                <w:webHidden/>
              </w:rPr>
              <w:fldChar w:fldCharType="separate"/>
            </w:r>
            <w:r>
              <w:rPr>
                <w:noProof/>
                <w:webHidden/>
              </w:rPr>
              <w:t>11</w:t>
            </w:r>
            <w:r>
              <w:rPr>
                <w:noProof/>
                <w:webHidden/>
              </w:rPr>
              <w:fldChar w:fldCharType="end"/>
            </w:r>
          </w:hyperlink>
        </w:p>
        <w:p w:rsidR="00DD25CC" w:rsidRDefault="00DD25CC">
          <w:pPr>
            <w:pStyle w:val="TOC2"/>
            <w:tabs>
              <w:tab w:val="right" w:leader="dot" w:pos="9016"/>
            </w:tabs>
            <w:rPr>
              <w:noProof/>
            </w:rPr>
          </w:pPr>
          <w:hyperlink w:anchor="_Toc228493284" w:history="1">
            <w:r w:rsidRPr="00E44AD4">
              <w:rPr>
                <w:rStyle w:val="Hyperlink"/>
                <w:noProof/>
              </w:rPr>
              <w:t>3.2 CRITICAL ANALYSIS</w:t>
            </w:r>
            <w:r>
              <w:rPr>
                <w:noProof/>
                <w:webHidden/>
              </w:rPr>
              <w:tab/>
            </w:r>
            <w:r>
              <w:rPr>
                <w:noProof/>
                <w:webHidden/>
              </w:rPr>
              <w:fldChar w:fldCharType="begin"/>
            </w:r>
            <w:r>
              <w:rPr>
                <w:noProof/>
                <w:webHidden/>
              </w:rPr>
              <w:instrText xml:space="preserve"> PAGEREF _Toc228493284 \h </w:instrText>
            </w:r>
            <w:r>
              <w:rPr>
                <w:noProof/>
                <w:webHidden/>
              </w:rPr>
            </w:r>
            <w:r>
              <w:rPr>
                <w:noProof/>
                <w:webHidden/>
              </w:rPr>
              <w:fldChar w:fldCharType="separate"/>
            </w:r>
            <w:r>
              <w:rPr>
                <w:noProof/>
                <w:webHidden/>
              </w:rPr>
              <w:t>12</w:t>
            </w:r>
            <w:r>
              <w:rPr>
                <w:noProof/>
                <w:webHidden/>
              </w:rPr>
              <w:fldChar w:fldCharType="end"/>
            </w:r>
          </w:hyperlink>
        </w:p>
        <w:p w:rsidR="00DD25CC" w:rsidRDefault="00DD25CC">
          <w:pPr>
            <w:pStyle w:val="TOC1"/>
            <w:tabs>
              <w:tab w:val="right" w:leader="dot" w:pos="9016"/>
            </w:tabs>
            <w:rPr>
              <w:noProof/>
            </w:rPr>
          </w:pPr>
          <w:hyperlink w:anchor="_Toc228493285" w:history="1">
            <w:r w:rsidRPr="00E44AD4">
              <w:rPr>
                <w:rStyle w:val="Hyperlink"/>
                <w:noProof/>
              </w:rPr>
              <w:t>4. BALANCED SCORECARD</w:t>
            </w:r>
            <w:r>
              <w:rPr>
                <w:noProof/>
                <w:webHidden/>
              </w:rPr>
              <w:tab/>
            </w:r>
            <w:r>
              <w:rPr>
                <w:noProof/>
                <w:webHidden/>
              </w:rPr>
              <w:fldChar w:fldCharType="begin"/>
            </w:r>
            <w:r>
              <w:rPr>
                <w:noProof/>
                <w:webHidden/>
              </w:rPr>
              <w:instrText xml:space="preserve"> PAGEREF _Toc228493285 \h </w:instrText>
            </w:r>
            <w:r>
              <w:rPr>
                <w:noProof/>
                <w:webHidden/>
              </w:rPr>
            </w:r>
            <w:r>
              <w:rPr>
                <w:noProof/>
                <w:webHidden/>
              </w:rPr>
              <w:fldChar w:fldCharType="separate"/>
            </w:r>
            <w:r>
              <w:rPr>
                <w:noProof/>
                <w:webHidden/>
              </w:rPr>
              <w:t>13</w:t>
            </w:r>
            <w:r>
              <w:rPr>
                <w:noProof/>
                <w:webHidden/>
              </w:rPr>
              <w:fldChar w:fldCharType="end"/>
            </w:r>
          </w:hyperlink>
        </w:p>
        <w:p w:rsidR="00DD25CC" w:rsidRDefault="00DD25CC">
          <w:pPr>
            <w:pStyle w:val="TOC1"/>
            <w:tabs>
              <w:tab w:val="right" w:leader="dot" w:pos="9016"/>
            </w:tabs>
            <w:rPr>
              <w:noProof/>
            </w:rPr>
          </w:pPr>
          <w:hyperlink w:anchor="_Toc228493286" w:history="1">
            <w:r w:rsidRPr="00E44AD4">
              <w:rPr>
                <w:rStyle w:val="Hyperlink"/>
                <w:noProof/>
              </w:rPr>
              <w:t>6. STRATEGIC EVALUATION &amp; RECOMMENDATIONS</w:t>
            </w:r>
            <w:r>
              <w:rPr>
                <w:noProof/>
                <w:webHidden/>
              </w:rPr>
              <w:tab/>
            </w:r>
            <w:r>
              <w:rPr>
                <w:noProof/>
                <w:webHidden/>
              </w:rPr>
              <w:fldChar w:fldCharType="begin"/>
            </w:r>
            <w:r>
              <w:rPr>
                <w:noProof/>
                <w:webHidden/>
              </w:rPr>
              <w:instrText xml:space="preserve"> PAGEREF _Toc228493286 \h </w:instrText>
            </w:r>
            <w:r>
              <w:rPr>
                <w:noProof/>
                <w:webHidden/>
              </w:rPr>
            </w:r>
            <w:r>
              <w:rPr>
                <w:noProof/>
                <w:webHidden/>
              </w:rPr>
              <w:fldChar w:fldCharType="separate"/>
            </w:r>
            <w:r>
              <w:rPr>
                <w:noProof/>
                <w:webHidden/>
              </w:rPr>
              <w:t>15</w:t>
            </w:r>
            <w:r>
              <w:rPr>
                <w:noProof/>
                <w:webHidden/>
              </w:rPr>
              <w:fldChar w:fldCharType="end"/>
            </w:r>
          </w:hyperlink>
        </w:p>
        <w:p w:rsidR="00DD25CC" w:rsidRDefault="00DD25CC">
          <w:pPr>
            <w:pStyle w:val="TOC2"/>
            <w:tabs>
              <w:tab w:val="right" w:leader="dot" w:pos="9016"/>
            </w:tabs>
            <w:rPr>
              <w:noProof/>
            </w:rPr>
          </w:pPr>
          <w:hyperlink w:anchor="_Toc228493287" w:history="1">
            <w:r w:rsidRPr="00E44AD4">
              <w:rPr>
                <w:rStyle w:val="Hyperlink"/>
                <w:noProof/>
              </w:rPr>
              <w:t>6.1 SWOT Analysis</w:t>
            </w:r>
            <w:r>
              <w:rPr>
                <w:noProof/>
                <w:webHidden/>
              </w:rPr>
              <w:tab/>
            </w:r>
            <w:r>
              <w:rPr>
                <w:noProof/>
                <w:webHidden/>
              </w:rPr>
              <w:fldChar w:fldCharType="begin"/>
            </w:r>
            <w:r>
              <w:rPr>
                <w:noProof/>
                <w:webHidden/>
              </w:rPr>
              <w:instrText xml:space="preserve"> PAGEREF _Toc228493287 \h </w:instrText>
            </w:r>
            <w:r>
              <w:rPr>
                <w:noProof/>
                <w:webHidden/>
              </w:rPr>
            </w:r>
            <w:r>
              <w:rPr>
                <w:noProof/>
                <w:webHidden/>
              </w:rPr>
              <w:fldChar w:fldCharType="separate"/>
            </w:r>
            <w:r>
              <w:rPr>
                <w:noProof/>
                <w:webHidden/>
              </w:rPr>
              <w:t>15</w:t>
            </w:r>
            <w:r>
              <w:rPr>
                <w:noProof/>
                <w:webHidden/>
              </w:rPr>
              <w:fldChar w:fldCharType="end"/>
            </w:r>
          </w:hyperlink>
        </w:p>
        <w:p w:rsidR="00DD25CC" w:rsidRDefault="00DD25CC">
          <w:pPr>
            <w:pStyle w:val="TOC2"/>
            <w:tabs>
              <w:tab w:val="right" w:leader="dot" w:pos="9016"/>
            </w:tabs>
            <w:rPr>
              <w:noProof/>
            </w:rPr>
          </w:pPr>
          <w:hyperlink w:anchor="_Toc228493288" w:history="1">
            <w:r w:rsidRPr="00E44AD4">
              <w:rPr>
                <w:rStyle w:val="Hyperlink"/>
                <w:noProof/>
              </w:rPr>
              <w:t>6.2 Ansoff Matrix</w:t>
            </w:r>
            <w:r>
              <w:rPr>
                <w:noProof/>
                <w:webHidden/>
              </w:rPr>
              <w:tab/>
            </w:r>
            <w:r>
              <w:rPr>
                <w:noProof/>
                <w:webHidden/>
              </w:rPr>
              <w:fldChar w:fldCharType="begin"/>
            </w:r>
            <w:r>
              <w:rPr>
                <w:noProof/>
                <w:webHidden/>
              </w:rPr>
              <w:instrText xml:space="preserve"> PAGEREF _Toc228493288 \h </w:instrText>
            </w:r>
            <w:r>
              <w:rPr>
                <w:noProof/>
                <w:webHidden/>
              </w:rPr>
            </w:r>
            <w:r>
              <w:rPr>
                <w:noProof/>
                <w:webHidden/>
              </w:rPr>
              <w:fldChar w:fldCharType="separate"/>
            </w:r>
            <w:r>
              <w:rPr>
                <w:noProof/>
                <w:webHidden/>
              </w:rPr>
              <w:t>16</w:t>
            </w:r>
            <w:r>
              <w:rPr>
                <w:noProof/>
                <w:webHidden/>
              </w:rPr>
              <w:fldChar w:fldCharType="end"/>
            </w:r>
          </w:hyperlink>
        </w:p>
        <w:p w:rsidR="00DD25CC" w:rsidRDefault="00DD25CC">
          <w:pPr>
            <w:pStyle w:val="TOC2"/>
            <w:tabs>
              <w:tab w:val="right" w:leader="dot" w:pos="9016"/>
            </w:tabs>
            <w:rPr>
              <w:noProof/>
            </w:rPr>
          </w:pPr>
          <w:hyperlink w:anchor="_Toc228493289" w:history="1">
            <w:r w:rsidRPr="00E44AD4">
              <w:rPr>
                <w:rStyle w:val="Hyperlink"/>
                <w:noProof/>
              </w:rPr>
              <w:t>6.3 BCG Matrix</w:t>
            </w:r>
            <w:r>
              <w:rPr>
                <w:noProof/>
                <w:webHidden/>
              </w:rPr>
              <w:tab/>
            </w:r>
            <w:r>
              <w:rPr>
                <w:noProof/>
                <w:webHidden/>
              </w:rPr>
              <w:fldChar w:fldCharType="begin"/>
            </w:r>
            <w:r>
              <w:rPr>
                <w:noProof/>
                <w:webHidden/>
              </w:rPr>
              <w:instrText xml:space="preserve"> PAGEREF _Toc228493289 \h </w:instrText>
            </w:r>
            <w:r>
              <w:rPr>
                <w:noProof/>
                <w:webHidden/>
              </w:rPr>
            </w:r>
            <w:r>
              <w:rPr>
                <w:noProof/>
                <w:webHidden/>
              </w:rPr>
              <w:fldChar w:fldCharType="separate"/>
            </w:r>
            <w:r>
              <w:rPr>
                <w:noProof/>
                <w:webHidden/>
              </w:rPr>
              <w:t>17</w:t>
            </w:r>
            <w:r>
              <w:rPr>
                <w:noProof/>
                <w:webHidden/>
              </w:rPr>
              <w:fldChar w:fldCharType="end"/>
            </w:r>
          </w:hyperlink>
        </w:p>
        <w:p w:rsidR="00DD25CC" w:rsidRDefault="00DD25CC">
          <w:pPr>
            <w:pStyle w:val="TOC2"/>
            <w:tabs>
              <w:tab w:val="right" w:leader="dot" w:pos="9016"/>
            </w:tabs>
            <w:rPr>
              <w:noProof/>
            </w:rPr>
          </w:pPr>
          <w:hyperlink w:anchor="_Toc228493290" w:history="1">
            <w:r w:rsidRPr="00E44AD4">
              <w:rPr>
                <w:rStyle w:val="Hyperlink"/>
                <w:noProof/>
              </w:rPr>
              <w:t>6.4 Recommendations</w:t>
            </w:r>
            <w:r>
              <w:rPr>
                <w:noProof/>
                <w:webHidden/>
              </w:rPr>
              <w:tab/>
            </w:r>
            <w:r>
              <w:rPr>
                <w:noProof/>
                <w:webHidden/>
              </w:rPr>
              <w:fldChar w:fldCharType="begin"/>
            </w:r>
            <w:r>
              <w:rPr>
                <w:noProof/>
                <w:webHidden/>
              </w:rPr>
              <w:instrText xml:space="preserve"> PAGEREF _Toc228493290 \h </w:instrText>
            </w:r>
            <w:r>
              <w:rPr>
                <w:noProof/>
                <w:webHidden/>
              </w:rPr>
            </w:r>
            <w:r>
              <w:rPr>
                <w:noProof/>
                <w:webHidden/>
              </w:rPr>
              <w:fldChar w:fldCharType="separate"/>
            </w:r>
            <w:r>
              <w:rPr>
                <w:noProof/>
                <w:webHidden/>
              </w:rPr>
              <w:t>18</w:t>
            </w:r>
            <w:r>
              <w:rPr>
                <w:noProof/>
                <w:webHidden/>
              </w:rPr>
              <w:fldChar w:fldCharType="end"/>
            </w:r>
          </w:hyperlink>
        </w:p>
        <w:p w:rsidR="00DD25CC" w:rsidRDefault="00DD25CC">
          <w:pPr>
            <w:pStyle w:val="TOC1"/>
            <w:tabs>
              <w:tab w:val="right" w:leader="dot" w:pos="9016"/>
            </w:tabs>
            <w:rPr>
              <w:noProof/>
            </w:rPr>
          </w:pPr>
          <w:hyperlink w:anchor="_Toc228493291" w:history="1">
            <w:r w:rsidRPr="00E44AD4">
              <w:rPr>
                <w:rStyle w:val="Hyperlink"/>
                <w:noProof/>
              </w:rPr>
              <w:t>SECTION 2: REFLECTIVE ACCOUNT</w:t>
            </w:r>
            <w:r>
              <w:rPr>
                <w:noProof/>
                <w:webHidden/>
              </w:rPr>
              <w:tab/>
            </w:r>
            <w:r>
              <w:rPr>
                <w:noProof/>
                <w:webHidden/>
              </w:rPr>
              <w:fldChar w:fldCharType="begin"/>
            </w:r>
            <w:r>
              <w:rPr>
                <w:noProof/>
                <w:webHidden/>
              </w:rPr>
              <w:instrText xml:space="preserve"> PAGEREF _Toc228493291 \h </w:instrText>
            </w:r>
            <w:r>
              <w:rPr>
                <w:noProof/>
                <w:webHidden/>
              </w:rPr>
            </w:r>
            <w:r>
              <w:rPr>
                <w:noProof/>
                <w:webHidden/>
              </w:rPr>
              <w:fldChar w:fldCharType="separate"/>
            </w:r>
            <w:r>
              <w:rPr>
                <w:noProof/>
                <w:webHidden/>
              </w:rPr>
              <w:t>19</w:t>
            </w:r>
            <w:r>
              <w:rPr>
                <w:noProof/>
                <w:webHidden/>
              </w:rPr>
              <w:fldChar w:fldCharType="end"/>
            </w:r>
          </w:hyperlink>
        </w:p>
        <w:p w:rsidR="00DD25CC" w:rsidRDefault="00DD25CC">
          <w:pPr>
            <w:pStyle w:val="TOC1"/>
            <w:tabs>
              <w:tab w:val="right" w:leader="dot" w:pos="9016"/>
            </w:tabs>
            <w:rPr>
              <w:noProof/>
            </w:rPr>
          </w:pPr>
          <w:hyperlink w:anchor="_Toc228493292" w:history="1">
            <w:r w:rsidRPr="00E44AD4">
              <w:rPr>
                <w:rStyle w:val="Hyperlink"/>
                <w:noProof/>
              </w:rPr>
              <w:t>7. REFLECTION USING GIBBS’ REFLECTIVE CYCLE</w:t>
            </w:r>
            <w:r>
              <w:rPr>
                <w:noProof/>
                <w:webHidden/>
              </w:rPr>
              <w:tab/>
            </w:r>
            <w:r>
              <w:rPr>
                <w:noProof/>
                <w:webHidden/>
              </w:rPr>
              <w:fldChar w:fldCharType="begin"/>
            </w:r>
            <w:r>
              <w:rPr>
                <w:noProof/>
                <w:webHidden/>
              </w:rPr>
              <w:instrText xml:space="preserve"> PAGEREF _Toc228493292 \h </w:instrText>
            </w:r>
            <w:r>
              <w:rPr>
                <w:noProof/>
                <w:webHidden/>
              </w:rPr>
            </w:r>
            <w:r>
              <w:rPr>
                <w:noProof/>
                <w:webHidden/>
              </w:rPr>
              <w:fldChar w:fldCharType="separate"/>
            </w:r>
            <w:r>
              <w:rPr>
                <w:noProof/>
                <w:webHidden/>
              </w:rPr>
              <w:t>19</w:t>
            </w:r>
            <w:r>
              <w:rPr>
                <w:noProof/>
                <w:webHidden/>
              </w:rPr>
              <w:fldChar w:fldCharType="end"/>
            </w:r>
          </w:hyperlink>
        </w:p>
        <w:p w:rsidR="00DD25CC" w:rsidRDefault="00DD25CC">
          <w:pPr>
            <w:pStyle w:val="TOC2"/>
            <w:tabs>
              <w:tab w:val="right" w:leader="dot" w:pos="9016"/>
            </w:tabs>
            <w:rPr>
              <w:noProof/>
            </w:rPr>
          </w:pPr>
          <w:hyperlink w:anchor="_Toc228493293" w:history="1">
            <w:r w:rsidRPr="00E44AD4">
              <w:rPr>
                <w:rStyle w:val="Hyperlink"/>
                <w:noProof/>
              </w:rPr>
              <w:t>7.1 Description</w:t>
            </w:r>
            <w:r>
              <w:rPr>
                <w:noProof/>
                <w:webHidden/>
              </w:rPr>
              <w:tab/>
            </w:r>
            <w:r>
              <w:rPr>
                <w:noProof/>
                <w:webHidden/>
              </w:rPr>
              <w:fldChar w:fldCharType="begin"/>
            </w:r>
            <w:r>
              <w:rPr>
                <w:noProof/>
                <w:webHidden/>
              </w:rPr>
              <w:instrText xml:space="preserve"> PAGEREF _Toc228493293 \h </w:instrText>
            </w:r>
            <w:r>
              <w:rPr>
                <w:noProof/>
                <w:webHidden/>
              </w:rPr>
            </w:r>
            <w:r>
              <w:rPr>
                <w:noProof/>
                <w:webHidden/>
              </w:rPr>
              <w:fldChar w:fldCharType="separate"/>
            </w:r>
            <w:r>
              <w:rPr>
                <w:noProof/>
                <w:webHidden/>
              </w:rPr>
              <w:t>19</w:t>
            </w:r>
            <w:r>
              <w:rPr>
                <w:noProof/>
                <w:webHidden/>
              </w:rPr>
              <w:fldChar w:fldCharType="end"/>
            </w:r>
          </w:hyperlink>
        </w:p>
        <w:p w:rsidR="00DD25CC" w:rsidRDefault="00DD25CC">
          <w:pPr>
            <w:pStyle w:val="TOC2"/>
            <w:tabs>
              <w:tab w:val="right" w:leader="dot" w:pos="9016"/>
            </w:tabs>
            <w:rPr>
              <w:noProof/>
            </w:rPr>
          </w:pPr>
          <w:hyperlink w:anchor="_Toc228493294" w:history="1">
            <w:r w:rsidRPr="00E44AD4">
              <w:rPr>
                <w:rStyle w:val="Hyperlink"/>
                <w:noProof/>
              </w:rPr>
              <w:t>7.2 Feelings</w:t>
            </w:r>
            <w:r>
              <w:rPr>
                <w:noProof/>
                <w:webHidden/>
              </w:rPr>
              <w:tab/>
            </w:r>
            <w:r>
              <w:rPr>
                <w:noProof/>
                <w:webHidden/>
              </w:rPr>
              <w:fldChar w:fldCharType="begin"/>
            </w:r>
            <w:r>
              <w:rPr>
                <w:noProof/>
                <w:webHidden/>
              </w:rPr>
              <w:instrText xml:space="preserve"> PAGEREF _Toc228493294 \h </w:instrText>
            </w:r>
            <w:r>
              <w:rPr>
                <w:noProof/>
                <w:webHidden/>
              </w:rPr>
            </w:r>
            <w:r>
              <w:rPr>
                <w:noProof/>
                <w:webHidden/>
              </w:rPr>
              <w:fldChar w:fldCharType="separate"/>
            </w:r>
            <w:r>
              <w:rPr>
                <w:noProof/>
                <w:webHidden/>
              </w:rPr>
              <w:t>19</w:t>
            </w:r>
            <w:r>
              <w:rPr>
                <w:noProof/>
                <w:webHidden/>
              </w:rPr>
              <w:fldChar w:fldCharType="end"/>
            </w:r>
          </w:hyperlink>
        </w:p>
        <w:p w:rsidR="00DD25CC" w:rsidRDefault="00DD25CC">
          <w:pPr>
            <w:pStyle w:val="TOC2"/>
            <w:tabs>
              <w:tab w:val="right" w:leader="dot" w:pos="9016"/>
            </w:tabs>
            <w:rPr>
              <w:noProof/>
            </w:rPr>
          </w:pPr>
          <w:hyperlink w:anchor="_Toc228493295" w:history="1">
            <w:r w:rsidRPr="00E44AD4">
              <w:rPr>
                <w:rStyle w:val="Hyperlink"/>
                <w:noProof/>
              </w:rPr>
              <w:t>7.3 Evaluation</w:t>
            </w:r>
            <w:r>
              <w:rPr>
                <w:noProof/>
                <w:webHidden/>
              </w:rPr>
              <w:tab/>
            </w:r>
            <w:r>
              <w:rPr>
                <w:noProof/>
                <w:webHidden/>
              </w:rPr>
              <w:fldChar w:fldCharType="begin"/>
            </w:r>
            <w:r>
              <w:rPr>
                <w:noProof/>
                <w:webHidden/>
              </w:rPr>
              <w:instrText xml:space="preserve"> PAGEREF _Toc228493295 \h </w:instrText>
            </w:r>
            <w:r>
              <w:rPr>
                <w:noProof/>
                <w:webHidden/>
              </w:rPr>
            </w:r>
            <w:r>
              <w:rPr>
                <w:noProof/>
                <w:webHidden/>
              </w:rPr>
              <w:fldChar w:fldCharType="separate"/>
            </w:r>
            <w:r>
              <w:rPr>
                <w:noProof/>
                <w:webHidden/>
              </w:rPr>
              <w:t>20</w:t>
            </w:r>
            <w:r>
              <w:rPr>
                <w:noProof/>
                <w:webHidden/>
              </w:rPr>
              <w:fldChar w:fldCharType="end"/>
            </w:r>
          </w:hyperlink>
        </w:p>
        <w:p w:rsidR="00DD25CC" w:rsidRDefault="00DD25CC">
          <w:pPr>
            <w:pStyle w:val="TOC2"/>
            <w:tabs>
              <w:tab w:val="right" w:leader="dot" w:pos="9016"/>
            </w:tabs>
            <w:rPr>
              <w:noProof/>
            </w:rPr>
          </w:pPr>
          <w:hyperlink w:anchor="_Toc228493296" w:history="1">
            <w:r w:rsidRPr="00E44AD4">
              <w:rPr>
                <w:rStyle w:val="Hyperlink"/>
                <w:noProof/>
              </w:rPr>
              <w:t>7.4 Analysis</w:t>
            </w:r>
            <w:r>
              <w:rPr>
                <w:noProof/>
                <w:webHidden/>
              </w:rPr>
              <w:tab/>
            </w:r>
            <w:r>
              <w:rPr>
                <w:noProof/>
                <w:webHidden/>
              </w:rPr>
              <w:fldChar w:fldCharType="begin"/>
            </w:r>
            <w:r>
              <w:rPr>
                <w:noProof/>
                <w:webHidden/>
              </w:rPr>
              <w:instrText xml:space="preserve"> PAGEREF _Toc228493296 \h </w:instrText>
            </w:r>
            <w:r>
              <w:rPr>
                <w:noProof/>
                <w:webHidden/>
              </w:rPr>
            </w:r>
            <w:r>
              <w:rPr>
                <w:noProof/>
                <w:webHidden/>
              </w:rPr>
              <w:fldChar w:fldCharType="separate"/>
            </w:r>
            <w:r>
              <w:rPr>
                <w:noProof/>
                <w:webHidden/>
              </w:rPr>
              <w:t>20</w:t>
            </w:r>
            <w:r>
              <w:rPr>
                <w:noProof/>
                <w:webHidden/>
              </w:rPr>
              <w:fldChar w:fldCharType="end"/>
            </w:r>
          </w:hyperlink>
        </w:p>
        <w:p w:rsidR="00DD25CC" w:rsidRDefault="00DD25CC">
          <w:pPr>
            <w:pStyle w:val="TOC2"/>
            <w:tabs>
              <w:tab w:val="right" w:leader="dot" w:pos="9016"/>
            </w:tabs>
            <w:rPr>
              <w:noProof/>
            </w:rPr>
          </w:pPr>
          <w:hyperlink w:anchor="_Toc228493297" w:history="1">
            <w:r w:rsidRPr="00E44AD4">
              <w:rPr>
                <w:rStyle w:val="Hyperlink"/>
                <w:noProof/>
              </w:rPr>
              <w:t>7.5 Conclusion</w:t>
            </w:r>
            <w:r>
              <w:rPr>
                <w:noProof/>
                <w:webHidden/>
              </w:rPr>
              <w:tab/>
            </w:r>
            <w:r>
              <w:rPr>
                <w:noProof/>
                <w:webHidden/>
              </w:rPr>
              <w:fldChar w:fldCharType="begin"/>
            </w:r>
            <w:r>
              <w:rPr>
                <w:noProof/>
                <w:webHidden/>
              </w:rPr>
              <w:instrText xml:space="preserve"> PAGEREF _Toc228493297 \h </w:instrText>
            </w:r>
            <w:r>
              <w:rPr>
                <w:noProof/>
                <w:webHidden/>
              </w:rPr>
            </w:r>
            <w:r>
              <w:rPr>
                <w:noProof/>
                <w:webHidden/>
              </w:rPr>
              <w:fldChar w:fldCharType="separate"/>
            </w:r>
            <w:r>
              <w:rPr>
                <w:noProof/>
                <w:webHidden/>
              </w:rPr>
              <w:t>21</w:t>
            </w:r>
            <w:r>
              <w:rPr>
                <w:noProof/>
                <w:webHidden/>
              </w:rPr>
              <w:fldChar w:fldCharType="end"/>
            </w:r>
          </w:hyperlink>
        </w:p>
        <w:p w:rsidR="00DD25CC" w:rsidRDefault="00DD25CC">
          <w:pPr>
            <w:pStyle w:val="TOC2"/>
            <w:tabs>
              <w:tab w:val="right" w:leader="dot" w:pos="9016"/>
            </w:tabs>
            <w:rPr>
              <w:noProof/>
            </w:rPr>
          </w:pPr>
          <w:hyperlink w:anchor="_Toc228493298" w:history="1">
            <w:r w:rsidRPr="00E44AD4">
              <w:rPr>
                <w:rStyle w:val="Hyperlink"/>
                <w:noProof/>
              </w:rPr>
              <w:t>7.6 Action Plan</w:t>
            </w:r>
            <w:r>
              <w:rPr>
                <w:noProof/>
                <w:webHidden/>
              </w:rPr>
              <w:tab/>
            </w:r>
            <w:r>
              <w:rPr>
                <w:noProof/>
                <w:webHidden/>
              </w:rPr>
              <w:fldChar w:fldCharType="begin"/>
            </w:r>
            <w:r>
              <w:rPr>
                <w:noProof/>
                <w:webHidden/>
              </w:rPr>
              <w:instrText xml:space="preserve"> PAGEREF _Toc228493298 \h </w:instrText>
            </w:r>
            <w:r>
              <w:rPr>
                <w:noProof/>
                <w:webHidden/>
              </w:rPr>
            </w:r>
            <w:r>
              <w:rPr>
                <w:noProof/>
                <w:webHidden/>
              </w:rPr>
              <w:fldChar w:fldCharType="separate"/>
            </w:r>
            <w:r>
              <w:rPr>
                <w:noProof/>
                <w:webHidden/>
              </w:rPr>
              <w:t>21</w:t>
            </w:r>
            <w:r>
              <w:rPr>
                <w:noProof/>
                <w:webHidden/>
              </w:rPr>
              <w:fldChar w:fldCharType="end"/>
            </w:r>
          </w:hyperlink>
        </w:p>
        <w:p w:rsidR="00DD25CC" w:rsidRDefault="00DD25CC">
          <w:pPr>
            <w:pStyle w:val="TOC1"/>
            <w:tabs>
              <w:tab w:val="right" w:leader="dot" w:pos="9016"/>
            </w:tabs>
            <w:rPr>
              <w:noProof/>
            </w:rPr>
          </w:pPr>
          <w:hyperlink w:anchor="_Toc228493299" w:history="1">
            <w:r w:rsidRPr="00E44AD4">
              <w:rPr>
                <w:rStyle w:val="Hyperlink"/>
                <w:noProof/>
              </w:rPr>
              <w:t>REFERENCES</w:t>
            </w:r>
            <w:r>
              <w:rPr>
                <w:noProof/>
                <w:webHidden/>
              </w:rPr>
              <w:tab/>
            </w:r>
            <w:r>
              <w:rPr>
                <w:noProof/>
                <w:webHidden/>
              </w:rPr>
              <w:fldChar w:fldCharType="begin"/>
            </w:r>
            <w:r>
              <w:rPr>
                <w:noProof/>
                <w:webHidden/>
              </w:rPr>
              <w:instrText xml:space="preserve"> PAGEREF _Toc228493299 \h </w:instrText>
            </w:r>
            <w:r>
              <w:rPr>
                <w:noProof/>
                <w:webHidden/>
              </w:rPr>
            </w:r>
            <w:r>
              <w:rPr>
                <w:noProof/>
                <w:webHidden/>
              </w:rPr>
              <w:fldChar w:fldCharType="separate"/>
            </w:r>
            <w:r>
              <w:rPr>
                <w:noProof/>
                <w:webHidden/>
              </w:rPr>
              <w:t>22</w:t>
            </w:r>
            <w:r>
              <w:rPr>
                <w:noProof/>
                <w:webHidden/>
              </w:rPr>
              <w:fldChar w:fldCharType="end"/>
            </w:r>
          </w:hyperlink>
        </w:p>
        <w:p w:rsidR="00DD25CC" w:rsidRDefault="00DD25CC">
          <w:r>
            <w:rPr>
              <w:b/>
              <w:bCs/>
              <w:noProof/>
            </w:rPr>
            <w:fldChar w:fldCharType="end"/>
          </w:r>
        </w:p>
      </w:sdtContent>
    </w:sdt>
    <w:p w:rsidR="00C12D05" w:rsidRDefault="00C12D05" w:rsidP="00DD25CC">
      <w:r>
        <w:br w:type="page"/>
      </w:r>
    </w:p>
    <w:p w:rsidR="000C1E26" w:rsidRDefault="000C1E26" w:rsidP="007C095D">
      <w:pPr>
        <w:pStyle w:val="Heading1"/>
      </w:pPr>
      <w:bookmarkStart w:id="0" w:name="_Toc228493272"/>
      <w:r>
        <w:lastRenderedPageBreak/>
        <w:t>1. ORGANISATIONAL CONTEXT</w:t>
      </w:r>
      <w:bookmarkEnd w:id="0"/>
    </w:p>
    <w:p w:rsidR="000C1E26" w:rsidRDefault="000C1E26" w:rsidP="007C095D">
      <w:pPr>
        <w:pStyle w:val="Heading2"/>
      </w:pPr>
      <w:bookmarkStart w:id="1" w:name="_Toc228493273"/>
      <w:r>
        <w:t>1.1 Company Overview</w:t>
      </w:r>
      <w:bookmarkEnd w:id="1"/>
    </w:p>
    <w:p w:rsidR="00AC0A98" w:rsidRPr="00AC0A98" w:rsidRDefault="00AC0A98" w:rsidP="00AC0A98">
      <w:r w:rsidRPr="00AC0A98">
        <w:t>Unilever is a major fast-moving consumer goods (FMCG) multinational that was established in 1929 as a result of a merger between a Dutch margarine firm and a British firm that produce soaps. With headquarters in London, the company has operations in over 190 countries, and a highly diversified portfolio of food, home care, and personal care brands, and globally recognised products, such as Dove, Knorr, and Surf (Unilever, 2023). This large international presence means that there is economy of scale, good distribution networks, and market penetration in both the developed and the emerging economies.</w:t>
      </w:r>
    </w:p>
    <w:p w:rsidR="00C12D05" w:rsidRDefault="00C12D05" w:rsidP="00C12D05">
      <w:pPr>
        <w:jc w:val="center"/>
      </w:pPr>
      <w:r>
        <w:rPr>
          <w:noProof/>
          <w:lang w:eastAsia="en-GB"/>
        </w:rPr>
        <w:drawing>
          <wp:inline distT="0" distB="0" distL="0" distR="0">
            <wp:extent cx="4411749" cy="3247390"/>
            <wp:effectExtent l="0" t="0" r="8255" b="0"/>
            <wp:docPr id="3" name="Picture 3" descr="Unilever revenue 2025|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6" descr="Unilever revenue 2025|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4860" cy="3257041"/>
                    </a:xfrm>
                    <a:prstGeom prst="rect">
                      <a:avLst/>
                    </a:prstGeom>
                    <a:noFill/>
                    <a:ln>
                      <a:noFill/>
                    </a:ln>
                  </pic:spPr>
                </pic:pic>
              </a:graphicData>
            </a:graphic>
          </wp:inline>
        </w:drawing>
      </w:r>
    </w:p>
    <w:p w:rsidR="000C1E26" w:rsidRDefault="00A87B80" w:rsidP="00A87B80">
      <w:pPr>
        <w:jc w:val="center"/>
        <w:rPr>
          <w:b/>
        </w:rPr>
      </w:pPr>
      <w:r w:rsidRPr="00A87B80">
        <w:rPr>
          <w:b/>
        </w:rPr>
        <w:t>Figure</w:t>
      </w:r>
      <w:r>
        <w:rPr>
          <w:b/>
        </w:rPr>
        <w:t xml:space="preserve"> 1</w:t>
      </w:r>
      <w:r w:rsidRPr="00A87B80">
        <w:rPr>
          <w:b/>
        </w:rPr>
        <w:t>: Annual revenue trend of Unilever from 2007 to 2025, showing overall growth wi</w:t>
      </w:r>
      <w:r>
        <w:rPr>
          <w:b/>
        </w:rPr>
        <w:t>th minor fluctuations over time</w:t>
      </w:r>
    </w:p>
    <w:p w:rsidR="00AC0A98" w:rsidRPr="00A87B80" w:rsidRDefault="00AC0A98" w:rsidP="00AC0A98">
      <w:r w:rsidRPr="00AC0A98">
        <w:t xml:space="preserve">But critically speaking, the size of Unilever is a two sided sword. Global integration is more efficient and bargaining power but at the same time it brings much complexity to coordination, decision making and responsiveness of the local market conditions. Johnson et al. (2020) claim that big multinational organisations are prone to tension between global standardisation and local responsiveness, which can inhibit strategic </w:t>
      </w:r>
      <w:r w:rsidRPr="00AC0A98">
        <w:lastRenderedPageBreak/>
        <w:t>flexibility. Thus, the size of Unilever being an asset might also be a structural constraint in the most dynamic markets.</w:t>
      </w:r>
    </w:p>
    <w:p w:rsidR="000C1E26" w:rsidRDefault="000C1E26" w:rsidP="007C095D">
      <w:pPr>
        <w:pStyle w:val="Heading2"/>
      </w:pPr>
      <w:bookmarkStart w:id="2" w:name="_Toc228493274"/>
      <w:r>
        <w:t>1.2 Mission, Vision and Business Model</w:t>
      </w:r>
      <w:bookmarkEnd w:id="2"/>
    </w:p>
    <w:p w:rsidR="00AC0A98" w:rsidRDefault="00AC0A98" w:rsidP="00AC0A98">
      <w:r>
        <w:t>The corporate purpose of Unilever to make sustainable living a commonality puts sustainability at the heart of the strategy identity of the company (Unilever, 2023). The company has developed a multi-brand portfolio strategy that is supported by a globally integrated supply chain providing it with cost efficiency as well as market diversification (Grant, 2022). This strategy enables Unilever to diversify risk among product lines and also use the brand equity to retain competitive status.</w:t>
      </w:r>
    </w:p>
    <w:p w:rsidR="00AC0A98" w:rsidRPr="00AC0A98" w:rsidRDefault="00AC0A98" w:rsidP="00AC0A98">
      <w:r>
        <w:t>More importantly, though, sustainability and profitability are in a conflict. Although sustainability programs can have a beneficial impact on brand image and trust among stakeholders, they can be associated with increased costs of operation and long-term investments, which may limit short-term financial performance (Porter and Kramer, 2019). This means that the strategic positioning of Unilever is a trade-off between ethical obligations and shareholder demands, and is subject to doubt over the sustainability of its sustainability-focused model.</w:t>
      </w:r>
    </w:p>
    <w:p w:rsidR="000C1E26" w:rsidRDefault="000C1E26" w:rsidP="007C095D">
      <w:pPr>
        <w:pStyle w:val="Heading2"/>
      </w:pPr>
      <w:bookmarkStart w:id="3" w:name="_Toc228493275"/>
      <w:r>
        <w:t>1.3 Industry and Market Position</w:t>
      </w:r>
      <w:bookmarkEnd w:id="3"/>
    </w:p>
    <w:p w:rsidR="00AC0A98" w:rsidRPr="00AC0A98" w:rsidRDefault="00AC0A98" w:rsidP="00AC0A98">
      <w:r>
        <w:t>Unilever is a company that is in the world of FMCG and this industry is competitive, it has low switching costs, and high price sensitivity (Kotler and Keller, 2022). The biggest competitors are Procter and Gamble and Nestle that have similar international coverage and good brands. The differentiation based on traditional products is becoming less and less adequate in such a saturated market. Rather, Unilever has been strategic in moving towards brand-led and purpose-driven differentiation with the focus on sustainability and social impact (</w:t>
      </w:r>
      <w:proofErr w:type="spellStart"/>
      <w:r>
        <w:t>Susilo</w:t>
      </w:r>
      <w:proofErr w:type="spellEnd"/>
      <w:r>
        <w:t xml:space="preserve"> et al., 2023). Nonetheless, there are limitations to this method. As more competitors start using similar ESG stories, the differentiation of Unilever positioning could be diminished over time, weakening its competitive position. Hence, the FMCG industry is losing the focus of differentiation concerning the innovativeness of the product, and more on the perceived value, trust, and brand authenticity, which are difficult to sustain and defend in the first place (</w:t>
      </w:r>
      <w:proofErr w:type="spellStart"/>
      <w:r>
        <w:t>Abatan</w:t>
      </w:r>
      <w:proofErr w:type="spellEnd"/>
      <w:r>
        <w:t xml:space="preserve"> et al., 2024).</w:t>
      </w:r>
    </w:p>
    <w:p w:rsidR="007C095D" w:rsidRDefault="007C095D" w:rsidP="000C1E26"/>
    <w:p w:rsidR="00A31E31" w:rsidRDefault="00A31E31" w:rsidP="000C1E26"/>
    <w:p w:rsidR="007C095D" w:rsidRDefault="000C1E26" w:rsidP="000C1E26">
      <w:r>
        <w:t>Figure 1: illustrates the relative positioning of Unilever, Procter &amp; Gamble, and Nestlé based on cost efficiency and differentiation strategy.</w:t>
      </w:r>
    </w:p>
    <w:p w:rsidR="00C34CA2" w:rsidRDefault="00C34CA2" w:rsidP="007C095D">
      <w:pPr>
        <w:pStyle w:val="Heading1"/>
      </w:pPr>
      <w:bookmarkStart w:id="4" w:name="_Toc228493276"/>
      <w:r>
        <w:t xml:space="preserve">2. EXTERNAL </w:t>
      </w:r>
      <w:r w:rsidR="007C095D">
        <w:t>&amp; INTERNAL ENVIRONMENT ANALYSIS</w:t>
      </w:r>
      <w:bookmarkEnd w:id="4"/>
    </w:p>
    <w:p w:rsidR="00C34CA2" w:rsidRDefault="00C34CA2" w:rsidP="007C095D">
      <w:pPr>
        <w:pStyle w:val="Heading2"/>
      </w:pPr>
      <w:bookmarkStart w:id="5" w:name="_Toc228493277"/>
      <w:r>
        <w:t>2.1 PESTEL ANA</w:t>
      </w:r>
      <w:r w:rsidR="007C095D">
        <w:t>LYSIS</w:t>
      </w:r>
      <w:bookmarkEnd w:id="5"/>
    </w:p>
    <w:p w:rsidR="00AC0A98" w:rsidRPr="00AC0A98" w:rsidRDefault="00AC0A98" w:rsidP="00AC0A98">
      <w:r w:rsidRPr="00AC0A98">
        <w:t>The macro-environmental forces have a major influence on the strategic decision-making process at Unilever, as they not only limit the organisational decisions but also make differentiation and competitive positioning opportunities (</w:t>
      </w:r>
      <w:proofErr w:type="spellStart"/>
      <w:r w:rsidRPr="00AC0A98">
        <w:t>Hatoum</w:t>
      </w:r>
      <w:proofErr w:type="spellEnd"/>
      <w:r w:rsidRPr="00AC0A98">
        <w:t xml:space="preserve"> et al., 2023).</w:t>
      </w:r>
    </w:p>
    <w:p w:rsidR="00C34CA2" w:rsidRPr="007C095D" w:rsidRDefault="00C34CA2" w:rsidP="00C34CA2">
      <w:pPr>
        <w:rPr>
          <w:b/>
        </w:rPr>
      </w:pPr>
      <w:r w:rsidRPr="007C095D">
        <w:rPr>
          <w:b/>
        </w:rPr>
        <w:t>TABLE 2.1: PESTEL → STRATEGIC IMPACT (UNILEVER)</w:t>
      </w:r>
    </w:p>
    <w:tbl>
      <w:tblPr>
        <w:tblStyle w:val="GridTable4-Accent5"/>
        <w:tblW w:w="0" w:type="auto"/>
        <w:tblLook w:val="04A0" w:firstRow="1" w:lastRow="0" w:firstColumn="1" w:lastColumn="0" w:noHBand="0" w:noVBand="1"/>
      </w:tblPr>
      <w:tblGrid>
        <w:gridCol w:w="2254"/>
        <w:gridCol w:w="2254"/>
        <w:gridCol w:w="2254"/>
        <w:gridCol w:w="2254"/>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Factor</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Key Issue</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Impact on Strategy</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Critical Insight</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Political</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Trade regulations, tariffs, geopolitical tensions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Supply chain restructuring and localisation strategies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 xml:space="preserve">Global operations </w:t>
            </w:r>
            <w:proofErr w:type="spellStart"/>
            <w:r w:rsidRPr="007C095D">
              <w:t>increase</w:t>
            </w:r>
            <w:proofErr w:type="spellEnd"/>
            <w:r w:rsidRPr="007C095D">
              <w:t xml:space="preserve"> exposure to political risk, reducing flexibility</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Economic</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Inflation (~5–8% in major markets), rising input costs (energy, raw materials)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Cost-cutting, price increases, margin pressure</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Profitability increasingly constrained; pricing power tested</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Social</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Rising demand for sustainable and ethical products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Investment in ESG and brand repositioning</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Sustainability becomes a competitive necessity, not a choice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Technological</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 xml:space="preserve">Digital transformation, </w:t>
            </w:r>
            <w:r w:rsidRPr="007C095D">
              <w:lastRenderedPageBreak/>
              <w:t>automation, AI in supply chains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lastRenderedPageBreak/>
              <w:t xml:space="preserve">Efficiency improvements and </w:t>
            </w:r>
            <w:r w:rsidRPr="007C095D">
              <w:lastRenderedPageBreak/>
              <w:t>data-driven decision-making</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lastRenderedPageBreak/>
              <w:t xml:space="preserve">Firms unable to adopt digital capabilities risk </w:t>
            </w:r>
            <w:r w:rsidRPr="007C095D">
              <w:lastRenderedPageBreak/>
              <w:t>competitive disadvantage</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lastRenderedPageBreak/>
              <w:t>Environmental</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Climate change, carbon reduction targets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Increased operational costs and sustainability investments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Trade-off between environmental responsibility and profitability</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Legal</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Consumer protection laws, ESG compliance, advertising regulations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Standardisation of global practices, compliance costs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Legal frameworks restrict strategic freedom and increase operational complexity</w:t>
            </w:r>
          </w:p>
        </w:tc>
      </w:tr>
    </w:tbl>
    <w:p w:rsidR="00C34CA2" w:rsidRDefault="00C34CA2" w:rsidP="00C34CA2"/>
    <w:p w:rsidR="00AC0A98" w:rsidRDefault="00AC0A98" w:rsidP="00AC0A98">
      <w:r>
        <w:t>The PESTEL analysis shows that the external forces are not merely passive determinants of the strategy but proactive drivers of strategic direction (Tian et al., 2024). An example is that there have been inflationary pressures in the European and emerging markets which have caused the input costs to be very high and Unilever has had to take the approach of raising the prices of the major product lines. But in a price-sensitive FMCG market, this would be a risky strategy to lose demand and market share. In addition, a paradoxical strategic challenge is sustainability pressures (</w:t>
      </w:r>
      <w:proofErr w:type="spellStart"/>
      <w:r>
        <w:t>Hendrasetyawan</w:t>
      </w:r>
      <w:proofErr w:type="spellEnd"/>
      <w:r>
        <w:t xml:space="preserve"> and </w:t>
      </w:r>
      <w:proofErr w:type="spellStart"/>
      <w:r>
        <w:t>Yunus</w:t>
      </w:r>
      <w:proofErr w:type="spellEnd"/>
      <w:r>
        <w:t xml:space="preserve">, 2022).  Although environmental and social expectations contribute to the brand equity and consumer trust, they also raise the cost of operations because of investments in sustainable sourcing, packaging, and reduction of emissions. </w:t>
      </w:r>
    </w:p>
    <w:p w:rsidR="00AC0A98" w:rsidRDefault="00AC0A98" w:rsidP="00AC0A98">
      <w:r>
        <w:t>This leaves a basic trade-off between cost efficiency and ethical positioning, which is key to the strategic dilemma in Unilever. Competition is increased even more by technological innovations (</w:t>
      </w:r>
      <w:proofErr w:type="spellStart"/>
      <w:r>
        <w:t>Kirana</w:t>
      </w:r>
      <w:proofErr w:type="spellEnd"/>
      <w:r>
        <w:t xml:space="preserve"> et al., 2023). Companies that effectively adopt AI and digital supply chains gain cost-benefits and operational efficiencies. Therefore, digital transformation is not an option, but a necessity for Unilever to keep up with the competition. Outside pressures are increasingly influencing the Unilever strategy, with economic and environmental pressures pushing differentiation and constraining profitability at the same time (</w:t>
      </w:r>
      <w:proofErr w:type="spellStart"/>
      <w:r>
        <w:t>Huo</w:t>
      </w:r>
      <w:proofErr w:type="spellEnd"/>
      <w:r>
        <w:t>, 2024).</w:t>
      </w:r>
    </w:p>
    <w:p w:rsidR="00C34CA2" w:rsidRDefault="007C095D" w:rsidP="007C095D">
      <w:pPr>
        <w:pStyle w:val="Heading2"/>
      </w:pPr>
      <w:bookmarkStart w:id="6" w:name="_Toc228493278"/>
      <w:r>
        <w:lastRenderedPageBreak/>
        <w:t>2.2 PORTER’S FIVE FORCES</w:t>
      </w:r>
      <w:bookmarkEnd w:id="6"/>
    </w:p>
    <w:p w:rsidR="00AC0A98" w:rsidRPr="00AC0A98" w:rsidRDefault="00AC0A98" w:rsidP="00AC0A98">
      <w:r w:rsidRPr="00AC0A98">
        <w:t>The Five Forces framework of Porter draws attention to the structural competitiveness of the FMCG industry, in which Unilever is active (</w:t>
      </w:r>
      <w:proofErr w:type="spellStart"/>
      <w:r w:rsidRPr="00AC0A98">
        <w:t>Panitsettakorn</w:t>
      </w:r>
      <w:proofErr w:type="spellEnd"/>
      <w:r w:rsidRPr="00AC0A98">
        <w:t xml:space="preserve"> et al., 2023).</w:t>
      </w:r>
    </w:p>
    <w:p w:rsidR="00C34CA2" w:rsidRPr="007C095D" w:rsidRDefault="00C34CA2" w:rsidP="00C34CA2">
      <w:pPr>
        <w:rPr>
          <w:b/>
        </w:rPr>
      </w:pPr>
      <w:r w:rsidRPr="007C095D">
        <w:rPr>
          <w:b/>
        </w:rPr>
        <w:t>TABLE 2.2: PORTER’S FIVE FORCES (UNILEVER)</w:t>
      </w:r>
    </w:p>
    <w:tbl>
      <w:tblPr>
        <w:tblStyle w:val="GridTable4-Accent5"/>
        <w:tblW w:w="0" w:type="auto"/>
        <w:tblLook w:val="04A0" w:firstRow="1" w:lastRow="0" w:firstColumn="1" w:lastColumn="0" w:noHBand="0" w:noVBand="1"/>
      </w:tblPr>
      <w:tblGrid>
        <w:gridCol w:w="2254"/>
        <w:gridCol w:w="2254"/>
        <w:gridCol w:w="2254"/>
        <w:gridCol w:w="2254"/>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Force</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Intensity</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Evidence</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Strategic Implication</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Competitive Rivalry</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Very High</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Presence of P&amp;G, Nestlé, private labels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Continuous pressure on margins and innovation</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Buyer Power</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High</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Low switching costs, price sensitivity</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Strong need for brand differentiation</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Supplier Power</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Moderate</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Global sourcing but dependence on raw materials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Vulnerability to cost fluctuations</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Threat of Substitutes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High</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Generic brands, local alternatives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Limits pricing flexibility</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Threat of New Entrants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Low–Moderate</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High capital requirements, strong brands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Market protected but disrupted by niche brands</w:t>
            </w:r>
          </w:p>
        </w:tc>
      </w:tr>
    </w:tbl>
    <w:p w:rsidR="00C34CA2" w:rsidRDefault="00C34CA2" w:rsidP="00C34CA2"/>
    <w:p w:rsidR="00AC0A98" w:rsidRDefault="00AC0A98" w:rsidP="00AC0A98">
      <w:r>
        <w:t>As shown through the analysis, the FMCG industry is not structurally attractive in terms of profitability as a result of high buyer power and high rivalry. Price competition is dominant since consumers can easily switch between brands (</w:t>
      </w:r>
      <w:proofErr w:type="spellStart"/>
      <w:r>
        <w:t>Kasinathan</w:t>
      </w:r>
      <w:proofErr w:type="spellEnd"/>
      <w:r>
        <w:t xml:space="preserve"> et al., 2022). This restricts Unilever capability of maintaining high margins regardless of its strong brand portfolio. Also, the emergence of the threat of substitution has been exacerbated by the emergence of the threat of substitutes that are made by privately-</w:t>
      </w:r>
      <w:proofErr w:type="spellStart"/>
      <w:r>
        <w:t>labeled</w:t>
      </w:r>
      <w:proofErr w:type="spellEnd"/>
      <w:r>
        <w:t xml:space="preserve"> brands and by domestic rivals. These substitutes tend to be price-competitive and Unilever needs to defend premium pricing by branding and sustainability positioning (</w:t>
      </w:r>
      <w:proofErr w:type="spellStart"/>
      <w:r>
        <w:t>Loizaga</w:t>
      </w:r>
      <w:proofErr w:type="spellEnd"/>
      <w:r>
        <w:t xml:space="preserve"> et al., 2023). </w:t>
      </w:r>
    </w:p>
    <w:p w:rsidR="00AC0A98" w:rsidRDefault="00AC0A98" w:rsidP="00AC0A98">
      <w:r>
        <w:lastRenderedPageBreak/>
        <w:t>The strategic dependence on differentiation in Unilever is not an active decision, but a structural need that is dictated by the high level of competitive rivalry and buyer power. In addition, the supplier power is moderate but has escalated because of fluctuations in the prices of raw materials (e.g. palm oil, energy). This continues to squeeze margins, and operational risk. The profitability of the FMCG industry is limited by the structural dynamics because it compels Unilever to compete on the perceived value instead of a cost leadership (</w:t>
      </w:r>
      <w:proofErr w:type="spellStart"/>
      <w:r>
        <w:t>Deshmukh</w:t>
      </w:r>
      <w:proofErr w:type="spellEnd"/>
      <w:r>
        <w:t xml:space="preserve"> and Tare, 2023).</w:t>
      </w:r>
    </w:p>
    <w:p w:rsidR="00C34CA2" w:rsidRDefault="00C34CA2" w:rsidP="007C095D">
      <w:pPr>
        <w:pStyle w:val="Heading2"/>
      </w:pPr>
      <w:bookmarkStart w:id="7" w:name="_Toc228493279"/>
      <w:r>
        <w:t>2.3 CRITICAL SUCCESS FACTORS (CSFs)</w:t>
      </w:r>
      <w:bookmarkEnd w:id="7"/>
    </w:p>
    <w:p w:rsidR="00AC0A98" w:rsidRPr="00AC0A98" w:rsidRDefault="00AC0A98" w:rsidP="00AC0A98">
      <w:r w:rsidRPr="00AC0A98">
        <w:t>Critical success factors in the FMCG industry are interrelated and determine the long-term competitiveness (</w:t>
      </w:r>
      <w:proofErr w:type="spellStart"/>
      <w:r w:rsidRPr="00AC0A98">
        <w:t>Markoff</w:t>
      </w:r>
      <w:proofErr w:type="spellEnd"/>
      <w:r w:rsidRPr="00AC0A98">
        <w:t xml:space="preserve"> and Seifert, 2024).</w:t>
      </w:r>
    </w:p>
    <w:p w:rsidR="00C34CA2" w:rsidRPr="007C095D" w:rsidRDefault="00C34CA2" w:rsidP="00C34CA2">
      <w:pPr>
        <w:rPr>
          <w:b/>
        </w:rPr>
      </w:pPr>
      <w:r w:rsidRPr="007C095D">
        <w:rPr>
          <w:b/>
        </w:rPr>
        <w:t>TABLE 2.3: CRITICAL SUCCESS FACTORS (UNILEVER)</w:t>
      </w:r>
    </w:p>
    <w:tbl>
      <w:tblPr>
        <w:tblStyle w:val="GridTable4-Accent5"/>
        <w:tblW w:w="0" w:type="auto"/>
        <w:tblLook w:val="04A0" w:firstRow="1" w:lastRow="0" w:firstColumn="1" w:lastColumn="0" w:noHBand="0" w:noVBand="1"/>
      </w:tblPr>
      <w:tblGrid>
        <w:gridCol w:w="2254"/>
        <w:gridCol w:w="2254"/>
        <w:gridCol w:w="2254"/>
        <w:gridCol w:w="2254"/>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Factor</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Role</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Evidence</w:t>
            </w:r>
          </w:p>
        </w:tc>
        <w:tc>
          <w:tcPr>
            <w:tcW w:w="225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Strategic Importance</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Brand Strength</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Drives customer loyalty and differentiation</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Global brands like Dove and Knorr</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Core competitive advantage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Innovation</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Product development and adaptation to trends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Health-focused and sustainable products</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Essential for relevance</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Supply Chain Efficiency</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Cost control and global distribution</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Operations in 190+ countries</w:t>
            </w:r>
          </w:p>
        </w:tc>
        <w:tc>
          <w:tcPr>
            <w:tcW w:w="225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Operational backbone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2254" w:type="dxa"/>
          </w:tcPr>
          <w:p w:rsidR="007C095D" w:rsidRPr="007C095D" w:rsidRDefault="007C095D" w:rsidP="00087E12">
            <w:r w:rsidRPr="007C095D">
              <w:t>Sustainability Credibility</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Brand trust and ESG positioning</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Sustainable Living Plan</w:t>
            </w:r>
          </w:p>
        </w:tc>
        <w:tc>
          <w:tcPr>
            <w:tcW w:w="225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Increasingly critical</w:t>
            </w:r>
          </w:p>
        </w:tc>
      </w:tr>
    </w:tbl>
    <w:p w:rsidR="00C34CA2" w:rsidRDefault="00C34CA2" w:rsidP="00C34CA2"/>
    <w:p w:rsidR="00765481" w:rsidRDefault="00765481" w:rsidP="00765481">
      <w:r>
        <w:t>Among these, the most significant competitive advantage that Unilever possesses is brand strength which it can easily maintain its customers despite the strong competition (</w:t>
      </w:r>
      <w:proofErr w:type="spellStart"/>
      <w:r>
        <w:t>Damberg</w:t>
      </w:r>
      <w:proofErr w:type="spellEnd"/>
      <w:r>
        <w:t xml:space="preserve"> et al., 2024). Brand value is no longer sufficient in the contemporary market environment whereby customers demand transparency, sourcing in an ethical manner, and sustainability. Innovation is essential as well, particularly with regard to the changing consumer trends, such as health-conscience and environmentally friendly products (</w:t>
      </w:r>
      <w:proofErr w:type="spellStart"/>
      <w:r>
        <w:t>Rizopoulos</w:t>
      </w:r>
      <w:proofErr w:type="spellEnd"/>
      <w:r>
        <w:t xml:space="preserve"> et al., 2022). However, the type of </w:t>
      </w:r>
      <w:r>
        <w:lastRenderedPageBreak/>
        <w:t>innovation within the FMCG sector is not disruption but improvement based, which limits its impact on strategic positioning in the long run.</w:t>
      </w:r>
    </w:p>
    <w:p w:rsidR="00765481" w:rsidRDefault="00765481" w:rsidP="00765481">
      <w:r>
        <w:t>Supply chain efficiency plays a role in cost competitiveness. Unilever international supply chain presents economies of scale to the company, and is susceptible to political instabilities and cost fluctuations among others (Hu &amp; Zeng, 2024). The credibility of sustainability has emerged as a new critical success factor since it indicates the broader social expectations. This element nevertheless introduces complexity as sustainability programs will be more likely to increase the cost without a direct financial payoff (Holloway, 2024). The critical success factors are interrelated, with a failure in any sphere (disruption of supply chain or loss of brand trust) potentially influencing the overall competitiveness significantly.</w:t>
      </w:r>
    </w:p>
    <w:p w:rsidR="000658A5" w:rsidRDefault="000658A5" w:rsidP="007C095D">
      <w:pPr>
        <w:pStyle w:val="Heading2"/>
      </w:pPr>
      <w:bookmarkStart w:id="8" w:name="_Toc228493280"/>
      <w:r>
        <w:t>2</w:t>
      </w:r>
      <w:r w:rsidR="007C095D">
        <w:t>.4 INTERNAL ANALYSIS USING VRIO</w:t>
      </w:r>
      <w:bookmarkEnd w:id="8"/>
    </w:p>
    <w:p w:rsidR="00AC0A98" w:rsidRPr="00AC0A98" w:rsidRDefault="00AC0A98" w:rsidP="00AC0A98">
      <w:r w:rsidRPr="00AC0A98">
        <w:t xml:space="preserve">The VRIO framework can be used to systematically assess the internal environment of Unilever and measure whether the resources and capabilities of the firm are valuable, rare, inimitable, and organisationally embedded to determine their ability to create sustained competitive advantage (Barney, 1991; Barney and </w:t>
      </w:r>
      <w:proofErr w:type="spellStart"/>
      <w:r w:rsidRPr="00AC0A98">
        <w:t>Hesterly</w:t>
      </w:r>
      <w:proofErr w:type="spellEnd"/>
      <w:r w:rsidRPr="00AC0A98">
        <w:t>, 2021). The framework is especially applicable within the realm of the FMCG industry where competition and imitation are intense. Although Unilever has a large variety of strategic resources, a critical analysis shows that only few of them fall into all VRIO criteria at the same time (</w:t>
      </w:r>
      <w:proofErr w:type="spellStart"/>
      <w:r w:rsidRPr="00AC0A98">
        <w:t>Lacaze</w:t>
      </w:r>
      <w:proofErr w:type="spellEnd"/>
      <w:r w:rsidRPr="00AC0A98">
        <w:t xml:space="preserve"> et al., 2024).</w:t>
      </w:r>
    </w:p>
    <w:p w:rsidR="000658A5" w:rsidRPr="007C095D" w:rsidRDefault="000658A5" w:rsidP="000658A5">
      <w:pPr>
        <w:rPr>
          <w:b/>
        </w:rPr>
      </w:pPr>
      <w:r w:rsidRPr="007C095D">
        <w:rPr>
          <w:b/>
        </w:rPr>
        <w:t>TABLE 2.4: VRIO ANALYSIS – UNILEVER</w:t>
      </w:r>
    </w:p>
    <w:tbl>
      <w:tblPr>
        <w:tblStyle w:val="GridTable4-Accent5"/>
        <w:tblW w:w="0" w:type="auto"/>
        <w:tblLook w:val="04A0" w:firstRow="1" w:lastRow="0" w:firstColumn="1" w:lastColumn="0" w:noHBand="0" w:noVBand="1"/>
      </w:tblPr>
      <w:tblGrid>
        <w:gridCol w:w="1777"/>
        <w:gridCol w:w="1407"/>
        <w:gridCol w:w="1318"/>
        <w:gridCol w:w="1452"/>
        <w:gridCol w:w="1472"/>
        <w:gridCol w:w="1590"/>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Resource / Capability</w:t>
            </w:r>
          </w:p>
        </w:tc>
        <w:tc>
          <w:tcPr>
            <w:tcW w:w="1502"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Valuable (V)</w:t>
            </w:r>
          </w:p>
        </w:tc>
        <w:tc>
          <w:tcPr>
            <w:tcW w:w="15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Rare (R)</w:t>
            </w:r>
          </w:p>
        </w:tc>
        <w:tc>
          <w:tcPr>
            <w:tcW w:w="15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Inimitable (I)</w:t>
            </w:r>
          </w:p>
        </w:tc>
        <w:tc>
          <w:tcPr>
            <w:tcW w:w="15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Organised (O)</w:t>
            </w:r>
          </w:p>
        </w:tc>
        <w:tc>
          <w:tcPr>
            <w:tcW w:w="15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Competitive Implication</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Global brand portfolio (e.g., Dove, Knorr)</w:t>
            </w:r>
          </w:p>
        </w:tc>
        <w:tc>
          <w:tcPr>
            <w:tcW w:w="1502"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Temporary competitive advantage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Global supply chain network</w:t>
            </w:r>
          </w:p>
        </w:tc>
        <w:tc>
          <w:tcPr>
            <w:tcW w:w="1502"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Competitive parity</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lastRenderedPageBreak/>
              <w:t>Sustainability leadership (ESG initiatives)</w:t>
            </w:r>
          </w:p>
        </w:tc>
        <w:tc>
          <w:tcPr>
            <w:tcW w:w="1502"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Partial</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Partial</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Potential competitive advantage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R&amp;D and product innovation</w:t>
            </w:r>
          </w:p>
        </w:tc>
        <w:tc>
          <w:tcPr>
            <w:tcW w:w="1502"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Competitive parity</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Digital and data capabilities</w:t>
            </w:r>
          </w:p>
        </w:tc>
        <w:tc>
          <w:tcPr>
            <w:tcW w:w="1502"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Necessary but not distinctive</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1502" w:type="dxa"/>
          </w:tcPr>
          <w:p w:rsidR="007C095D" w:rsidRPr="007C095D" w:rsidRDefault="007C095D" w:rsidP="00087E12">
            <w:r w:rsidRPr="007C095D">
              <w:t>Financial strength and scale</w:t>
            </w:r>
          </w:p>
        </w:tc>
        <w:tc>
          <w:tcPr>
            <w:tcW w:w="1502"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rPr>
                <w:rFonts w:ascii="Segoe UI Symbol" w:hAnsi="Segoe UI Symbol" w:cs="Segoe UI Symbol"/>
              </w:rPr>
              <w:t>✔</w:t>
            </w:r>
          </w:p>
        </w:tc>
        <w:tc>
          <w:tcPr>
            <w:tcW w:w="15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Competitive parity</w:t>
            </w:r>
          </w:p>
        </w:tc>
      </w:tr>
    </w:tbl>
    <w:p w:rsidR="000658A5" w:rsidRDefault="000658A5" w:rsidP="000658A5"/>
    <w:p w:rsidR="00AC0A98" w:rsidRDefault="00AC0A98" w:rsidP="00AC0A98">
      <w:r>
        <w:t xml:space="preserve">The analysis reveals that despite the fact that the resources of Unilever are mainly valuable and well organised, there are only a small number of them, which can be termed as rare and hard to imitate. As an illustration, its worldwide brand portfolio is a substantial intangible asset, which allows it to achieve high customer recognition and loyalty (Anwar and </w:t>
      </w:r>
      <w:proofErr w:type="spellStart"/>
      <w:r>
        <w:t>Prawiraatmadja</w:t>
      </w:r>
      <w:proofErr w:type="spellEnd"/>
      <w:r>
        <w:t>, 2024). Nevertheless, this strength is growingly challenged by the big players in the competition like Procter and Gamble and Nestle, both having a similar brand power, thus restricting its stock. In the same manner, the global supply chain network of Unilever is operationally efficient and cost-optimal, but the network is no longer exclusive because of the development of logistics and sourcing internationally, which makes it less inimitable (Grant, 2022).</w:t>
      </w:r>
    </w:p>
    <w:p w:rsidR="00AC0A98" w:rsidRPr="00AC0A98" w:rsidRDefault="00AC0A98" w:rsidP="00AC0A98">
      <w:r>
        <w:t xml:space="preserve">Sustainability leadership becomes a comparatively more unique skill, as Unilever has been engaged in sustainability initiatives over a long time. However, sustainability is slowly losing its strategic value as it turns into an industry standard and not a differentiator, with more and more competitors embracing similar tactics (Porter and Kramer, 2019). As such, the internal strengths of Unilever are not able to provide long term benefits, but only short-term ones. In general, the VRIO analysis reveals that the competitive advantage of Unilever lies not in the inimitable and unique resources but in its capacity to utilize and constantly update its resources (Zhang, 2024). Competitive advantage in this case can be best conceived as dynamic and changing as opposed </w:t>
      </w:r>
      <w:r>
        <w:lastRenderedPageBreak/>
        <w:t>to being stable and lasting and it needs a continuous investment in innovation, branding and strategic adjustment.</w:t>
      </w:r>
    </w:p>
    <w:p w:rsidR="000658A5" w:rsidRDefault="000658A5" w:rsidP="007C095D">
      <w:pPr>
        <w:pStyle w:val="Heading2"/>
      </w:pPr>
      <w:bookmarkStart w:id="9" w:name="_Toc228493281"/>
      <w:r>
        <w:t>2.5 LINKING INTERNAL CAPABI</w:t>
      </w:r>
      <w:r w:rsidR="007C095D">
        <w:t>LITIES TO COMPETITIVE ADVANTAGE</w:t>
      </w:r>
      <w:bookmarkEnd w:id="9"/>
    </w:p>
    <w:p w:rsidR="00047619" w:rsidRDefault="00A82D2D" w:rsidP="00A82D2D">
      <w:r>
        <w:t>Critical analysis of the internal environment of Unilever indicates that all the resources do not add the same amount of competitive advantage, and it is necessary to make a distinction between strategic and operational capabilities (Amaya et al., 2022). The company is majorly differentiated by its brand portfolio and sustainability stance that shape consumer perceptions, increase trust, and practice premium pricing strategies in a very competitive market (Kotler and Keller, 2022). These non-physical assets lie at the heart of how the business of Unilever is positioned in the market, and offers some level of resis</w:t>
      </w:r>
      <w:r w:rsidR="00047619">
        <w:t xml:space="preserve">tance to competitive pressures. </w:t>
      </w:r>
      <w:r>
        <w:t xml:space="preserve">Conversely, the capabilities like supply chain effectiveness, financial power, and digital infrastructure serve as entry level or base resources. </w:t>
      </w:r>
    </w:p>
    <w:p w:rsidR="00A82D2D" w:rsidRPr="00A82D2D" w:rsidRDefault="00A82D2D" w:rsidP="00A82D2D">
      <w:r>
        <w:t>Although they are needed to ensure operational efficiency and international coverage, they do not generate differentiation, as they are ubiquitous and can be copied throughout the industry (Johnson et al., 2020). They therefore bring about competitive equality instead of competitive advantage. This difference implies that the competitive advantage of Unilever is more of a perception-based than a capability-based one and, therefore, it is prone to imitation and changing consumer demands (</w:t>
      </w:r>
      <w:proofErr w:type="spellStart"/>
      <w:r>
        <w:t>Wahjudi</w:t>
      </w:r>
      <w:proofErr w:type="spellEnd"/>
      <w:r>
        <w:t xml:space="preserve"> and </w:t>
      </w:r>
      <w:proofErr w:type="spellStart"/>
      <w:r>
        <w:t>Wandebori</w:t>
      </w:r>
      <w:proofErr w:type="spellEnd"/>
      <w:r>
        <w:t>, 2024). Thus, its competitive advantage becomes more sustainable not due to the fact that it has resources but rather because it is capable of reconfiguring, integrating and renewing these resources in accordance with the changing market forces (</w:t>
      </w:r>
      <w:proofErr w:type="spellStart"/>
      <w:r>
        <w:t>Rensburg</w:t>
      </w:r>
      <w:proofErr w:type="spellEnd"/>
      <w:r>
        <w:t xml:space="preserve"> et al., 2023).</w:t>
      </w:r>
    </w:p>
    <w:p w:rsidR="00520582" w:rsidRDefault="007C095D" w:rsidP="007C095D">
      <w:pPr>
        <w:pStyle w:val="Heading1"/>
      </w:pPr>
      <w:bookmarkStart w:id="10" w:name="_Toc228493282"/>
      <w:r>
        <w:t>3. CSR &amp; SUSTAINABILITY</w:t>
      </w:r>
      <w:bookmarkEnd w:id="10"/>
    </w:p>
    <w:p w:rsidR="00520582" w:rsidRDefault="00520582" w:rsidP="007C095D">
      <w:pPr>
        <w:pStyle w:val="Heading2"/>
      </w:pPr>
      <w:bookmarkStart w:id="11" w:name="_Toc228493283"/>
      <w:r>
        <w:t>3.1 CSR Strategy</w:t>
      </w:r>
      <w:bookmarkEnd w:id="11"/>
    </w:p>
    <w:p w:rsidR="002011D5" w:rsidRPr="002011D5" w:rsidRDefault="002011D5" w:rsidP="002011D5">
      <w:r w:rsidRPr="002011D5">
        <w:t xml:space="preserve">Unilever has made corporate social responsibility (CSR) central to its strategic plan under its Environmental, Social and Governance (ESG) agenda and the Unilever Sustainable Living Plan (USLP). This plan aims at minimizing the effects on the environment, maximizing health and well-being, and increasing livelihoods in its global </w:t>
      </w:r>
      <w:r w:rsidRPr="002011D5">
        <w:lastRenderedPageBreak/>
        <w:t xml:space="preserve">value chain (Sari and </w:t>
      </w:r>
      <w:proofErr w:type="spellStart"/>
      <w:r w:rsidRPr="002011D5">
        <w:t>Wibowo</w:t>
      </w:r>
      <w:proofErr w:type="spellEnd"/>
      <w:r w:rsidRPr="002011D5">
        <w:t>, 2024). Unilever aims to balance long-term value-generation with longer-term societal and environmental goals by embedding sustainability as a central business concept. Strategically, CSR is not an ancillary undertaking but a process of enhancing brand equity, bettering the relationship between stakeholders and assuring sustainability in the market over time. This strategy demonstrates the principles of shared value, according to which the success of business is connected with the social progress (Porter and Kramer, 2019).</w:t>
      </w:r>
    </w:p>
    <w:p w:rsidR="00520582" w:rsidRDefault="00520582" w:rsidP="007C095D">
      <w:pPr>
        <w:pStyle w:val="Heading2"/>
      </w:pPr>
      <w:bookmarkStart w:id="12" w:name="_Toc228493284"/>
      <w:r>
        <w:t>3.2 CRITICAL ANALYSIS</w:t>
      </w:r>
      <w:bookmarkEnd w:id="12"/>
    </w:p>
    <w:p w:rsidR="002011D5" w:rsidRDefault="002011D5" w:rsidP="002011D5">
      <w:r>
        <w:t>Although the strategic role of CSR is paramount, Unilever faces critical tensions in its CSR approach. Although sustainability programs improve the corporate legitimacy and consumer trust, they bring about financial stress and complexity in operations (</w:t>
      </w:r>
      <w:proofErr w:type="spellStart"/>
      <w:r>
        <w:t>Budidharmanto</w:t>
      </w:r>
      <w:proofErr w:type="spellEnd"/>
      <w:r>
        <w:t xml:space="preserve"> et al., 2024). Indicatively, a sustainable sourcing investment, environmentally friendly packaging, and carbon mitigation raise the cost of production that might lower the profitability in an already price-sensitive FMCG market (Sarangi and </w:t>
      </w:r>
      <w:proofErr w:type="spellStart"/>
      <w:r>
        <w:t>Jabbal</w:t>
      </w:r>
      <w:proofErr w:type="spellEnd"/>
      <w:r>
        <w:t xml:space="preserve">, 2024). Secondly, the competitive edge of CSR is getting weaker with time passing by, as sustainability transforms into a matter of industry standard, and not a distinguishing factor. </w:t>
      </w:r>
    </w:p>
    <w:p w:rsidR="002011D5" w:rsidRPr="002011D5" w:rsidRDefault="002011D5" w:rsidP="002011D5">
      <w:r>
        <w:t>Other competitors like Procter &amp; Gamble and Nestle are also employing the same ESG strategies thus making the positioning of Unilever less unique. Furthermore, the international nature of Unilever operations makes the execution of CSR activities difficult because of the discrepancies introduced by the difference in regulations and supply chain complexities (</w:t>
      </w:r>
      <w:proofErr w:type="spellStart"/>
      <w:r>
        <w:t>Sinaga</w:t>
      </w:r>
      <w:proofErr w:type="spellEnd"/>
      <w:r>
        <w:t>, 2024). This brings out the issue of balancing global sustainability objectives with local operational realities. As much as CSR will lead to brand legitimacy and trust among stakeholders, it also comes with cost liability and restraint in strategy, which means that CSR is both a source of competitive edge and operational conflict (</w:t>
      </w:r>
      <w:proofErr w:type="spellStart"/>
      <w:r>
        <w:t>Damiano</w:t>
      </w:r>
      <w:proofErr w:type="spellEnd"/>
      <w:r>
        <w:t xml:space="preserve"> and </w:t>
      </w:r>
      <w:proofErr w:type="spellStart"/>
      <w:r>
        <w:t>Valenza</w:t>
      </w:r>
      <w:proofErr w:type="spellEnd"/>
      <w:r>
        <w:t>, 2025).</w:t>
      </w:r>
    </w:p>
    <w:p w:rsidR="00520582" w:rsidRDefault="0094608B" w:rsidP="0094608B">
      <w:pPr>
        <w:jc w:val="center"/>
      </w:pPr>
      <w:r>
        <w:rPr>
          <w:noProof/>
          <w:lang w:eastAsia="en-GB"/>
        </w:rPr>
        <w:lastRenderedPageBreak/>
        <w:drawing>
          <wp:inline distT="0" distB="0" distL="0" distR="0">
            <wp:extent cx="4731597" cy="48507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Apr 21, 2026, 01_36_26 AM.png"/>
                    <pic:cNvPicPr/>
                  </pic:nvPicPr>
                  <pic:blipFill rotWithShape="1">
                    <a:blip r:embed="rId10">
                      <a:extLst>
                        <a:ext uri="{28A0092B-C50C-407E-A947-70E740481C1C}">
                          <a14:useLocalDpi xmlns:a14="http://schemas.microsoft.com/office/drawing/2010/main" val="0"/>
                        </a:ext>
                      </a:extLst>
                    </a:blip>
                    <a:srcRect l="-311" t="5307" r="1159" b="13102"/>
                    <a:stretch/>
                  </pic:blipFill>
                  <pic:spPr bwMode="auto">
                    <a:xfrm>
                      <a:off x="0" y="0"/>
                      <a:ext cx="4741878" cy="4861305"/>
                    </a:xfrm>
                    <a:prstGeom prst="rect">
                      <a:avLst/>
                    </a:prstGeom>
                    <a:ln>
                      <a:noFill/>
                    </a:ln>
                    <a:extLst>
                      <a:ext uri="{53640926-AAD7-44D8-BBD7-CCE9431645EC}">
                        <a14:shadowObscured xmlns:a14="http://schemas.microsoft.com/office/drawing/2010/main"/>
                      </a:ext>
                    </a:extLst>
                  </pic:spPr>
                </pic:pic>
              </a:graphicData>
            </a:graphic>
          </wp:inline>
        </w:drawing>
      </w:r>
    </w:p>
    <w:p w:rsidR="00520582" w:rsidRPr="00A87B80" w:rsidRDefault="00A87B80" w:rsidP="00A87B80">
      <w:pPr>
        <w:jc w:val="center"/>
        <w:rPr>
          <w:b/>
        </w:rPr>
      </w:pPr>
      <w:r>
        <w:rPr>
          <w:b/>
        </w:rPr>
        <w:t>Figure 2</w:t>
      </w:r>
      <w:r w:rsidR="0094608B" w:rsidRPr="00A87B80">
        <w:rPr>
          <w:b/>
        </w:rPr>
        <w:t>:</w:t>
      </w:r>
      <w:r w:rsidR="00520582" w:rsidRPr="00A87B80">
        <w:rPr>
          <w:b/>
        </w:rPr>
        <w:t xml:space="preserve"> illustrates how CSR contributes to competitive advantage while simultaneously creating </w:t>
      </w:r>
      <w:r w:rsidRPr="00A87B80">
        <w:rPr>
          <w:b/>
        </w:rPr>
        <w:t>cost and operational trade-offs</w:t>
      </w:r>
    </w:p>
    <w:p w:rsidR="00520582" w:rsidRDefault="00520582" w:rsidP="00520582"/>
    <w:p w:rsidR="00520582" w:rsidRDefault="00520582" w:rsidP="007C095D">
      <w:pPr>
        <w:pStyle w:val="Heading1"/>
      </w:pPr>
      <w:bookmarkStart w:id="13" w:name="_Toc228493285"/>
      <w:r>
        <w:t>4. BALANCED SCORECARD</w:t>
      </w:r>
      <w:bookmarkEnd w:id="13"/>
      <w:r>
        <w:t xml:space="preserve"> </w:t>
      </w:r>
    </w:p>
    <w:p w:rsidR="009E5FA5" w:rsidRPr="009E5FA5" w:rsidRDefault="009E5FA5" w:rsidP="009E5FA5">
      <w:r w:rsidRPr="009E5FA5">
        <w:t>Balanced Scorecard (Kaplan and Norton, 1992) is a holistic approach to organisational performance measurement that incorporates both financial and non-financial measures. In Unilever, the framework emphasizes the way in which strategic goals are converted into quantifiable results along four main perspectives: financial, customer, internal processes, and learning and growth (</w:t>
      </w:r>
      <w:proofErr w:type="spellStart"/>
      <w:r w:rsidRPr="009E5FA5">
        <w:t>Helfaya</w:t>
      </w:r>
      <w:proofErr w:type="spellEnd"/>
      <w:r w:rsidRPr="009E5FA5">
        <w:t xml:space="preserve"> and Bui, 2025).</w:t>
      </w:r>
    </w:p>
    <w:p w:rsidR="00520582" w:rsidRPr="007C095D" w:rsidRDefault="00520582" w:rsidP="00520582">
      <w:pPr>
        <w:rPr>
          <w:b/>
        </w:rPr>
      </w:pPr>
      <w:r w:rsidRPr="007C095D">
        <w:rPr>
          <w:b/>
        </w:rPr>
        <w:t>TABLE 4.1: BALANCED SCORECARD – UNILEVER</w:t>
      </w:r>
    </w:p>
    <w:tbl>
      <w:tblPr>
        <w:tblStyle w:val="GridTable4-Accent5"/>
        <w:tblW w:w="0" w:type="auto"/>
        <w:tblLook w:val="04A0" w:firstRow="1" w:lastRow="0" w:firstColumn="1" w:lastColumn="0" w:noHBand="0" w:noVBand="1"/>
      </w:tblPr>
      <w:tblGrid>
        <w:gridCol w:w="1778"/>
        <w:gridCol w:w="1798"/>
        <w:gridCol w:w="1750"/>
        <w:gridCol w:w="1753"/>
        <w:gridCol w:w="1937"/>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7C095D" w:rsidRPr="007C095D" w:rsidRDefault="007C095D" w:rsidP="00087E12">
            <w:r w:rsidRPr="007C095D">
              <w:lastRenderedPageBreak/>
              <w:t>Perspective</w:t>
            </w:r>
          </w:p>
        </w:tc>
        <w:tc>
          <w:tcPr>
            <w:tcW w:w="18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Objectives</w:t>
            </w:r>
          </w:p>
        </w:tc>
        <w:tc>
          <w:tcPr>
            <w:tcW w:w="18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KPIs</w:t>
            </w:r>
          </w:p>
        </w:tc>
        <w:tc>
          <w:tcPr>
            <w:tcW w:w="1803"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Targets</w:t>
            </w:r>
          </w:p>
        </w:tc>
        <w:tc>
          <w:tcPr>
            <w:tcW w:w="1804"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Strategic Insight</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7C095D" w:rsidRPr="007C095D" w:rsidRDefault="007C095D" w:rsidP="00087E12">
            <w:r w:rsidRPr="007C095D">
              <w:t>Financial</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Revenue growth, cost control</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Sales growth %, profit margins</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3–5% annual growth</w:t>
            </w:r>
          </w:p>
        </w:tc>
        <w:tc>
          <w:tcPr>
            <w:tcW w:w="180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Profitability under pressure due to rising costs</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1803" w:type="dxa"/>
          </w:tcPr>
          <w:p w:rsidR="007C095D" w:rsidRPr="007C095D" w:rsidRDefault="007C095D" w:rsidP="00087E12">
            <w:r w:rsidRPr="007C095D">
              <w:t>Customer</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Brand loyalty, satisfaction</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Retention rate, brand equity index</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High customer retention</w:t>
            </w:r>
          </w:p>
        </w:tc>
        <w:tc>
          <w:tcPr>
            <w:tcW w:w="180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Differentiation increasingly perception-based</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7C095D" w:rsidRPr="007C095D" w:rsidRDefault="007C095D" w:rsidP="00087E12">
            <w:r w:rsidRPr="007C095D">
              <w:t>Internal Processes</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Supply chain efficiency, sustainability</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Cost efficiency, carbon emissions</w:t>
            </w:r>
          </w:p>
        </w:tc>
        <w:tc>
          <w:tcPr>
            <w:tcW w:w="1803"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Reduce emissions by net zero targets</w:t>
            </w:r>
          </w:p>
        </w:tc>
        <w:tc>
          <w:tcPr>
            <w:tcW w:w="1804"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Efficiency balanced with sustainability goals</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1803" w:type="dxa"/>
          </w:tcPr>
          <w:p w:rsidR="007C095D" w:rsidRPr="007C095D" w:rsidRDefault="007C095D" w:rsidP="00087E12">
            <w:r w:rsidRPr="007C095D">
              <w:t>Learning &amp; Growth</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Innovation, digital transformation</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R&amp;D spending, digital adoption</w:t>
            </w:r>
          </w:p>
        </w:tc>
        <w:tc>
          <w:tcPr>
            <w:tcW w:w="1803"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Increase innovation output</w:t>
            </w:r>
          </w:p>
        </w:tc>
        <w:tc>
          <w:tcPr>
            <w:tcW w:w="1804"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Long-term competitiveness depends on innovation</w:t>
            </w:r>
          </w:p>
        </w:tc>
      </w:tr>
    </w:tbl>
    <w:p w:rsidR="005F4331" w:rsidRDefault="005F4331" w:rsidP="00520582"/>
    <w:p w:rsidR="00047619" w:rsidRDefault="009B3CDD" w:rsidP="009B3CDD">
      <w:r>
        <w:t>The Balanced Scorecard shows that Unilever has balanced financial performance, but in the long-term, its competitiveness becomes more and more reliant on non-financial aspects, especially innovation and sustainability (</w:t>
      </w:r>
      <w:proofErr w:type="spellStart"/>
      <w:r>
        <w:t>Quttainah</w:t>
      </w:r>
      <w:proofErr w:type="spellEnd"/>
      <w:r>
        <w:t xml:space="preserve"> et al., 2025). The financial point of view brings out one critical issue which is profitability, amidst increasing costs of inputs and sustainability investments. This poses a structural conflict between short term financial performance and long term strategic goals. A customer-centric approach of Unilever is based on brand-based differentiation (Schwartz, 2024).  </w:t>
      </w:r>
    </w:p>
    <w:p w:rsidR="00047619" w:rsidRDefault="009B3CDD" w:rsidP="009B3CDD">
      <w:r>
        <w:t>But with the changing expectations of consumers, the brand loyalty is being affected more by moral aspects, and there is a need to keep in touch with the value system of sustainability. This supports the significance of CSR as a marketi</w:t>
      </w:r>
      <w:r w:rsidR="00047619">
        <w:t xml:space="preserve">ng and a strategic instrument.  </w:t>
      </w:r>
      <w:r>
        <w:t>Internal processes demonstrate the intricacy of the efficiency versus sustainability or balancing (</w:t>
      </w:r>
      <w:proofErr w:type="spellStart"/>
      <w:r>
        <w:t>Wahyuni</w:t>
      </w:r>
      <w:proofErr w:type="spellEnd"/>
      <w:r>
        <w:t xml:space="preserve"> et al., 2024). Though operational optimisation enhances cost management, sustainability initiatives tend to bring inefficiencies and extra costs, which form a strategic trade-off that needs to be handled with care. </w:t>
      </w:r>
      <w:r>
        <w:lastRenderedPageBreak/>
        <w:t xml:space="preserve">Learning and growth perspective turns out as the most significant force of competitiveness in the future.  </w:t>
      </w:r>
    </w:p>
    <w:p w:rsidR="009B3CDD" w:rsidRDefault="009B3CDD" w:rsidP="009B3CDD">
      <w:r>
        <w:t xml:space="preserve">Unilever is able to adjust to evolving market dynamics and stay relevant by investing in innovation, digital transformation, and organisational capabilities (Sarangi and </w:t>
      </w:r>
      <w:proofErr w:type="spellStart"/>
      <w:r>
        <w:t>Jabbal</w:t>
      </w:r>
      <w:proofErr w:type="spellEnd"/>
      <w:r>
        <w:t>, 2024). Learning and growth indicators are unlike financial outcomes, which reflect the past performance, as they are used in shaping future strategic success. The ability to innovate and learn at an organisational level is starting to become the basis of the long-term competitive advantage of Unilever, as opposed to its financial performance in the short term (</w:t>
      </w:r>
      <w:proofErr w:type="spellStart"/>
      <w:r>
        <w:t>Sinaga</w:t>
      </w:r>
      <w:proofErr w:type="spellEnd"/>
      <w:r>
        <w:t>, 2024).</w:t>
      </w:r>
    </w:p>
    <w:p w:rsidR="000F41BF" w:rsidRDefault="000F41BF" w:rsidP="007C095D">
      <w:pPr>
        <w:pStyle w:val="Heading1"/>
      </w:pPr>
      <w:bookmarkStart w:id="14" w:name="_Toc228493286"/>
      <w:r>
        <w:t xml:space="preserve">6. STRATEGIC EVALUATION </w:t>
      </w:r>
      <w:r w:rsidR="007C095D">
        <w:t>&amp; RECOMMENDATIONS</w:t>
      </w:r>
      <w:bookmarkEnd w:id="14"/>
      <w:r>
        <w:t xml:space="preserve"> </w:t>
      </w:r>
    </w:p>
    <w:p w:rsidR="009B3CDD" w:rsidRPr="009B3CDD" w:rsidRDefault="009B3CDD" w:rsidP="009B3CDD">
      <w:r w:rsidRPr="009B3CDD">
        <w:t>To conduct the strict assessment of the current strategy of Unilever, one has to incorporate several analytical models in order to evaluate the internal capacity of the company, as well as the positioning of the company. SWOT analysis, the Matrix developed by Ansoff, and the BCG Matrix are used together to get the comprehensive evaluation of the strategic effectiveness and identify the areas which need to be improved to maintain the competitive advantage (</w:t>
      </w:r>
      <w:proofErr w:type="spellStart"/>
      <w:r w:rsidRPr="009B3CDD">
        <w:t>Cassaro</w:t>
      </w:r>
      <w:proofErr w:type="spellEnd"/>
      <w:r w:rsidRPr="009B3CDD">
        <w:t xml:space="preserve"> et al., 2025).</w:t>
      </w:r>
    </w:p>
    <w:p w:rsidR="000F41BF" w:rsidRDefault="000F41BF" w:rsidP="007C095D">
      <w:pPr>
        <w:pStyle w:val="Heading2"/>
      </w:pPr>
      <w:bookmarkStart w:id="15" w:name="_Toc228493287"/>
      <w:r>
        <w:t>6.1 SWOT Analysis</w:t>
      </w:r>
      <w:bookmarkEnd w:id="15"/>
    </w:p>
    <w:p w:rsidR="00DD25CC" w:rsidRDefault="00DD25CC" w:rsidP="00DD25CC">
      <w:r w:rsidRPr="005A3D9C">
        <w:t>According to the SWOT analysis, as much as Unilever boasts of major strengths especially in branding and sustainability, these strengths are gradually being eroded by the structural inefficiencies and cost pressures (Krishnan et al., 2024). Although a good risk mitigation strategy, the wide diversification approach taken by the firm leads to complexity in the organisation, and lacks strategic focus. In addition, the outside factors like competition and economic uncertainty limit profitability and demand constant adjustment.</w:t>
      </w:r>
    </w:p>
    <w:p w:rsidR="00DD25CC" w:rsidRPr="00DD25CC" w:rsidRDefault="00DD25CC" w:rsidP="00DD25CC"/>
    <w:p w:rsidR="005F4331" w:rsidRDefault="005F4331" w:rsidP="005F4331">
      <w:pPr>
        <w:jc w:val="center"/>
        <w:rPr>
          <w:rFonts w:ascii="Segoe UI Symbol" w:hAnsi="Segoe UI Symbol" w:cs="Segoe UI Symbol"/>
        </w:rPr>
      </w:pPr>
      <w:r w:rsidRPr="005F4331">
        <w:rPr>
          <w:noProof/>
          <w:lang w:eastAsia="en-GB"/>
        </w:rPr>
        <w:lastRenderedPageBreak/>
        <w:drawing>
          <wp:inline distT="0" distB="0" distL="0" distR="0" wp14:anchorId="1BFE5392" wp14:editId="4D4161E1">
            <wp:extent cx="4481680" cy="31222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3318" cy="3137370"/>
                    </a:xfrm>
                    <a:prstGeom prst="rect">
                      <a:avLst/>
                    </a:prstGeom>
                  </pic:spPr>
                </pic:pic>
              </a:graphicData>
            </a:graphic>
          </wp:inline>
        </w:drawing>
      </w:r>
    </w:p>
    <w:p w:rsidR="00790AC4" w:rsidRDefault="00A87B80" w:rsidP="00A87B80">
      <w:pPr>
        <w:jc w:val="center"/>
        <w:rPr>
          <w:b/>
          <w:lang w:val="en-US"/>
        </w:rPr>
      </w:pPr>
      <w:r w:rsidRPr="00A87B80">
        <w:rPr>
          <w:b/>
          <w:lang w:val="en-US"/>
        </w:rPr>
        <w:t>Figure</w:t>
      </w:r>
      <w:r>
        <w:rPr>
          <w:b/>
          <w:lang w:val="en-US"/>
        </w:rPr>
        <w:t xml:space="preserve"> 3</w:t>
      </w:r>
      <w:r w:rsidRPr="00A87B80">
        <w:rPr>
          <w:b/>
          <w:lang w:val="en-US"/>
        </w:rPr>
        <w:t xml:space="preserve">: CSR → brand trust → loyalty → competitive advantage, </w:t>
      </w:r>
    </w:p>
    <w:p w:rsidR="005F4331" w:rsidRPr="00A87B80" w:rsidRDefault="00A87B80" w:rsidP="00A87B80">
      <w:pPr>
        <w:jc w:val="center"/>
        <w:rPr>
          <w:b/>
          <w:lang w:val="en-US"/>
        </w:rPr>
      </w:pPr>
      <w:r w:rsidRPr="00A87B80">
        <w:rPr>
          <w:b/>
          <w:lang w:val="en-US"/>
        </w:rPr>
        <w:t>with cost trade-offs.</w:t>
      </w:r>
    </w:p>
    <w:p w:rsidR="007C095D" w:rsidRDefault="007C095D" w:rsidP="005F4331">
      <w:pPr>
        <w:jc w:val="left"/>
        <w:rPr>
          <w:b/>
        </w:rPr>
      </w:pPr>
    </w:p>
    <w:p w:rsidR="007C095D" w:rsidRPr="007C095D" w:rsidRDefault="000F41BF" w:rsidP="005F4331">
      <w:pPr>
        <w:jc w:val="left"/>
        <w:rPr>
          <w:b/>
        </w:rPr>
      </w:pPr>
      <w:r w:rsidRPr="007C095D">
        <w:rPr>
          <w:b/>
        </w:rPr>
        <w:t>Table 6.1: SWOT Analysis – Unilever</w:t>
      </w:r>
    </w:p>
    <w:tbl>
      <w:tblPr>
        <w:tblStyle w:val="GridTable4-Accent5"/>
        <w:tblW w:w="9186" w:type="dxa"/>
        <w:tblLook w:val="04A0" w:firstRow="1" w:lastRow="0" w:firstColumn="1" w:lastColumn="0" w:noHBand="0" w:noVBand="1"/>
      </w:tblPr>
      <w:tblGrid>
        <w:gridCol w:w="4593"/>
        <w:gridCol w:w="4593"/>
      </w:tblGrid>
      <w:tr w:rsidR="000F41BF" w:rsidRPr="000F41BF" w:rsidTr="007C095D">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Strengths</w:t>
            </w:r>
          </w:p>
        </w:tc>
        <w:tc>
          <w:tcPr>
            <w:tcW w:w="4593" w:type="dxa"/>
          </w:tcPr>
          <w:p w:rsidR="000F41BF" w:rsidRPr="000F41BF" w:rsidRDefault="000F41BF" w:rsidP="00087E12">
            <w:pPr>
              <w:cnfStyle w:val="100000000000" w:firstRow="1" w:lastRow="0" w:firstColumn="0" w:lastColumn="0" w:oddVBand="0" w:evenVBand="0" w:oddHBand="0" w:evenHBand="0" w:firstRowFirstColumn="0" w:firstRowLastColumn="0" w:lastRowFirstColumn="0" w:lastRowLastColumn="0"/>
            </w:pPr>
            <w:r w:rsidRPr="000F41BF">
              <w:t>Weaknesses</w:t>
            </w:r>
          </w:p>
        </w:tc>
      </w:tr>
      <w:tr w:rsidR="000F41BF" w:rsidRPr="000F41BF" w:rsidTr="007C095D">
        <w:trPr>
          <w:cnfStyle w:val="000000100000" w:firstRow="0" w:lastRow="0" w:firstColumn="0" w:lastColumn="0" w:oddVBand="0" w:evenVBand="0" w:oddHBand="1" w:evenHBand="0" w:firstRowFirstColumn="0" w:firstRowLastColumn="0" w:lastRowFirstColumn="0" w:lastRowLastColumn="0"/>
          <w:trHeight w:val="1001"/>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Strong global brand portfolio and high brand equity</w:t>
            </w:r>
          </w:p>
        </w:tc>
        <w:tc>
          <w:tcPr>
            <w:tcW w:w="4593" w:type="dxa"/>
          </w:tcPr>
          <w:p w:rsidR="000F41BF" w:rsidRPr="000F41BF" w:rsidRDefault="000F41BF" w:rsidP="00087E12">
            <w:pPr>
              <w:cnfStyle w:val="000000100000" w:firstRow="0" w:lastRow="0" w:firstColumn="0" w:lastColumn="0" w:oddVBand="0" w:evenVBand="0" w:oddHBand="1" w:evenHBand="0" w:firstRowFirstColumn="0" w:firstRowLastColumn="0" w:lastRowFirstColumn="0" w:lastRowLastColumn="0"/>
            </w:pPr>
            <w:r w:rsidRPr="000F41BF">
              <w:t>High operational and sustainability-related costs</w:t>
            </w:r>
          </w:p>
        </w:tc>
      </w:tr>
      <w:tr w:rsidR="000F41BF" w:rsidRPr="000F41BF" w:rsidTr="007C095D">
        <w:trPr>
          <w:trHeight w:val="1001"/>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Established sustainability leadership and ESG positioning</w:t>
            </w:r>
          </w:p>
        </w:tc>
        <w:tc>
          <w:tcPr>
            <w:tcW w:w="4593" w:type="dxa"/>
          </w:tcPr>
          <w:p w:rsidR="000F41BF" w:rsidRPr="000F41BF" w:rsidRDefault="000F41BF" w:rsidP="00087E12">
            <w:pPr>
              <w:cnfStyle w:val="000000000000" w:firstRow="0" w:lastRow="0" w:firstColumn="0" w:lastColumn="0" w:oddVBand="0" w:evenVBand="0" w:oddHBand="0" w:evenHBand="0" w:firstRowFirstColumn="0" w:firstRowLastColumn="0" w:lastRowFirstColumn="0" w:lastRowLastColumn="0"/>
            </w:pPr>
            <w:r w:rsidRPr="000F41BF">
              <w:t>Complex organisational structure</w:t>
            </w:r>
          </w:p>
        </w:tc>
      </w:tr>
      <w:tr w:rsidR="000F41BF" w:rsidRPr="000F41BF" w:rsidTr="007C095D">
        <w:trPr>
          <w:cnfStyle w:val="000000100000" w:firstRow="0" w:lastRow="0" w:firstColumn="0" w:lastColumn="0" w:oddVBand="0" w:evenVBand="0" w:oddHBand="1" w:evenHBand="0" w:firstRowFirstColumn="0" w:firstRowLastColumn="0" w:lastRowFirstColumn="0" w:lastRowLastColumn="0"/>
          <w:trHeight w:val="1001"/>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Extensive global distribution and supply chain capabilities</w:t>
            </w:r>
          </w:p>
        </w:tc>
        <w:tc>
          <w:tcPr>
            <w:tcW w:w="4593" w:type="dxa"/>
          </w:tcPr>
          <w:p w:rsidR="000F41BF" w:rsidRPr="000F41BF" w:rsidRDefault="000F41BF" w:rsidP="00087E12">
            <w:pPr>
              <w:cnfStyle w:val="000000100000" w:firstRow="0" w:lastRow="0" w:firstColumn="0" w:lastColumn="0" w:oddVBand="0" w:evenVBand="0" w:oddHBand="1" w:evenHBand="0" w:firstRowFirstColumn="0" w:firstRowLastColumn="0" w:lastRowFirstColumn="0" w:lastRowLastColumn="0"/>
            </w:pPr>
            <w:r w:rsidRPr="000F41BF">
              <w:t>Over-diversification across product categories</w:t>
            </w:r>
          </w:p>
        </w:tc>
      </w:tr>
      <w:tr w:rsidR="000F41BF" w:rsidRPr="000F41BF" w:rsidTr="007C095D">
        <w:trPr>
          <w:trHeight w:val="507"/>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Opportunities</w:t>
            </w:r>
          </w:p>
        </w:tc>
        <w:tc>
          <w:tcPr>
            <w:tcW w:w="4593" w:type="dxa"/>
          </w:tcPr>
          <w:p w:rsidR="000F41BF" w:rsidRPr="000F41BF" w:rsidRDefault="000F41BF" w:rsidP="00087E12">
            <w:pPr>
              <w:cnfStyle w:val="000000000000" w:firstRow="0" w:lastRow="0" w:firstColumn="0" w:lastColumn="0" w:oddVBand="0" w:evenVBand="0" w:oddHBand="0" w:evenHBand="0" w:firstRowFirstColumn="0" w:firstRowLastColumn="0" w:lastRowFirstColumn="0" w:lastRowLastColumn="0"/>
            </w:pPr>
            <w:r w:rsidRPr="000F41BF">
              <w:t>Threats</w:t>
            </w:r>
          </w:p>
        </w:tc>
      </w:tr>
      <w:tr w:rsidR="000F41BF" w:rsidRPr="000F41BF" w:rsidTr="007C095D">
        <w:trPr>
          <w:cnfStyle w:val="000000100000" w:firstRow="0" w:lastRow="0" w:firstColumn="0" w:lastColumn="0" w:oddVBand="0" w:evenVBand="0" w:oddHBand="1" w:evenHBand="0" w:firstRowFirstColumn="0" w:firstRowLastColumn="0" w:lastRowFirstColumn="0" w:lastRowLastColumn="0"/>
          <w:trHeight w:val="1001"/>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Growing consumer demand for sustainable products</w:t>
            </w:r>
          </w:p>
        </w:tc>
        <w:tc>
          <w:tcPr>
            <w:tcW w:w="4593" w:type="dxa"/>
          </w:tcPr>
          <w:p w:rsidR="000F41BF" w:rsidRPr="000F41BF" w:rsidRDefault="000F41BF" w:rsidP="00087E12">
            <w:pPr>
              <w:cnfStyle w:val="000000100000" w:firstRow="0" w:lastRow="0" w:firstColumn="0" w:lastColumn="0" w:oddVBand="0" w:evenVBand="0" w:oddHBand="1" w:evenHBand="0" w:firstRowFirstColumn="0" w:firstRowLastColumn="0" w:lastRowFirstColumn="0" w:lastRowLastColumn="0"/>
            </w:pPr>
            <w:r w:rsidRPr="000F41BF">
              <w:t>Intense competition from global and local firms</w:t>
            </w:r>
          </w:p>
        </w:tc>
      </w:tr>
      <w:tr w:rsidR="000F41BF" w:rsidRPr="000F41BF" w:rsidTr="007C095D">
        <w:trPr>
          <w:trHeight w:val="493"/>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t>Expansion into emerging markets</w:t>
            </w:r>
          </w:p>
        </w:tc>
        <w:tc>
          <w:tcPr>
            <w:tcW w:w="4593" w:type="dxa"/>
          </w:tcPr>
          <w:p w:rsidR="000F41BF" w:rsidRPr="000F41BF" w:rsidRDefault="000F41BF" w:rsidP="00087E12">
            <w:pPr>
              <w:cnfStyle w:val="000000000000" w:firstRow="0" w:lastRow="0" w:firstColumn="0" w:lastColumn="0" w:oddVBand="0" w:evenVBand="0" w:oddHBand="0" w:evenHBand="0" w:firstRowFirstColumn="0" w:firstRowLastColumn="0" w:lastRowFirstColumn="0" w:lastRowLastColumn="0"/>
            </w:pPr>
            <w:r w:rsidRPr="000F41BF">
              <w:t>Inflation and price sensitivity</w:t>
            </w:r>
          </w:p>
        </w:tc>
      </w:tr>
      <w:tr w:rsidR="000F41BF" w:rsidRPr="000F41BF" w:rsidTr="007C095D">
        <w:trPr>
          <w:cnfStyle w:val="000000100000" w:firstRow="0" w:lastRow="0" w:firstColumn="0" w:lastColumn="0" w:oddVBand="0" w:evenVBand="0" w:oddHBand="1" w:evenHBand="0" w:firstRowFirstColumn="0" w:firstRowLastColumn="0" w:lastRowFirstColumn="0" w:lastRowLastColumn="0"/>
          <w:trHeight w:val="1001"/>
        </w:trPr>
        <w:tc>
          <w:tcPr>
            <w:cnfStyle w:val="001000000000" w:firstRow="0" w:lastRow="0" w:firstColumn="1" w:lastColumn="0" w:oddVBand="0" w:evenVBand="0" w:oddHBand="0" w:evenHBand="0" w:firstRowFirstColumn="0" w:firstRowLastColumn="0" w:lastRowFirstColumn="0" w:lastRowLastColumn="0"/>
            <w:tcW w:w="4593" w:type="dxa"/>
          </w:tcPr>
          <w:p w:rsidR="000F41BF" w:rsidRPr="000F41BF" w:rsidRDefault="000F41BF" w:rsidP="00087E12">
            <w:r w:rsidRPr="000F41BF">
              <w:lastRenderedPageBreak/>
              <w:t>Advancements in digital technologies</w:t>
            </w:r>
          </w:p>
        </w:tc>
        <w:tc>
          <w:tcPr>
            <w:tcW w:w="4593" w:type="dxa"/>
          </w:tcPr>
          <w:p w:rsidR="000F41BF" w:rsidRPr="000F41BF" w:rsidRDefault="000F41BF" w:rsidP="00087E12">
            <w:pPr>
              <w:cnfStyle w:val="000000100000" w:firstRow="0" w:lastRow="0" w:firstColumn="0" w:lastColumn="0" w:oddVBand="0" w:evenVBand="0" w:oddHBand="1" w:evenHBand="0" w:firstRowFirstColumn="0" w:firstRowLastColumn="0" w:lastRowFirstColumn="0" w:lastRowLastColumn="0"/>
            </w:pPr>
            <w:r w:rsidRPr="000F41BF">
              <w:t>Supply chain disruptions and regulatory pressures</w:t>
            </w:r>
          </w:p>
        </w:tc>
      </w:tr>
    </w:tbl>
    <w:p w:rsidR="000F41BF" w:rsidRDefault="000F41BF" w:rsidP="000F41BF"/>
    <w:p w:rsidR="000F41BF" w:rsidRDefault="000F41BF" w:rsidP="007C095D">
      <w:pPr>
        <w:pStyle w:val="Heading2"/>
      </w:pPr>
      <w:bookmarkStart w:id="16" w:name="_Toc228493288"/>
      <w:r>
        <w:t>6.2 Ansoff Matrix</w:t>
      </w:r>
      <w:bookmarkEnd w:id="16"/>
    </w:p>
    <w:p w:rsidR="005A3D9C" w:rsidRPr="005A3D9C" w:rsidRDefault="005A3D9C" w:rsidP="005A3D9C">
      <w:r w:rsidRPr="005A3D9C">
        <w:t>The Matrix developed by Ansoff gives an understanding of the growth strategies of Unilever, as it groups its strategic options as market penetration, product development, market development, and diversification (Ansoff, 1957).</w:t>
      </w:r>
    </w:p>
    <w:p w:rsidR="000F41BF" w:rsidRPr="007C095D" w:rsidRDefault="000F41BF" w:rsidP="000F41BF">
      <w:pPr>
        <w:rPr>
          <w:b/>
        </w:rPr>
      </w:pPr>
      <w:r w:rsidRPr="007C095D">
        <w:rPr>
          <w:b/>
        </w:rPr>
        <w:t>Table 6.2: Ansoff Matrix Application – Unilever</w:t>
      </w:r>
    </w:p>
    <w:tbl>
      <w:tblPr>
        <w:tblStyle w:val="GridTable4-Accent5"/>
        <w:tblW w:w="0" w:type="auto"/>
        <w:tblLook w:val="04A0" w:firstRow="1" w:lastRow="0" w:firstColumn="1" w:lastColumn="0" w:noHBand="0" w:noVBand="1"/>
      </w:tblPr>
      <w:tblGrid>
        <w:gridCol w:w="3005"/>
        <w:gridCol w:w="3005"/>
        <w:gridCol w:w="3006"/>
      </w:tblGrid>
      <w:tr w:rsidR="007C095D" w:rsidRPr="007C095D" w:rsidTr="007C0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C095D" w:rsidRPr="007C095D" w:rsidRDefault="007C095D" w:rsidP="00087E12">
            <w:r w:rsidRPr="007C095D">
              <w:t>Strategy</w:t>
            </w:r>
          </w:p>
        </w:tc>
        <w:tc>
          <w:tcPr>
            <w:tcW w:w="3005"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Application</w:t>
            </w:r>
          </w:p>
        </w:tc>
        <w:tc>
          <w:tcPr>
            <w:tcW w:w="3006"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Strategic Implication</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C095D" w:rsidRPr="007C095D" w:rsidRDefault="007C095D" w:rsidP="00087E12">
            <w:r w:rsidRPr="007C095D">
              <w:t>Market Penetration</w:t>
            </w:r>
          </w:p>
        </w:tc>
        <w:tc>
          <w:tcPr>
            <w:tcW w:w="3005"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Increased marketing and pricing adjustments</w:t>
            </w:r>
          </w:p>
        </w:tc>
        <w:tc>
          <w:tcPr>
            <w:tcW w:w="3006"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Strengthens existing market position but offers limited growth</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3005" w:type="dxa"/>
          </w:tcPr>
          <w:p w:rsidR="007C095D" w:rsidRPr="007C095D" w:rsidRDefault="007C095D" w:rsidP="00087E12">
            <w:r w:rsidRPr="007C095D">
              <w:t>Product Development</w:t>
            </w:r>
          </w:p>
        </w:tc>
        <w:tc>
          <w:tcPr>
            <w:tcW w:w="3005"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Launch of sustainable and health-focused products</w:t>
            </w:r>
          </w:p>
        </w:tc>
        <w:tc>
          <w:tcPr>
            <w:tcW w:w="3006"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Aligns with evolving consumer preferences</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C095D" w:rsidRPr="007C095D" w:rsidRDefault="007C095D" w:rsidP="00087E12">
            <w:r w:rsidRPr="007C095D">
              <w:t>Market Development</w:t>
            </w:r>
          </w:p>
        </w:tc>
        <w:tc>
          <w:tcPr>
            <w:tcW w:w="3005"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Expansion into emerging economies</w:t>
            </w:r>
          </w:p>
        </w:tc>
        <w:tc>
          <w:tcPr>
            <w:tcW w:w="3006"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High growth potential with increased risk</w:t>
            </w:r>
          </w:p>
        </w:tc>
      </w:tr>
      <w:tr w:rsidR="007C095D" w:rsidRPr="007C095D" w:rsidTr="007C095D">
        <w:tc>
          <w:tcPr>
            <w:cnfStyle w:val="001000000000" w:firstRow="0" w:lastRow="0" w:firstColumn="1" w:lastColumn="0" w:oddVBand="0" w:evenVBand="0" w:oddHBand="0" w:evenHBand="0" w:firstRowFirstColumn="0" w:firstRowLastColumn="0" w:lastRowFirstColumn="0" w:lastRowLastColumn="0"/>
            <w:tcW w:w="3005" w:type="dxa"/>
          </w:tcPr>
          <w:p w:rsidR="007C095D" w:rsidRPr="007C095D" w:rsidRDefault="007C095D" w:rsidP="00087E12">
            <w:r w:rsidRPr="007C095D">
              <w:t>Diversification</w:t>
            </w:r>
          </w:p>
        </w:tc>
        <w:tc>
          <w:tcPr>
            <w:tcW w:w="3005"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Multi-category brand expansion</w:t>
            </w:r>
          </w:p>
        </w:tc>
        <w:tc>
          <w:tcPr>
            <w:tcW w:w="3006"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Enhances resilience but increases complexity</w:t>
            </w:r>
          </w:p>
        </w:tc>
      </w:tr>
    </w:tbl>
    <w:p w:rsidR="000F41BF" w:rsidRDefault="000F41BF" w:rsidP="000F41BF"/>
    <w:p w:rsidR="00D04AB8" w:rsidRDefault="00D04AB8" w:rsidP="00D04AB8">
      <w:r w:rsidRPr="00D04AB8">
        <w:t>Importantly, Unilever strategic focus on product creation is a reaction to the changing consumer demands especially in terms of sustainability and health. Yet, its high level of diversification brings up concerns on resource allocation and operating efficiency, implying that the growth strategies would need to be prioritised more selectively (Nguyen et al., 2025).</w:t>
      </w:r>
    </w:p>
    <w:p w:rsidR="000F41BF" w:rsidRDefault="000F41BF" w:rsidP="007C095D">
      <w:pPr>
        <w:pStyle w:val="Heading2"/>
      </w:pPr>
      <w:bookmarkStart w:id="17" w:name="_Toc228493289"/>
      <w:r>
        <w:t>6.3 BCG Matrix</w:t>
      </w:r>
      <w:bookmarkEnd w:id="17"/>
    </w:p>
    <w:p w:rsidR="00D04AB8" w:rsidRPr="00D04AB8" w:rsidRDefault="00D04AB8" w:rsidP="00D04AB8">
      <w:r w:rsidRPr="00D04AB8">
        <w:t>The BCG Matrix helps in analysing the Unilever brand portfolio by classifying the products according to the market growth and market share (Henderson, 1970).</w:t>
      </w:r>
    </w:p>
    <w:p w:rsidR="000F41BF" w:rsidRPr="007C095D" w:rsidRDefault="000F41BF" w:rsidP="000F41BF">
      <w:pPr>
        <w:rPr>
          <w:b/>
        </w:rPr>
      </w:pPr>
      <w:r w:rsidRPr="007C095D">
        <w:rPr>
          <w:b/>
        </w:rPr>
        <w:t>Table 6.3: BCG Matrix – Unilever (Illustrative)</w:t>
      </w:r>
    </w:p>
    <w:tbl>
      <w:tblPr>
        <w:tblStyle w:val="GridTable4-Accent5"/>
        <w:tblW w:w="9154" w:type="dxa"/>
        <w:tblLook w:val="04A0" w:firstRow="1" w:lastRow="0" w:firstColumn="1" w:lastColumn="0" w:noHBand="0" w:noVBand="1"/>
      </w:tblPr>
      <w:tblGrid>
        <w:gridCol w:w="3051"/>
        <w:gridCol w:w="3051"/>
        <w:gridCol w:w="3052"/>
      </w:tblGrid>
      <w:tr w:rsidR="007C095D" w:rsidRPr="007C095D" w:rsidTr="007C095D">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3051" w:type="dxa"/>
          </w:tcPr>
          <w:p w:rsidR="007C095D" w:rsidRPr="007C095D" w:rsidRDefault="007C095D" w:rsidP="00087E12">
            <w:r w:rsidRPr="007C095D">
              <w:t>Category</w:t>
            </w:r>
          </w:p>
        </w:tc>
        <w:tc>
          <w:tcPr>
            <w:tcW w:w="3051"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Brands</w:t>
            </w:r>
          </w:p>
        </w:tc>
        <w:tc>
          <w:tcPr>
            <w:tcW w:w="3052" w:type="dxa"/>
          </w:tcPr>
          <w:p w:rsidR="007C095D" w:rsidRPr="007C095D" w:rsidRDefault="007C095D" w:rsidP="00087E12">
            <w:pPr>
              <w:cnfStyle w:val="100000000000" w:firstRow="1" w:lastRow="0" w:firstColumn="0" w:lastColumn="0" w:oddVBand="0" w:evenVBand="0" w:oddHBand="0" w:evenHBand="0" w:firstRowFirstColumn="0" w:firstRowLastColumn="0" w:lastRowFirstColumn="0" w:lastRowLastColumn="0"/>
            </w:pPr>
            <w:r w:rsidRPr="007C095D">
              <w:t>Strategic Role</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Height w:val="1075"/>
        </w:trPr>
        <w:tc>
          <w:tcPr>
            <w:cnfStyle w:val="001000000000" w:firstRow="0" w:lastRow="0" w:firstColumn="1" w:lastColumn="0" w:oddVBand="0" w:evenVBand="0" w:oddHBand="0" w:evenHBand="0" w:firstRowFirstColumn="0" w:firstRowLastColumn="0" w:lastRowFirstColumn="0" w:lastRowLastColumn="0"/>
            <w:tcW w:w="3051" w:type="dxa"/>
          </w:tcPr>
          <w:p w:rsidR="007C095D" w:rsidRPr="007C095D" w:rsidRDefault="007C095D" w:rsidP="00087E12">
            <w:r w:rsidRPr="007C095D">
              <w:lastRenderedPageBreak/>
              <w:t>Stars</w:t>
            </w:r>
          </w:p>
        </w:tc>
        <w:tc>
          <w:tcPr>
            <w:tcW w:w="3051"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Dove, Lifebuoy</w:t>
            </w:r>
          </w:p>
        </w:tc>
        <w:tc>
          <w:tcPr>
            <w:tcW w:w="3052"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High growth and strong market share</w:t>
            </w:r>
          </w:p>
        </w:tc>
      </w:tr>
      <w:tr w:rsidR="007C095D" w:rsidRPr="007C095D" w:rsidTr="007C095D">
        <w:trPr>
          <w:trHeight w:val="544"/>
        </w:trPr>
        <w:tc>
          <w:tcPr>
            <w:cnfStyle w:val="001000000000" w:firstRow="0" w:lastRow="0" w:firstColumn="1" w:lastColumn="0" w:oddVBand="0" w:evenVBand="0" w:oddHBand="0" w:evenHBand="0" w:firstRowFirstColumn="0" w:firstRowLastColumn="0" w:lastRowFirstColumn="0" w:lastRowLastColumn="0"/>
            <w:tcW w:w="3051" w:type="dxa"/>
          </w:tcPr>
          <w:p w:rsidR="007C095D" w:rsidRPr="007C095D" w:rsidRDefault="007C095D" w:rsidP="00087E12">
            <w:r w:rsidRPr="007C095D">
              <w:t>Cash Cows</w:t>
            </w:r>
          </w:p>
        </w:tc>
        <w:tc>
          <w:tcPr>
            <w:tcW w:w="3051"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Knorr, Surf</w:t>
            </w:r>
          </w:p>
        </w:tc>
        <w:tc>
          <w:tcPr>
            <w:tcW w:w="3052"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Stable revenue generation</w:t>
            </w:r>
          </w:p>
        </w:tc>
      </w:tr>
      <w:tr w:rsidR="007C095D" w:rsidRPr="007C095D" w:rsidTr="007C095D">
        <w:trPr>
          <w:cnfStyle w:val="000000100000" w:firstRow="0" w:lastRow="0" w:firstColumn="0" w:lastColumn="0" w:oddVBand="0" w:evenVBand="0" w:oddHBand="1" w:evenHBand="0" w:firstRowFirstColumn="0" w:firstRowLastColumn="0" w:lastRowFirstColumn="0" w:lastRowLastColumn="0"/>
          <w:trHeight w:val="1075"/>
        </w:trPr>
        <w:tc>
          <w:tcPr>
            <w:cnfStyle w:val="001000000000" w:firstRow="0" w:lastRow="0" w:firstColumn="1" w:lastColumn="0" w:oddVBand="0" w:evenVBand="0" w:oddHBand="0" w:evenHBand="0" w:firstRowFirstColumn="0" w:firstRowLastColumn="0" w:lastRowFirstColumn="0" w:lastRowLastColumn="0"/>
            <w:tcW w:w="3051" w:type="dxa"/>
          </w:tcPr>
          <w:p w:rsidR="007C095D" w:rsidRPr="007C095D" w:rsidRDefault="007C095D" w:rsidP="00087E12">
            <w:r w:rsidRPr="007C095D">
              <w:t>Question Marks</w:t>
            </w:r>
          </w:p>
        </w:tc>
        <w:tc>
          <w:tcPr>
            <w:tcW w:w="3051"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Emerging sustainable brands</w:t>
            </w:r>
          </w:p>
        </w:tc>
        <w:tc>
          <w:tcPr>
            <w:tcW w:w="3052" w:type="dxa"/>
          </w:tcPr>
          <w:p w:rsidR="007C095D" w:rsidRPr="007C095D" w:rsidRDefault="007C095D" w:rsidP="00087E12">
            <w:pPr>
              <w:cnfStyle w:val="000000100000" w:firstRow="0" w:lastRow="0" w:firstColumn="0" w:lastColumn="0" w:oddVBand="0" w:evenVBand="0" w:oddHBand="1" w:evenHBand="0" w:firstRowFirstColumn="0" w:firstRowLastColumn="0" w:lastRowFirstColumn="0" w:lastRowLastColumn="0"/>
            </w:pPr>
            <w:r w:rsidRPr="007C095D">
              <w:t>Potential growth but uncertain performance</w:t>
            </w:r>
          </w:p>
        </w:tc>
      </w:tr>
      <w:tr w:rsidR="007C095D" w:rsidRPr="007C095D" w:rsidTr="007C095D">
        <w:trPr>
          <w:trHeight w:val="1075"/>
        </w:trPr>
        <w:tc>
          <w:tcPr>
            <w:cnfStyle w:val="001000000000" w:firstRow="0" w:lastRow="0" w:firstColumn="1" w:lastColumn="0" w:oddVBand="0" w:evenVBand="0" w:oddHBand="0" w:evenHBand="0" w:firstRowFirstColumn="0" w:firstRowLastColumn="0" w:lastRowFirstColumn="0" w:lastRowLastColumn="0"/>
            <w:tcW w:w="3051" w:type="dxa"/>
          </w:tcPr>
          <w:p w:rsidR="007C095D" w:rsidRPr="007C095D" w:rsidRDefault="007C095D" w:rsidP="00087E12">
            <w:r w:rsidRPr="007C095D">
              <w:t>Dogs</w:t>
            </w:r>
          </w:p>
        </w:tc>
        <w:tc>
          <w:tcPr>
            <w:tcW w:w="3051"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Underperforming regional brands</w:t>
            </w:r>
          </w:p>
        </w:tc>
        <w:tc>
          <w:tcPr>
            <w:tcW w:w="3052" w:type="dxa"/>
          </w:tcPr>
          <w:p w:rsidR="007C095D" w:rsidRPr="007C095D" w:rsidRDefault="007C095D" w:rsidP="00087E12">
            <w:pPr>
              <w:cnfStyle w:val="000000000000" w:firstRow="0" w:lastRow="0" w:firstColumn="0" w:lastColumn="0" w:oddVBand="0" w:evenVBand="0" w:oddHBand="0" w:evenHBand="0" w:firstRowFirstColumn="0" w:firstRowLastColumn="0" w:lastRowFirstColumn="0" w:lastRowLastColumn="0"/>
            </w:pPr>
            <w:r w:rsidRPr="007C095D">
              <w:t>Limited strategic contribution</w:t>
            </w:r>
          </w:p>
        </w:tc>
      </w:tr>
    </w:tbl>
    <w:p w:rsidR="000F41BF" w:rsidRDefault="000F41BF" w:rsidP="000F41BF"/>
    <w:p w:rsidR="00084C6B" w:rsidRDefault="00084C6B" w:rsidP="000F41BF">
      <w:r w:rsidRPr="00084C6B">
        <w:t>This example illustrates the challenges of managing a complex portfolio. Although successful brands are cash cows, the presence of unsuccessful brands suggests the company is not allocating resources effectively. As a result, portfolio complexity can lead to a lack of strategic clarity and organisational efficiency.</w:t>
      </w:r>
    </w:p>
    <w:p w:rsidR="000F41BF" w:rsidRDefault="000F41BF" w:rsidP="007C095D">
      <w:pPr>
        <w:pStyle w:val="Heading2"/>
      </w:pPr>
      <w:bookmarkStart w:id="18" w:name="_Toc228493290"/>
      <w:r>
        <w:t>6.4 Recommendations</w:t>
      </w:r>
      <w:bookmarkEnd w:id="18"/>
    </w:p>
    <w:p w:rsidR="009A43CA" w:rsidRDefault="009A43CA" w:rsidP="009A43CA">
      <w:r>
        <w:t>From the above discussion, a number of strategy-based recommendations can be made.</w:t>
      </w:r>
    </w:p>
    <w:p w:rsidR="009A43CA" w:rsidRDefault="009A43CA" w:rsidP="009A43CA">
      <w:r>
        <w:t>First, Unilever must speed up its digital transformation efforts to improve efficiency and agility. Specifically, according to the Resource-Based View (Barney, 1991), enhancing internal resources through advanced data analytics and AI-enabled supply chains can improve agility and efficiency</w:t>
      </w:r>
      <w:r w:rsidR="00084C6B">
        <w:t xml:space="preserve"> (Kim, 2020)</w:t>
      </w:r>
      <w:r>
        <w:t>.</w:t>
      </w:r>
    </w:p>
    <w:p w:rsidR="009A43CA" w:rsidRDefault="009A43CA" w:rsidP="009A43CA">
      <w:r>
        <w:t>Second, Unilever should engage in portfolio pruning through the disposal of loss-making brands and focusing on growth areas. This is consistent with the BCG model (Henderson, 1970) as "Stars" and "Cash Cows" can boost profitability and strategic focus.</w:t>
      </w:r>
    </w:p>
    <w:p w:rsidR="009A43CA" w:rsidRDefault="009A43CA" w:rsidP="009A43CA">
      <w:r>
        <w:t>Third, Unilever needs to better balance sustainability with cost considerations. Sustainability is a key part of its positioning, but high costs could impact profitability. The notion of shared value (Porter and Kramer, 2019) argues that blending social and economic goals can be beneficial to competitiveness and sustainability.</w:t>
      </w:r>
    </w:p>
    <w:p w:rsidR="009A43CA" w:rsidRPr="009A43CA" w:rsidRDefault="009A43CA" w:rsidP="009A43CA">
      <w:r>
        <w:t xml:space="preserve">In conclusion, the assessment shows that although Unilever has a strong strategic foundation, this is limited by growing complexity, cost and competition. Success will </w:t>
      </w:r>
      <w:r>
        <w:lastRenderedPageBreak/>
        <w:t>not only be dependent on innovation, but the capacity to juggle the priorities of cost, sustainability and growth within a rapidly changing competitive arena</w:t>
      </w:r>
      <w:r w:rsidR="00084C6B">
        <w:t xml:space="preserve"> (</w:t>
      </w:r>
      <w:proofErr w:type="spellStart"/>
      <w:r w:rsidR="00084C6B">
        <w:t>Fengkuo</w:t>
      </w:r>
      <w:proofErr w:type="spellEnd"/>
      <w:r w:rsidR="00084C6B">
        <w:t xml:space="preserve"> et al., 2025)</w:t>
      </w:r>
      <w:r>
        <w:t>.</w:t>
      </w:r>
    </w:p>
    <w:p w:rsidR="000F41BF" w:rsidRPr="007C095D" w:rsidRDefault="007C095D" w:rsidP="007C095D">
      <w:pPr>
        <w:pStyle w:val="Heading1"/>
        <w:jc w:val="center"/>
      </w:pPr>
      <w:bookmarkStart w:id="19" w:name="_Toc228493291"/>
      <w:r>
        <w:t>SECTION 2: REFLECTIVE ACCOUNT</w:t>
      </w:r>
      <w:bookmarkEnd w:id="19"/>
    </w:p>
    <w:p w:rsidR="000F41BF" w:rsidRDefault="000F41BF" w:rsidP="007C095D">
      <w:pPr>
        <w:pStyle w:val="Heading1"/>
      </w:pPr>
      <w:bookmarkStart w:id="20" w:name="_Toc228493292"/>
      <w:r>
        <w:t>7. REFLECTION USING GIBBS’ REFLECTIVE CYCLE</w:t>
      </w:r>
      <w:bookmarkEnd w:id="20"/>
    </w:p>
    <w:p w:rsidR="00C1770E" w:rsidRPr="00C1770E" w:rsidRDefault="00C1770E" w:rsidP="00C1770E">
      <w:r w:rsidRPr="00C1770E">
        <w:t>This section offers a reflective critique of the research, analysis and creation of the strategic management report for Unilever. This reflection is based on Gibbs’ Reflective Cycle, considering not only what was done but also what was learnt during the assessment</w:t>
      </w:r>
      <w:r w:rsidR="00CC1EF0">
        <w:t xml:space="preserve"> </w:t>
      </w:r>
      <w:r w:rsidR="006F24D9" w:rsidRPr="006F24D9">
        <w:t>(</w:t>
      </w:r>
      <w:proofErr w:type="spellStart"/>
      <w:r w:rsidR="006F24D9" w:rsidRPr="006F24D9">
        <w:rPr>
          <w:rStyle w:val="Strong"/>
          <w:b w:val="0"/>
        </w:rPr>
        <w:t>Adeani</w:t>
      </w:r>
      <w:proofErr w:type="spellEnd"/>
      <w:r w:rsidR="006F24D9" w:rsidRPr="006F24D9">
        <w:rPr>
          <w:rStyle w:val="Strong"/>
          <w:b w:val="0"/>
        </w:rPr>
        <w:t xml:space="preserve"> et al., 2020)</w:t>
      </w:r>
      <w:r w:rsidRPr="006F24D9">
        <w:t>.</w:t>
      </w:r>
      <w:r w:rsidRPr="00C1770E">
        <w:t xml:space="preserve"> This section aims to go beyond a descriptive account and to critically reflect on how theoretical knowledge has been applied, how analytical skills have been honed and how problems have been solved throughout the research. As such, the reflection seeks to show how learning has moved from a basic to a more sophisticated and critical approach to strategic </w:t>
      </w:r>
      <w:r w:rsidRPr="006F24D9">
        <w:t>analysis</w:t>
      </w:r>
      <w:r w:rsidR="006F24D9" w:rsidRPr="006F24D9">
        <w:t xml:space="preserve"> </w:t>
      </w:r>
      <w:r w:rsidR="006F24D9">
        <w:t>(</w:t>
      </w:r>
      <w:proofErr w:type="spellStart"/>
      <w:r w:rsidR="006F24D9" w:rsidRPr="006F24D9">
        <w:rPr>
          <w:bCs/>
        </w:rPr>
        <w:t>Helyer</w:t>
      </w:r>
      <w:proofErr w:type="spellEnd"/>
      <w:r w:rsidR="006F24D9" w:rsidRPr="006F24D9">
        <w:rPr>
          <w:bCs/>
        </w:rPr>
        <w:t>, 2022</w:t>
      </w:r>
      <w:r w:rsidR="006F24D9" w:rsidRPr="006F24D9">
        <w:t>).</w:t>
      </w:r>
      <w:r w:rsidR="006F24D9">
        <w:t xml:space="preserve"> </w:t>
      </w:r>
      <w:r w:rsidRPr="00C1770E">
        <w:t>Moreover, it examines how this process has also aided the development of transferable skills for postgraduate study and careers, specifically in critical thinking skills, problem solving and strategic management.</w:t>
      </w:r>
    </w:p>
    <w:p w:rsidR="000F41BF" w:rsidRDefault="000F41BF" w:rsidP="007C095D">
      <w:pPr>
        <w:pStyle w:val="Heading2"/>
      </w:pPr>
      <w:bookmarkStart w:id="21" w:name="_Toc228493293"/>
      <w:r>
        <w:t>7.1 Description</w:t>
      </w:r>
      <w:bookmarkEnd w:id="21"/>
    </w:p>
    <w:p w:rsidR="00C1770E" w:rsidRPr="00C1770E" w:rsidRDefault="00C1770E" w:rsidP="00C1770E">
      <w:r w:rsidRPr="00C1770E">
        <w:t>The evaluation of Unilever consisted of an analysis of its strategic management both within and outside the organisation. The task involved the use of several strategic models, such as PESTEL, Porter’s Five Forces, VRIO, the Balanced Scorecard, SWOT, Ansoff’s Matrix and BCG Matrix</w:t>
      </w:r>
      <w:r w:rsidR="00CC1EF0">
        <w:t xml:space="preserve"> (</w:t>
      </w:r>
      <w:proofErr w:type="spellStart"/>
      <w:r w:rsidR="00CC1EF0">
        <w:t>Rustini</w:t>
      </w:r>
      <w:proofErr w:type="spellEnd"/>
      <w:r w:rsidR="00CC1EF0">
        <w:t xml:space="preserve"> et al., 2023)</w:t>
      </w:r>
      <w:r w:rsidRPr="00C1770E">
        <w:t>. The goal was not just to apply these frameworks but also to draw insights from them to assess Unilever's capacity to generate and maintain competitive advantage. The investigation involved the review of a range of academic and industry publications and data. Special attention was taken to bridge theoretical knowledge with practical strategic management, in order to provide an academically sound, yet practical approach to understanding Unilever's strategic management</w:t>
      </w:r>
      <w:r w:rsidR="00CC1EF0">
        <w:t xml:space="preserve"> </w:t>
      </w:r>
      <w:r w:rsidR="006F24D9">
        <w:t>(</w:t>
      </w:r>
      <w:proofErr w:type="spellStart"/>
      <w:r w:rsidR="00CC1EF0">
        <w:t>Taena</w:t>
      </w:r>
      <w:proofErr w:type="spellEnd"/>
      <w:r w:rsidR="00CC1EF0">
        <w:t xml:space="preserve"> et al., 2022)</w:t>
      </w:r>
      <w:r w:rsidRPr="00C1770E">
        <w:t>.</w:t>
      </w:r>
    </w:p>
    <w:p w:rsidR="000F41BF" w:rsidRDefault="000F41BF" w:rsidP="007C095D">
      <w:pPr>
        <w:pStyle w:val="Heading2"/>
      </w:pPr>
      <w:bookmarkStart w:id="22" w:name="_Toc228493294"/>
      <w:r>
        <w:lastRenderedPageBreak/>
        <w:t>7.2 Feelings</w:t>
      </w:r>
      <w:bookmarkEnd w:id="22"/>
    </w:p>
    <w:p w:rsidR="00C1770E" w:rsidRPr="00C1770E" w:rsidRDefault="00C1770E" w:rsidP="00C1770E">
      <w:r w:rsidRPr="00C1770E">
        <w:t>The initial challenge was the complexity of the task at hand, given the need to critically evaluate the use of multiple strategic models rather than just explain them. At first, the inclination was to emphasise the description of specific frameworks such as PESTEL and VRIO. But it soon became apparent that to achieve a high standard, more than a descriptive analysis was needed; a critical analysis and synthesis was required</w:t>
      </w:r>
      <w:r w:rsidR="00DA08A9">
        <w:t xml:space="preserve"> (Zhang et al., 2025)</w:t>
      </w:r>
      <w:r w:rsidRPr="00C1770E">
        <w:t>. The attempt to integrate models also represented an intellectual challenge, involving the integration of potentially contrasting perspectives</w:t>
      </w:r>
      <w:r w:rsidR="00DA08A9">
        <w:t xml:space="preserve"> (France et al., 2024)</w:t>
      </w:r>
      <w:r w:rsidRPr="00C1770E">
        <w:t>. For instance, CSR programs seemed to enhance Unilever's brand equity, but at the same time increased its costs, presenting a dilemma that demanded further analysis. This transition from descriptive to critical analysis was difficult, but ultimately led to a deeper appreciation of strategic management</w:t>
      </w:r>
      <w:r w:rsidR="00DA08A9">
        <w:t xml:space="preserve"> (</w:t>
      </w:r>
      <w:proofErr w:type="spellStart"/>
      <w:r w:rsidR="00DA08A9">
        <w:t>Fernandes</w:t>
      </w:r>
      <w:proofErr w:type="spellEnd"/>
      <w:r w:rsidR="00DA08A9">
        <w:t xml:space="preserve"> et al., 2024)</w:t>
      </w:r>
      <w:r w:rsidRPr="00C1770E">
        <w:t>.</w:t>
      </w:r>
    </w:p>
    <w:p w:rsidR="000F41BF" w:rsidRDefault="000F41BF" w:rsidP="007C095D">
      <w:pPr>
        <w:pStyle w:val="Heading2"/>
      </w:pPr>
      <w:bookmarkStart w:id="23" w:name="_Toc228493295"/>
      <w:r>
        <w:t>7.3 Evaluation</w:t>
      </w:r>
      <w:bookmarkEnd w:id="23"/>
    </w:p>
    <w:p w:rsidR="00C1770E" w:rsidRPr="00C1770E" w:rsidRDefault="00C1770E" w:rsidP="00C1770E">
      <w:r w:rsidRPr="00C1770E">
        <w:t>One strength of the approach adopted in this project was the use of various models to build a holistic perspective on Unilever’s position. The combination of PESTEL and Porter's Five Forces offered a comprehensive analysis of the macro and micro environments, and VRIO facilitated a critical examination of Unilever's resources and capabilities</w:t>
      </w:r>
      <w:r w:rsidR="00AD172D">
        <w:t xml:space="preserve"> (Adam et al., 2023)</w:t>
      </w:r>
      <w:r w:rsidRPr="00C1770E">
        <w:t>. This approach prevented the analysis from being disconnected. But a weakness was the initial struggle to maintain a critical flavour throughout. Initial drafts focused on descriptive explanations, inhibiting the analytical depth. Moreover, the integration of ideas across models needed further development to ensure consistency and avoid repetition</w:t>
      </w:r>
      <w:r w:rsidR="00AD172D">
        <w:t xml:space="preserve"> (Yadav &amp; Veettil, 2021)</w:t>
      </w:r>
      <w:r w:rsidRPr="00C1770E">
        <w:t>. However, through the process of revision and critical reflection, the quality of the analysis enhanced. The result is a more robust analysis that strikes a balance between theoretical insights, critical analysis and application.</w:t>
      </w:r>
    </w:p>
    <w:p w:rsidR="000F41BF" w:rsidRDefault="000F41BF" w:rsidP="007C095D">
      <w:pPr>
        <w:pStyle w:val="Heading2"/>
      </w:pPr>
      <w:bookmarkStart w:id="24" w:name="_Toc228493296"/>
      <w:r>
        <w:t>7.4 Analysis</w:t>
      </w:r>
      <w:bookmarkEnd w:id="24"/>
    </w:p>
    <w:p w:rsidR="00C1770E" w:rsidRPr="00C1770E" w:rsidRDefault="00C1770E" w:rsidP="00C1770E">
      <w:r w:rsidRPr="00C1770E">
        <w:t xml:space="preserve">Theoretically, this analysis underscores the value of using multiple strategic approaches for a holistic understanding. As Johnson et al. (2020) note, strategic management involves integrating both internal and external views to inform strategy. For instance, using the VRIO framework, we found that Unilever's resources are generally valuable but not necessarily rare and inimitable, implying that its competitive advantage is likely to be dynamic (Barney, 1991). Likewise, Porter's Five Forces </w:t>
      </w:r>
      <w:r w:rsidRPr="00C1770E">
        <w:lastRenderedPageBreak/>
        <w:t>highlighted the limiting influence of industry structure on profitability, suggesting the need for differentiation (Porter, 1985).</w:t>
      </w:r>
    </w:p>
    <w:p w:rsidR="000F41BF" w:rsidRDefault="00C1770E" w:rsidP="000F41BF">
      <w:r w:rsidRPr="00C1770E">
        <w:t>But the study also identified that differentiation is becoming harder to maintain as a result of competition. The combination of these models allowed an appreciation of the trade-offs in strategic decision-making, such as sustainability versus profitability. This is evident in the notion of shared value, in which businesses must consider economic and social goals (Porter and Kramer, 2019). Crucially, this evaluation shows that strategic models must not be used in isolation. Rather, their usefulness is in their capacity to provide insights when used in combination and critically. This insight is an important step forward in terms of analysis.</w:t>
      </w:r>
    </w:p>
    <w:p w:rsidR="000F41BF" w:rsidRDefault="000F41BF" w:rsidP="00082C70">
      <w:pPr>
        <w:pStyle w:val="Heading2"/>
      </w:pPr>
      <w:bookmarkStart w:id="25" w:name="_Toc228493297"/>
      <w:r>
        <w:t>7.5 Conclusion</w:t>
      </w:r>
      <w:bookmarkEnd w:id="25"/>
    </w:p>
    <w:p w:rsidR="00C1770E" w:rsidRPr="00C1770E" w:rsidRDefault="00C1770E" w:rsidP="00C1770E">
      <w:r w:rsidRPr="00C1770E">
        <w:t>This exercise has shown that strategic analysis involves critical reflection, synthesis and integration of theories. The shift from descriptive to analytical writing style was particularly important to enable a more advanced assessment of Unilever's strategic landscape. It also confirmed the recognition that competitive advantage is dynamic and needs to be nurtured and maintained via strategic evolution. Finally, it reinforced the importance of critically assessing the utility and limitations of strategic frameworks, rather than blindly following them. Ultimately, the process has helped to develop a more sophisticated and reflexive approach to strategy, as required at the postgraduate level.</w:t>
      </w:r>
    </w:p>
    <w:p w:rsidR="000F41BF" w:rsidRDefault="000F41BF" w:rsidP="00082C70">
      <w:pPr>
        <w:pStyle w:val="Heading2"/>
      </w:pPr>
      <w:bookmarkStart w:id="26" w:name="_Toc228493298"/>
      <w:r>
        <w:t>7.6 Action Plan</w:t>
      </w:r>
      <w:bookmarkEnd w:id="26"/>
    </w:p>
    <w:p w:rsidR="003731B4" w:rsidRDefault="00C1770E" w:rsidP="00CE5777">
      <w:r w:rsidRPr="00C1770E">
        <w:t>Future academic writing will focus on the level of critical analysis across all parts of the work, with an emphasis on minimising the amount of description. Finally, more time will be dedicated to framework synthesis for improved organisation and coherence. Later work will enhance the synthesis of academic literature to support claims, including by drawing on more recent and diverse sources</w:t>
      </w:r>
      <w:r w:rsidR="00B56890">
        <w:t xml:space="preserve"> </w:t>
      </w:r>
      <w:r w:rsidR="00765481">
        <w:t>Habibie (2025)</w:t>
      </w:r>
      <w:r w:rsidRPr="00C1770E">
        <w:t>. This will increase the rigour and authority. Lastly, more care will be taken with the presentation of written work, to ensure arguments are clearly and succinctly presented. This also involves enhancing the inclusion of tables, figures and other evidence to enhance presentation and communication of ideas</w:t>
      </w:r>
      <w:r w:rsidR="00765481">
        <w:t xml:space="preserve"> (</w:t>
      </w:r>
      <w:proofErr w:type="spellStart"/>
      <w:r w:rsidR="00765481">
        <w:t>Ratnam</w:t>
      </w:r>
      <w:proofErr w:type="spellEnd"/>
      <w:r w:rsidR="00765481">
        <w:t>, 2025)</w:t>
      </w:r>
      <w:r w:rsidRPr="00C1770E">
        <w:t>.</w:t>
      </w:r>
      <w:r w:rsidR="003731B4">
        <w:br w:type="page"/>
      </w:r>
    </w:p>
    <w:p w:rsidR="003B30A0" w:rsidRDefault="003B30A0" w:rsidP="003B30A0">
      <w:pPr>
        <w:pStyle w:val="Heading1"/>
      </w:pPr>
      <w:bookmarkStart w:id="27" w:name="_Toc228493299"/>
      <w:r>
        <w:lastRenderedPageBreak/>
        <w:t>REFERENCES</w:t>
      </w:r>
      <w:bookmarkEnd w:id="27"/>
    </w:p>
    <w:p w:rsidR="0046274B" w:rsidRDefault="0046274B" w:rsidP="0046274B">
      <w:bookmarkStart w:id="28" w:name="_GoBack"/>
      <w:proofErr w:type="spellStart"/>
      <w:r>
        <w:t>Abatan</w:t>
      </w:r>
      <w:proofErr w:type="spellEnd"/>
      <w:r>
        <w:t xml:space="preserve">, A., </w:t>
      </w:r>
      <w:proofErr w:type="spellStart"/>
      <w:r>
        <w:t>Lottu</w:t>
      </w:r>
      <w:proofErr w:type="spellEnd"/>
      <w:r>
        <w:t xml:space="preserve">, O.A., </w:t>
      </w:r>
      <w:proofErr w:type="spellStart"/>
      <w:r>
        <w:t>Ugwuanyi</w:t>
      </w:r>
      <w:proofErr w:type="spellEnd"/>
      <w:r>
        <w:t xml:space="preserve">, E.D., Jacks, B.S., </w:t>
      </w:r>
      <w:proofErr w:type="spellStart"/>
      <w:r>
        <w:t>Sodiya</w:t>
      </w:r>
      <w:proofErr w:type="spellEnd"/>
      <w:r>
        <w:t xml:space="preserve">, E.O., </w:t>
      </w:r>
      <w:proofErr w:type="spellStart"/>
      <w:r>
        <w:t>Daraojimba</w:t>
      </w:r>
      <w:proofErr w:type="spellEnd"/>
      <w:r>
        <w:t xml:space="preserve">, A.I. and </w:t>
      </w:r>
      <w:proofErr w:type="spellStart"/>
      <w:r>
        <w:t>Obaigbena</w:t>
      </w:r>
      <w:proofErr w:type="spellEnd"/>
      <w:r>
        <w:t xml:space="preserve">, A. (2024) ‘Sustainable packaging innovations and their impact on HSE practices in the FMCG industry’, </w:t>
      </w:r>
      <w:r>
        <w:rPr>
          <w:rStyle w:val="Emphasis"/>
        </w:rPr>
        <w:t xml:space="preserve">Magna </w:t>
      </w:r>
      <w:proofErr w:type="spellStart"/>
      <w:r>
        <w:rPr>
          <w:rStyle w:val="Emphasis"/>
        </w:rPr>
        <w:t>Scientia</w:t>
      </w:r>
      <w:proofErr w:type="spellEnd"/>
      <w:r>
        <w:rPr>
          <w:rStyle w:val="Emphasis"/>
        </w:rPr>
        <w:t xml:space="preserve"> Advanced Research and Reviews</w:t>
      </w:r>
      <w:r>
        <w:t xml:space="preserve">, 10(1), pp. 379–391. Available at: </w:t>
      </w:r>
      <w:hyperlink r:id="rId12" w:tgtFrame="_new" w:history="1">
        <w:r>
          <w:rPr>
            <w:rStyle w:val="Hyperlink"/>
          </w:rPr>
          <w:t>https://doi.org/10.30574/msarr.2024.10.1.0029</w:t>
        </w:r>
      </w:hyperlink>
    </w:p>
    <w:p w:rsidR="0046274B" w:rsidRDefault="0046274B" w:rsidP="0046274B">
      <w:r>
        <w:t xml:space="preserve">Adam, A., </w:t>
      </w:r>
      <w:proofErr w:type="spellStart"/>
      <w:r>
        <w:t>Isnaini</w:t>
      </w:r>
      <w:proofErr w:type="spellEnd"/>
      <w:r>
        <w:t xml:space="preserve">, I. and </w:t>
      </w:r>
      <w:proofErr w:type="spellStart"/>
      <w:r>
        <w:t>Kusmanto</w:t>
      </w:r>
      <w:proofErr w:type="spellEnd"/>
      <w:r>
        <w:t xml:space="preserve">, H. (2023) ‘Optimizing local revenue: PBBP2 tax policy for effective public service in </w:t>
      </w:r>
      <w:proofErr w:type="spellStart"/>
      <w:r>
        <w:t>Binjai</w:t>
      </w:r>
      <w:proofErr w:type="spellEnd"/>
      <w:r>
        <w:t xml:space="preserve">, North Sumatra’, </w:t>
      </w:r>
      <w:proofErr w:type="spellStart"/>
      <w:r>
        <w:rPr>
          <w:rStyle w:val="Emphasis"/>
        </w:rPr>
        <w:t>Jurnal</w:t>
      </w:r>
      <w:proofErr w:type="spellEnd"/>
      <w:r>
        <w:rPr>
          <w:rStyle w:val="Emphasis"/>
        </w:rPr>
        <w:t xml:space="preserve"> </w:t>
      </w:r>
      <w:proofErr w:type="spellStart"/>
      <w:r>
        <w:rPr>
          <w:rStyle w:val="Emphasis"/>
        </w:rPr>
        <w:t>Manajemen</w:t>
      </w:r>
      <w:proofErr w:type="spellEnd"/>
      <w:r>
        <w:rPr>
          <w:rStyle w:val="Emphasis"/>
        </w:rPr>
        <w:t xml:space="preserve"> </w:t>
      </w:r>
      <w:proofErr w:type="spellStart"/>
      <w:r>
        <w:rPr>
          <w:rStyle w:val="Emphasis"/>
        </w:rPr>
        <w:t>Pelayanan</w:t>
      </w:r>
      <w:proofErr w:type="spellEnd"/>
      <w:r>
        <w:rPr>
          <w:rStyle w:val="Emphasis"/>
        </w:rPr>
        <w:t xml:space="preserve"> </w:t>
      </w:r>
      <w:proofErr w:type="spellStart"/>
      <w:r>
        <w:rPr>
          <w:rStyle w:val="Emphasis"/>
        </w:rPr>
        <w:t>Publik</w:t>
      </w:r>
      <w:proofErr w:type="spellEnd"/>
      <w:r>
        <w:t xml:space="preserve">, 7(1), pp. 85–96. Available at: </w:t>
      </w:r>
      <w:hyperlink r:id="rId13" w:tgtFrame="_new" w:history="1">
        <w:r>
          <w:rPr>
            <w:rStyle w:val="Hyperlink"/>
          </w:rPr>
          <w:t>https://doi.org/10.24198/jmpp.v7i1.48236</w:t>
        </w:r>
      </w:hyperlink>
    </w:p>
    <w:p w:rsidR="0046274B" w:rsidRDefault="0046274B" w:rsidP="0046274B">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in reflective writing practice’, </w:t>
      </w:r>
      <w:r>
        <w:rPr>
          <w:rStyle w:val="Emphasis"/>
        </w:rPr>
        <w:t>Indonesian EFL Journal</w:t>
      </w:r>
      <w:r>
        <w:t>, 6(1), pp. 1–9.</w:t>
      </w:r>
    </w:p>
    <w:p w:rsidR="0046274B" w:rsidRPr="00BF2BD6" w:rsidRDefault="0046274B" w:rsidP="0046274B">
      <w:pPr>
        <w:rPr>
          <w:lang w:val="en-US"/>
        </w:rPr>
      </w:pPr>
      <w:r w:rsidRPr="00BF2BD6">
        <w:rPr>
          <w:lang w:val="en-US"/>
        </w:rPr>
        <w:t xml:space="preserve">Amaya, N., Torres, C.A.B., </w:t>
      </w:r>
      <w:proofErr w:type="spellStart"/>
      <w:r w:rsidRPr="00BF2BD6">
        <w:rPr>
          <w:lang w:val="en-US"/>
        </w:rPr>
        <w:t>Nicolás</w:t>
      </w:r>
      <w:proofErr w:type="spellEnd"/>
      <w:r w:rsidRPr="00BF2BD6">
        <w:rPr>
          <w:lang w:val="en-US"/>
        </w:rPr>
        <w:t>-Rojas, Y.W. and Pando-</w:t>
      </w:r>
      <w:proofErr w:type="spellStart"/>
      <w:r w:rsidRPr="00BF2BD6">
        <w:rPr>
          <w:lang w:val="en-US"/>
        </w:rPr>
        <w:t>Ezcurra</w:t>
      </w:r>
      <w:proofErr w:type="spellEnd"/>
      <w:r w:rsidRPr="00BF2BD6">
        <w:rPr>
          <w:lang w:val="en-US"/>
        </w:rPr>
        <w:t xml:space="preserve">, T. (2022) ‘Role of internal resources on the competitive advantage building in a knowledge-intensive organisation in an emerging market’, </w:t>
      </w:r>
      <w:r w:rsidRPr="00BF2BD6">
        <w:rPr>
          <w:i/>
          <w:iCs/>
          <w:lang w:val="en-US"/>
        </w:rPr>
        <w:t>VINE Journal of Information and Knowledge Management Systems</w:t>
      </w:r>
      <w:r w:rsidRPr="00BF2BD6">
        <w:rPr>
          <w:lang w:val="en-US"/>
        </w:rPr>
        <w:t xml:space="preserve">, 54(5), pp. 1153–1169. Available at: </w:t>
      </w:r>
      <w:hyperlink r:id="rId14" w:tgtFrame="_new" w:history="1">
        <w:r w:rsidRPr="00BF2BD6">
          <w:rPr>
            <w:rStyle w:val="Hyperlink"/>
            <w:lang w:val="en-US"/>
          </w:rPr>
          <w:t>https://doi.org/10.1108/vjikms-01-2022-0029</w:t>
        </w:r>
      </w:hyperlink>
    </w:p>
    <w:p w:rsidR="0046274B" w:rsidRPr="003731B4" w:rsidRDefault="0046274B" w:rsidP="0046274B">
      <w:r w:rsidRPr="003731B4">
        <w:t xml:space="preserve">Ansoff, H.I. (1957) ‘Strategies for diversification’, </w:t>
      </w:r>
      <w:r w:rsidRPr="003731B4">
        <w:rPr>
          <w:i/>
          <w:iCs/>
        </w:rPr>
        <w:t>Harvard Business Review</w:t>
      </w:r>
      <w:r>
        <w:t>, 35(5), pp. 113–124.</w:t>
      </w:r>
      <w:r w:rsidRPr="003731B4">
        <w:t>Available at: https://hbr.org/1957/09/strategies-for-diversification</w:t>
      </w:r>
    </w:p>
    <w:p w:rsidR="0046274B" w:rsidRPr="00BF2BD6" w:rsidRDefault="0046274B" w:rsidP="0046274B">
      <w:pPr>
        <w:rPr>
          <w:lang w:val="en-US"/>
        </w:rPr>
      </w:pPr>
      <w:r w:rsidRPr="00BF2BD6">
        <w:rPr>
          <w:lang w:val="en-US"/>
        </w:rPr>
        <w:t xml:space="preserve">Anwar, M.I. and </w:t>
      </w:r>
      <w:proofErr w:type="spellStart"/>
      <w:r w:rsidRPr="00BF2BD6">
        <w:rPr>
          <w:lang w:val="en-US"/>
        </w:rPr>
        <w:t>Prawiraatmadja</w:t>
      </w:r>
      <w:proofErr w:type="spellEnd"/>
      <w:r w:rsidRPr="00BF2BD6">
        <w:rPr>
          <w:lang w:val="en-US"/>
        </w:rPr>
        <w:t xml:space="preserve">, W. (2024) ‘Proposed business strategy for implementation of green port at </w:t>
      </w:r>
      <w:proofErr w:type="spellStart"/>
      <w:r w:rsidRPr="00BF2BD6">
        <w:rPr>
          <w:lang w:val="en-US"/>
        </w:rPr>
        <w:t>Merak</w:t>
      </w:r>
      <w:proofErr w:type="spellEnd"/>
      <w:r w:rsidRPr="00BF2BD6">
        <w:rPr>
          <w:lang w:val="en-US"/>
        </w:rPr>
        <w:t xml:space="preserve"> Ferry Port to achieve sustainability’, </w:t>
      </w:r>
      <w:r w:rsidRPr="00BF2BD6">
        <w:rPr>
          <w:i/>
          <w:iCs/>
          <w:lang w:val="en-US"/>
        </w:rPr>
        <w:t>International Journal of Current Science Research and Review</w:t>
      </w:r>
      <w:r w:rsidRPr="00BF2BD6">
        <w:rPr>
          <w:lang w:val="en-US"/>
        </w:rPr>
        <w:t xml:space="preserve">, 7(7). Available at: </w:t>
      </w:r>
      <w:hyperlink r:id="rId15" w:tgtFrame="_new" w:history="1">
        <w:r w:rsidRPr="00BF2BD6">
          <w:rPr>
            <w:rStyle w:val="Hyperlink"/>
            <w:lang w:val="en-US"/>
          </w:rPr>
          <w:t>https://doi.org/10.47191/ijcsrr/v7-i7-75</w:t>
        </w:r>
      </w:hyperlink>
    </w:p>
    <w:p w:rsidR="0046274B" w:rsidRPr="003731B4" w:rsidRDefault="0046274B" w:rsidP="0046274B">
      <w:r w:rsidRPr="003731B4">
        <w:t xml:space="preserve">Barney, J. (1991) ‘Firm resources and sustained competitive advantage’, </w:t>
      </w:r>
      <w:r w:rsidRPr="003731B4">
        <w:rPr>
          <w:i/>
          <w:iCs/>
        </w:rPr>
        <w:t>Journal of Management</w:t>
      </w:r>
      <w:r>
        <w:t xml:space="preserve">, 17(1), pp. 99–120. </w:t>
      </w:r>
      <w:hyperlink r:id="rId16" w:tgtFrame="_new" w:history="1">
        <w:r w:rsidRPr="003731B4">
          <w:rPr>
            <w:rStyle w:val="Hyperlink"/>
          </w:rPr>
          <w:t>https://doi.org/10.1177/014920639101700108</w:t>
        </w:r>
      </w:hyperlink>
    </w:p>
    <w:p w:rsidR="0046274B" w:rsidRPr="003731B4" w:rsidRDefault="0046274B" w:rsidP="0046274B">
      <w:r w:rsidRPr="003731B4">
        <w:t xml:space="preserve">Barney, J. and </w:t>
      </w:r>
      <w:proofErr w:type="spellStart"/>
      <w:r w:rsidRPr="003731B4">
        <w:t>Hesterly</w:t>
      </w:r>
      <w:proofErr w:type="spellEnd"/>
      <w:r w:rsidRPr="003731B4">
        <w:t xml:space="preserve">, W. (2021) </w:t>
      </w:r>
      <w:r w:rsidRPr="003731B4">
        <w:rPr>
          <w:i/>
          <w:iCs/>
        </w:rPr>
        <w:t>Strategic Management and Competitive Advantage</w:t>
      </w:r>
      <w:r w:rsidRPr="003731B4">
        <w:t xml:space="preserve">. 6th </w:t>
      </w:r>
      <w:proofErr w:type="spellStart"/>
      <w:r w:rsidRPr="003731B4">
        <w:t>edn</w:t>
      </w:r>
      <w:proofErr w:type="spellEnd"/>
      <w:r w:rsidRPr="003731B4">
        <w:t>. Harlow: Pearson.</w:t>
      </w:r>
    </w:p>
    <w:p w:rsidR="0046274B" w:rsidRPr="00BF2BD6" w:rsidRDefault="0046274B" w:rsidP="0046274B">
      <w:pPr>
        <w:rPr>
          <w:lang w:val="en-US"/>
        </w:rPr>
      </w:pPr>
      <w:proofErr w:type="spellStart"/>
      <w:r w:rsidRPr="00BF2BD6">
        <w:rPr>
          <w:lang w:val="en-US"/>
        </w:rPr>
        <w:t>Budidharmanto</w:t>
      </w:r>
      <w:proofErr w:type="spellEnd"/>
      <w:r w:rsidRPr="00BF2BD6">
        <w:rPr>
          <w:lang w:val="en-US"/>
        </w:rPr>
        <w:t xml:space="preserve">, L.P., </w:t>
      </w:r>
      <w:proofErr w:type="spellStart"/>
      <w:r w:rsidRPr="00BF2BD6">
        <w:rPr>
          <w:lang w:val="en-US"/>
        </w:rPr>
        <w:t>Pribadiyono</w:t>
      </w:r>
      <w:proofErr w:type="spellEnd"/>
      <w:r w:rsidRPr="00BF2BD6">
        <w:rPr>
          <w:lang w:val="en-US"/>
        </w:rPr>
        <w:t xml:space="preserve"> and </w:t>
      </w:r>
      <w:proofErr w:type="spellStart"/>
      <w:r w:rsidRPr="00BF2BD6">
        <w:rPr>
          <w:lang w:val="en-US"/>
        </w:rPr>
        <w:t>Riharjo</w:t>
      </w:r>
      <w:proofErr w:type="spellEnd"/>
      <w:r w:rsidRPr="00BF2BD6">
        <w:rPr>
          <w:lang w:val="en-US"/>
        </w:rPr>
        <w:t xml:space="preserve">, I.B. (2024) ‘Transformation of robot automated food service (RAFS) in the perspective of resource change management at Grand </w:t>
      </w:r>
      <w:proofErr w:type="spellStart"/>
      <w:r w:rsidRPr="00BF2BD6">
        <w:rPr>
          <w:lang w:val="en-US"/>
        </w:rPr>
        <w:t>Sahid</w:t>
      </w:r>
      <w:proofErr w:type="spellEnd"/>
      <w:r w:rsidRPr="00BF2BD6">
        <w:rPr>
          <w:lang w:val="en-US"/>
        </w:rPr>
        <w:t xml:space="preserve"> Jaya Hotel (study at Grand </w:t>
      </w:r>
      <w:proofErr w:type="spellStart"/>
      <w:r w:rsidRPr="00BF2BD6">
        <w:rPr>
          <w:lang w:val="en-US"/>
        </w:rPr>
        <w:t>Sahid</w:t>
      </w:r>
      <w:proofErr w:type="spellEnd"/>
      <w:r w:rsidRPr="00BF2BD6">
        <w:rPr>
          <w:lang w:val="en-US"/>
        </w:rPr>
        <w:t xml:space="preserve"> Jaya Hotel Jakarta)’, </w:t>
      </w:r>
      <w:r w:rsidRPr="00BF2BD6">
        <w:rPr>
          <w:i/>
          <w:iCs/>
          <w:lang w:val="en-US"/>
        </w:rPr>
        <w:t xml:space="preserve">Journal of </w:t>
      </w:r>
      <w:r w:rsidRPr="00BF2BD6">
        <w:rPr>
          <w:i/>
          <w:iCs/>
          <w:lang w:val="en-US"/>
        </w:rPr>
        <w:lastRenderedPageBreak/>
        <w:t>Economics Finance and Management Studies</w:t>
      </w:r>
      <w:r w:rsidRPr="00BF2BD6">
        <w:rPr>
          <w:lang w:val="en-US"/>
        </w:rPr>
        <w:t xml:space="preserve">, 7(11). Available at: </w:t>
      </w:r>
      <w:hyperlink r:id="rId17" w:tgtFrame="_new" w:history="1">
        <w:r w:rsidRPr="00BF2BD6">
          <w:rPr>
            <w:rStyle w:val="Hyperlink"/>
            <w:lang w:val="en-US"/>
          </w:rPr>
          <w:t>https://doi.org/10.47191/jefms/v7-i11-36</w:t>
        </w:r>
      </w:hyperlink>
    </w:p>
    <w:p w:rsidR="0046274B" w:rsidRPr="009A43CA" w:rsidRDefault="0046274B" w:rsidP="0046274B">
      <w:pPr>
        <w:rPr>
          <w:lang w:val="en-US"/>
        </w:rPr>
      </w:pPr>
      <w:proofErr w:type="spellStart"/>
      <w:r w:rsidRPr="009A43CA">
        <w:rPr>
          <w:lang w:val="en-US"/>
        </w:rPr>
        <w:t>Cassaro</w:t>
      </w:r>
      <w:proofErr w:type="spellEnd"/>
      <w:r w:rsidRPr="009A43CA">
        <w:rPr>
          <w:lang w:val="en-US"/>
        </w:rPr>
        <w:t xml:space="preserve">, E., Bueno, A. do P., </w:t>
      </w:r>
      <w:proofErr w:type="spellStart"/>
      <w:r w:rsidRPr="009A43CA">
        <w:rPr>
          <w:lang w:val="en-US"/>
        </w:rPr>
        <w:t>Sehnem</w:t>
      </w:r>
      <w:proofErr w:type="spellEnd"/>
      <w:r w:rsidRPr="009A43CA">
        <w:rPr>
          <w:lang w:val="en-US"/>
        </w:rPr>
        <w:t xml:space="preserve">, S., Lara, A.C. and </w:t>
      </w:r>
      <w:proofErr w:type="spellStart"/>
      <w:r w:rsidRPr="009A43CA">
        <w:rPr>
          <w:lang w:val="en-US"/>
        </w:rPr>
        <w:t>Julkovski</w:t>
      </w:r>
      <w:proofErr w:type="spellEnd"/>
      <w:r w:rsidRPr="009A43CA">
        <w:rPr>
          <w:lang w:val="en-US"/>
        </w:rPr>
        <w:t xml:space="preserve">, D.J. (2025) ‘Strategic perspectives on big data analytics for sustainability: Integrative insights from a systematic literature review’, </w:t>
      </w:r>
      <w:r w:rsidRPr="009A43CA">
        <w:rPr>
          <w:i/>
          <w:iCs/>
          <w:lang w:val="en-US"/>
        </w:rPr>
        <w:t>Business Strategy &amp; Development</w:t>
      </w:r>
      <w:r w:rsidRPr="009A43CA">
        <w:rPr>
          <w:lang w:val="en-US"/>
        </w:rPr>
        <w:t xml:space="preserve">, 8(3). Available at: </w:t>
      </w:r>
      <w:hyperlink r:id="rId18" w:tgtFrame="_new" w:history="1">
        <w:r w:rsidRPr="009A43CA">
          <w:rPr>
            <w:rStyle w:val="Hyperlink"/>
            <w:lang w:val="en-US"/>
          </w:rPr>
          <w:t>https://doi.org/10.1002/bsd2.70186</w:t>
        </w:r>
      </w:hyperlink>
    </w:p>
    <w:p w:rsidR="0046274B" w:rsidRPr="005E5F74" w:rsidRDefault="0046274B" w:rsidP="0046274B">
      <w:pPr>
        <w:rPr>
          <w:lang w:val="en-US"/>
        </w:rPr>
      </w:pPr>
      <w:proofErr w:type="spellStart"/>
      <w:r w:rsidRPr="005E5F74">
        <w:rPr>
          <w:lang w:val="en-US"/>
        </w:rPr>
        <w:t>Damberg</w:t>
      </w:r>
      <w:proofErr w:type="spellEnd"/>
      <w:r w:rsidRPr="005E5F74">
        <w:rPr>
          <w:lang w:val="en-US"/>
        </w:rPr>
        <w:t xml:space="preserve">, S., </w:t>
      </w:r>
      <w:proofErr w:type="spellStart"/>
      <w:r w:rsidRPr="005E5F74">
        <w:rPr>
          <w:lang w:val="en-US"/>
        </w:rPr>
        <w:t>Saari</w:t>
      </w:r>
      <w:proofErr w:type="spellEnd"/>
      <w:r w:rsidRPr="005E5F74">
        <w:rPr>
          <w:lang w:val="en-US"/>
        </w:rPr>
        <w:t xml:space="preserve">, U.A., Fritz, M.M.C., </w:t>
      </w:r>
      <w:proofErr w:type="spellStart"/>
      <w:r w:rsidRPr="005E5F74">
        <w:rPr>
          <w:lang w:val="en-US"/>
        </w:rPr>
        <w:t>Dlugoborskytė</w:t>
      </w:r>
      <w:proofErr w:type="spellEnd"/>
      <w:r w:rsidRPr="005E5F74">
        <w:rPr>
          <w:lang w:val="en-US"/>
        </w:rPr>
        <w:t xml:space="preserve">, V. and </w:t>
      </w:r>
      <w:proofErr w:type="spellStart"/>
      <w:r w:rsidRPr="005E5F74">
        <w:rPr>
          <w:lang w:val="en-US"/>
        </w:rPr>
        <w:t>Božič</w:t>
      </w:r>
      <w:proofErr w:type="spellEnd"/>
      <w:r w:rsidRPr="005E5F74">
        <w:rPr>
          <w:lang w:val="en-US"/>
        </w:rPr>
        <w:t xml:space="preserve">, K. (2024) ‘Consumers’ purchase behavior of Cradle to Cradle Certified® products—The role of trust and supply chain transparency’, </w:t>
      </w:r>
      <w:r w:rsidRPr="005E5F74">
        <w:rPr>
          <w:i/>
          <w:iCs/>
          <w:lang w:val="en-US"/>
        </w:rPr>
        <w:t>Business Strategy and the Environment</w:t>
      </w:r>
      <w:r w:rsidRPr="005E5F74">
        <w:rPr>
          <w:lang w:val="en-US"/>
        </w:rPr>
        <w:t xml:space="preserve">, 33(8), pp. 8280–8299. Available at: </w:t>
      </w:r>
      <w:hyperlink r:id="rId19" w:tgtFrame="_new" w:history="1">
        <w:r w:rsidRPr="005E5F74">
          <w:rPr>
            <w:rStyle w:val="Hyperlink"/>
            <w:lang w:val="en-US"/>
          </w:rPr>
          <w:t>https://doi.org/10.1002/bse.3919</w:t>
        </w:r>
      </w:hyperlink>
    </w:p>
    <w:p w:rsidR="0046274B" w:rsidRPr="009A43CA" w:rsidRDefault="0046274B" w:rsidP="0046274B">
      <w:pPr>
        <w:rPr>
          <w:lang w:val="en-US"/>
        </w:rPr>
      </w:pPr>
      <w:proofErr w:type="spellStart"/>
      <w:r w:rsidRPr="009A43CA">
        <w:rPr>
          <w:lang w:val="en-US"/>
        </w:rPr>
        <w:t>Damiano</w:t>
      </w:r>
      <w:proofErr w:type="spellEnd"/>
      <w:r w:rsidRPr="009A43CA">
        <w:rPr>
          <w:lang w:val="en-US"/>
        </w:rPr>
        <w:t xml:space="preserve">, R. and </w:t>
      </w:r>
      <w:proofErr w:type="spellStart"/>
      <w:r w:rsidRPr="009A43CA">
        <w:rPr>
          <w:lang w:val="en-US"/>
        </w:rPr>
        <w:t>Valenza</w:t>
      </w:r>
      <w:proofErr w:type="spellEnd"/>
      <w:r w:rsidRPr="009A43CA">
        <w:rPr>
          <w:lang w:val="en-US"/>
        </w:rPr>
        <w:t xml:space="preserve">, G. (2025) ‘Institutional logics and stakeholder stances on sustainability reporting regulation: Insights from the European Union public consultation’, </w:t>
      </w:r>
      <w:r w:rsidRPr="009A43CA">
        <w:rPr>
          <w:i/>
          <w:iCs/>
          <w:lang w:val="en-US"/>
        </w:rPr>
        <w:t>Business Strategy and the Environment</w:t>
      </w:r>
      <w:r w:rsidRPr="009A43CA">
        <w:rPr>
          <w:lang w:val="en-US"/>
        </w:rPr>
        <w:t xml:space="preserve">, 34(7), pp. 8079–8099. Available at: </w:t>
      </w:r>
      <w:hyperlink r:id="rId20" w:tgtFrame="_new" w:history="1">
        <w:r w:rsidRPr="009A43CA">
          <w:rPr>
            <w:rStyle w:val="Hyperlink"/>
            <w:lang w:val="en-US"/>
          </w:rPr>
          <w:t>https://doi.org/10.1002/bse.70016</w:t>
        </w:r>
      </w:hyperlink>
    </w:p>
    <w:p w:rsidR="0046274B" w:rsidRPr="00CB4C9F" w:rsidRDefault="0046274B" w:rsidP="0046274B">
      <w:pPr>
        <w:rPr>
          <w:lang w:val="en-US"/>
        </w:rPr>
      </w:pPr>
      <w:proofErr w:type="spellStart"/>
      <w:r w:rsidRPr="00CB4C9F">
        <w:rPr>
          <w:lang w:val="en-US"/>
        </w:rPr>
        <w:t>Deshmukh</w:t>
      </w:r>
      <w:proofErr w:type="spellEnd"/>
      <w:r w:rsidRPr="00CB4C9F">
        <w:rPr>
          <w:lang w:val="en-US"/>
        </w:rPr>
        <w:t xml:space="preserve">, P. and Tare, H. (2023) ‘Green marketing and corporate social responsibility: A review of business practices’, </w:t>
      </w:r>
      <w:r w:rsidRPr="00CB4C9F">
        <w:rPr>
          <w:i/>
          <w:iCs/>
          <w:lang w:val="en-US"/>
        </w:rPr>
        <w:t>Multidisciplinary Reviews</w:t>
      </w:r>
      <w:r w:rsidRPr="00CB4C9F">
        <w:rPr>
          <w:lang w:val="en-US"/>
        </w:rPr>
        <w:t xml:space="preserve">, 7(3), p. 2024059. Available at: </w:t>
      </w:r>
      <w:hyperlink r:id="rId21" w:tgtFrame="_new" w:history="1">
        <w:r w:rsidRPr="00CB4C9F">
          <w:rPr>
            <w:rStyle w:val="Hyperlink"/>
            <w:lang w:val="en-US"/>
          </w:rPr>
          <w:t>https://doi.org/10.31893/multirev.2024059</w:t>
        </w:r>
      </w:hyperlink>
    </w:p>
    <w:p w:rsidR="0046274B" w:rsidRPr="00C1770E" w:rsidRDefault="0046274B" w:rsidP="0046274B">
      <w:pPr>
        <w:rPr>
          <w:lang w:val="en-US"/>
        </w:rPr>
      </w:pPr>
      <w:proofErr w:type="spellStart"/>
      <w:r w:rsidRPr="00C1770E">
        <w:rPr>
          <w:lang w:val="en-US"/>
        </w:rPr>
        <w:t>Fengkuo</w:t>
      </w:r>
      <w:proofErr w:type="spellEnd"/>
      <w:r w:rsidRPr="00C1770E">
        <w:rPr>
          <w:lang w:val="en-US"/>
        </w:rPr>
        <w:t xml:space="preserve">, S., </w:t>
      </w:r>
      <w:proofErr w:type="spellStart"/>
      <w:r w:rsidRPr="00C1770E">
        <w:rPr>
          <w:lang w:val="en-US"/>
        </w:rPr>
        <w:t>Yijia</w:t>
      </w:r>
      <w:proofErr w:type="spellEnd"/>
      <w:r w:rsidRPr="00C1770E">
        <w:rPr>
          <w:lang w:val="en-US"/>
        </w:rPr>
        <w:t xml:space="preserve">, Z., </w:t>
      </w:r>
      <w:proofErr w:type="spellStart"/>
      <w:r w:rsidRPr="00C1770E">
        <w:rPr>
          <w:lang w:val="en-US"/>
        </w:rPr>
        <w:t>Comite</w:t>
      </w:r>
      <w:proofErr w:type="spellEnd"/>
      <w:r w:rsidRPr="00C1770E">
        <w:rPr>
          <w:lang w:val="en-US"/>
        </w:rPr>
        <w:t xml:space="preserve">, U., </w:t>
      </w:r>
      <w:proofErr w:type="spellStart"/>
      <w:r w:rsidRPr="00C1770E">
        <w:rPr>
          <w:lang w:val="en-US"/>
        </w:rPr>
        <w:t>Bădulescu</w:t>
      </w:r>
      <w:proofErr w:type="spellEnd"/>
      <w:r w:rsidRPr="00C1770E">
        <w:rPr>
          <w:lang w:val="en-US"/>
        </w:rPr>
        <w:t xml:space="preserve">, A. and </w:t>
      </w:r>
      <w:proofErr w:type="spellStart"/>
      <w:r w:rsidRPr="00C1770E">
        <w:rPr>
          <w:lang w:val="en-US"/>
        </w:rPr>
        <w:t>Bădulescu</w:t>
      </w:r>
      <w:proofErr w:type="spellEnd"/>
      <w:r w:rsidRPr="00C1770E">
        <w:rPr>
          <w:lang w:val="en-US"/>
        </w:rPr>
        <w:t xml:space="preserve">, D. (2025) ‘Artificial intelligence-supported leadership’, </w:t>
      </w:r>
      <w:r w:rsidRPr="00C1770E">
        <w:rPr>
          <w:i/>
          <w:iCs/>
          <w:lang w:val="en-US"/>
        </w:rPr>
        <w:t>Journal of Organizational and End User Computing</w:t>
      </w:r>
      <w:r w:rsidRPr="00C1770E">
        <w:rPr>
          <w:lang w:val="en-US"/>
        </w:rPr>
        <w:t xml:space="preserve">, 37(1), pp. 1–29. Available at: </w:t>
      </w:r>
      <w:hyperlink r:id="rId22" w:tgtFrame="_new" w:history="1">
        <w:r w:rsidRPr="00C1770E">
          <w:rPr>
            <w:rStyle w:val="Hyperlink"/>
            <w:lang w:val="en-US"/>
          </w:rPr>
          <w:t>https://doi.org/10.4018/joeuc.379769</w:t>
        </w:r>
      </w:hyperlink>
    </w:p>
    <w:p w:rsidR="0046274B" w:rsidRPr="00B56890" w:rsidRDefault="0046274B" w:rsidP="0046274B">
      <w:pPr>
        <w:rPr>
          <w:lang w:val="en-US"/>
        </w:rPr>
      </w:pPr>
      <w:proofErr w:type="spellStart"/>
      <w:r w:rsidRPr="00B56890">
        <w:rPr>
          <w:lang w:val="en-US"/>
        </w:rPr>
        <w:t>Fernandes</w:t>
      </w:r>
      <w:proofErr w:type="spellEnd"/>
      <w:r w:rsidRPr="00B56890">
        <w:rPr>
          <w:lang w:val="en-US"/>
        </w:rPr>
        <w:t xml:space="preserve">, T., </w:t>
      </w:r>
      <w:proofErr w:type="spellStart"/>
      <w:r w:rsidRPr="00B56890">
        <w:rPr>
          <w:lang w:val="en-US"/>
        </w:rPr>
        <w:t>Guzmán</w:t>
      </w:r>
      <w:proofErr w:type="spellEnd"/>
      <w:r w:rsidRPr="00B56890">
        <w:rPr>
          <w:lang w:val="en-US"/>
        </w:rPr>
        <w:t xml:space="preserve">, F. and </w:t>
      </w:r>
      <w:proofErr w:type="spellStart"/>
      <w:r w:rsidRPr="00B56890">
        <w:rPr>
          <w:lang w:val="en-US"/>
        </w:rPr>
        <w:t>Mota</w:t>
      </w:r>
      <w:proofErr w:type="spellEnd"/>
      <w:r w:rsidRPr="00B56890">
        <w:rPr>
          <w:lang w:val="en-US"/>
        </w:rPr>
        <w:t xml:space="preserve">, M. (2024) ‘Purpose is the new branding: Understanding conscientious purpose-driven marketing and its impact on brand outcomes’, </w:t>
      </w:r>
      <w:r w:rsidRPr="00B56890">
        <w:rPr>
          <w:i/>
          <w:iCs/>
          <w:lang w:val="en-US"/>
        </w:rPr>
        <w:t>Journal of Product &amp; Brand Management</w:t>
      </w:r>
      <w:r w:rsidRPr="00B56890">
        <w:rPr>
          <w:lang w:val="en-US"/>
        </w:rPr>
        <w:t xml:space="preserve">, 33(6), pp. 761–782. Available at: </w:t>
      </w:r>
      <w:hyperlink r:id="rId23" w:tgtFrame="_new" w:history="1">
        <w:r w:rsidRPr="00B56890">
          <w:rPr>
            <w:rStyle w:val="Hyperlink"/>
            <w:lang w:val="en-US"/>
          </w:rPr>
          <w:t>https://doi.org/10.1108/jpbm-08-2023-4667</w:t>
        </w:r>
      </w:hyperlink>
    </w:p>
    <w:p w:rsidR="0046274B" w:rsidRPr="00B56890" w:rsidRDefault="0046274B" w:rsidP="0046274B">
      <w:pPr>
        <w:rPr>
          <w:lang w:val="en-US"/>
        </w:rPr>
      </w:pPr>
      <w:r w:rsidRPr="00B56890">
        <w:rPr>
          <w:lang w:val="en-US"/>
        </w:rPr>
        <w:t xml:space="preserve">France, C., Gonzalez-Arcos, C., O’Rourke, A.-M., Spry, A. and Bruce, B. (2024) ‘Brand purpose: A literature review and BEING implementation framework’, </w:t>
      </w:r>
      <w:r w:rsidRPr="00B56890">
        <w:rPr>
          <w:i/>
          <w:iCs/>
          <w:lang w:val="en-US"/>
        </w:rPr>
        <w:t>Journal of Product &amp; Brand Management</w:t>
      </w:r>
      <w:r w:rsidRPr="00B56890">
        <w:rPr>
          <w:lang w:val="en-US"/>
        </w:rPr>
        <w:t xml:space="preserve">, 33(7), pp. 929–945. Available at: </w:t>
      </w:r>
      <w:hyperlink r:id="rId24" w:tgtFrame="_new" w:history="1">
        <w:r w:rsidRPr="00B56890">
          <w:rPr>
            <w:rStyle w:val="Hyperlink"/>
            <w:lang w:val="en-US"/>
          </w:rPr>
          <w:t>https://doi.org/10.1108/jpbm-08-2023-4663</w:t>
        </w:r>
      </w:hyperlink>
    </w:p>
    <w:p w:rsidR="0046274B" w:rsidRPr="003731B4" w:rsidRDefault="0046274B" w:rsidP="0046274B">
      <w:r w:rsidRPr="003731B4">
        <w:t xml:space="preserve">Grant, R.M. (2022) </w:t>
      </w:r>
      <w:r w:rsidRPr="003731B4">
        <w:rPr>
          <w:i/>
          <w:iCs/>
        </w:rPr>
        <w:t>Contemporary Strategy Analysis</w:t>
      </w:r>
      <w:r w:rsidRPr="003731B4">
        <w:t xml:space="preserve">. 11th </w:t>
      </w:r>
      <w:proofErr w:type="spellStart"/>
      <w:r w:rsidRPr="003731B4">
        <w:t>edn</w:t>
      </w:r>
      <w:proofErr w:type="spellEnd"/>
      <w:r w:rsidRPr="003731B4">
        <w:t>. Hoboken: Wiley.</w:t>
      </w:r>
    </w:p>
    <w:p w:rsidR="0046274B" w:rsidRDefault="0046274B" w:rsidP="0046274B">
      <w:r w:rsidRPr="00765481">
        <w:lastRenderedPageBreak/>
        <w:t xml:space="preserve">Habibie, P. (2025) ‘Generative artificial intelligence, </w:t>
      </w:r>
      <w:proofErr w:type="spellStart"/>
      <w:r w:rsidRPr="00765481">
        <w:t>interdisciplinarity</w:t>
      </w:r>
      <w:proofErr w:type="spellEnd"/>
      <w:r w:rsidRPr="00765481">
        <w:t xml:space="preserve">, and the global English-medium knowledge economy’, </w:t>
      </w:r>
      <w:r w:rsidRPr="00765481">
        <w:rPr>
          <w:i/>
          <w:iCs/>
        </w:rPr>
        <w:t>Written Communication</w:t>
      </w:r>
      <w:r w:rsidRPr="00765481">
        <w:t xml:space="preserve">, 43(1), pp. 271–282. Available at: </w:t>
      </w:r>
      <w:hyperlink r:id="rId25" w:tgtFrame="_new" w:history="1">
        <w:r w:rsidRPr="00765481">
          <w:rPr>
            <w:rStyle w:val="Hyperlink"/>
          </w:rPr>
          <w:t>https://doi.org/10.1177/07410883251372206</w:t>
        </w:r>
      </w:hyperlink>
    </w:p>
    <w:p w:rsidR="0046274B" w:rsidRPr="00CB4C9F" w:rsidRDefault="0046274B" w:rsidP="0046274B">
      <w:pPr>
        <w:rPr>
          <w:lang w:val="en-US"/>
        </w:rPr>
      </w:pPr>
      <w:proofErr w:type="spellStart"/>
      <w:r w:rsidRPr="00CB4C9F">
        <w:rPr>
          <w:lang w:val="en-US"/>
        </w:rPr>
        <w:t>Hatoum</w:t>
      </w:r>
      <w:proofErr w:type="spellEnd"/>
      <w:r w:rsidRPr="00CB4C9F">
        <w:rPr>
          <w:lang w:val="en-US"/>
        </w:rPr>
        <w:t xml:space="preserve">, M.B., </w:t>
      </w:r>
      <w:proofErr w:type="spellStart"/>
      <w:r w:rsidRPr="00CB4C9F">
        <w:rPr>
          <w:lang w:val="en-US"/>
        </w:rPr>
        <w:t>Nassereddine</w:t>
      </w:r>
      <w:proofErr w:type="spellEnd"/>
      <w:r w:rsidRPr="00CB4C9F">
        <w:rPr>
          <w:lang w:val="en-US"/>
        </w:rPr>
        <w:t xml:space="preserve">, H., </w:t>
      </w:r>
      <w:proofErr w:type="spellStart"/>
      <w:r w:rsidRPr="00CB4C9F">
        <w:rPr>
          <w:lang w:val="en-US"/>
        </w:rPr>
        <w:t>Musick</w:t>
      </w:r>
      <w:proofErr w:type="spellEnd"/>
      <w:r w:rsidRPr="00CB4C9F">
        <w:rPr>
          <w:lang w:val="en-US"/>
        </w:rPr>
        <w:t xml:space="preserve">, S. and </w:t>
      </w:r>
      <w:proofErr w:type="spellStart"/>
      <w:r w:rsidRPr="00CB4C9F">
        <w:rPr>
          <w:lang w:val="en-US"/>
        </w:rPr>
        <w:t>Eljazzar</w:t>
      </w:r>
      <w:proofErr w:type="spellEnd"/>
      <w:r w:rsidRPr="00CB4C9F">
        <w:rPr>
          <w:lang w:val="en-US"/>
        </w:rPr>
        <w:t xml:space="preserve">, M.S. (2023) ‘Investigation of PESTEL factors driving change in capital project organizations’, </w:t>
      </w:r>
      <w:r w:rsidRPr="00CB4C9F">
        <w:rPr>
          <w:i/>
          <w:iCs/>
          <w:lang w:val="en-US"/>
        </w:rPr>
        <w:t>Frontiers in Built Environment</w:t>
      </w:r>
      <w:r w:rsidRPr="00CB4C9F">
        <w:rPr>
          <w:lang w:val="en-US"/>
        </w:rPr>
        <w:t xml:space="preserve">, 9. Available at: </w:t>
      </w:r>
      <w:hyperlink r:id="rId26" w:tgtFrame="_new" w:history="1">
        <w:r w:rsidRPr="00CB4C9F">
          <w:rPr>
            <w:rStyle w:val="Hyperlink"/>
            <w:lang w:val="en-US"/>
          </w:rPr>
          <w:t>https://doi.org/10.3389/fbuil.2023.1207564</w:t>
        </w:r>
      </w:hyperlink>
    </w:p>
    <w:p w:rsidR="0046274B" w:rsidRPr="009A43CA" w:rsidRDefault="0046274B" w:rsidP="0046274B">
      <w:pPr>
        <w:rPr>
          <w:lang w:val="en-US"/>
        </w:rPr>
      </w:pPr>
      <w:proofErr w:type="spellStart"/>
      <w:r w:rsidRPr="009A43CA">
        <w:rPr>
          <w:lang w:val="en-US"/>
        </w:rPr>
        <w:t>Helfaya</w:t>
      </w:r>
      <w:proofErr w:type="spellEnd"/>
      <w:r w:rsidRPr="009A43CA">
        <w:rPr>
          <w:lang w:val="en-US"/>
        </w:rPr>
        <w:t xml:space="preserve">, A. and Bui, P. (2025) ‘Governance-aligned CSR, corporate sustainable development goals adoption, and long-lasting performance: An insight from tourism and hospitality industry’, </w:t>
      </w:r>
      <w:r w:rsidRPr="009A43CA">
        <w:rPr>
          <w:i/>
          <w:iCs/>
          <w:lang w:val="en-US"/>
        </w:rPr>
        <w:t>Sustainable Development</w:t>
      </w:r>
      <w:r w:rsidRPr="009A43CA">
        <w:rPr>
          <w:lang w:val="en-US"/>
        </w:rPr>
        <w:t xml:space="preserve">, 33(6), pp. 9466–9487. Available at: </w:t>
      </w:r>
      <w:hyperlink r:id="rId27" w:tgtFrame="_new" w:history="1">
        <w:r w:rsidRPr="009A43CA">
          <w:rPr>
            <w:rStyle w:val="Hyperlink"/>
            <w:lang w:val="en-US"/>
          </w:rPr>
          <w:t>https://doi.org/10.1002/sd.70164</w:t>
        </w:r>
      </w:hyperlink>
    </w:p>
    <w:p w:rsidR="0046274B" w:rsidRPr="00DB6911" w:rsidRDefault="0046274B" w:rsidP="0046274B">
      <w:proofErr w:type="spellStart"/>
      <w:r w:rsidRPr="00DB6911">
        <w:t>Helyer</w:t>
      </w:r>
      <w:proofErr w:type="spellEnd"/>
      <w:r w:rsidRPr="00DB6911">
        <w:t xml:space="preserve">, R. (2022) </w:t>
      </w:r>
      <w:r w:rsidRPr="00DB6911">
        <w:rPr>
          <w:i/>
          <w:iCs/>
        </w:rPr>
        <w:t>Learning through reflection: The critical role of reflection in work-based learning</w:t>
      </w:r>
      <w:r w:rsidRPr="00DB6911">
        <w:t xml:space="preserve">. London: </w:t>
      </w:r>
      <w:proofErr w:type="spellStart"/>
      <w:r w:rsidRPr="00DB6911">
        <w:t>Kogan</w:t>
      </w:r>
      <w:proofErr w:type="spellEnd"/>
      <w:r w:rsidRPr="00DB6911">
        <w:t xml:space="preserve"> Page.</w:t>
      </w:r>
    </w:p>
    <w:p w:rsidR="0046274B" w:rsidRPr="003731B4" w:rsidRDefault="0046274B" w:rsidP="0046274B">
      <w:r w:rsidRPr="003731B4">
        <w:t xml:space="preserve">Henderson, B.D. (1970) </w:t>
      </w:r>
      <w:r w:rsidRPr="003731B4">
        <w:rPr>
          <w:i/>
          <w:iCs/>
        </w:rPr>
        <w:t>The Product Portfolio</w:t>
      </w:r>
      <w:r w:rsidRPr="003731B4">
        <w:t>. Boston: Boston Consulting Group.</w:t>
      </w:r>
      <w:r w:rsidRPr="003731B4">
        <w:br/>
        <w:t xml:space="preserve">Available at: </w:t>
      </w:r>
      <w:hyperlink r:id="rId28" w:tgtFrame="_new" w:history="1">
        <w:r w:rsidRPr="003731B4">
          <w:rPr>
            <w:rStyle w:val="Hyperlink"/>
          </w:rPr>
          <w:t>https://www.bcg.com/publications/1970/strategy-the-product-portfolio</w:t>
        </w:r>
      </w:hyperlink>
    </w:p>
    <w:p w:rsidR="0046274B" w:rsidRPr="00CB4C9F" w:rsidRDefault="0046274B" w:rsidP="0046274B">
      <w:pPr>
        <w:rPr>
          <w:lang w:val="en-US"/>
        </w:rPr>
      </w:pPr>
      <w:proofErr w:type="spellStart"/>
      <w:r w:rsidRPr="00CB4C9F">
        <w:rPr>
          <w:lang w:val="en-US"/>
        </w:rPr>
        <w:t>Hendrasetyawan</w:t>
      </w:r>
      <w:proofErr w:type="spellEnd"/>
      <w:r w:rsidRPr="00CB4C9F">
        <w:rPr>
          <w:lang w:val="en-US"/>
        </w:rPr>
        <w:t xml:space="preserve">, B.E. and </w:t>
      </w:r>
      <w:proofErr w:type="spellStart"/>
      <w:r w:rsidRPr="00CB4C9F">
        <w:rPr>
          <w:lang w:val="en-US"/>
        </w:rPr>
        <w:t>Yunus</w:t>
      </w:r>
      <w:proofErr w:type="spellEnd"/>
      <w:r w:rsidRPr="00CB4C9F">
        <w:rPr>
          <w:lang w:val="en-US"/>
        </w:rPr>
        <w:t xml:space="preserve">, E.N. (2022) ‘New product development strategy for sustainable rigid plastic packaging at XYZ Company in 2022–2025’, </w:t>
      </w:r>
      <w:r w:rsidRPr="00CB4C9F">
        <w:rPr>
          <w:i/>
          <w:iCs/>
          <w:lang w:val="en-US"/>
        </w:rPr>
        <w:t>Business Review and Case Studies</w:t>
      </w:r>
      <w:r w:rsidRPr="00CB4C9F">
        <w:rPr>
          <w:lang w:val="en-US"/>
        </w:rPr>
        <w:t xml:space="preserve">. Available at: </w:t>
      </w:r>
      <w:hyperlink r:id="rId29" w:tgtFrame="_new" w:history="1">
        <w:r w:rsidRPr="00CB4C9F">
          <w:rPr>
            <w:rStyle w:val="Hyperlink"/>
            <w:lang w:val="en-US"/>
          </w:rPr>
          <w:t>https://doi.org/10.17358/brcs.3.3.193</w:t>
        </w:r>
      </w:hyperlink>
    </w:p>
    <w:p w:rsidR="0046274B" w:rsidRDefault="0046274B" w:rsidP="0046274B">
      <w:r>
        <w:t xml:space="preserve">Holloway, S. (2024c) ‘The role of supply chain partnerships in enhancing brand value: A qualitative study of collaborative marketing efforts’. Available at: </w:t>
      </w:r>
      <w:hyperlink r:id="rId30" w:tgtFrame="_new" w:history="1">
        <w:r>
          <w:rPr>
            <w:rStyle w:val="Hyperlink"/>
          </w:rPr>
          <w:t>https://doi.org/10.20944/preprints202406.1761.v1</w:t>
        </w:r>
      </w:hyperlink>
    </w:p>
    <w:p w:rsidR="0046274B" w:rsidRPr="005E5F74" w:rsidRDefault="0046274B" w:rsidP="0046274B">
      <w:r>
        <w:t xml:space="preserve">Hu, Y. and Zeng, Y. (2024) ‘Achieving sustainable operations: Challenges, countermeasures, and the case of Unilever’, </w:t>
      </w:r>
      <w:r>
        <w:rPr>
          <w:rStyle w:val="Emphasis"/>
        </w:rPr>
        <w:t>SHS Web of Conferences</w:t>
      </w:r>
      <w:r>
        <w:t xml:space="preserve">, 181, p. 01036. Available at: </w:t>
      </w:r>
      <w:hyperlink r:id="rId31" w:tgtFrame="_new" w:history="1">
        <w:r>
          <w:rPr>
            <w:rStyle w:val="Hyperlink"/>
          </w:rPr>
          <w:t>https://doi.org/10.1051/shsconf/202418101036</w:t>
        </w:r>
      </w:hyperlink>
    </w:p>
    <w:p w:rsidR="0046274B" w:rsidRPr="00CB4C9F" w:rsidRDefault="0046274B" w:rsidP="0046274B">
      <w:pPr>
        <w:rPr>
          <w:lang w:val="en-US"/>
        </w:rPr>
      </w:pPr>
      <w:proofErr w:type="spellStart"/>
      <w:r w:rsidRPr="00CB4C9F">
        <w:rPr>
          <w:lang w:val="en-US"/>
        </w:rPr>
        <w:t>Huo</w:t>
      </w:r>
      <w:proofErr w:type="spellEnd"/>
      <w:r w:rsidRPr="00CB4C9F">
        <w:rPr>
          <w:lang w:val="en-US"/>
        </w:rPr>
        <w:t xml:space="preserve">, Y.P. (2024) ‘Business model innovation of IKEA China in the digital economy’, </w:t>
      </w:r>
      <w:r w:rsidRPr="00CB4C9F">
        <w:rPr>
          <w:i/>
          <w:iCs/>
          <w:lang w:val="en-US"/>
        </w:rPr>
        <w:t>Advances in Economics, Management and Political Sciences</w:t>
      </w:r>
      <w:r w:rsidRPr="00CB4C9F">
        <w:rPr>
          <w:lang w:val="en-US"/>
        </w:rPr>
        <w:t xml:space="preserve">, 111(1), pp. 143–149. Available at: </w:t>
      </w:r>
      <w:hyperlink r:id="rId32" w:tgtFrame="_new" w:history="1">
        <w:r w:rsidRPr="00CB4C9F">
          <w:rPr>
            <w:rStyle w:val="Hyperlink"/>
            <w:lang w:val="en-US"/>
          </w:rPr>
          <w:t>https://doi.org/10.54254/2754-1169/2024.17759</w:t>
        </w:r>
      </w:hyperlink>
    </w:p>
    <w:p w:rsidR="0046274B" w:rsidRPr="003731B4" w:rsidRDefault="0046274B" w:rsidP="0046274B">
      <w:r w:rsidRPr="003731B4">
        <w:t xml:space="preserve">Johnson, G., Scholes, K. and Whittington, R. (2020) </w:t>
      </w:r>
      <w:r w:rsidRPr="003731B4">
        <w:rPr>
          <w:i/>
          <w:iCs/>
        </w:rPr>
        <w:t>Exploring Strategy</w:t>
      </w:r>
      <w:r w:rsidRPr="003731B4">
        <w:t xml:space="preserve">. 12th </w:t>
      </w:r>
      <w:proofErr w:type="spellStart"/>
      <w:r w:rsidRPr="003731B4">
        <w:t>edn</w:t>
      </w:r>
      <w:proofErr w:type="spellEnd"/>
      <w:r w:rsidRPr="003731B4">
        <w:t>. Harlow: Pearson.</w:t>
      </w:r>
    </w:p>
    <w:p w:rsidR="0046274B" w:rsidRPr="003731B4" w:rsidRDefault="0046274B" w:rsidP="0046274B">
      <w:r w:rsidRPr="003731B4">
        <w:t xml:space="preserve">Kaplan, R.S. and Norton, D.P. (1992) ‘The balanced scorecard: Measures that drive performance’, </w:t>
      </w:r>
      <w:r w:rsidRPr="003731B4">
        <w:rPr>
          <w:i/>
          <w:iCs/>
        </w:rPr>
        <w:t>Harvard Business Review</w:t>
      </w:r>
      <w:r w:rsidRPr="003731B4">
        <w:t>, 70(1), pp. 71–79.</w:t>
      </w:r>
      <w:r w:rsidRPr="003731B4">
        <w:br/>
      </w:r>
      <w:r w:rsidRPr="003731B4">
        <w:lastRenderedPageBreak/>
        <w:t>Available at: https://hbr.org/1992/01/the-balanced-scorecard-measures-that-drive-performance</w:t>
      </w:r>
    </w:p>
    <w:p w:rsidR="0046274B" w:rsidRPr="00CB4C9F" w:rsidRDefault="0046274B" w:rsidP="0046274B">
      <w:pPr>
        <w:rPr>
          <w:lang w:val="en-US"/>
        </w:rPr>
      </w:pPr>
      <w:proofErr w:type="spellStart"/>
      <w:r w:rsidRPr="00CB4C9F">
        <w:rPr>
          <w:lang w:val="en-US"/>
        </w:rPr>
        <w:t>Kasinathan</w:t>
      </w:r>
      <w:proofErr w:type="spellEnd"/>
      <w:r w:rsidRPr="00CB4C9F">
        <w:rPr>
          <w:lang w:val="en-US"/>
        </w:rPr>
        <w:t xml:space="preserve">, P., </w:t>
      </w:r>
      <w:proofErr w:type="spellStart"/>
      <w:r w:rsidRPr="00CB4C9F">
        <w:rPr>
          <w:lang w:val="en-US"/>
        </w:rPr>
        <w:t>Pugazhendhi</w:t>
      </w:r>
      <w:proofErr w:type="spellEnd"/>
      <w:r w:rsidRPr="00CB4C9F">
        <w:rPr>
          <w:lang w:val="en-US"/>
        </w:rPr>
        <w:t xml:space="preserve">, R., </w:t>
      </w:r>
      <w:proofErr w:type="spellStart"/>
      <w:r w:rsidRPr="00CB4C9F">
        <w:rPr>
          <w:lang w:val="en-US"/>
        </w:rPr>
        <w:t>Elavarasan</w:t>
      </w:r>
      <w:proofErr w:type="spellEnd"/>
      <w:r w:rsidRPr="00CB4C9F">
        <w:rPr>
          <w:lang w:val="en-US"/>
        </w:rPr>
        <w:t xml:space="preserve">, R.M., </w:t>
      </w:r>
      <w:proofErr w:type="spellStart"/>
      <w:r w:rsidRPr="00CB4C9F">
        <w:rPr>
          <w:lang w:val="en-US"/>
        </w:rPr>
        <w:t>Ramachandaramurthy</w:t>
      </w:r>
      <w:proofErr w:type="spellEnd"/>
      <w:r w:rsidRPr="00CB4C9F">
        <w:rPr>
          <w:lang w:val="en-US"/>
        </w:rPr>
        <w:t xml:space="preserve">, V.K., </w:t>
      </w:r>
      <w:proofErr w:type="spellStart"/>
      <w:r w:rsidRPr="00CB4C9F">
        <w:rPr>
          <w:lang w:val="en-US"/>
        </w:rPr>
        <w:t>Vinoth</w:t>
      </w:r>
      <w:proofErr w:type="spellEnd"/>
      <w:r w:rsidRPr="00CB4C9F">
        <w:rPr>
          <w:lang w:val="en-US"/>
        </w:rPr>
        <w:t xml:space="preserve">, R., Subramanian, S., Kumar, S., </w:t>
      </w:r>
      <w:proofErr w:type="spellStart"/>
      <w:r w:rsidRPr="00CB4C9F">
        <w:rPr>
          <w:lang w:val="en-US"/>
        </w:rPr>
        <w:t>Nandhagopal</w:t>
      </w:r>
      <w:proofErr w:type="spellEnd"/>
      <w:r w:rsidRPr="00CB4C9F">
        <w:rPr>
          <w:lang w:val="en-US"/>
        </w:rPr>
        <w:t xml:space="preserve">, K., </w:t>
      </w:r>
      <w:proofErr w:type="spellStart"/>
      <w:r w:rsidRPr="00CB4C9F">
        <w:rPr>
          <w:lang w:val="en-US"/>
        </w:rPr>
        <w:t>Raghavan</w:t>
      </w:r>
      <w:proofErr w:type="spellEnd"/>
      <w:r w:rsidRPr="00CB4C9F">
        <w:rPr>
          <w:lang w:val="en-US"/>
        </w:rPr>
        <w:t xml:space="preserve">, R.R.V., </w:t>
      </w:r>
      <w:proofErr w:type="spellStart"/>
      <w:r w:rsidRPr="00CB4C9F">
        <w:rPr>
          <w:lang w:val="en-US"/>
        </w:rPr>
        <w:t>Sankar</w:t>
      </w:r>
      <w:proofErr w:type="spellEnd"/>
      <w:r w:rsidRPr="00CB4C9F">
        <w:rPr>
          <w:lang w:val="en-US"/>
        </w:rPr>
        <w:t xml:space="preserve">, R., </w:t>
      </w:r>
      <w:proofErr w:type="spellStart"/>
      <w:r w:rsidRPr="00CB4C9F">
        <w:rPr>
          <w:lang w:val="en-US"/>
        </w:rPr>
        <w:t>Devendiran</w:t>
      </w:r>
      <w:proofErr w:type="spellEnd"/>
      <w:r w:rsidRPr="00CB4C9F">
        <w:rPr>
          <w:lang w:val="en-US"/>
        </w:rPr>
        <w:t xml:space="preserve">, R. and </w:t>
      </w:r>
      <w:proofErr w:type="spellStart"/>
      <w:r w:rsidRPr="00CB4C9F">
        <w:rPr>
          <w:lang w:val="en-US"/>
        </w:rPr>
        <w:t>Alsharif</w:t>
      </w:r>
      <w:proofErr w:type="spellEnd"/>
      <w:r w:rsidRPr="00CB4C9F">
        <w:rPr>
          <w:lang w:val="en-US"/>
        </w:rPr>
        <w:t xml:space="preserve">, M.H. (2022) ‘Realization of sustainable development goals with disruptive technologies by integrating Industry 5.0, Society 5.0, smart cities and villages’, </w:t>
      </w:r>
      <w:r w:rsidRPr="00CB4C9F">
        <w:rPr>
          <w:i/>
          <w:iCs/>
          <w:lang w:val="en-US"/>
        </w:rPr>
        <w:t>Sustainability</w:t>
      </w:r>
      <w:r w:rsidRPr="00CB4C9F">
        <w:rPr>
          <w:lang w:val="en-US"/>
        </w:rPr>
        <w:t xml:space="preserve">, 14(22), p. 15258. Available at: </w:t>
      </w:r>
      <w:hyperlink r:id="rId33" w:tgtFrame="_new" w:history="1">
        <w:r w:rsidRPr="00CB4C9F">
          <w:rPr>
            <w:rStyle w:val="Hyperlink"/>
            <w:lang w:val="en-US"/>
          </w:rPr>
          <w:t>https://doi.org/10.3390/su142215258</w:t>
        </w:r>
      </w:hyperlink>
    </w:p>
    <w:p w:rsidR="0046274B" w:rsidRPr="00C1770E" w:rsidRDefault="0046274B" w:rsidP="0046274B">
      <w:pPr>
        <w:rPr>
          <w:lang w:val="en-US"/>
        </w:rPr>
      </w:pPr>
      <w:r w:rsidRPr="00C1770E">
        <w:rPr>
          <w:lang w:val="en-US"/>
        </w:rPr>
        <w:t xml:space="preserve">Kim, S.-K. (2020) ‘Advanced mathematical business strategy formulation design’, </w:t>
      </w:r>
      <w:r w:rsidRPr="00C1770E">
        <w:rPr>
          <w:i/>
          <w:iCs/>
          <w:lang w:val="en-US"/>
        </w:rPr>
        <w:t>Mathematics</w:t>
      </w:r>
      <w:r w:rsidRPr="00C1770E">
        <w:rPr>
          <w:lang w:val="en-US"/>
        </w:rPr>
        <w:t xml:space="preserve">, 8(10), p. 1642. Available at: </w:t>
      </w:r>
      <w:hyperlink r:id="rId34" w:tgtFrame="_new" w:history="1">
        <w:r w:rsidRPr="00C1770E">
          <w:rPr>
            <w:rStyle w:val="Hyperlink"/>
            <w:lang w:val="en-US"/>
          </w:rPr>
          <w:t>https://doi.org/10.3390/math8101642</w:t>
        </w:r>
      </w:hyperlink>
    </w:p>
    <w:p w:rsidR="0046274B" w:rsidRPr="00CB4C9F" w:rsidRDefault="0046274B" w:rsidP="0046274B">
      <w:pPr>
        <w:rPr>
          <w:lang w:val="en-US"/>
        </w:rPr>
      </w:pPr>
      <w:proofErr w:type="spellStart"/>
      <w:r w:rsidRPr="00CB4C9F">
        <w:rPr>
          <w:lang w:val="en-US"/>
        </w:rPr>
        <w:t>Kirana</w:t>
      </w:r>
      <w:proofErr w:type="spellEnd"/>
      <w:r w:rsidRPr="00CB4C9F">
        <w:rPr>
          <w:lang w:val="en-US"/>
        </w:rPr>
        <w:t xml:space="preserve">, L.P., </w:t>
      </w:r>
      <w:proofErr w:type="spellStart"/>
      <w:r w:rsidRPr="00CB4C9F">
        <w:rPr>
          <w:lang w:val="en-US"/>
        </w:rPr>
        <w:t>Aurellia</w:t>
      </w:r>
      <w:proofErr w:type="spellEnd"/>
      <w:r w:rsidRPr="00CB4C9F">
        <w:rPr>
          <w:lang w:val="en-US"/>
        </w:rPr>
        <w:t xml:space="preserve">, O.A. and </w:t>
      </w:r>
      <w:proofErr w:type="spellStart"/>
      <w:r w:rsidRPr="00CB4C9F">
        <w:rPr>
          <w:lang w:val="en-US"/>
        </w:rPr>
        <w:t>Rufaidah</w:t>
      </w:r>
      <w:proofErr w:type="spellEnd"/>
      <w:r w:rsidRPr="00CB4C9F">
        <w:rPr>
          <w:lang w:val="en-US"/>
        </w:rPr>
        <w:t>, P. (2023) ‘</w:t>
      </w:r>
      <w:proofErr w:type="spellStart"/>
      <w:r w:rsidRPr="00CB4C9F">
        <w:rPr>
          <w:lang w:val="en-US"/>
        </w:rPr>
        <w:t>Analisis</w:t>
      </w:r>
      <w:proofErr w:type="spellEnd"/>
      <w:r w:rsidRPr="00CB4C9F">
        <w:rPr>
          <w:lang w:val="en-US"/>
        </w:rPr>
        <w:t xml:space="preserve"> PESTEL </w:t>
      </w:r>
      <w:proofErr w:type="spellStart"/>
      <w:r w:rsidRPr="00CB4C9F">
        <w:rPr>
          <w:lang w:val="en-US"/>
        </w:rPr>
        <w:t>pada</w:t>
      </w:r>
      <w:proofErr w:type="spellEnd"/>
      <w:r w:rsidRPr="00CB4C9F">
        <w:rPr>
          <w:lang w:val="en-US"/>
        </w:rPr>
        <w:t xml:space="preserve"> PT Bank </w:t>
      </w:r>
      <w:proofErr w:type="spellStart"/>
      <w:r w:rsidRPr="00CB4C9F">
        <w:rPr>
          <w:lang w:val="en-US"/>
        </w:rPr>
        <w:t>Mandiri</w:t>
      </w:r>
      <w:proofErr w:type="spellEnd"/>
      <w:r w:rsidRPr="00CB4C9F">
        <w:rPr>
          <w:lang w:val="en-US"/>
        </w:rPr>
        <w:t xml:space="preserve"> (</w:t>
      </w:r>
      <w:proofErr w:type="spellStart"/>
      <w:r w:rsidRPr="00CB4C9F">
        <w:rPr>
          <w:lang w:val="en-US"/>
        </w:rPr>
        <w:t>Persero</w:t>
      </w:r>
      <w:proofErr w:type="spellEnd"/>
      <w:r w:rsidRPr="00CB4C9F">
        <w:rPr>
          <w:lang w:val="en-US"/>
        </w:rPr>
        <w:t xml:space="preserve">) </w:t>
      </w:r>
      <w:proofErr w:type="spellStart"/>
      <w:r w:rsidRPr="00CB4C9F">
        <w:rPr>
          <w:lang w:val="en-US"/>
        </w:rPr>
        <w:t>Tbk</w:t>
      </w:r>
      <w:proofErr w:type="spellEnd"/>
      <w:r w:rsidRPr="00CB4C9F">
        <w:rPr>
          <w:lang w:val="en-US"/>
        </w:rPr>
        <w:t xml:space="preserve">’, </w:t>
      </w:r>
      <w:proofErr w:type="spellStart"/>
      <w:r w:rsidRPr="00CB4C9F">
        <w:rPr>
          <w:i/>
          <w:iCs/>
          <w:lang w:val="en-US"/>
        </w:rPr>
        <w:t>Jurnal</w:t>
      </w:r>
      <w:proofErr w:type="spellEnd"/>
      <w:r w:rsidRPr="00CB4C9F">
        <w:rPr>
          <w:i/>
          <w:iCs/>
          <w:lang w:val="en-US"/>
        </w:rPr>
        <w:t xml:space="preserve"> </w:t>
      </w:r>
      <w:proofErr w:type="spellStart"/>
      <w:r w:rsidRPr="00CB4C9F">
        <w:rPr>
          <w:i/>
          <w:iCs/>
          <w:lang w:val="en-US"/>
        </w:rPr>
        <w:t>Ecogen</w:t>
      </w:r>
      <w:proofErr w:type="spellEnd"/>
      <w:r w:rsidRPr="00CB4C9F">
        <w:rPr>
          <w:lang w:val="en-US"/>
        </w:rPr>
        <w:t xml:space="preserve">, 6(4), p. 481. Available at: </w:t>
      </w:r>
      <w:hyperlink r:id="rId35" w:tgtFrame="_new" w:history="1">
        <w:r w:rsidRPr="00CB4C9F">
          <w:rPr>
            <w:rStyle w:val="Hyperlink"/>
            <w:lang w:val="en-US"/>
          </w:rPr>
          <w:t>https://doi.org/10.24036/jmpe.v6i4.15335</w:t>
        </w:r>
      </w:hyperlink>
    </w:p>
    <w:p w:rsidR="0046274B" w:rsidRPr="003731B4" w:rsidRDefault="0046274B" w:rsidP="0046274B">
      <w:r w:rsidRPr="003731B4">
        <w:t xml:space="preserve">Kotler, P. and Keller, K.L. (2022) </w:t>
      </w:r>
      <w:r w:rsidRPr="003731B4">
        <w:rPr>
          <w:i/>
          <w:iCs/>
        </w:rPr>
        <w:t>Marketing Management</w:t>
      </w:r>
      <w:r w:rsidRPr="003731B4">
        <w:t xml:space="preserve">. 16th </w:t>
      </w:r>
      <w:proofErr w:type="spellStart"/>
      <w:r w:rsidRPr="003731B4">
        <w:t>edn</w:t>
      </w:r>
      <w:proofErr w:type="spellEnd"/>
      <w:r w:rsidRPr="003731B4">
        <w:t>. Harlow: Pearson.</w:t>
      </w:r>
    </w:p>
    <w:p w:rsidR="0046274B" w:rsidRPr="009A43CA" w:rsidRDefault="0046274B" w:rsidP="0046274B">
      <w:pPr>
        <w:rPr>
          <w:lang w:val="en-US"/>
        </w:rPr>
      </w:pPr>
      <w:r w:rsidRPr="009A43CA">
        <w:rPr>
          <w:lang w:val="en-US"/>
        </w:rPr>
        <w:t xml:space="preserve">Krishnan, V., </w:t>
      </w:r>
      <w:proofErr w:type="spellStart"/>
      <w:r w:rsidRPr="009A43CA">
        <w:rPr>
          <w:lang w:val="en-US"/>
        </w:rPr>
        <w:t>Nusraningrum</w:t>
      </w:r>
      <w:proofErr w:type="spellEnd"/>
      <w:r w:rsidRPr="009A43CA">
        <w:rPr>
          <w:lang w:val="en-US"/>
        </w:rPr>
        <w:t xml:space="preserve">, D., </w:t>
      </w:r>
      <w:proofErr w:type="spellStart"/>
      <w:r w:rsidRPr="009A43CA">
        <w:rPr>
          <w:lang w:val="en-US"/>
        </w:rPr>
        <w:t>Prebakarran</w:t>
      </w:r>
      <w:proofErr w:type="spellEnd"/>
      <w:r w:rsidRPr="009A43CA">
        <w:rPr>
          <w:lang w:val="en-US"/>
        </w:rPr>
        <w:t xml:space="preserve">, P.N. and Wahid, S.D.M. (2024) ‘Fostering consumer loyalty through green marketing: Unveiling the impact of perceived value in Malaysia’s retail sector’, </w:t>
      </w:r>
      <w:r w:rsidRPr="009A43CA">
        <w:rPr>
          <w:i/>
          <w:iCs/>
          <w:lang w:val="en-US"/>
        </w:rPr>
        <w:t xml:space="preserve">Journal of </w:t>
      </w:r>
      <w:proofErr w:type="spellStart"/>
      <w:r w:rsidRPr="009A43CA">
        <w:rPr>
          <w:i/>
          <w:iCs/>
          <w:lang w:val="en-US"/>
        </w:rPr>
        <w:t>Ecohumanism</w:t>
      </w:r>
      <w:proofErr w:type="spellEnd"/>
      <w:r w:rsidRPr="009A43CA">
        <w:rPr>
          <w:lang w:val="en-US"/>
        </w:rPr>
        <w:t xml:space="preserve">, 3(8). Available at: </w:t>
      </w:r>
      <w:hyperlink r:id="rId36" w:tgtFrame="_new" w:history="1">
        <w:r w:rsidRPr="009A43CA">
          <w:rPr>
            <w:rStyle w:val="Hyperlink"/>
            <w:lang w:val="en-US"/>
          </w:rPr>
          <w:t>https://doi.org/10.62754/joe.v3i8.5090</w:t>
        </w:r>
      </w:hyperlink>
    </w:p>
    <w:p w:rsidR="0046274B" w:rsidRPr="00BF2BD6" w:rsidRDefault="0046274B" w:rsidP="0046274B">
      <w:pPr>
        <w:rPr>
          <w:lang w:val="en-US"/>
        </w:rPr>
      </w:pPr>
      <w:proofErr w:type="spellStart"/>
      <w:r w:rsidRPr="00BF2BD6">
        <w:rPr>
          <w:lang w:val="en-US"/>
        </w:rPr>
        <w:t>Lacaze</w:t>
      </w:r>
      <w:proofErr w:type="spellEnd"/>
      <w:r w:rsidRPr="00BF2BD6">
        <w:rPr>
          <w:lang w:val="en-US"/>
        </w:rPr>
        <w:t xml:space="preserve">, A.S., Ferreira, F.A.F. and Santos, M.R. (2024) ‘Adding value to the VRIO framework using DEMATEL’, </w:t>
      </w:r>
      <w:r w:rsidRPr="00BF2BD6">
        <w:rPr>
          <w:i/>
          <w:iCs/>
          <w:lang w:val="en-US"/>
        </w:rPr>
        <w:t>Management Decision</w:t>
      </w:r>
      <w:r w:rsidRPr="00BF2BD6">
        <w:rPr>
          <w:lang w:val="en-US"/>
        </w:rPr>
        <w:t xml:space="preserve">, 63(4), pp. 1154–1175. Available at: </w:t>
      </w:r>
      <w:hyperlink r:id="rId37" w:tgtFrame="_new" w:history="1">
        <w:r w:rsidRPr="00BF2BD6">
          <w:rPr>
            <w:rStyle w:val="Hyperlink"/>
            <w:lang w:val="en-US"/>
          </w:rPr>
          <w:t>https://doi.org/10.1108/md-10-2023-1935</w:t>
        </w:r>
      </w:hyperlink>
    </w:p>
    <w:p w:rsidR="0046274B" w:rsidRPr="00CB4C9F" w:rsidRDefault="0046274B" w:rsidP="0046274B">
      <w:pPr>
        <w:rPr>
          <w:lang w:val="en-US"/>
        </w:rPr>
      </w:pPr>
      <w:proofErr w:type="spellStart"/>
      <w:r w:rsidRPr="00CB4C9F">
        <w:rPr>
          <w:lang w:val="en-US"/>
        </w:rPr>
        <w:t>Loizaga</w:t>
      </w:r>
      <w:proofErr w:type="spellEnd"/>
      <w:r w:rsidRPr="00CB4C9F">
        <w:rPr>
          <w:lang w:val="en-US"/>
        </w:rPr>
        <w:t xml:space="preserve">, G.C.R. de, </w:t>
      </w:r>
      <w:proofErr w:type="spellStart"/>
      <w:r w:rsidRPr="00CB4C9F">
        <w:rPr>
          <w:lang w:val="en-US"/>
        </w:rPr>
        <w:t>Amorrortu</w:t>
      </w:r>
      <w:proofErr w:type="spellEnd"/>
      <w:r w:rsidRPr="00CB4C9F">
        <w:rPr>
          <w:lang w:val="en-US"/>
        </w:rPr>
        <w:t xml:space="preserve">, O. and </w:t>
      </w:r>
      <w:proofErr w:type="spellStart"/>
      <w:r w:rsidRPr="00CB4C9F">
        <w:rPr>
          <w:lang w:val="en-US"/>
        </w:rPr>
        <w:t>Rua</w:t>
      </w:r>
      <w:proofErr w:type="spellEnd"/>
      <w:r w:rsidRPr="00CB4C9F">
        <w:rPr>
          <w:lang w:val="en-US"/>
        </w:rPr>
        <w:t xml:space="preserve">, O. de la (2023) ‘Analysis of the challenges faced by the rail sector: Understanding the rail industry of the future through the incorporation of technology and digitisation’, </w:t>
      </w:r>
      <w:r w:rsidRPr="00CB4C9F">
        <w:rPr>
          <w:i/>
          <w:iCs/>
          <w:lang w:val="en-US"/>
        </w:rPr>
        <w:t>Open Journal of Business and Management</w:t>
      </w:r>
      <w:r w:rsidRPr="00CB4C9F">
        <w:rPr>
          <w:lang w:val="en-US"/>
        </w:rPr>
        <w:t xml:space="preserve">, 11(4), pp. 1558–1576. Available at: </w:t>
      </w:r>
      <w:hyperlink r:id="rId38" w:tgtFrame="_new" w:history="1">
        <w:r w:rsidRPr="00CB4C9F">
          <w:rPr>
            <w:rStyle w:val="Hyperlink"/>
            <w:lang w:val="en-US"/>
          </w:rPr>
          <w:t>https://doi.org/10.4236/ojbm.2023.114086</w:t>
        </w:r>
      </w:hyperlink>
    </w:p>
    <w:p w:rsidR="0046274B" w:rsidRPr="00CB4C9F" w:rsidRDefault="0046274B" w:rsidP="0046274B">
      <w:pPr>
        <w:rPr>
          <w:lang w:val="en-US"/>
        </w:rPr>
      </w:pPr>
      <w:proofErr w:type="spellStart"/>
      <w:r w:rsidRPr="00CB4C9F">
        <w:rPr>
          <w:lang w:val="en-US"/>
        </w:rPr>
        <w:t>Markoff</w:t>
      </w:r>
      <w:proofErr w:type="spellEnd"/>
      <w:r w:rsidRPr="00CB4C9F">
        <w:rPr>
          <w:lang w:val="en-US"/>
        </w:rPr>
        <w:t xml:space="preserve">, R. and Seifert, R.W. (2024) ‘The quiet supply chain revolution’, </w:t>
      </w:r>
      <w:r w:rsidRPr="00CB4C9F">
        <w:rPr>
          <w:i/>
          <w:iCs/>
          <w:lang w:val="en-US"/>
        </w:rPr>
        <w:t>Management and Business Review</w:t>
      </w:r>
      <w:r w:rsidRPr="00CB4C9F">
        <w:rPr>
          <w:lang w:val="en-US"/>
        </w:rPr>
        <w:t xml:space="preserve">, 4(3–4), pp. 14–21. Available at: </w:t>
      </w:r>
      <w:hyperlink r:id="rId39" w:tgtFrame="_new" w:history="1">
        <w:r w:rsidRPr="00CB4C9F">
          <w:rPr>
            <w:rStyle w:val="Hyperlink"/>
            <w:lang w:val="en-US"/>
          </w:rPr>
          <w:t>https://doi.org/10.1177/2694104x251332142</w:t>
        </w:r>
      </w:hyperlink>
    </w:p>
    <w:p w:rsidR="0046274B" w:rsidRDefault="0046274B" w:rsidP="0046274B">
      <w:proofErr w:type="spellStart"/>
      <w:r w:rsidRPr="006F24D9">
        <w:lastRenderedPageBreak/>
        <w:t>Mas’ula</w:t>
      </w:r>
      <w:proofErr w:type="spellEnd"/>
      <w:r w:rsidRPr="006F24D9">
        <w:t xml:space="preserve">, N.D., </w:t>
      </w:r>
      <w:proofErr w:type="spellStart"/>
      <w:r w:rsidRPr="006F24D9">
        <w:t>Roretta</w:t>
      </w:r>
      <w:proofErr w:type="spellEnd"/>
      <w:r w:rsidRPr="006F24D9">
        <w:t xml:space="preserve">, T.M., Jordy, M. and </w:t>
      </w:r>
      <w:proofErr w:type="spellStart"/>
      <w:r w:rsidRPr="006F24D9">
        <w:t>Puspa</w:t>
      </w:r>
      <w:proofErr w:type="spellEnd"/>
      <w:r w:rsidRPr="006F24D9">
        <w:t>, T. (2023) ‘</w:t>
      </w:r>
      <w:proofErr w:type="spellStart"/>
      <w:r w:rsidRPr="006F24D9">
        <w:t>Analisis</w:t>
      </w:r>
      <w:proofErr w:type="spellEnd"/>
      <w:r w:rsidRPr="006F24D9">
        <w:t xml:space="preserve"> </w:t>
      </w:r>
      <w:proofErr w:type="spellStart"/>
      <w:r w:rsidRPr="006F24D9">
        <w:t>strategi</w:t>
      </w:r>
      <w:proofErr w:type="spellEnd"/>
      <w:r w:rsidRPr="006F24D9">
        <w:t xml:space="preserve"> </w:t>
      </w:r>
      <w:proofErr w:type="spellStart"/>
      <w:r w:rsidRPr="006F24D9">
        <w:t>bisnis</w:t>
      </w:r>
      <w:proofErr w:type="spellEnd"/>
      <w:r w:rsidRPr="006F24D9">
        <w:t xml:space="preserve"> </w:t>
      </w:r>
      <w:proofErr w:type="spellStart"/>
      <w:r w:rsidRPr="006F24D9">
        <w:t>pada</w:t>
      </w:r>
      <w:proofErr w:type="spellEnd"/>
      <w:r w:rsidRPr="006F24D9">
        <w:t xml:space="preserve"> </w:t>
      </w:r>
      <w:proofErr w:type="spellStart"/>
      <w:r w:rsidRPr="006F24D9">
        <w:t>toko</w:t>
      </w:r>
      <w:proofErr w:type="spellEnd"/>
      <w:r w:rsidRPr="006F24D9">
        <w:t xml:space="preserve"> </w:t>
      </w:r>
      <w:proofErr w:type="spellStart"/>
      <w:r w:rsidRPr="006F24D9">
        <w:t>buah</w:t>
      </w:r>
      <w:proofErr w:type="spellEnd"/>
      <w:r w:rsidRPr="006F24D9">
        <w:t xml:space="preserve"> XYZ di </w:t>
      </w:r>
      <w:proofErr w:type="spellStart"/>
      <w:r w:rsidRPr="006F24D9">
        <w:t>Otista</w:t>
      </w:r>
      <w:proofErr w:type="spellEnd"/>
      <w:r w:rsidRPr="006F24D9">
        <w:t xml:space="preserve">’, </w:t>
      </w:r>
      <w:proofErr w:type="spellStart"/>
      <w:r w:rsidRPr="006F24D9">
        <w:rPr>
          <w:i/>
          <w:iCs/>
        </w:rPr>
        <w:t>Jurnal</w:t>
      </w:r>
      <w:proofErr w:type="spellEnd"/>
      <w:r w:rsidRPr="006F24D9">
        <w:rPr>
          <w:i/>
          <w:iCs/>
        </w:rPr>
        <w:t xml:space="preserve"> </w:t>
      </w:r>
      <w:proofErr w:type="spellStart"/>
      <w:r w:rsidRPr="006F24D9">
        <w:rPr>
          <w:i/>
          <w:iCs/>
        </w:rPr>
        <w:t>Ekonomi</w:t>
      </w:r>
      <w:proofErr w:type="spellEnd"/>
      <w:r w:rsidRPr="006F24D9">
        <w:rPr>
          <w:i/>
          <w:iCs/>
        </w:rPr>
        <w:t xml:space="preserve"> </w:t>
      </w:r>
      <w:proofErr w:type="spellStart"/>
      <w:r w:rsidRPr="006F24D9">
        <w:rPr>
          <w:i/>
          <w:iCs/>
        </w:rPr>
        <w:t>Trisakti</w:t>
      </w:r>
      <w:proofErr w:type="spellEnd"/>
      <w:r w:rsidRPr="006F24D9">
        <w:t xml:space="preserve">, 3(2), pp. 2409–2418. Available at: </w:t>
      </w:r>
      <w:hyperlink r:id="rId40" w:tgtFrame="_new" w:history="1">
        <w:r w:rsidRPr="006F24D9">
          <w:rPr>
            <w:rStyle w:val="Hyperlink"/>
          </w:rPr>
          <w:t>https://doi.org/10.25105/jet.v3i2.17112</w:t>
        </w:r>
      </w:hyperlink>
    </w:p>
    <w:p w:rsidR="0046274B" w:rsidRPr="009A43CA" w:rsidRDefault="0046274B" w:rsidP="0046274B">
      <w:pPr>
        <w:rPr>
          <w:lang w:val="en-US"/>
        </w:rPr>
      </w:pPr>
      <w:r w:rsidRPr="009A43CA">
        <w:rPr>
          <w:lang w:val="en-US"/>
        </w:rPr>
        <w:t xml:space="preserve">Nguyen, K.H., </w:t>
      </w:r>
      <w:proofErr w:type="spellStart"/>
      <w:r w:rsidRPr="009A43CA">
        <w:rPr>
          <w:lang w:val="en-US"/>
        </w:rPr>
        <w:t>Anh</w:t>
      </w:r>
      <w:proofErr w:type="spellEnd"/>
      <w:r w:rsidRPr="009A43CA">
        <w:rPr>
          <w:lang w:val="en-US"/>
        </w:rPr>
        <w:t xml:space="preserve">, T.T., Tran, M.D. and Duong, T. (2025) ‘Uncovering the evolution of brand transparency in corporate social responsibility: A holistic perspective’, </w:t>
      </w:r>
      <w:r w:rsidRPr="009A43CA">
        <w:rPr>
          <w:i/>
          <w:iCs/>
          <w:lang w:val="en-US"/>
        </w:rPr>
        <w:t>Corporate Social Responsibility and Environmental Management</w:t>
      </w:r>
      <w:r w:rsidRPr="009A43CA">
        <w:rPr>
          <w:lang w:val="en-US"/>
        </w:rPr>
        <w:t xml:space="preserve">, 32(6), pp. 7671–7696. Available at: </w:t>
      </w:r>
      <w:hyperlink r:id="rId41" w:tgtFrame="_new" w:history="1">
        <w:r w:rsidRPr="009A43CA">
          <w:rPr>
            <w:rStyle w:val="Hyperlink"/>
            <w:lang w:val="en-US"/>
          </w:rPr>
          <w:t>https://doi.org/10.1002/csr.70099</w:t>
        </w:r>
      </w:hyperlink>
    </w:p>
    <w:p w:rsidR="0046274B" w:rsidRPr="00CB4C9F" w:rsidRDefault="0046274B" w:rsidP="0046274B">
      <w:pPr>
        <w:rPr>
          <w:lang w:val="en-US"/>
        </w:rPr>
      </w:pPr>
      <w:proofErr w:type="spellStart"/>
      <w:r w:rsidRPr="00CB4C9F">
        <w:rPr>
          <w:lang w:val="en-US"/>
        </w:rPr>
        <w:t>Panitsettakorn</w:t>
      </w:r>
      <w:proofErr w:type="spellEnd"/>
      <w:r w:rsidRPr="00CB4C9F">
        <w:rPr>
          <w:lang w:val="en-US"/>
        </w:rPr>
        <w:t xml:space="preserve">, W., </w:t>
      </w:r>
      <w:proofErr w:type="spellStart"/>
      <w:r w:rsidRPr="00CB4C9F">
        <w:rPr>
          <w:lang w:val="en-US"/>
        </w:rPr>
        <w:t>Ongkunaruk</w:t>
      </w:r>
      <w:proofErr w:type="spellEnd"/>
      <w:r w:rsidRPr="00CB4C9F">
        <w:rPr>
          <w:lang w:val="en-US"/>
        </w:rPr>
        <w:t xml:space="preserve">, P. and </w:t>
      </w:r>
      <w:proofErr w:type="spellStart"/>
      <w:r w:rsidRPr="00CB4C9F">
        <w:rPr>
          <w:lang w:val="en-US"/>
        </w:rPr>
        <w:t>Leingpibul</w:t>
      </w:r>
      <w:proofErr w:type="spellEnd"/>
      <w:r w:rsidRPr="00CB4C9F">
        <w:rPr>
          <w:lang w:val="en-US"/>
        </w:rPr>
        <w:t xml:space="preserve">, T. (2023) ‘The present state of the cosmetics supply chain in Thailand and the prospective role of Independent Quality Assurance Verifiers (IQAVs) within the supply chain’, </w:t>
      </w:r>
      <w:proofErr w:type="spellStart"/>
      <w:r w:rsidRPr="00CB4C9F">
        <w:rPr>
          <w:i/>
          <w:iCs/>
          <w:lang w:val="en-US"/>
        </w:rPr>
        <w:t>Heliyon</w:t>
      </w:r>
      <w:proofErr w:type="spellEnd"/>
      <w:r w:rsidRPr="00CB4C9F">
        <w:rPr>
          <w:lang w:val="en-US"/>
        </w:rPr>
        <w:t xml:space="preserve">, 9(10), p. e20892. Available at: </w:t>
      </w:r>
      <w:hyperlink r:id="rId42" w:tgtFrame="_new" w:history="1">
        <w:r w:rsidRPr="00CB4C9F">
          <w:rPr>
            <w:rStyle w:val="Hyperlink"/>
            <w:lang w:val="en-US"/>
          </w:rPr>
          <w:t>https://doi.org/10.1016/j.heliyon.2023.e20892</w:t>
        </w:r>
      </w:hyperlink>
    </w:p>
    <w:p w:rsidR="0046274B" w:rsidRPr="003731B4" w:rsidRDefault="0046274B" w:rsidP="0046274B">
      <w:r w:rsidRPr="003731B4">
        <w:t xml:space="preserve">Porter, M.E. (1985) </w:t>
      </w:r>
      <w:r w:rsidRPr="003731B4">
        <w:rPr>
          <w:i/>
          <w:iCs/>
        </w:rPr>
        <w:t>Competitive Advantage: Creating and Sustaining Superior Performance</w:t>
      </w:r>
      <w:r w:rsidRPr="003731B4">
        <w:t>. New York: Free Press.</w:t>
      </w:r>
    </w:p>
    <w:p w:rsidR="0046274B" w:rsidRPr="003731B4" w:rsidRDefault="0046274B" w:rsidP="0046274B">
      <w:r w:rsidRPr="003731B4">
        <w:t xml:space="preserve">Porter, M.E. and Kramer, M.R. (2019) ‘Creating shared value’, </w:t>
      </w:r>
      <w:r w:rsidRPr="003731B4">
        <w:rPr>
          <w:i/>
          <w:iCs/>
        </w:rPr>
        <w:t>Harvard Business Review</w:t>
      </w:r>
      <w:r>
        <w:t xml:space="preserve">, 97(1), pp. 78–88. </w:t>
      </w:r>
      <w:r w:rsidRPr="003731B4">
        <w:t xml:space="preserve">Available at: </w:t>
      </w:r>
      <w:hyperlink r:id="rId43" w:tgtFrame="_new" w:history="1">
        <w:r w:rsidRPr="003731B4">
          <w:rPr>
            <w:rStyle w:val="Hyperlink"/>
          </w:rPr>
          <w:t>https://hbr.org/2011/01/the-big-idea-creating-shared-value</w:t>
        </w:r>
      </w:hyperlink>
    </w:p>
    <w:p w:rsidR="0046274B" w:rsidRPr="009A43CA" w:rsidRDefault="0046274B" w:rsidP="0046274B">
      <w:pPr>
        <w:rPr>
          <w:lang w:val="en-US"/>
        </w:rPr>
      </w:pPr>
      <w:proofErr w:type="spellStart"/>
      <w:r w:rsidRPr="009A43CA">
        <w:rPr>
          <w:lang w:val="en-US"/>
        </w:rPr>
        <w:t>Quttainah</w:t>
      </w:r>
      <w:proofErr w:type="spellEnd"/>
      <w:r w:rsidRPr="009A43CA">
        <w:rPr>
          <w:lang w:val="en-US"/>
        </w:rPr>
        <w:t xml:space="preserve">, M.A., Pathak, A. and </w:t>
      </w:r>
      <w:proofErr w:type="spellStart"/>
      <w:r w:rsidRPr="009A43CA">
        <w:rPr>
          <w:lang w:val="en-US"/>
        </w:rPr>
        <w:t>Soni</w:t>
      </w:r>
      <w:proofErr w:type="spellEnd"/>
      <w:r w:rsidRPr="009A43CA">
        <w:rPr>
          <w:lang w:val="en-US"/>
        </w:rPr>
        <w:t xml:space="preserve">, T.K. (2025) ‘Configurations of corporate governance mechanisms and sustainable development: A review’, </w:t>
      </w:r>
      <w:r w:rsidRPr="009A43CA">
        <w:rPr>
          <w:i/>
          <w:iCs/>
          <w:lang w:val="en-US"/>
        </w:rPr>
        <w:t>Indian Journal of Corporate Governance</w:t>
      </w:r>
      <w:r w:rsidRPr="009A43CA">
        <w:rPr>
          <w:lang w:val="en-US"/>
        </w:rPr>
        <w:t xml:space="preserve">, 18(1), pp. 38–91. Available at: </w:t>
      </w:r>
      <w:hyperlink r:id="rId44" w:tgtFrame="_new" w:history="1">
        <w:r w:rsidRPr="009A43CA">
          <w:rPr>
            <w:rStyle w:val="Hyperlink"/>
            <w:lang w:val="en-US"/>
          </w:rPr>
          <w:t>https://doi.org/10.1177/09746862251327829</w:t>
        </w:r>
      </w:hyperlink>
    </w:p>
    <w:p w:rsidR="0046274B" w:rsidRPr="00765481" w:rsidRDefault="0046274B" w:rsidP="0046274B">
      <w:proofErr w:type="spellStart"/>
      <w:r w:rsidRPr="00765481">
        <w:t>Ratnam</w:t>
      </w:r>
      <w:proofErr w:type="spellEnd"/>
      <w:r w:rsidRPr="00765481">
        <w:t xml:space="preserve">, K.K.Y. (2025) ‘Generative artificial intelligence in public health research and scientific communication: A narrative review of real applications and future directions’, </w:t>
      </w:r>
      <w:r w:rsidRPr="00765481">
        <w:rPr>
          <w:i/>
          <w:iCs/>
        </w:rPr>
        <w:t>Digital Health</w:t>
      </w:r>
      <w:r w:rsidRPr="00765481">
        <w:t xml:space="preserve">, 11. Available at: </w:t>
      </w:r>
      <w:hyperlink r:id="rId45" w:tgtFrame="_new" w:history="1">
        <w:r w:rsidRPr="00765481">
          <w:rPr>
            <w:rStyle w:val="Hyperlink"/>
          </w:rPr>
          <w:t>https://doi.org/10.1177/20552076251362070</w:t>
        </w:r>
      </w:hyperlink>
    </w:p>
    <w:p w:rsidR="0046274B" w:rsidRPr="00BF2BD6" w:rsidRDefault="0046274B" w:rsidP="0046274B">
      <w:pPr>
        <w:rPr>
          <w:lang w:val="en-US"/>
        </w:rPr>
      </w:pPr>
      <w:proofErr w:type="spellStart"/>
      <w:r w:rsidRPr="00BF2BD6">
        <w:rPr>
          <w:lang w:val="en-US"/>
        </w:rPr>
        <w:t>Rensburg</w:t>
      </w:r>
      <w:proofErr w:type="spellEnd"/>
      <w:r w:rsidRPr="00BF2BD6">
        <w:rPr>
          <w:lang w:val="en-US"/>
        </w:rPr>
        <w:t xml:space="preserve">, D.J. van, </w:t>
      </w:r>
      <w:proofErr w:type="spellStart"/>
      <w:r w:rsidRPr="00BF2BD6">
        <w:rPr>
          <w:lang w:val="en-US"/>
        </w:rPr>
        <w:t>Naudé</w:t>
      </w:r>
      <w:proofErr w:type="spellEnd"/>
      <w:r w:rsidRPr="00BF2BD6">
        <w:rPr>
          <w:lang w:val="en-US"/>
        </w:rPr>
        <w:t xml:space="preserve">, P. and </w:t>
      </w:r>
      <w:proofErr w:type="spellStart"/>
      <w:r w:rsidRPr="00BF2BD6">
        <w:rPr>
          <w:lang w:val="en-US"/>
        </w:rPr>
        <w:t>Fayena</w:t>
      </w:r>
      <w:proofErr w:type="spellEnd"/>
      <w:r w:rsidRPr="00BF2BD6">
        <w:rPr>
          <w:lang w:val="en-US"/>
        </w:rPr>
        <w:t xml:space="preserve">, I. (2023) ‘Strategic investments in entrepreneurial brand ventures by large incumbents’, </w:t>
      </w:r>
      <w:r w:rsidRPr="00BF2BD6">
        <w:rPr>
          <w:i/>
          <w:iCs/>
          <w:lang w:val="en-US"/>
        </w:rPr>
        <w:t>Journal of Strategy and Management</w:t>
      </w:r>
      <w:r w:rsidRPr="00BF2BD6">
        <w:rPr>
          <w:lang w:val="en-US"/>
        </w:rPr>
        <w:t xml:space="preserve">, 17(1), pp. 140–166. Available at: </w:t>
      </w:r>
      <w:hyperlink r:id="rId46" w:tgtFrame="_new" w:history="1">
        <w:r w:rsidRPr="00BF2BD6">
          <w:rPr>
            <w:rStyle w:val="Hyperlink"/>
            <w:lang w:val="en-US"/>
          </w:rPr>
          <w:t>https://doi.org/10.1108/jsma-02-2023-0027</w:t>
        </w:r>
      </w:hyperlink>
    </w:p>
    <w:p w:rsidR="0046274B" w:rsidRPr="00CB4C9F" w:rsidRDefault="0046274B" w:rsidP="0046274B">
      <w:pPr>
        <w:rPr>
          <w:lang w:val="en-US"/>
        </w:rPr>
      </w:pPr>
      <w:proofErr w:type="spellStart"/>
      <w:r w:rsidRPr="00CB4C9F">
        <w:rPr>
          <w:lang w:val="en-US"/>
        </w:rPr>
        <w:t>Rizopoulos</w:t>
      </w:r>
      <w:proofErr w:type="spellEnd"/>
      <w:r w:rsidRPr="00CB4C9F">
        <w:rPr>
          <w:lang w:val="en-US"/>
        </w:rPr>
        <w:t xml:space="preserve">, D., </w:t>
      </w:r>
      <w:proofErr w:type="spellStart"/>
      <w:r w:rsidRPr="00CB4C9F">
        <w:rPr>
          <w:lang w:val="en-US"/>
        </w:rPr>
        <w:t>Laskari</w:t>
      </w:r>
      <w:proofErr w:type="spellEnd"/>
      <w:r w:rsidRPr="00CB4C9F">
        <w:rPr>
          <w:lang w:val="en-US"/>
        </w:rPr>
        <w:t xml:space="preserve">, M., </w:t>
      </w:r>
      <w:proofErr w:type="spellStart"/>
      <w:r w:rsidRPr="00CB4C9F">
        <w:rPr>
          <w:lang w:val="en-US"/>
        </w:rPr>
        <w:t>Kouloumbis</w:t>
      </w:r>
      <w:proofErr w:type="spellEnd"/>
      <w:r w:rsidRPr="00CB4C9F">
        <w:rPr>
          <w:lang w:val="en-US"/>
        </w:rPr>
        <w:t xml:space="preserve">, G., </w:t>
      </w:r>
      <w:proofErr w:type="spellStart"/>
      <w:r w:rsidRPr="00CB4C9F">
        <w:rPr>
          <w:lang w:val="en-US"/>
        </w:rPr>
        <w:t>Fergadiotou</w:t>
      </w:r>
      <w:proofErr w:type="spellEnd"/>
      <w:r w:rsidRPr="00CB4C9F">
        <w:rPr>
          <w:lang w:val="en-US"/>
        </w:rPr>
        <w:t xml:space="preserve">, I., Durkin, P., </w:t>
      </w:r>
      <w:proofErr w:type="spellStart"/>
      <w:r w:rsidRPr="00CB4C9F">
        <w:rPr>
          <w:lang w:val="en-US"/>
        </w:rPr>
        <w:t>Kaare</w:t>
      </w:r>
      <w:proofErr w:type="spellEnd"/>
      <w:r w:rsidRPr="00CB4C9F">
        <w:rPr>
          <w:lang w:val="en-US"/>
        </w:rPr>
        <w:t xml:space="preserve">, K.K. and </w:t>
      </w:r>
      <w:proofErr w:type="spellStart"/>
      <w:r w:rsidRPr="00CB4C9F">
        <w:rPr>
          <w:lang w:val="en-US"/>
        </w:rPr>
        <w:t>Alam</w:t>
      </w:r>
      <w:proofErr w:type="spellEnd"/>
      <w:r w:rsidRPr="00CB4C9F">
        <w:rPr>
          <w:lang w:val="en-US"/>
        </w:rPr>
        <w:t xml:space="preserve">, M.M. (2022) ‘5G as an enabler of connected-and-automated mobility in </w:t>
      </w:r>
      <w:r w:rsidRPr="00CB4C9F">
        <w:rPr>
          <w:lang w:val="en-US"/>
        </w:rPr>
        <w:lastRenderedPageBreak/>
        <w:t xml:space="preserve">European cross-border corridors—A market assessment’, </w:t>
      </w:r>
      <w:r w:rsidRPr="00CB4C9F">
        <w:rPr>
          <w:i/>
          <w:iCs/>
          <w:lang w:val="en-US"/>
        </w:rPr>
        <w:t>Sustainability</w:t>
      </w:r>
      <w:r w:rsidRPr="00CB4C9F">
        <w:rPr>
          <w:lang w:val="en-US"/>
        </w:rPr>
        <w:t xml:space="preserve">, 14(21), p. 14411. Available at: </w:t>
      </w:r>
      <w:hyperlink r:id="rId47" w:tgtFrame="_new" w:history="1">
        <w:r w:rsidRPr="00CB4C9F">
          <w:rPr>
            <w:rStyle w:val="Hyperlink"/>
            <w:lang w:val="en-US"/>
          </w:rPr>
          <w:t>https://doi.org/10.3390/su142114411</w:t>
        </w:r>
      </w:hyperlink>
    </w:p>
    <w:p w:rsidR="0046274B" w:rsidRPr="006F24D9" w:rsidRDefault="0046274B" w:rsidP="0046274B">
      <w:pPr>
        <w:rPr>
          <w:lang w:val="en-US"/>
        </w:rPr>
      </w:pPr>
      <w:proofErr w:type="spellStart"/>
      <w:r w:rsidRPr="006F24D9">
        <w:rPr>
          <w:lang w:val="en-US"/>
        </w:rPr>
        <w:t>Rustini</w:t>
      </w:r>
      <w:proofErr w:type="spellEnd"/>
      <w:r w:rsidRPr="006F24D9">
        <w:rPr>
          <w:lang w:val="en-US"/>
        </w:rPr>
        <w:t xml:space="preserve">, N.M., </w:t>
      </w:r>
      <w:proofErr w:type="spellStart"/>
      <w:r w:rsidRPr="006F24D9">
        <w:rPr>
          <w:lang w:val="en-US"/>
        </w:rPr>
        <w:t>Selamet</w:t>
      </w:r>
      <w:proofErr w:type="spellEnd"/>
      <w:r w:rsidRPr="006F24D9">
        <w:rPr>
          <w:lang w:val="en-US"/>
        </w:rPr>
        <w:t xml:space="preserve">, K. and </w:t>
      </w:r>
      <w:proofErr w:type="spellStart"/>
      <w:r w:rsidRPr="006F24D9">
        <w:rPr>
          <w:lang w:val="en-US"/>
        </w:rPr>
        <w:t>Purnami</w:t>
      </w:r>
      <w:proofErr w:type="spellEnd"/>
      <w:r w:rsidRPr="006F24D9">
        <w:rPr>
          <w:lang w:val="en-US"/>
        </w:rPr>
        <w:t xml:space="preserve">, A.S. (2023) ‘Marketing strategy in increasing sales using the Boston Consulting Group method and SWOT analysis in the Sari Honey Company </w:t>
      </w:r>
      <w:proofErr w:type="spellStart"/>
      <w:r w:rsidRPr="006F24D9">
        <w:rPr>
          <w:lang w:val="en-US"/>
        </w:rPr>
        <w:t>Sedana</w:t>
      </w:r>
      <w:proofErr w:type="spellEnd"/>
      <w:r w:rsidRPr="006F24D9">
        <w:rPr>
          <w:lang w:val="en-US"/>
        </w:rPr>
        <w:t xml:space="preserve"> </w:t>
      </w:r>
      <w:proofErr w:type="spellStart"/>
      <w:r w:rsidRPr="006F24D9">
        <w:rPr>
          <w:lang w:val="en-US"/>
        </w:rPr>
        <w:t>Badung</w:t>
      </w:r>
      <w:proofErr w:type="spellEnd"/>
      <w:r w:rsidRPr="006F24D9">
        <w:rPr>
          <w:lang w:val="en-US"/>
        </w:rPr>
        <w:t xml:space="preserve">, Bali-Indonesia’, </w:t>
      </w:r>
      <w:r w:rsidRPr="006F24D9">
        <w:rPr>
          <w:i/>
          <w:iCs/>
          <w:lang w:val="en-US"/>
        </w:rPr>
        <w:t>Journal of Economics Finance and Management Studies</w:t>
      </w:r>
      <w:r w:rsidRPr="006F24D9">
        <w:rPr>
          <w:lang w:val="en-US"/>
        </w:rPr>
        <w:t xml:space="preserve">, 6(12). Available at: </w:t>
      </w:r>
      <w:hyperlink r:id="rId48" w:tgtFrame="_new" w:history="1">
        <w:r w:rsidRPr="006F24D9">
          <w:rPr>
            <w:rStyle w:val="Hyperlink"/>
            <w:lang w:val="en-US"/>
          </w:rPr>
          <w:t>https://doi.org/10.47191/jefms/v6-i12-07</w:t>
        </w:r>
      </w:hyperlink>
    </w:p>
    <w:p w:rsidR="0046274B" w:rsidRPr="009A43CA" w:rsidRDefault="0046274B" w:rsidP="0046274B">
      <w:pPr>
        <w:rPr>
          <w:lang w:val="en-US"/>
        </w:rPr>
      </w:pPr>
      <w:r w:rsidRPr="009A43CA">
        <w:rPr>
          <w:lang w:val="en-US"/>
        </w:rPr>
        <w:t xml:space="preserve">Sarangi, N.C. and </w:t>
      </w:r>
      <w:proofErr w:type="spellStart"/>
      <w:r w:rsidRPr="009A43CA">
        <w:rPr>
          <w:lang w:val="en-US"/>
        </w:rPr>
        <w:t>Jabbal</w:t>
      </w:r>
      <w:proofErr w:type="spellEnd"/>
      <w:r w:rsidRPr="009A43CA">
        <w:rPr>
          <w:lang w:val="en-US"/>
        </w:rPr>
        <w:t xml:space="preserve">, D. (2024) ‘The role of business leaders in promoting sustainable practices and the SDGs: Experience from India’, </w:t>
      </w:r>
      <w:r w:rsidRPr="009A43CA">
        <w:rPr>
          <w:i/>
          <w:iCs/>
          <w:lang w:val="en-US"/>
        </w:rPr>
        <w:t>JLSDGR</w:t>
      </w:r>
      <w:r w:rsidRPr="009A43CA">
        <w:rPr>
          <w:lang w:val="en-US"/>
        </w:rPr>
        <w:t xml:space="preserve">, 4(2), p. e01953. Available at: </w:t>
      </w:r>
      <w:hyperlink r:id="rId49" w:tgtFrame="_new" w:history="1">
        <w:r w:rsidRPr="009A43CA">
          <w:rPr>
            <w:rStyle w:val="Hyperlink"/>
            <w:lang w:val="en-US"/>
          </w:rPr>
          <w:t>https://doi.org/10.47172/2965-730x.sdgsreview.v4.n02.pe01953</w:t>
        </w:r>
      </w:hyperlink>
    </w:p>
    <w:p w:rsidR="0046274B" w:rsidRPr="00BF2BD6" w:rsidRDefault="0046274B" w:rsidP="0046274B">
      <w:pPr>
        <w:rPr>
          <w:lang w:val="en-US"/>
        </w:rPr>
      </w:pPr>
      <w:r w:rsidRPr="00BF2BD6">
        <w:rPr>
          <w:lang w:val="en-US"/>
        </w:rPr>
        <w:t xml:space="preserve">Sari, P. and </w:t>
      </w:r>
      <w:proofErr w:type="spellStart"/>
      <w:r w:rsidRPr="00BF2BD6">
        <w:rPr>
          <w:lang w:val="en-US"/>
        </w:rPr>
        <w:t>Wibowo</w:t>
      </w:r>
      <w:proofErr w:type="spellEnd"/>
      <w:r w:rsidRPr="00BF2BD6">
        <w:rPr>
          <w:lang w:val="en-US"/>
        </w:rPr>
        <w:t xml:space="preserve">, S.A. (2024) ‘Proposed marketing strategy to increase sales for lip tint (case study: </w:t>
      </w:r>
      <w:proofErr w:type="spellStart"/>
      <w:r w:rsidRPr="00BF2BD6">
        <w:rPr>
          <w:lang w:val="en-US"/>
        </w:rPr>
        <w:t>Feyrely</w:t>
      </w:r>
      <w:proofErr w:type="spellEnd"/>
      <w:r w:rsidRPr="00BF2BD6">
        <w:rPr>
          <w:lang w:val="en-US"/>
        </w:rPr>
        <w:t xml:space="preserve">)’, </w:t>
      </w:r>
      <w:r w:rsidRPr="00BF2BD6">
        <w:rPr>
          <w:i/>
          <w:iCs/>
          <w:lang w:val="en-US"/>
        </w:rPr>
        <w:t>International Journal of Current Science Research and Review</w:t>
      </w:r>
      <w:r w:rsidRPr="00BF2BD6">
        <w:rPr>
          <w:lang w:val="en-US"/>
        </w:rPr>
        <w:t xml:space="preserve">, 7(7). Available at: </w:t>
      </w:r>
      <w:hyperlink r:id="rId50" w:tgtFrame="_new" w:history="1">
        <w:r w:rsidRPr="00BF2BD6">
          <w:rPr>
            <w:rStyle w:val="Hyperlink"/>
            <w:lang w:val="en-US"/>
          </w:rPr>
          <w:t>https://doi.org/10.47191/ijcsrr/v7-i7-04</w:t>
        </w:r>
      </w:hyperlink>
    </w:p>
    <w:p w:rsidR="0046274B" w:rsidRPr="009A43CA" w:rsidRDefault="0046274B" w:rsidP="0046274B">
      <w:pPr>
        <w:rPr>
          <w:lang w:val="en-US"/>
        </w:rPr>
      </w:pPr>
      <w:r w:rsidRPr="009A43CA">
        <w:rPr>
          <w:lang w:val="en-US"/>
        </w:rPr>
        <w:t xml:space="preserve">Schwartz, M.S. (2024) ‘“Creating shared value”: Time for a normative extension?’, </w:t>
      </w:r>
      <w:r w:rsidRPr="009A43CA">
        <w:rPr>
          <w:i/>
          <w:iCs/>
          <w:lang w:val="en-US"/>
        </w:rPr>
        <w:t>Business and Society Review</w:t>
      </w:r>
      <w:r w:rsidRPr="009A43CA">
        <w:rPr>
          <w:lang w:val="en-US"/>
        </w:rPr>
        <w:t xml:space="preserve">, 129(2), pp. 185–209. Available at: </w:t>
      </w:r>
      <w:hyperlink r:id="rId51" w:tgtFrame="_new" w:history="1">
        <w:r w:rsidRPr="009A43CA">
          <w:rPr>
            <w:rStyle w:val="Hyperlink"/>
            <w:lang w:val="en-US"/>
          </w:rPr>
          <w:t>https://doi.org/10.1111/basr.12358</w:t>
        </w:r>
      </w:hyperlink>
    </w:p>
    <w:p w:rsidR="0046274B" w:rsidRPr="009A43CA" w:rsidRDefault="0046274B" w:rsidP="0046274B">
      <w:pPr>
        <w:rPr>
          <w:lang w:val="en-US"/>
        </w:rPr>
      </w:pPr>
      <w:proofErr w:type="spellStart"/>
      <w:r w:rsidRPr="009A43CA">
        <w:rPr>
          <w:lang w:val="en-US"/>
        </w:rPr>
        <w:t>Sinaga</w:t>
      </w:r>
      <w:proofErr w:type="spellEnd"/>
      <w:r w:rsidRPr="009A43CA">
        <w:rPr>
          <w:lang w:val="en-US"/>
        </w:rPr>
        <w:t xml:space="preserve">, R.R. (2024) ‘Corporate social responsibility as strategy in Indonesia context’, </w:t>
      </w:r>
      <w:proofErr w:type="spellStart"/>
      <w:r w:rsidRPr="009A43CA">
        <w:rPr>
          <w:i/>
          <w:iCs/>
          <w:lang w:val="en-US"/>
        </w:rPr>
        <w:t>Studi</w:t>
      </w:r>
      <w:proofErr w:type="spellEnd"/>
      <w:r w:rsidRPr="009A43CA">
        <w:rPr>
          <w:i/>
          <w:iCs/>
          <w:lang w:val="en-US"/>
        </w:rPr>
        <w:t xml:space="preserve"> </w:t>
      </w:r>
      <w:proofErr w:type="spellStart"/>
      <w:r w:rsidRPr="009A43CA">
        <w:rPr>
          <w:i/>
          <w:iCs/>
          <w:lang w:val="en-US"/>
        </w:rPr>
        <w:t>Akuntansi</w:t>
      </w:r>
      <w:proofErr w:type="spellEnd"/>
      <w:r w:rsidRPr="009A43CA">
        <w:rPr>
          <w:i/>
          <w:iCs/>
          <w:lang w:val="en-US"/>
        </w:rPr>
        <w:t xml:space="preserve"> </w:t>
      </w:r>
      <w:proofErr w:type="spellStart"/>
      <w:r w:rsidRPr="009A43CA">
        <w:rPr>
          <w:i/>
          <w:iCs/>
          <w:lang w:val="en-US"/>
        </w:rPr>
        <w:t>dan</w:t>
      </w:r>
      <w:proofErr w:type="spellEnd"/>
      <w:r w:rsidRPr="009A43CA">
        <w:rPr>
          <w:i/>
          <w:iCs/>
          <w:lang w:val="en-US"/>
        </w:rPr>
        <w:t xml:space="preserve"> </w:t>
      </w:r>
      <w:proofErr w:type="spellStart"/>
      <w:r w:rsidRPr="009A43CA">
        <w:rPr>
          <w:i/>
          <w:iCs/>
          <w:lang w:val="en-US"/>
        </w:rPr>
        <w:t>Keuangan</w:t>
      </w:r>
      <w:proofErr w:type="spellEnd"/>
      <w:r w:rsidRPr="009A43CA">
        <w:rPr>
          <w:i/>
          <w:iCs/>
          <w:lang w:val="en-US"/>
        </w:rPr>
        <w:t xml:space="preserve"> Indonesia</w:t>
      </w:r>
      <w:r w:rsidRPr="009A43CA">
        <w:rPr>
          <w:lang w:val="en-US"/>
        </w:rPr>
        <w:t xml:space="preserve">, 7(2), p. 139. Available at: </w:t>
      </w:r>
      <w:hyperlink r:id="rId52" w:tgtFrame="_new" w:history="1">
        <w:r w:rsidRPr="009A43CA">
          <w:rPr>
            <w:rStyle w:val="Hyperlink"/>
            <w:lang w:val="en-US"/>
          </w:rPr>
          <w:t>https://doi.org/10.21632/saki.7.2.139-153</w:t>
        </w:r>
      </w:hyperlink>
    </w:p>
    <w:p w:rsidR="0046274B" w:rsidRPr="00CB4C9F" w:rsidRDefault="0046274B" w:rsidP="0046274B">
      <w:proofErr w:type="spellStart"/>
      <w:r>
        <w:t>Susilo</w:t>
      </w:r>
      <w:proofErr w:type="spellEnd"/>
      <w:r>
        <w:t xml:space="preserve">, D., Mendoza, C.M.T. and Khan, M.A. (2023) ‘Sustainability in industry: The lack of implementation running in the FMCG industry’, </w:t>
      </w:r>
      <w:proofErr w:type="spellStart"/>
      <w:r>
        <w:rPr>
          <w:rStyle w:val="Emphasis"/>
        </w:rPr>
        <w:t>Jurnal</w:t>
      </w:r>
      <w:proofErr w:type="spellEnd"/>
      <w:r>
        <w:rPr>
          <w:rStyle w:val="Emphasis"/>
        </w:rPr>
        <w:t xml:space="preserve"> </w:t>
      </w:r>
      <w:proofErr w:type="spellStart"/>
      <w:r>
        <w:rPr>
          <w:rStyle w:val="Emphasis"/>
        </w:rPr>
        <w:t>Ekonomi</w:t>
      </w:r>
      <w:proofErr w:type="spellEnd"/>
      <w:r>
        <w:rPr>
          <w:rStyle w:val="Emphasis"/>
        </w:rPr>
        <w:t xml:space="preserve"> </w:t>
      </w:r>
      <w:proofErr w:type="spellStart"/>
      <w:r>
        <w:rPr>
          <w:rStyle w:val="Emphasis"/>
        </w:rPr>
        <w:t>dan</w:t>
      </w:r>
      <w:proofErr w:type="spellEnd"/>
      <w:r>
        <w:rPr>
          <w:rStyle w:val="Emphasis"/>
        </w:rPr>
        <w:t xml:space="preserve"> </w:t>
      </w:r>
      <w:proofErr w:type="spellStart"/>
      <w:r>
        <w:rPr>
          <w:rStyle w:val="Emphasis"/>
        </w:rPr>
        <w:t>Bisnis</w:t>
      </w:r>
      <w:proofErr w:type="spellEnd"/>
      <w:r>
        <w:rPr>
          <w:rStyle w:val="Emphasis"/>
        </w:rPr>
        <w:t xml:space="preserve"> Digital</w:t>
      </w:r>
      <w:r>
        <w:t xml:space="preserve">, 2(2), pp. 461–476. Available at: </w:t>
      </w:r>
      <w:hyperlink r:id="rId53" w:tgtFrame="_new" w:history="1">
        <w:r>
          <w:rPr>
            <w:rStyle w:val="Hyperlink"/>
          </w:rPr>
          <w:t>https://doi.org/10.55927/ministal.v2i2.3850</w:t>
        </w:r>
      </w:hyperlink>
    </w:p>
    <w:p w:rsidR="0046274B" w:rsidRPr="006F24D9" w:rsidRDefault="0046274B" w:rsidP="0046274B">
      <w:pPr>
        <w:rPr>
          <w:lang w:val="en-US"/>
        </w:rPr>
      </w:pPr>
      <w:proofErr w:type="spellStart"/>
      <w:r w:rsidRPr="006F24D9">
        <w:rPr>
          <w:lang w:val="en-US"/>
        </w:rPr>
        <w:t>Taena</w:t>
      </w:r>
      <w:proofErr w:type="spellEnd"/>
      <w:r w:rsidRPr="006F24D9">
        <w:rPr>
          <w:lang w:val="en-US"/>
        </w:rPr>
        <w:t xml:space="preserve">, W., </w:t>
      </w:r>
      <w:proofErr w:type="spellStart"/>
      <w:r w:rsidRPr="006F24D9">
        <w:rPr>
          <w:lang w:val="en-US"/>
        </w:rPr>
        <w:t>Maulana</w:t>
      </w:r>
      <w:proofErr w:type="spellEnd"/>
      <w:r w:rsidRPr="006F24D9">
        <w:rPr>
          <w:lang w:val="en-US"/>
        </w:rPr>
        <w:t xml:space="preserve">, A.S., </w:t>
      </w:r>
      <w:proofErr w:type="spellStart"/>
      <w:r w:rsidRPr="006F24D9">
        <w:rPr>
          <w:lang w:val="en-US"/>
        </w:rPr>
        <w:t>Sipayung</w:t>
      </w:r>
      <w:proofErr w:type="spellEnd"/>
      <w:r w:rsidRPr="006F24D9">
        <w:rPr>
          <w:lang w:val="en-US"/>
        </w:rPr>
        <w:t xml:space="preserve">, B.P. and </w:t>
      </w:r>
      <w:proofErr w:type="spellStart"/>
      <w:r w:rsidRPr="006F24D9">
        <w:rPr>
          <w:lang w:val="en-US"/>
        </w:rPr>
        <w:t>Joka</w:t>
      </w:r>
      <w:proofErr w:type="spellEnd"/>
      <w:r w:rsidRPr="006F24D9">
        <w:rPr>
          <w:lang w:val="en-US"/>
        </w:rPr>
        <w:t xml:space="preserve">, U. (2022) ‘Comparative analysis of local fruit selling businesses in the </w:t>
      </w:r>
      <w:proofErr w:type="spellStart"/>
      <w:r w:rsidRPr="006F24D9">
        <w:rPr>
          <w:lang w:val="en-US"/>
        </w:rPr>
        <w:t>Saenam</w:t>
      </w:r>
      <w:proofErr w:type="spellEnd"/>
      <w:r w:rsidRPr="006F24D9">
        <w:rPr>
          <w:lang w:val="en-US"/>
        </w:rPr>
        <w:t xml:space="preserve"> Village and </w:t>
      </w:r>
      <w:proofErr w:type="spellStart"/>
      <w:r w:rsidRPr="006F24D9">
        <w:rPr>
          <w:lang w:val="en-US"/>
        </w:rPr>
        <w:t>Sallu</w:t>
      </w:r>
      <w:proofErr w:type="spellEnd"/>
      <w:r w:rsidRPr="006F24D9">
        <w:rPr>
          <w:lang w:val="en-US"/>
        </w:rPr>
        <w:t xml:space="preserve"> Village North Central Timor’, </w:t>
      </w:r>
      <w:proofErr w:type="spellStart"/>
      <w:r w:rsidRPr="006F24D9">
        <w:rPr>
          <w:i/>
          <w:iCs/>
          <w:lang w:val="en-US"/>
        </w:rPr>
        <w:t>Agric</w:t>
      </w:r>
      <w:proofErr w:type="spellEnd"/>
      <w:r w:rsidRPr="006F24D9">
        <w:rPr>
          <w:lang w:val="en-US"/>
        </w:rPr>
        <w:t xml:space="preserve">, 34(2), pp. 275–286. Available at: </w:t>
      </w:r>
      <w:hyperlink r:id="rId54" w:tgtFrame="_new" w:history="1">
        <w:r w:rsidRPr="006F24D9">
          <w:rPr>
            <w:rStyle w:val="Hyperlink"/>
            <w:lang w:val="en-US"/>
          </w:rPr>
          <w:t>https://doi.org/10.24246/agric.2022.v34.i2.p275-286</w:t>
        </w:r>
      </w:hyperlink>
    </w:p>
    <w:p w:rsidR="0046274B" w:rsidRPr="00CB4C9F" w:rsidRDefault="0046274B" w:rsidP="0046274B">
      <w:pPr>
        <w:rPr>
          <w:lang w:val="en-US"/>
        </w:rPr>
      </w:pPr>
      <w:r w:rsidRPr="00CB4C9F">
        <w:rPr>
          <w:lang w:val="en-US"/>
        </w:rPr>
        <w:t xml:space="preserve">Tian, T., </w:t>
      </w:r>
      <w:proofErr w:type="spellStart"/>
      <w:r w:rsidRPr="00CB4C9F">
        <w:rPr>
          <w:lang w:val="en-US"/>
        </w:rPr>
        <w:t>Jia</w:t>
      </w:r>
      <w:proofErr w:type="spellEnd"/>
      <w:r w:rsidRPr="00CB4C9F">
        <w:rPr>
          <w:lang w:val="en-US"/>
        </w:rPr>
        <w:t xml:space="preserve">, S., Lin, J., Huang, Z., Wang, K. and Tang, Y. (2024) ‘Enhancing industrial management through AI integration: A comprehensive review of risk assessment, machine learning applications, and data-driven strategies’, </w:t>
      </w:r>
      <w:r w:rsidRPr="00CB4C9F">
        <w:rPr>
          <w:i/>
          <w:iCs/>
          <w:lang w:val="en-US"/>
        </w:rPr>
        <w:t>Economics &amp; Management Information</w:t>
      </w:r>
      <w:r w:rsidRPr="00CB4C9F">
        <w:rPr>
          <w:lang w:val="en-US"/>
        </w:rPr>
        <w:t xml:space="preserve">, pp. 1–18. Available at: </w:t>
      </w:r>
      <w:hyperlink r:id="rId55" w:tgtFrame="_new" w:history="1">
        <w:r w:rsidRPr="00CB4C9F">
          <w:rPr>
            <w:rStyle w:val="Hyperlink"/>
            <w:lang w:val="en-US"/>
          </w:rPr>
          <w:t>https://doi.org/10.62836/emi.v3i4.243</w:t>
        </w:r>
      </w:hyperlink>
    </w:p>
    <w:p w:rsidR="0046274B" w:rsidRPr="003731B4" w:rsidRDefault="0046274B" w:rsidP="0046274B">
      <w:r w:rsidRPr="003731B4">
        <w:lastRenderedPageBreak/>
        <w:t xml:space="preserve">Unilever (2023) </w:t>
      </w:r>
      <w:r w:rsidRPr="003731B4">
        <w:rPr>
          <w:i/>
          <w:iCs/>
        </w:rPr>
        <w:t>Annual Report and Accounts 2023</w:t>
      </w:r>
      <w:r>
        <w:t xml:space="preserve">. </w:t>
      </w:r>
      <w:r w:rsidRPr="003731B4">
        <w:t xml:space="preserve">Available at: </w:t>
      </w:r>
      <w:hyperlink r:id="rId56" w:tgtFrame="_new" w:history="1">
        <w:r w:rsidRPr="003731B4">
          <w:rPr>
            <w:rStyle w:val="Hyperlink"/>
          </w:rPr>
          <w:t>https://www.unilever.com/investors/annual-report-and-accounts/</w:t>
        </w:r>
      </w:hyperlink>
    </w:p>
    <w:p w:rsidR="0046274B" w:rsidRPr="003731B4" w:rsidRDefault="0046274B" w:rsidP="0046274B">
      <w:r w:rsidRPr="003731B4">
        <w:t xml:space="preserve">Unilever (2024) </w:t>
      </w:r>
      <w:r w:rsidRPr="003731B4">
        <w:rPr>
          <w:i/>
          <w:iCs/>
        </w:rPr>
        <w:t>Sustainability Progress Report</w:t>
      </w:r>
      <w:r>
        <w:t xml:space="preserve">. </w:t>
      </w:r>
      <w:r w:rsidRPr="003731B4">
        <w:t xml:space="preserve">Available at: </w:t>
      </w:r>
      <w:hyperlink r:id="rId57" w:tgtFrame="_new" w:history="1">
        <w:r w:rsidRPr="003731B4">
          <w:rPr>
            <w:rStyle w:val="Hyperlink"/>
          </w:rPr>
          <w:t>https://www.unilever.com/planet-and-society/</w:t>
        </w:r>
      </w:hyperlink>
    </w:p>
    <w:p w:rsidR="0046274B" w:rsidRPr="00BF2BD6" w:rsidRDefault="0046274B" w:rsidP="0046274B">
      <w:pPr>
        <w:rPr>
          <w:lang w:val="en-US"/>
        </w:rPr>
      </w:pPr>
      <w:proofErr w:type="spellStart"/>
      <w:r w:rsidRPr="00BF2BD6">
        <w:rPr>
          <w:lang w:val="en-US"/>
        </w:rPr>
        <w:t>Wahjudi</w:t>
      </w:r>
      <w:proofErr w:type="spellEnd"/>
      <w:r w:rsidRPr="00BF2BD6">
        <w:rPr>
          <w:lang w:val="en-US"/>
        </w:rPr>
        <w:t xml:space="preserve">, P.A. and </w:t>
      </w:r>
      <w:proofErr w:type="spellStart"/>
      <w:r w:rsidRPr="00BF2BD6">
        <w:rPr>
          <w:lang w:val="en-US"/>
        </w:rPr>
        <w:t>Wandebori</w:t>
      </w:r>
      <w:proofErr w:type="spellEnd"/>
      <w:r w:rsidRPr="00BF2BD6">
        <w:rPr>
          <w:lang w:val="en-US"/>
        </w:rPr>
        <w:t xml:space="preserve">, H. (2024) ‘Marketing strategy for online condition monitoring (case study: </w:t>
      </w:r>
      <w:proofErr w:type="spellStart"/>
      <w:r w:rsidRPr="00BF2BD6">
        <w:rPr>
          <w:lang w:val="en-US"/>
        </w:rPr>
        <w:t>Nanoprecise</w:t>
      </w:r>
      <w:proofErr w:type="spellEnd"/>
      <w:r w:rsidRPr="00BF2BD6">
        <w:rPr>
          <w:lang w:val="en-US"/>
        </w:rPr>
        <w:t xml:space="preserve"> Machine Doctor)’, </w:t>
      </w:r>
      <w:r w:rsidRPr="00BF2BD6">
        <w:rPr>
          <w:i/>
          <w:iCs/>
          <w:lang w:val="en-US"/>
        </w:rPr>
        <w:t>International Journal of Current Science Research and Review</w:t>
      </w:r>
      <w:r w:rsidRPr="00BF2BD6">
        <w:rPr>
          <w:lang w:val="en-US"/>
        </w:rPr>
        <w:t xml:space="preserve">, 7(8). Available at: </w:t>
      </w:r>
      <w:hyperlink r:id="rId58" w:tgtFrame="_new" w:history="1">
        <w:r w:rsidRPr="00BF2BD6">
          <w:rPr>
            <w:rStyle w:val="Hyperlink"/>
            <w:lang w:val="en-US"/>
          </w:rPr>
          <w:t>https://doi.org/10.47191/ijcsrr/v7-i8-13</w:t>
        </w:r>
      </w:hyperlink>
    </w:p>
    <w:p w:rsidR="0046274B" w:rsidRPr="009A43CA" w:rsidRDefault="0046274B" w:rsidP="0046274B">
      <w:pPr>
        <w:rPr>
          <w:lang w:val="en-US"/>
        </w:rPr>
      </w:pPr>
      <w:proofErr w:type="spellStart"/>
      <w:r w:rsidRPr="009A43CA">
        <w:rPr>
          <w:lang w:val="en-US"/>
        </w:rPr>
        <w:t>Wahyuni</w:t>
      </w:r>
      <w:proofErr w:type="spellEnd"/>
      <w:r w:rsidRPr="009A43CA">
        <w:rPr>
          <w:lang w:val="en-US"/>
        </w:rPr>
        <w:t xml:space="preserve">, W., </w:t>
      </w:r>
      <w:proofErr w:type="spellStart"/>
      <w:r w:rsidRPr="009A43CA">
        <w:rPr>
          <w:lang w:val="en-US"/>
        </w:rPr>
        <w:t>Hidayat</w:t>
      </w:r>
      <w:proofErr w:type="spellEnd"/>
      <w:r w:rsidRPr="009A43CA">
        <w:rPr>
          <w:lang w:val="en-US"/>
        </w:rPr>
        <w:t xml:space="preserve">, J., </w:t>
      </w:r>
      <w:proofErr w:type="spellStart"/>
      <w:r w:rsidRPr="009A43CA">
        <w:rPr>
          <w:lang w:val="en-US"/>
        </w:rPr>
        <w:t>Ramli</w:t>
      </w:r>
      <w:proofErr w:type="spellEnd"/>
      <w:r w:rsidRPr="009A43CA">
        <w:rPr>
          <w:lang w:val="en-US"/>
        </w:rPr>
        <w:t xml:space="preserve">, N.R.A., </w:t>
      </w:r>
      <w:proofErr w:type="spellStart"/>
      <w:r w:rsidRPr="009A43CA">
        <w:rPr>
          <w:lang w:val="en-US"/>
        </w:rPr>
        <w:t>Syam</w:t>
      </w:r>
      <w:proofErr w:type="spellEnd"/>
      <w:r w:rsidRPr="009A43CA">
        <w:rPr>
          <w:lang w:val="en-US"/>
        </w:rPr>
        <w:t xml:space="preserve">, S.A.N. and </w:t>
      </w:r>
      <w:proofErr w:type="spellStart"/>
      <w:r w:rsidRPr="009A43CA">
        <w:rPr>
          <w:lang w:val="en-US"/>
        </w:rPr>
        <w:t>Salsabilah</w:t>
      </w:r>
      <w:proofErr w:type="spellEnd"/>
      <w:r w:rsidRPr="009A43CA">
        <w:rPr>
          <w:lang w:val="en-US"/>
        </w:rPr>
        <w:t xml:space="preserve">, D. (2024) ‘Sustainability in business: Integrating CSR into long-term strategy’, </w:t>
      </w:r>
      <w:r w:rsidRPr="009A43CA">
        <w:rPr>
          <w:i/>
          <w:iCs/>
          <w:lang w:val="en-US"/>
        </w:rPr>
        <w:t>ABIM</w:t>
      </w:r>
      <w:r w:rsidRPr="009A43CA">
        <w:rPr>
          <w:lang w:val="en-US"/>
        </w:rPr>
        <w:t xml:space="preserve">, 2(3), pp. 138–149. Available at: </w:t>
      </w:r>
      <w:hyperlink r:id="rId59" w:tgtFrame="_new" w:history="1">
        <w:r w:rsidRPr="009A43CA">
          <w:rPr>
            <w:rStyle w:val="Hyperlink"/>
            <w:lang w:val="en-US"/>
          </w:rPr>
          <w:t>https://doi.org/10.60079/abim.v2i3.354</w:t>
        </w:r>
      </w:hyperlink>
    </w:p>
    <w:p w:rsidR="0046274B" w:rsidRPr="006F24D9" w:rsidRDefault="0046274B" w:rsidP="0046274B">
      <w:pPr>
        <w:rPr>
          <w:lang w:val="en-US"/>
        </w:rPr>
      </w:pPr>
      <w:r w:rsidRPr="006F24D9">
        <w:rPr>
          <w:lang w:val="en-US"/>
        </w:rPr>
        <w:t xml:space="preserve">Yadav, N. and Veettil, N.M.K. (2021) ‘Developing a comprehensive business case for sustainability: An inductive study’, </w:t>
      </w:r>
      <w:r w:rsidRPr="006F24D9">
        <w:rPr>
          <w:i/>
          <w:iCs/>
          <w:lang w:val="en-US"/>
        </w:rPr>
        <w:t>International Journal of Organizational Analysis</w:t>
      </w:r>
      <w:r w:rsidRPr="006F24D9">
        <w:rPr>
          <w:lang w:val="en-US"/>
        </w:rPr>
        <w:t xml:space="preserve">, 30(6), pp. 1335–1358. Available at: </w:t>
      </w:r>
      <w:hyperlink r:id="rId60" w:tgtFrame="_new" w:history="1">
        <w:r w:rsidRPr="006F24D9">
          <w:rPr>
            <w:rStyle w:val="Hyperlink"/>
            <w:lang w:val="en-US"/>
          </w:rPr>
          <w:t>https://doi.org/10.1108/ijoa-04-2020-2146</w:t>
        </w:r>
      </w:hyperlink>
    </w:p>
    <w:p w:rsidR="0046274B" w:rsidRPr="00BF2BD6" w:rsidRDefault="0046274B" w:rsidP="0046274B">
      <w:pPr>
        <w:rPr>
          <w:lang w:val="en-US"/>
        </w:rPr>
      </w:pPr>
      <w:r w:rsidRPr="00BF2BD6">
        <w:rPr>
          <w:lang w:val="en-US"/>
        </w:rPr>
        <w:t xml:space="preserve">Zhang, H.R. (2024) ‘Strategic internationalization of BYD: A case study on entry into the German EV market using the eclectic paradigm framework’, </w:t>
      </w:r>
      <w:r w:rsidRPr="00BF2BD6">
        <w:rPr>
          <w:i/>
          <w:iCs/>
          <w:lang w:val="en-US"/>
        </w:rPr>
        <w:t>Frontiers in Business Economics and Management</w:t>
      </w:r>
      <w:r w:rsidRPr="00BF2BD6">
        <w:rPr>
          <w:lang w:val="en-US"/>
        </w:rPr>
        <w:t xml:space="preserve">, 17(1), pp. 254–259. Available at: </w:t>
      </w:r>
      <w:hyperlink r:id="rId61" w:tgtFrame="_new" w:history="1">
        <w:r w:rsidRPr="00BF2BD6">
          <w:rPr>
            <w:rStyle w:val="Hyperlink"/>
            <w:lang w:val="en-US"/>
          </w:rPr>
          <w:t>https://doi.org/10.54097/nmap2t62</w:t>
        </w:r>
      </w:hyperlink>
    </w:p>
    <w:p w:rsidR="0046274B" w:rsidRDefault="0046274B" w:rsidP="0046274B">
      <w:r>
        <w:t xml:space="preserve">Zhang, R., Zhou, X., Liu, Q. and Wang, C. (2025) ‘Brand attitude as the catalyst: Transforming perceived ESG to consumer’s purchase intention in low-carbon consumption’, </w:t>
      </w:r>
      <w:r>
        <w:rPr>
          <w:rStyle w:val="Emphasis"/>
        </w:rPr>
        <w:t>Frontiers in Psychology</w:t>
      </w:r>
      <w:r>
        <w:t xml:space="preserve">, 16. Available at: </w:t>
      </w:r>
      <w:hyperlink r:id="rId62" w:tgtFrame="_new" w:history="1">
        <w:r>
          <w:rPr>
            <w:rStyle w:val="Hyperlink"/>
          </w:rPr>
          <w:t>https://doi.org/10.3389/fpsyg.2025.1599472</w:t>
        </w:r>
      </w:hyperlink>
      <w:bookmarkEnd w:id="28"/>
    </w:p>
    <w:sectPr w:rsidR="0046274B" w:rsidSect="00601AC9">
      <w:footerReference w:type="default" r:id="rId6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4609" w:rsidRDefault="00CC4609" w:rsidP="00601AC9">
      <w:pPr>
        <w:spacing w:after="0" w:line="240" w:lineRule="auto"/>
      </w:pPr>
      <w:r>
        <w:separator/>
      </w:r>
    </w:p>
  </w:endnote>
  <w:endnote w:type="continuationSeparator" w:id="0">
    <w:p w:rsidR="00CC4609" w:rsidRDefault="00CC4609" w:rsidP="00601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6905201"/>
      <w:docPartObj>
        <w:docPartGallery w:val="Page Numbers (Bottom of Page)"/>
        <w:docPartUnique/>
      </w:docPartObj>
    </w:sdtPr>
    <w:sdtEndPr>
      <w:rPr>
        <w:noProof/>
      </w:rPr>
    </w:sdtEndPr>
    <w:sdtContent>
      <w:p w:rsidR="00087E12" w:rsidRDefault="00087E12">
        <w:pPr>
          <w:pStyle w:val="Footer"/>
          <w:jc w:val="center"/>
        </w:pPr>
        <w:r>
          <w:fldChar w:fldCharType="begin"/>
        </w:r>
        <w:r>
          <w:instrText xml:space="preserve"> PAGE   \* MERGEFORMAT </w:instrText>
        </w:r>
        <w:r>
          <w:fldChar w:fldCharType="separate"/>
        </w:r>
        <w:r w:rsidR="0046274B">
          <w:rPr>
            <w:noProof/>
          </w:rPr>
          <w:t>24</w:t>
        </w:r>
        <w:r>
          <w:rPr>
            <w:noProof/>
          </w:rPr>
          <w:fldChar w:fldCharType="end"/>
        </w:r>
      </w:p>
    </w:sdtContent>
  </w:sdt>
  <w:p w:rsidR="00087E12" w:rsidRDefault="00087E1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4609" w:rsidRDefault="00CC4609" w:rsidP="00601AC9">
      <w:pPr>
        <w:spacing w:after="0" w:line="240" w:lineRule="auto"/>
      </w:pPr>
      <w:r>
        <w:separator/>
      </w:r>
    </w:p>
  </w:footnote>
  <w:footnote w:type="continuationSeparator" w:id="0">
    <w:p w:rsidR="00CC4609" w:rsidRDefault="00CC4609" w:rsidP="00601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E26"/>
    <w:rsid w:val="00004E53"/>
    <w:rsid w:val="00047619"/>
    <w:rsid w:val="000529B0"/>
    <w:rsid w:val="000658A5"/>
    <w:rsid w:val="00082C70"/>
    <w:rsid w:val="00084C6B"/>
    <w:rsid w:val="00087E12"/>
    <w:rsid w:val="000C1E26"/>
    <w:rsid w:val="000F41BF"/>
    <w:rsid w:val="000F43F0"/>
    <w:rsid w:val="002011D5"/>
    <w:rsid w:val="00257E99"/>
    <w:rsid w:val="002957EE"/>
    <w:rsid w:val="002D2BC3"/>
    <w:rsid w:val="003731B4"/>
    <w:rsid w:val="00374128"/>
    <w:rsid w:val="003B30A0"/>
    <w:rsid w:val="0046274B"/>
    <w:rsid w:val="00520582"/>
    <w:rsid w:val="00541928"/>
    <w:rsid w:val="00580162"/>
    <w:rsid w:val="005A3D9C"/>
    <w:rsid w:val="005E5F74"/>
    <w:rsid w:val="005F4331"/>
    <w:rsid w:val="00601AC9"/>
    <w:rsid w:val="006F24D9"/>
    <w:rsid w:val="00765481"/>
    <w:rsid w:val="00790AC4"/>
    <w:rsid w:val="007C095D"/>
    <w:rsid w:val="007D613C"/>
    <w:rsid w:val="007F3CF5"/>
    <w:rsid w:val="008155FA"/>
    <w:rsid w:val="008A2D4B"/>
    <w:rsid w:val="0094608B"/>
    <w:rsid w:val="0098744E"/>
    <w:rsid w:val="009A06A9"/>
    <w:rsid w:val="009A2DD9"/>
    <w:rsid w:val="009A43CA"/>
    <w:rsid w:val="009B3CDD"/>
    <w:rsid w:val="009C4898"/>
    <w:rsid w:val="009E5FA5"/>
    <w:rsid w:val="009F0126"/>
    <w:rsid w:val="009F33E7"/>
    <w:rsid w:val="00A31E31"/>
    <w:rsid w:val="00A82D2D"/>
    <w:rsid w:val="00A87B80"/>
    <w:rsid w:val="00AC0A98"/>
    <w:rsid w:val="00AD172D"/>
    <w:rsid w:val="00B54853"/>
    <w:rsid w:val="00B56890"/>
    <w:rsid w:val="00B84A7E"/>
    <w:rsid w:val="00BC77C0"/>
    <w:rsid w:val="00BE150F"/>
    <w:rsid w:val="00BE6273"/>
    <w:rsid w:val="00BF26C6"/>
    <w:rsid w:val="00BF2BD6"/>
    <w:rsid w:val="00C12D05"/>
    <w:rsid w:val="00C1770E"/>
    <w:rsid w:val="00C34CA2"/>
    <w:rsid w:val="00C42887"/>
    <w:rsid w:val="00CB4C9F"/>
    <w:rsid w:val="00CC1EF0"/>
    <w:rsid w:val="00CC4609"/>
    <w:rsid w:val="00CE5777"/>
    <w:rsid w:val="00D04AB8"/>
    <w:rsid w:val="00DA08A9"/>
    <w:rsid w:val="00DB6911"/>
    <w:rsid w:val="00DC28BA"/>
    <w:rsid w:val="00DD25CC"/>
    <w:rsid w:val="00DF2A5F"/>
    <w:rsid w:val="00E3088F"/>
    <w:rsid w:val="00E91759"/>
    <w:rsid w:val="00F34C24"/>
    <w:rsid w:val="00FA06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AB9C"/>
  <w15:chartTrackingRefBased/>
  <w15:docId w15:val="{64E2BF69-B578-4E48-ABBA-BB24E547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AC9"/>
    <w:pPr>
      <w:spacing w:line="360" w:lineRule="auto"/>
      <w:jc w:val="both"/>
    </w:pPr>
    <w:rPr>
      <w:rFonts w:ascii="Arial" w:hAnsi="Arial"/>
    </w:rPr>
  </w:style>
  <w:style w:type="paragraph" w:styleId="Heading1">
    <w:name w:val="heading 1"/>
    <w:basedOn w:val="Normal"/>
    <w:next w:val="Normal"/>
    <w:link w:val="Heading1Char"/>
    <w:uiPriority w:val="9"/>
    <w:qFormat/>
    <w:rsid w:val="009F33E7"/>
    <w:pPr>
      <w:keepNext/>
      <w:keepLines/>
      <w:spacing w:before="360" w:after="80"/>
      <w:outlineLvl w:val="0"/>
    </w:pPr>
    <w:rPr>
      <w:rFonts w:eastAsiaTheme="majorEastAsia" w:cstheme="majorBidi"/>
      <w:b/>
      <w:color w:val="1F4E79" w:themeColor="accent1" w:themeShade="80"/>
      <w:sz w:val="36"/>
      <w:szCs w:val="40"/>
    </w:rPr>
  </w:style>
  <w:style w:type="paragraph" w:styleId="Heading2">
    <w:name w:val="heading 2"/>
    <w:basedOn w:val="Normal"/>
    <w:next w:val="Normal"/>
    <w:link w:val="Heading2Char"/>
    <w:uiPriority w:val="9"/>
    <w:unhideWhenUsed/>
    <w:qFormat/>
    <w:rsid w:val="00374128"/>
    <w:pPr>
      <w:keepNext/>
      <w:keepLines/>
      <w:spacing w:before="160" w:after="80"/>
      <w:outlineLvl w:val="1"/>
    </w:pPr>
    <w:rPr>
      <w:rFonts w:eastAsiaTheme="majorEastAsia" w:cstheme="majorBidi"/>
      <w:b/>
      <w:color w:val="2E74B5" w:themeColor="accent1" w:themeShade="BF"/>
      <w:sz w:val="28"/>
      <w:szCs w:val="32"/>
    </w:rPr>
  </w:style>
  <w:style w:type="paragraph" w:styleId="Heading3">
    <w:name w:val="heading 3"/>
    <w:basedOn w:val="Normal"/>
    <w:next w:val="Normal"/>
    <w:link w:val="Heading3Char"/>
    <w:uiPriority w:val="9"/>
    <w:semiHidden/>
    <w:unhideWhenUsed/>
    <w:qFormat/>
    <w:rsid w:val="007F3CF5"/>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F3CF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F3CF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F3C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3C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3C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3C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3E7"/>
    <w:rPr>
      <w:rFonts w:ascii="Times New Roman" w:eastAsiaTheme="majorEastAsia" w:hAnsi="Times New Roman" w:cstheme="majorBidi"/>
      <w:b/>
      <w:color w:val="1F4E79" w:themeColor="accent1" w:themeShade="80"/>
      <w:sz w:val="36"/>
      <w:szCs w:val="40"/>
    </w:rPr>
  </w:style>
  <w:style w:type="character" w:customStyle="1" w:styleId="Heading2Char">
    <w:name w:val="Heading 2 Char"/>
    <w:basedOn w:val="DefaultParagraphFont"/>
    <w:link w:val="Heading2"/>
    <w:uiPriority w:val="9"/>
    <w:rsid w:val="00374128"/>
    <w:rPr>
      <w:rFonts w:ascii="Times New Roman" w:eastAsiaTheme="majorEastAsia" w:hAnsi="Times New Roman" w:cstheme="majorBidi"/>
      <w:b/>
      <w:color w:val="2E74B5" w:themeColor="accent1" w:themeShade="BF"/>
      <w:sz w:val="28"/>
      <w:szCs w:val="32"/>
    </w:rPr>
  </w:style>
  <w:style w:type="character" w:customStyle="1" w:styleId="Heading3Char">
    <w:name w:val="Heading 3 Char"/>
    <w:basedOn w:val="DefaultParagraphFont"/>
    <w:link w:val="Heading3"/>
    <w:uiPriority w:val="9"/>
    <w:semiHidden/>
    <w:rsid w:val="007F3CF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F3CF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F3CF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F3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CF5"/>
    <w:rPr>
      <w:rFonts w:eastAsiaTheme="majorEastAsia" w:cstheme="majorBidi"/>
      <w:color w:val="272727" w:themeColor="text1" w:themeTint="D8"/>
    </w:rPr>
  </w:style>
  <w:style w:type="paragraph" w:styleId="Title">
    <w:name w:val="Title"/>
    <w:basedOn w:val="Normal"/>
    <w:next w:val="Normal"/>
    <w:link w:val="TitleChar"/>
    <w:uiPriority w:val="10"/>
    <w:qFormat/>
    <w:rsid w:val="007F3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C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CF5"/>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7F3CF5"/>
    <w:rPr>
      <w:b/>
      <w:bCs/>
    </w:rPr>
  </w:style>
  <w:style w:type="paragraph" w:styleId="ListParagraph">
    <w:name w:val="List Paragraph"/>
    <w:basedOn w:val="Normal"/>
    <w:uiPriority w:val="34"/>
    <w:qFormat/>
    <w:rsid w:val="007F3CF5"/>
    <w:pPr>
      <w:ind w:left="720"/>
      <w:contextualSpacing/>
    </w:pPr>
  </w:style>
  <w:style w:type="paragraph" w:styleId="Quote">
    <w:name w:val="Quote"/>
    <w:basedOn w:val="Normal"/>
    <w:next w:val="Normal"/>
    <w:link w:val="QuoteChar"/>
    <w:uiPriority w:val="29"/>
    <w:qFormat/>
    <w:rsid w:val="007F3CF5"/>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7F3CF5"/>
    <w:rPr>
      <w:i/>
      <w:iCs/>
      <w:color w:val="404040" w:themeColor="text1" w:themeTint="BF"/>
    </w:rPr>
  </w:style>
  <w:style w:type="paragraph" w:styleId="IntenseQuote">
    <w:name w:val="Intense Quote"/>
    <w:basedOn w:val="Normal"/>
    <w:next w:val="Normal"/>
    <w:link w:val="IntenseQuoteChar"/>
    <w:uiPriority w:val="30"/>
    <w:qFormat/>
    <w:rsid w:val="007F3CF5"/>
    <w:pPr>
      <w:pBdr>
        <w:top w:val="single" w:sz="4" w:space="10" w:color="2E74B5" w:themeColor="accent1" w:themeShade="BF"/>
        <w:bottom w:val="single" w:sz="4" w:space="10" w:color="2E74B5" w:themeColor="accent1" w:themeShade="BF"/>
      </w:pBdr>
      <w:spacing w:before="360" w:after="360"/>
      <w:ind w:left="864" w:right="864"/>
      <w:jc w:val="center"/>
    </w:pPr>
    <w:rPr>
      <w:rFonts w:asciiTheme="minorHAnsi" w:hAnsiTheme="minorHAnsi"/>
      <w:i/>
      <w:iCs/>
      <w:color w:val="2E74B5" w:themeColor="accent1" w:themeShade="BF"/>
    </w:rPr>
  </w:style>
  <w:style w:type="character" w:customStyle="1" w:styleId="IntenseQuoteChar">
    <w:name w:val="Intense Quote Char"/>
    <w:basedOn w:val="DefaultParagraphFont"/>
    <w:link w:val="IntenseQuote"/>
    <w:uiPriority w:val="30"/>
    <w:rsid w:val="007F3CF5"/>
    <w:rPr>
      <w:i/>
      <w:iCs/>
      <w:color w:val="2E74B5" w:themeColor="accent1" w:themeShade="BF"/>
    </w:rPr>
  </w:style>
  <w:style w:type="character" w:styleId="IntenseEmphasis">
    <w:name w:val="Intense Emphasis"/>
    <w:basedOn w:val="DefaultParagraphFont"/>
    <w:uiPriority w:val="21"/>
    <w:qFormat/>
    <w:rsid w:val="007F3CF5"/>
    <w:rPr>
      <w:i/>
      <w:iCs/>
      <w:color w:val="2E74B5" w:themeColor="accent1" w:themeShade="BF"/>
    </w:rPr>
  </w:style>
  <w:style w:type="character" w:styleId="IntenseReference">
    <w:name w:val="Intense Reference"/>
    <w:basedOn w:val="DefaultParagraphFont"/>
    <w:uiPriority w:val="32"/>
    <w:qFormat/>
    <w:rsid w:val="007F3CF5"/>
    <w:rPr>
      <w:b/>
      <w:bCs/>
      <w:smallCaps/>
      <w:color w:val="2E74B5" w:themeColor="accent1" w:themeShade="BF"/>
      <w:spacing w:val="5"/>
    </w:rPr>
  </w:style>
  <w:style w:type="table" w:styleId="TableGrid">
    <w:name w:val="Table Grid"/>
    <w:basedOn w:val="TableNormal"/>
    <w:uiPriority w:val="39"/>
    <w:rsid w:val="000F4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9A06A9"/>
  </w:style>
  <w:style w:type="character" w:styleId="Hyperlink">
    <w:name w:val="Hyperlink"/>
    <w:basedOn w:val="DefaultParagraphFont"/>
    <w:uiPriority w:val="99"/>
    <w:unhideWhenUsed/>
    <w:rsid w:val="003731B4"/>
    <w:rPr>
      <w:color w:val="0563C1" w:themeColor="hyperlink"/>
      <w:u w:val="single"/>
    </w:rPr>
  </w:style>
  <w:style w:type="table" w:styleId="GridTable4-Accent5">
    <w:name w:val="Grid Table 4 Accent 5"/>
    <w:basedOn w:val="TableNormal"/>
    <w:uiPriority w:val="49"/>
    <w:rsid w:val="007C095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601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AC9"/>
    <w:rPr>
      <w:rFonts w:ascii="Times New Roman" w:hAnsi="Times New Roman"/>
    </w:rPr>
  </w:style>
  <w:style w:type="paragraph" w:styleId="Footer">
    <w:name w:val="footer"/>
    <w:basedOn w:val="Normal"/>
    <w:link w:val="FooterChar"/>
    <w:uiPriority w:val="99"/>
    <w:unhideWhenUsed/>
    <w:rsid w:val="00601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AC9"/>
    <w:rPr>
      <w:rFonts w:ascii="Times New Roman" w:hAnsi="Times New Roman"/>
    </w:rPr>
  </w:style>
  <w:style w:type="character" w:styleId="Emphasis">
    <w:name w:val="Emphasis"/>
    <w:basedOn w:val="DefaultParagraphFont"/>
    <w:uiPriority w:val="20"/>
    <w:qFormat/>
    <w:rsid w:val="00CB4C9F"/>
    <w:rPr>
      <w:i/>
      <w:iCs/>
    </w:rPr>
  </w:style>
  <w:style w:type="paragraph" w:styleId="TOCHeading">
    <w:name w:val="TOC Heading"/>
    <w:basedOn w:val="Heading1"/>
    <w:next w:val="Normal"/>
    <w:uiPriority w:val="39"/>
    <w:unhideWhenUsed/>
    <w:qFormat/>
    <w:rsid w:val="00DD25CC"/>
    <w:pPr>
      <w:spacing w:before="240" w:after="0" w:line="259" w:lineRule="auto"/>
      <w:jc w:val="left"/>
      <w:outlineLvl w:val="9"/>
    </w:pPr>
    <w:rPr>
      <w:rFonts w:asciiTheme="majorHAnsi" w:hAnsiTheme="majorHAns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DD25CC"/>
    <w:pPr>
      <w:spacing w:after="100"/>
    </w:pPr>
  </w:style>
  <w:style w:type="paragraph" w:styleId="TOC2">
    <w:name w:val="toc 2"/>
    <w:basedOn w:val="Normal"/>
    <w:next w:val="Normal"/>
    <w:autoRedefine/>
    <w:uiPriority w:val="39"/>
    <w:unhideWhenUsed/>
    <w:rsid w:val="00DD25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30696">
      <w:bodyDiv w:val="1"/>
      <w:marLeft w:val="0"/>
      <w:marRight w:val="0"/>
      <w:marTop w:val="0"/>
      <w:marBottom w:val="0"/>
      <w:divBdr>
        <w:top w:val="none" w:sz="0" w:space="0" w:color="auto"/>
        <w:left w:val="none" w:sz="0" w:space="0" w:color="auto"/>
        <w:bottom w:val="none" w:sz="0" w:space="0" w:color="auto"/>
        <w:right w:val="none" w:sz="0" w:space="0" w:color="auto"/>
      </w:divBdr>
      <w:divsChild>
        <w:div w:id="920335881">
          <w:marLeft w:val="0"/>
          <w:marRight w:val="0"/>
          <w:marTop w:val="0"/>
          <w:marBottom w:val="0"/>
          <w:divBdr>
            <w:top w:val="none" w:sz="0" w:space="0" w:color="auto"/>
            <w:left w:val="none" w:sz="0" w:space="0" w:color="auto"/>
            <w:bottom w:val="none" w:sz="0" w:space="0" w:color="auto"/>
            <w:right w:val="none" w:sz="0" w:space="0" w:color="auto"/>
          </w:divBdr>
          <w:divsChild>
            <w:div w:id="71464626">
              <w:marLeft w:val="0"/>
              <w:marRight w:val="0"/>
              <w:marTop w:val="0"/>
              <w:marBottom w:val="0"/>
              <w:divBdr>
                <w:top w:val="none" w:sz="0" w:space="0" w:color="auto"/>
                <w:left w:val="none" w:sz="0" w:space="0" w:color="auto"/>
                <w:bottom w:val="none" w:sz="0" w:space="0" w:color="auto"/>
                <w:right w:val="none" w:sz="0" w:space="0" w:color="auto"/>
              </w:divBdr>
              <w:divsChild>
                <w:div w:id="11762643">
                  <w:marLeft w:val="0"/>
                  <w:marRight w:val="0"/>
                  <w:marTop w:val="0"/>
                  <w:marBottom w:val="0"/>
                  <w:divBdr>
                    <w:top w:val="none" w:sz="0" w:space="0" w:color="auto"/>
                    <w:left w:val="none" w:sz="0" w:space="0" w:color="auto"/>
                    <w:bottom w:val="none" w:sz="0" w:space="0" w:color="auto"/>
                    <w:right w:val="none" w:sz="0" w:space="0" w:color="auto"/>
                  </w:divBdr>
                  <w:divsChild>
                    <w:div w:id="813529633">
                      <w:marLeft w:val="0"/>
                      <w:marRight w:val="0"/>
                      <w:marTop w:val="0"/>
                      <w:marBottom w:val="0"/>
                      <w:divBdr>
                        <w:top w:val="none" w:sz="0" w:space="0" w:color="auto"/>
                        <w:left w:val="none" w:sz="0" w:space="0" w:color="auto"/>
                        <w:bottom w:val="none" w:sz="0" w:space="0" w:color="auto"/>
                        <w:right w:val="none" w:sz="0" w:space="0" w:color="auto"/>
                      </w:divBdr>
                      <w:divsChild>
                        <w:div w:id="1469320711">
                          <w:marLeft w:val="0"/>
                          <w:marRight w:val="0"/>
                          <w:marTop w:val="0"/>
                          <w:marBottom w:val="0"/>
                          <w:divBdr>
                            <w:top w:val="none" w:sz="0" w:space="0" w:color="auto"/>
                            <w:left w:val="none" w:sz="0" w:space="0" w:color="auto"/>
                            <w:bottom w:val="none" w:sz="0" w:space="0" w:color="auto"/>
                            <w:right w:val="none" w:sz="0" w:space="0" w:color="auto"/>
                          </w:divBdr>
                          <w:divsChild>
                            <w:div w:id="1219515830">
                              <w:marLeft w:val="0"/>
                              <w:marRight w:val="0"/>
                              <w:marTop w:val="0"/>
                              <w:marBottom w:val="0"/>
                              <w:divBdr>
                                <w:top w:val="none" w:sz="0" w:space="0" w:color="auto"/>
                                <w:left w:val="none" w:sz="0" w:space="0" w:color="auto"/>
                                <w:bottom w:val="none" w:sz="0" w:space="0" w:color="auto"/>
                                <w:right w:val="none" w:sz="0" w:space="0" w:color="auto"/>
                              </w:divBdr>
                              <w:divsChild>
                                <w:div w:id="1225874307">
                                  <w:marLeft w:val="0"/>
                                  <w:marRight w:val="0"/>
                                  <w:marTop w:val="0"/>
                                  <w:marBottom w:val="0"/>
                                  <w:divBdr>
                                    <w:top w:val="none" w:sz="0" w:space="0" w:color="auto"/>
                                    <w:left w:val="none" w:sz="0" w:space="0" w:color="auto"/>
                                    <w:bottom w:val="none" w:sz="0" w:space="0" w:color="auto"/>
                                    <w:right w:val="none" w:sz="0" w:space="0" w:color="auto"/>
                                  </w:divBdr>
                                  <w:divsChild>
                                    <w:div w:id="1562012735">
                                      <w:marLeft w:val="0"/>
                                      <w:marRight w:val="0"/>
                                      <w:marTop w:val="0"/>
                                      <w:marBottom w:val="0"/>
                                      <w:divBdr>
                                        <w:top w:val="none" w:sz="0" w:space="0" w:color="auto"/>
                                        <w:left w:val="none" w:sz="0" w:space="0" w:color="auto"/>
                                        <w:bottom w:val="none" w:sz="0" w:space="0" w:color="auto"/>
                                        <w:right w:val="none" w:sz="0" w:space="0" w:color="auto"/>
                                      </w:divBdr>
                                      <w:divsChild>
                                        <w:div w:id="597177377">
                                          <w:marLeft w:val="0"/>
                                          <w:marRight w:val="0"/>
                                          <w:marTop w:val="0"/>
                                          <w:marBottom w:val="0"/>
                                          <w:divBdr>
                                            <w:top w:val="none" w:sz="0" w:space="0" w:color="auto"/>
                                            <w:left w:val="none" w:sz="0" w:space="0" w:color="auto"/>
                                            <w:bottom w:val="none" w:sz="0" w:space="0" w:color="auto"/>
                                            <w:right w:val="none" w:sz="0" w:space="0" w:color="auto"/>
                                          </w:divBdr>
                                          <w:divsChild>
                                            <w:div w:id="226230847">
                                              <w:marLeft w:val="0"/>
                                              <w:marRight w:val="0"/>
                                              <w:marTop w:val="0"/>
                                              <w:marBottom w:val="0"/>
                                              <w:divBdr>
                                                <w:top w:val="none" w:sz="0" w:space="0" w:color="auto"/>
                                                <w:left w:val="none" w:sz="0" w:space="0" w:color="auto"/>
                                                <w:bottom w:val="none" w:sz="0" w:space="0" w:color="auto"/>
                                                <w:right w:val="none" w:sz="0" w:space="0" w:color="auto"/>
                                              </w:divBdr>
                                              <w:divsChild>
                                                <w:div w:id="800922242">
                                                  <w:marLeft w:val="0"/>
                                                  <w:marRight w:val="0"/>
                                                  <w:marTop w:val="0"/>
                                                  <w:marBottom w:val="0"/>
                                                  <w:divBdr>
                                                    <w:top w:val="none" w:sz="0" w:space="0" w:color="auto"/>
                                                    <w:left w:val="none" w:sz="0" w:space="0" w:color="auto"/>
                                                    <w:bottom w:val="none" w:sz="0" w:space="0" w:color="auto"/>
                                                    <w:right w:val="none" w:sz="0" w:space="0" w:color="auto"/>
                                                  </w:divBdr>
                                                  <w:divsChild>
                                                    <w:div w:id="2088531510">
                                                      <w:marLeft w:val="0"/>
                                                      <w:marRight w:val="0"/>
                                                      <w:marTop w:val="0"/>
                                                      <w:marBottom w:val="0"/>
                                                      <w:divBdr>
                                                        <w:top w:val="none" w:sz="0" w:space="0" w:color="auto"/>
                                                        <w:left w:val="none" w:sz="0" w:space="0" w:color="auto"/>
                                                        <w:bottom w:val="none" w:sz="0" w:space="0" w:color="auto"/>
                                                        <w:right w:val="none" w:sz="0" w:space="0" w:color="auto"/>
                                                      </w:divBdr>
                                                      <w:divsChild>
                                                        <w:div w:id="9829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9327704">
      <w:bodyDiv w:val="1"/>
      <w:marLeft w:val="0"/>
      <w:marRight w:val="0"/>
      <w:marTop w:val="0"/>
      <w:marBottom w:val="0"/>
      <w:divBdr>
        <w:top w:val="none" w:sz="0" w:space="0" w:color="auto"/>
        <w:left w:val="none" w:sz="0" w:space="0" w:color="auto"/>
        <w:bottom w:val="none" w:sz="0" w:space="0" w:color="auto"/>
        <w:right w:val="none" w:sz="0" w:space="0" w:color="auto"/>
      </w:divBdr>
    </w:div>
    <w:div w:id="478500732">
      <w:bodyDiv w:val="1"/>
      <w:marLeft w:val="0"/>
      <w:marRight w:val="0"/>
      <w:marTop w:val="0"/>
      <w:marBottom w:val="0"/>
      <w:divBdr>
        <w:top w:val="none" w:sz="0" w:space="0" w:color="auto"/>
        <w:left w:val="none" w:sz="0" w:space="0" w:color="auto"/>
        <w:bottom w:val="none" w:sz="0" w:space="0" w:color="auto"/>
        <w:right w:val="none" w:sz="0" w:space="0" w:color="auto"/>
      </w:divBdr>
      <w:divsChild>
        <w:div w:id="1885556492">
          <w:marLeft w:val="0"/>
          <w:marRight w:val="0"/>
          <w:marTop w:val="0"/>
          <w:marBottom w:val="0"/>
          <w:divBdr>
            <w:top w:val="none" w:sz="0" w:space="0" w:color="auto"/>
            <w:left w:val="none" w:sz="0" w:space="0" w:color="auto"/>
            <w:bottom w:val="none" w:sz="0" w:space="0" w:color="auto"/>
            <w:right w:val="none" w:sz="0" w:space="0" w:color="auto"/>
          </w:divBdr>
          <w:divsChild>
            <w:div w:id="11682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776217">
      <w:bodyDiv w:val="1"/>
      <w:marLeft w:val="0"/>
      <w:marRight w:val="0"/>
      <w:marTop w:val="0"/>
      <w:marBottom w:val="0"/>
      <w:divBdr>
        <w:top w:val="none" w:sz="0" w:space="0" w:color="auto"/>
        <w:left w:val="none" w:sz="0" w:space="0" w:color="auto"/>
        <w:bottom w:val="none" w:sz="0" w:space="0" w:color="auto"/>
        <w:right w:val="none" w:sz="0" w:space="0" w:color="auto"/>
      </w:divBdr>
    </w:div>
    <w:div w:id="666058282">
      <w:bodyDiv w:val="1"/>
      <w:marLeft w:val="0"/>
      <w:marRight w:val="0"/>
      <w:marTop w:val="0"/>
      <w:marBottom w:val="0"/>
      <w:divBdr>
        <w:top w:val="none" w:sz="0" w:space="0" w:color="auto"/>
        <w:left w:val="none" w:sz="0" w:space="0" w:color="auto"/>
        <w:bottom w:val="none" w:sz="0" w:space="0" w:color="auto"/>
        <w:right w:val="none" w:sz="0" w:space="0" w:color="auto"/>
      </w:divBdr>
    </w:div>
    <w:div w:id="746076280">
      <w:bodyDiv w:val="1"/>
      <w:marLeft w:val="0"/>
      <w:marRight w:val="0"/>
      <w:marTop w:val="0"/>
      <w:marBottom w:val="0"/>
      <w:divBdr>
        <w:top w:val="none" w:sz="0" w:space="0" w:color="auto"/>
        <w:left w:val="none" w:sz="0" w:space="0" w:color="auto"/>
        <w:bottom w:val="none" w:sz="0" w:space="0" w:color="auto"/>
        <w:right w:val="none" w:sz="0" w:space="0" w:color="auto"/>
      </w:divBdr>
    </w:div>
    <w:div w:id="756824219">
      <w:bodyDiv w:val="1"/>
      <w:marLeft w:val="0"/>
      <w:marRight w:val="0"/>
      <w:marTop w:val="0"/>
      <w:marBottom w:val="0"/>
      <w:divBdr>
        <w:top w:val="none" w:sz="0" w:space="0" w:color="auto"/>
        <w:left w:val="none" w:sz="0" w:space="0" w:color="auto"/>
        <w:bottom w:val="none" w:sz="0" w:space="0" w:color="auto"/>
        <w:right w:val="none" w:sz="0" w:space="0" w:color="auto"/>
      </w:divBdr>
    </w:div>
    <w:div w:id="806706351">
      <w:bodyDiv w:val="1"/>
      <w:marLeft w:val="0"/>
      <w:marRight w:val="0"/>
      <w:marTop w:val="0"/>
      <w:marBottom w:val="0"/>
      <w:divBdr>
        <w:top w:val="none" w:sz="0" w:space="0" w:color="auto"/>
        <w:left w:val="none" w:sz="0" w:space="0" w:color="auto"/>
        <w:bottom w:val="none" w:sz="0" w:space="0" w:color="auto"/>
        <w:right w:val="none" w:sz="0" w:space="0" w:color="auto"/>
      </w:divBdr>
    </w:div>
    <w:div w:id="995692227">
      <w:bodyDiv w:val="1"/>
      <w:marLeft w:val="0"/>
      <w:marRight w:val="0"/>
      <w:marTop w:val="0"/>
      <w:marBottom w:val="0"/>
      <w:divBdr>
        <w:top w:val="none" w:sz="0" w:space="0" w:color="auto"/>
        <w:left w:val="none" w:sz="0" w:space="0" w:color="auto"/>
        <w:bottom w:val="none" w:sz="0" w:space="0" w:color="auto"/>
        <w:right w:val="none" w:sz="0" w:space="0" w:color="auto"/>
      </w:divBdr>
    </w:div>
    <w:div w:id="1021397599">
      <w:bodyDiv w:val="1"/>
      <w:marLeft w:val="0"/>
      <w:marRight w:val="0"/>
      <w:marTop w:val="0"/>
      <w:marBottom w:val="0"/>
      <w:divBdr>
        <w:top w:val="none" w:sz="0" w:space="0" w:color="auto"/>
        <w:left w:val="none" w:sz="0" w:space="0" w:color="auto"/>
        <w:bottom w:val="none" w:sz="0" w:space="0" w:color="auto"/>
        <w:right w:val="none" w:sz="0" w:space="0" w:color="auto"/>
      </w:divBdr>
    </w:div>
    <w:div w:id="1075585864">
      <w:bodyDiv w:val="1"/>
      <w:marLeft w:val="0"/>
      <w:marRight w:val="0"/>
      <w:marTop w:val="0"/>
      <w:marBottom w:val="0"/>
      <w:divBdr>
        <w:top w:val="none" w:sz="0" w:space="0" w:color="auto"/>
        <w:left w:val="none" w:sz="0" w:space="0" w:color="auto"/>
        <w:bottom w:val="none" w:sz="0" w:space="0" w:color="auto"/>
        <w:right w:val="none" w:sz="0" w:space="0" w:color="auto"/>
      </w:divBdr>
    </w:div>
    <w:div w:id="1396657281">
      <w:bodyDiv w:val="1"/>
      <w:marLeft w:val="0"/>
      <w:marRight w:val="0"/>
      <w:marTop w:val="0"/>
      <w:marBottom w:val="0"/>
      <w:divBdr>
        <w:top w:val="none" w:sz="0" w:space="0" w:color="auto"/>
        <w:left w:val="none" w:sz="0" w:space="0" w:color="auto"/>
        <w:bottom w:val="none" w:sz="0" w:space="0" w:color="auto"/>
        <w:right w:val="none" w:sz="0" w:space="0" w:color="auto"/>
      </w:divBdr>
    </w:div>
    <w:div w:id="1410032782">
      <w:bodyDiv w:val="1"/>
      <w:marLeft w:val="0"/>
      <w:marRight w:val="0"/>
      <w:marTop w:val="0"/>
      <w:marBottom w:val="0"/>
      <w:divBdr>
        <w:top w:val="none" w:sz="0" w:space="0" w:color="auto"/>
        <w:left w:val="none" w:sz="0" w:space="0" w:color="auto"/>
        <w:bottom w:val="none" w:sz="0" w:space="0" w:color="auto"/>
        <w:right w:val="none" w:sz="0" w:space="0" w:color="auto"/>
      </w:divBdr>
    </w:div>
    <w:div w:id="1569027459">
      <w:bodyDiv w:val="1"/>
      <w:marLeft w:val="0"/>
      <w:marRight w:val="0"/>
      <w:marTop w:val="0"/>
      <w:marBottom w:val="0"/>
      <w:divBdr>
        <w:top w:val="none" w:sz="0" w:space="0" w:color="auto"/>
        <w:left w:val="none" w:sz="0" w:space="0" w:color="auto"/>
        <w:bottom w:val="none" w:sz="0" w:space="0" w:color="auto"/>
        <w:right w:val="none" w:sz="0" w:space="0" w:color="auto"/>
      </w:divBdr>
    </w:div>
    <w:div w:id="1577011171">
      <w:bodyDiv w:val="1"/>
      <w:marLeft w:val="0"/>
      <w:marRight w:val="0"/>
      <w:marTop w:val="0"/>
      <w:marBottom w:val="0"/>
      <w:divBdr>
        <w:top w:val="none" w:sz="0" w:space="0" w:color="auto"/>
        <w:left w:val="none" w:sz="0" w:space="0" w:color="auto"/>
        <w:bottom w:val="none" w:sz="0" w:space="0" w:color="auto"/>
        <w:right w:val="none" w:sz="0" w:space="0" w:color="auto"/>
      </w:divBdr>
    </w:div>
    <w:div w:id="1635985728">
      <w:bodyDiv w:val="1"/>
      <w:marLeft w:val="0"/>
      <w:marRight w:val="0"/>
      <w:marTop w:val="0"/>
      <w:marBottom w:val="0"/>
      <w:divBdr>
        <w:top w:val="none" w:sz="0" w:space="0" w:color="auto"/>
        <w:left w:val="none" w:sz="0" w:space="0" w:color="auto"/>
        <w:bottom w:val="none" w:sz="0" w:space="0" w:color="auto"/>
        <w:right w:val="none" w:sz="0" w:space="0" w:color="auto"/>
      </w:divBdr>
    </w:div>
    <w:div w:id="1695304242">
      <w:bodyDiv w:val="1"/>
      <w:marLeft w:val="0"/>
      <w:marRight w:val="0"/>
      <w:marTop w:val="0"/>
      <w:marBottom w:val="0"/>
      <w:divBdr>
        <w:top w:val="none" w:sz="0" w:space="0" w:color="auto"/>
        <w:left w:val="none" w:sz="0" w:space="0" w:color="auto"/>
        <w:bottom w:val="none" w:sz="0" w:space="0" w:color="auto"/>
        <w:right w:val="none" w:sz="0" w:space="0" w:color="auto"/>
      </w:divBdr>
    </w:div>
    <w:div w:id="1786273000">
      <w:bodyDiv w:val="1"/>
      <w:marLeft w:val="0"/>
      <w:marRight w:val="0"/>
      <w:marTop w:val="0"/>
      <w:marBottom w:val="0"/>
      <w:divBdr>
        <w:top w:val="none" w:sz="0" w:space="0" w:color="auto"/>
        <w:left w:val="none" w:sz="0" w:space="0" w:color="auto"/>
        <w:bottom w:val="none" w:sz="0" w:space="0" w:color="auto"/>
        <w:right w:val="none" w:sz="0" w:space="0" w:color="auto"/>
      </w:divBdr>
    </w:div>
    <w:div w:id="1804809269">
      <w:bodyDiv w:val="1"/>
      <w:marLeft w:val="0"/>
      <w:marRight w:val="0"/>
      <w:marTop w:val="0"/>
      <w:marBottom w:val="0"/>
      <w:divBdr>
        <w:top w:val="none" w:sz="0" w:space="0" w:color="auto"/>
        <w:left w:val="none" w:sz="0" w:space="0" w:color="auto"/>
        <w:bottom w:val="none" w:sz="0" w:space="0" w:color="auto"/>
        <w:right w:val="none" w:sz="0" w:space="0" w:color="auto"/>
      </w:divBdr>
    </w:div>
    <w:div w:id="1971323171">
      <w:bodyDiv w:val="1"/>
      <w:marLeft w:val="0"/>
      <w:marRight w:val="0"/>
      <w:marTop w:val="0"/>
      <w:marBottom w:val="0"/>
      <w:divBdr>
        <w:top w:val="none" w:sz="0" w:space="0" w:color="auto"/>
        <w:left w:val="none" w:sz="0" w:space="0" w:color="auto"/>
        <w:bottom w:val="none" w:sz="0" w:space="0" w:color="auto"/>
        <w:right w:val="none" w:sz="0" w:space="0" w:color="auto"/>
      </w:divBdr>
    </w:div>
    <w:div w:id="1975595878">
      <w:bodyDiv w:val="1"/>
      <w:marLeft w:val="0"/>
      <w:marRight w:val="0"/>
      <w:marTop w:val="0"/>
      <w:marBottom w:val="0"/>
      <w:divBdr>
        <w:top w:val="none" w:sz="0" w:space="0" w:color="auto"/>
        <w:left w:val="none" w:sz="0" w:space="0" w:color="auto"/>
        <w:bottom w:val="none" w:sz="0" w:space="0" w:color="auto"/>
        <w:right w:val="none" w:sz="0" w:space="0" w:color="auto"/>
      </w:divBdr>
      <w:divsChild>
        <w:div w:id="203641670">
          <w:marLeft w:val="0"/>
          <w:marRight w:val="0"/>
          <w:marTop w:val="0"/>
          <w:marBottom w:val="0"/>
          <w:divBdr>
            <w:top w:val="none" w:sz="0" w:space="0" w:color="auto"/>
            <w:left w:val="none" w:sz="0" w:space="0" w:color="auto"/>
            <w:bottom w:val="none" w:sz="0" w:space="0" w:color="auto"/>
            <w:right w:val="none" w:sz="0" w:space="0" w:color="auto"/>
          </w:divBdr>
          <w:divsChild>
            <w:div w:id="1360203103">
              <w:marLeft w:val="0"/>
              <w:marRight w:val="0"/>
              <w:marTop w:val="0"/>
              <w:marBottom w:val="0"/>
              <w:divBdr>
                <w:top w:val="none" w:sz="0" w:space="0" w:color="auto"/>
                <w:left w:val="none" w:sz="0" w:space="0" w:color="auto"/>
                <w:bottom w:val="none" w:sz="0" w:space="0" w:color="auto"/>
                <w:right w:val="none" w:sz="0" w:space="0" w:color="auto"/>
              </w:divBdr>
            </w:div>
          </w:divsChild>
        </w:div>
        <w:div w:id="1167481938">
          <w:marLeft w:val="0"/>
          <w:marRight w:val="0"/>
          <w:marTop w:val="0"/>
          <w:marBottom w:val="0"/>
          <w:divBdr>
            <w:top w:val="none" w:sz="0" w:space="0" w:color="auto"/>
            <w:left w:val="none" w:sz="0" w:space="0" w:color="auto"/>
            <w:bottom w:val="none" w:sz="0" w:space="0" w:color="auto"/>
            <w:right w:val="none" w:sz="0" w:space="0" w:color="auto"/>
          </w:divBdr>
          <w:divsChild>
            <w:div w:id="1517846138">
              <w:marLeft w:val="0"/>
              <w:marRight w:val="0"/>
              <w:marTop w:val="0"/>
              <w:marBottom w:val="0"/>
              <w:divBdr>
                <w:top w:val="none" w:sz="0" w:space="0" w:color="auto"/>
                <w:left w:val="none" w:sz="0" w:space="0" w:color="auto"/>
                <w:bottom w:val="none" w:sz="0" w:space="0" w:color="auto"/>
                <w:right w:val="none" w:sz="0" w:space="0" w:color="auto"/>
              </w:divBdr>
            </w:div>
          </w:divsChild>
        </w:div>
        <w:div w:id="1044865678">
          <w:marLeft w:val="0"/>
          <w:marRight w:val="0"/>
          <w:marTop w:val="0"/>
          <w:marBottom w:val="0"/>
          <w:divBdr>
            <w:top w:val="none" w:sz="0" w:space="0" w:color="auto"/>
            <w:left w:val="none" w:sz="0" w:space="0" w:color="auto"/>
            <w:bottom w:val="none" w:sz="0" w:space="0" w:color="auto"/>
            <w:right w:val="none" w:sz="0" w:space="0" w:color="auto"/>
          </w:divBdr>
          <w:divsChild>
            <w:div w:id="20645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528798">
      <w:bodyDiv w:val="1"/>
      <w:marLeft w:val="0"/>
      <w:marRight w:val="0"/>
      <w:marTop w:val="0"/>
      <w:marBottom w:val="0"/>
      <w:divBdr>
        <w:top w:val="none" w:sz="0" w:space="0" w:color="auto"/>
        <w:left w:val="none" w:sz="0" w:space="0" w:color="auto"/>
        <w:bottom w:val="none" w:sz="0" w:space="0" w:color="auto"/>
        <w:right w:val="none" w:sz="0" w:space="0" w:color="auto"/>
      </w:divBdr>
      <w:divsChild>
        <w:div w:id="1943031414">
          <w:marLeft w:val="0"/>
          <w:marRight w:val="0"/>
          <w:marTop w:val="0"/>
          <w:marBottom w:val="0"/>
          <w:divBdr>
            <w:top w:val="none" w:sz="0" w:space="0" w:color="auto"/>
            <w:left w:val="none" w:sz="0" w:space="0" w:color="auto"/>
            <w:bottom w:val="none" w:sz="0" w:space="0" w:color="auto"/>
            <w:right w:val="none" w:sz="0" w:space="0" w:color="auto"/>
          </w:divBdr>
        </w:div>
        <w:div w:id="488600607">
          <w:marLeft w:val="0"/>
          <w:marRight w:val="0"/>
          <w:marTop w:val="0"/>
          <w:marBottom w:val="0"/>
          <w:divBdr>
            <w:top w:val="none" w:sz="0" w:space="0" w:color="auto"/>
            <w:left w:val="none" w:sz="0" w:space="0" w:color="auto"/>
            <w:bottom w:val="none" w:sz="0" w:space="0" w:color="auto"/>
            <w:right w:val="none" w:sz="0" w:space="0" w:color="auto"/>
          </w:divBdr>
        </w:div>
        <w:div w:id="1682588065">
          <w:marLeft w:val="0"/>
          <w:marRight w:val="0"/>
          <w:marTop w:val="0"/>
          <w:marBottom w:val="0"/>
          <w:divBdr>
            <w:top w:val="none" w:sz="0" w:space="0" w:color="auto"/>
            <w:left w:val="none" w:sz="0" w:space="0" w:color="auto"/>
            <w:bottom w:val="none" w:sz="0" w:space="0" w:color="auto"/>
            <w:right w:val="none" w:sz="0" w:space="0" w:color="auto"/>
          </w:divBdr>
        </w:div>
        <w:div w:id="1185099803">
          <w:marLeft w:val="0"/>
          <w:marRight w:val="0"/>
          <w:marTop w:val="0"/>
          <w:marBottom w:val="0"/>
          <w:divBdr>
            <w:top w:val="none" w:sz="0" w:space="0" w:color="auto"/>
            <w:left w:val="none" w:sz="0" w:space="0" w:color="auto"/>
            <w:bottom w:val="none" w:sz="0" w:space="0" w:color="auto"/>
            <w:right w:val="none" w:sz="0" w:space="0" w:color="auto"/>
          </w:divBdr>
        </w:div>
        <w:div w:id="140318559">
          <w:marLeft w:val="0"/>
          <w:marRight w:val="0"/>
          <w:marTop w:val="0"/>
          <w:marBottom w:val="0"/>
          <w:divBdr>
            <w:top w:val="none" w:sz="0" w:space="0" w:color="auto"/>
            <w:left w:val="none" w:sz="0" w:space="0" w:color="auto"/>
            <w:bottom w:val="none" w:sz="0" w:space="0" w:color="auto"/>
            <w:right w:val="none" w:sz="0" w:space="0" w:color="auto"/>
          </w:divBdr>
        </w:div>
        <w:div w:id="373818822">
          <w:marLeft w:val="0"/>
          <w:marRight w:val="0"/>
          <w:marTop w:val="0"/>
          <w:marBottom w:val="0"/>
          <w:divBdr>
            <w:top w:val="none" w:sz="0" w:space="0" w:color="auto"/>
            <w:left w:val="none" w:sz="0" w:space="0" w:color="auto"/>
            <w:bottom w:val="none" w:sz="0" w:space="0" w:color="auto"/>
            <w:right w:val="none" w:sz="0" w:space="0" w:color="auto"/>
          </w:divBdr>
        </w:div>
      </w:divsChild>
    </w:div>
    <w:div w:id="2027636455">
      <w:bodyDiv w:val="1"/>
      <w:marLeft w:val="0"/>
      <w:marRight w:val="0"/>
      <w:marTop w:val="0"/>
      <w:marBottom w:val="0"/>
      <w:divBdr>
        <w:top w:val="none" w:sz="0" w:space="0" w:color="auto"/>
        <w:left w:val="none" w:sz="0" w:space="0" w:color="auto"/>
        <w:bottom w:val="none" w:sz="0" w:space="0" w:color="auto"/>
        <w:right w:val="none" w:sz="0" w:space="0" w:color="auto"/>
      </w:divBdr>
    </w:div>
    <w:div w:id="2071493482">
      <w:bodyDiv w:val="1"/>
      <w:marLeft w:val="0"/>
      <w:marRight w:val="0"/>
      <w:marTop w:val="0"/>
      <w:marBottom w:val="0"/>
      <w:divBdr>
        <w:top w:val="none" w:sz="0" w:space="0" w:color="auto"/>
        <w:left w:val="none" w:sz="0" w:space="0" w:color="auto"/>
        <w:bottom w:val="none" w:sz="0" w:space="0" w:color="auto"/>
        <w:right w:val="none" w:sz="0" w:space="0" w:color="auto"/>
      </w:divBdr>
      <w:divsChild>
        <w:div w:id="1512794182">
          <w:marLeft w:val="0"/>
          <w:marRight w:val="0"/>
          <w:marTop w:val="0"/>
          <w:marBottom w:val="0"/>
          <w:divBdr>
            <w:top w:val="none" w:sz="0" w:space="0" w:color="auto"/>
            <w:left w:val="none" w:sz="0" w:space="0" w:color="auto"/>
            <w:bottom w:val="none" w:sz="0" w:space="0" w:color="auto"/>
            <w:right w:val="none" w:sz="0" w:space="0" w:color="auto"/>
          </w:divBdr>
          <w:divsChild>
            <w:div w:id="1974748828">
              <w:marLeft w:val="0"/>
              <w:marRight w:val="0"/>
              <w:marTop w:val="0"/>
              <w:marBottom w:val="0"/>
              <w:divBdr>
                <w:top w:val="none" w:sz="0" w:space="0" w:color="auto"/>
                <w:left w:val="none" w:sz="0" w:space="0" w:color="auto"/>
                <w:bottom w:val="none" w:sz="0" w:space="0" w:color="auto"/>
                <w:right w:val="none" w:sz="0" w:space="0" w:color="auto"/>
              </w:divBdr>
            </w:div>
          </w:divsChild>
        </w:div>
        <w:div w:id="1244798923">
          <w:marLeft w:val="0"/>
          <w:marRight w:val="0"/>
          <w:marTop w:val="0"/>
          <w:marBottom w:val="0"/>
          <w:divBdr>
            <w:top w:val="none" w:sz="0" w:space="0" w:color="auto"/>
            <w:left w:val="none" w:sz="0" w:space="0" w:color="auto"/>
            <w:bottom w:val="none" w:sz="0" w:space="0" w:color="auto"/>
            <w:right w:val="none" w:sz="0" w:space="0" w:color="auto"/>
          </w:divBdr>
          <w:divsChild>
            <w:div w:id="58938719">
              <w:marLeft w:val="0"/>
              <w:marRight w:val="0"/>
              <w:marTop w:val="0"/>
              <w:marBottom w:val="0"/>
              <w:divBdr>
                <w:top w:val="none" w:sz="0" w:space="0" w:color="auto"/>
                <w:left w:val="none" w:sz="0" w:space="0" w:color="auto"/>
                <w:bottom w:val="none" w:sz="0" w:space="0" w:color="auto"/>
                <w:right w:val="none" w:sz="0" w:space="0" w:color="auto"/>
              </w:divBdr>
            </w:div>
          </w:divsChild>
        </w:div>
        <w:div w:id="443039318">
          <w:marLeft w:val="0"/>
          <w:marRight w:val="0"/>
          <w:marTop w:val="0"/>
          <w:marBottom w:val="0"/>
          <w:divBdr>
            <w:top w:val="none" w:sz="0" w:space="0" w:color="auto"/>
            <w:left w:val="none" w:sz="0" w:space="0" w:color="auto"/>
            <w:bottom w:val="none" w:sz="0" w:space="0" w:color="auto"/>
            <w:right w:val="none" w:sz="0" w:space="0" w:color="auto"/>
          </w:divBdr>
          <w:divsChild>
            <w:div w:id="67241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040284">
      <w:bodyDiv w:val="1"/>
      <w:marLeft w:val="0"/>
      <w:marRight w:val="0"/>
      <w:marTop w:val="0"/>
      <w:marBottom w:val="0"/>
      <w:divBdr>
        <w:top w:val="none" w:sz="0" w:space="0" w:color="auto"/>
        <w:left w:val="none" w:sz="0" w:space="0" w:color="auto"/>
        <w:bottom w:val="none" w:sz="0" w:space="0" w:color="auto"/>
        <w:right w:val="none" w:sz="0" w:space="0" w:color="auto"/>
      </w:divBdr>
      <w:divsChild>
        <w:div w:id="1449617721">
          <w:marLeft w:val="0"/>
          <w:marRight w:val="0"/>
          <w:marTop w:val="0"/>
          <w:marBottom w:val="0"/>
          <w:divBdr>
            <w:top w:val="none" w:sz="0" w:space="0" w:color="auto"/>
            <w:left w:val="none" w:sz="0" w:space="0" w:color="auto"/>
            <w:bottom w:val="none" w:sz="0" w:space="0" w:color="auto"/>
            <w:right w:val="none" w:sz="0" w:space="0" w:color="auto"/>
          </w:divBdr>
          <w:divsChild>
            <w:div w:id="1949199013">
              <w:marLeft w:val="0"/>
              <w:marRight w:val="0"/>
              <w:marTop w:val="0"/>
              <w:marBottom w:val="0"/>
              <w:divBdr>
                <w:top w:val="none" w:sz="0" w:space="0" w:color="auto"/>
                <w:left w:val="none" w:sz="0" w:space="0" w:color="auto"/>
                <w:bottom w:val="none" w:sz="0" w:space="0" w:color="auto"/>
                <w:right w:val="none" w:sz="0" w:space="0" w:color="auto"/>
              </w:divBdr>
              <w:divsChild>
                <w:div w:id="466168211">
                  <w:marLeft w:val="0"/>
                  <w:marRight w:val="0"/>
                  <w:marTop w:val="0"/>
                  <w:marBottom w:val="0"/>
                  <w:divBdr>
                    <w:top w:val="none" w:sz="0" w:space="0" w:color="auto"/>
                    <w:left w:val="none" w:sz="0" w:space="0" w:color="auto"/>
                    <w:bottom w:val="none" w:sz="0" w:space="0" w:color="auto"/>
                    <w:right w:val="none" w:sz="0" w:space="0" w:color="auto"/>
                  </w:divBdr>
                  <w:divsChild>
                    <w:div w:id="1377193063">
                      <w:marLeft w:val="0"/>
                      <w:marRight w:val="0"/>
                      <w:marTop w:val="0"/>
                      <w:marBottom w:val="0"/>
                      <w:divBdr>
                        <w:top w:val="none" w:sz="0" w:space="0" w:color="auto"/>
                        <w:left w:val="none" w:sz="0" w:space="0" w:color="auto"/>
                        <w:bottom w:val="none" w:sz="0" w:space="0" w:color="auto"/>
                        <w:right w:val="none" w:sz="0" w:space="0" w:color="auto"/>
                      </w:divBdr>
                      <w:divsChild>
                        <w:div w:id="1927765227">
                          <w:marLeft w:val="0"/>
                          <w:marRight w:val="0"/>
                          <w:marTop w:val="0"/>
                          <w:marBottom w:val="0"/>
                          <w:divBdr>
                            <w:top w:val="none" w:sz="0" w:space="0" w:color="auto"/>
                            <w:left w:val="none" w:sz="0" w:space="0" w:color="auto"/>
                            <w:bottom w:val="none" w:sz="0" w:space="0" w:color="auto"/>
                            <w:right w:val="none" w:sz="0" w:space="0" w:color="auto"/>
                          </w:divBdr>
                          <w:divsChild>
                            <w:div w:id="962074402">
                              <w:marLeft w:val="0"/>
                              <w:marRight w:val="0"/>
                              <w:marTop w:val="0"/>
                              <w:marBottom w:val="0"/>
                              <w:divBdr>
                                <w:top w:val="none" w:sz="0" w:space="0" w:color="auto"/>
                                <w:left w:val="none" w:sz="0" w:space="0" w:color="auto"/>
                                <w:bottom w:val="none" w:sz="0" w:space="0" w:color="auto"/>
                                <w:right w:val="none" w:sz="0" w:space="0" w:color="auto"/>
                              </w:divBdr>
                              <w:divsChild>
                                <w:div w:id="1129318639">
                                  <w:marLeft w:val="0"/>
                                  <w:marRight w:val="0"/>
                                  <w:marTop w:val="0"/>
                                  <w:marBottom w:val="0"/>
                                  <w:divBdr>
                                    <w:top w:val="none" w:sz="0" w:space="0" w:color="auto"/>
                                    <w:left w:val="none" w:sz="0" w:space="0" w:color="auto"/>
                                    <w:bottom w:val="none" w:sz="0" w:space="0" w:color="auto"/>
                                    <w:right w:val="none" w:sz="0" w:space="0" w:color="auto"/>
                                  </w:divBdr>
                                  <w:divsChild>
                                    <w:div w:id="1861502586">
                                      <w:marLeft w:val="0"/>
                                      <w:marRight w:val="0"/>
                                      <w:marTop w:val="0"/>
                                      <w:marBottom w:val="0"/>
                                      <w:divBdr>
                                        <w:top w:val="none" w:sz="0" w:space="0" w:color="auto"/>
                                        <w:left w:val="none" w:sz="0" w:space="0" w:color="auto"/>
                                        <w:bottom w:val="none" w:sz="0" w:space="0" w:color="auto"/>
                                        <w:right w:val="none" w:sz="0" w:space="0" w:color="auto"/>
                                      </w:divBdr>
                                      <w:divsChild>
                                        <w:div w:id="1701274664">
                                          <w:marLeft w:val="0"/>
                                          <w:marRight w:val="0"/>
                                          <w:marTop w:val="0"/>
                                          <w:marBottom w:val="0"/>
                                          <w:divBdr>
                                            <w:top w:val="none" w:sz="0" w:space="0" w:color="auto"/>
                                            <w:left w:val="none" w:sz="0" w:space="0" w:color="auto"/>
                                            <w:bottom w:val="none" w:sz="0" w:space="0" w:color="auto"/>
                                            <w:right w:val="none" w:sz="0" w:space="0" w:color="auto"/>
                                          </w:divBdr>
                                          <w:divsChild>
                                            <w:div w:id="433019172">
                                              <w:marLeft w:val="0"/>
                                              <w:marRight w:val="0"/>
                                              <w:marTop w:val="0"/>
                                              <w:marBottom w:val="0"/>
                                              <w:divBdr>
                                                <w:top w:val="none" w:sz="0" w:space="0" w:color="auto"/>
                                                <w:left w:val="none" w:sz="0" w:space="0" w:color="auto"/>
                                                <w:bottom w:val="none" w:sz="0" w:space="0" w:color="auto"/>
                                                <w:right w:val="none" w:sz="0" w:space="0" w:color="auto"/>
                                              </w:divBdr>
                                              <w:divsChild>
                                                <w:div w:id="1129012855">
                                                  <w:marLeft w:val="0"/>
                                                  <w:marRight w:val="0"/>
                                                  <w:marTop w:val="0"/>
                                                  <w:marBottom w:val="0"/>
                                                  <w:divBdr>
                                                    <w:top w:val="none" w:sz="0" w:space="0" w:color="auto"/>
                                                    <w:left w:val="none" w:sz="0" w:space="0" w:color="auto"/>
                                                    <w:bottom w:val="none" w:sz="0" w:space="0" w:color="auto"/>
                                                    <w:right w:val="none" w:sz="0" w:space="0" w:color="auto"/>
                                                  </w:divBdr>
                                                  <w:divsChild>
                                                    <w:div w:id="1210342895">
                                                      <w:marLeft w:val="0"/>
                                                      <w:marRight w:val="0"/>
                                                      <w:marTop w:val="0"/>
                                                      <w:marBottom w:val="0"/>
                                                      <w:divBdr>
                                                        <w:top w:val="none" w:sz="0" w:space="0" w:color="auto"/>
                                                        <w:left w:val="none" w:sz="0" w:space="0" w:color="auto"/>
                                                        <w:bottom w:val="none" w:sz="0" w:space="0" w:color="auto"/>
                                                        <w:right w:val="none" w:sz="0" w:space="0" w:color="auto"/>
                                                      </w:divBdr>
                                                      <w:divsChild>
                                                        <w:div w:id="184582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40746640">
          <w:marLeft w:val="0"/>
          <w:marRight w:val="0"/>
          <w:marTop w:val="0"/>
          <w:marBottom w:val="0"/>
          <w:divBdr>
            <w:top w:val="none" w:sz="0" w:space="0" w:color="auto"/>
            <w:left w:val="none" w:sz="0" w:space="0" w:color="auto"/>
            <w:bottom w:val="none" w:sz="0" w:space="0" w:color="auto"/>
            <w:right w:val="none" w:sz="0" w:space="0" w:color="auto"/>
          </w:divBdr>
          <w:divsChild>
            <w:div w:id="203221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198/jmpp.v7i1.48236" TargetMode="External"/><Relationship Id="rId18" Type="http://schemas.openxmlformats.org/officeDocument/2006/relationships/hyperlink" Target="https://doi.org/10.1002/bsd2.70186" TargetMode="External"/><Relationship Id="rId26" Type="http://schemas.openxmlformats.org/officeDocument/2006/relationships/hyperlink" Target="https://doi.org/10.3389/fbuil.2023.1207564" TargetMode="External"/><Relationship Id="rId39" Type="http://schemas.openxmlformats.org/officeDocument/2006/relationships/hyperlink" Target="https://doi.org/10.1177/2694104x251332142" TargetMode="External"/><Relationship Id="rId21" Type="http://schemas.openxmlformats.org/officeDocument/2006/relationships/hyperlink" Target="https://doi.org/10.31893/multirev.2024059" TargetMode="External"/><Relationship Id="rId34" Type="http://schemas.openxmlformats.org/officeDocument/2006/relationships/hyperlink" Target="https://doi.org/10.3390/math8101642" TargetMode="External"/><Relationship Id="rId42" Type="http://schemas.openxmlformats.org/officeDocument/2006/relationships/hyperlink" Target="https://doi.org/10.1016/j.heliyon.2023.e20892" TargetMode="External"/><Relationship Id="rId47" Type="http://schemas.openxmlformats.org/officeDocument/2006/relationships/hyperlink" Target="https://doi.org/10.3390/su142114411" TargetMode="External"/><Relationship Id="rId50" Type="http://schemas.openxmlformats.org/officeDocument/2006/relationships/hyperlink" Target="https://doi.org/10.47191/ijcsrr/v7-i7-04" TargetMode="External"/><Relationship Id="rId55" Type="http://schemas.openxmlformats.org/officeDocument/2006/relationships/hyperlink" Target="https://doi.org/10.62836/emi.v3i4.243"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014920639101700108" TargetMode="External"/><Relationship Id="rId20" Type="http://schemas.openxmlformats.org/officeDocument/2006/relationships/hyperlink" Target="https://doi.org/10.1002/bse.70016" TargetMode="External"/><Relationship Id="rId29" Type="http://schemas.openxmlformats.org/officeDocument/2006/relationships/hyperlink" Target="https://doi.org/10.17358/brcs.3.3.193" TargetMode="External"/><Relationship Id="rId41" Type="http://schemas.openxmlformats.org/officeDocument/2006/relationships/hyperlink" Target="https://doi.org/10.1002/csr.70099" TargetMode="External"/><Relationship Id="rId54" Type="http://schemas.openxmlformats.org/officeDocument/2006/relationships/hyperlink" Target="https://doi.org/10.24246/agric.2022.v34.i2.p275-286" TargetMode="External"/><Relationship Id="rId62" Type="http://schemas.openxmlformats.org/officeDocument/2006/relationships/hyperlink" Target="https://doi.org/10.3389/fpsyg.2025.1599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jpbm-08-2023-4663" TargetMode="External"/><Relationship Id="rId32" Type="http://schemas.openxmlformats.org/officeDocument/2006/relationships/hyperlink" Target="https://doi.org/10.54254/2754-1169/2024.17759" TargetMode="External"/><Relationship Id="rId37" Type="http://schemas.openxmlformats.org/officeDocument/2006/relationships/hyperlink" Target="https://doi.org/10.1108/md-10-2023-1935" TargetMode="External"/><Relationship Id="rId40" Type="http://schemas.openxmlformats.org/officeDocument/2006/relationships/hyperlink" Target="https://doi.org/10.25105/jet.v3i2.17112" TargetMode="External"/><Relationship Id="rId45" Type="http://schemas.openxmlformats.org/officeDocument/2006/relationships/hyperlink" Target="https://doi.org/10.1177/20552076251362070" TargetMode="External"/><Relationship Id="rId53" Type="http://schemas.openxmlformats.org/officeDocument/2006/relationships/hyperlink" Target="https://doi.org/10.55927/ministal.v2i2.3850" TargetMode="External"/><Relationship Id="rId58" Type="http://schemas.openxmlformats.org/officeDocument/2006/relationships/hyperlink" Target="https://doi.org/10.47191/ijcsrr/v7-i8-13" TargetMode="External"/><Relationship Id="rId5" Type="http://schemas.openxmlformats.org/officeDocument/2006/relationships/webSettings" Target="webSettings.xml"/><Relationship Id="rId15" Type="http://schemas.openxmlformats.org/officeDocument/2006/relationships/hyperlink" Target="https://doi.org/10.47191/ijcsrr/v7-i7-75" TargetMode="External"/><Relationship Id="rId23" Type="http://schemas.openxmlformats.org/officeDocument/2006/relationships/hyperlink" Target="https://doi.org/10.1108/jpbm-08-2023-4667" TargetMode="External"/><Relationship Id="rId28" Type="http://schemas.openxmlformats.org/officeDocument/2006/relationships/hyperlink" Target="https://www.bcg.com/publications/1970/strategy-the-product-portfolio" TargetMode="External"/><Relationship Id="rId36" Type="http://schemas.openxmlformats.org/officeDocument/2006/relationships/hyperlink" Target="https://doi.org/10.62754/joe.v3i8.5090" TargetMode="External"/><Relationship Id="rId49" Type="http://schemas.openxmlformats.org/officeDocument/2006/relationships/hyperlink" Target="https://doi.org/10.47172/2965-730x.sdgsreview.v4.n02.pe01953" TargetMode="External"/><Relationship Id="rId57" Type="http://schemas.openxmlformats.org/officeDocument/2006/relationships/hyperlink" Target="https://www.unilever.com/planet-and-society/" TargetMode="External"/><Relationship Id="rId61" Type="http://schemas.openxmlformats.org/officeDocument/2006/relationships/hyperlink" Target="https://doi.org/10.54097/nmap2t62" TargetMode="External"/><Relationship Id="rId10" Type="http://schemas.openxmlformats.org/officeDocument/2006/relationships/image" Target="media/image3.png"/><Relationship Id="rId19" Type="http://schemas.openxmlformats.org/officeDocument/2006/relationships/hyperlink" Target="https://doi.org/10.1002/bse.3919" TargetMode="External"/><Relationship Id="rId31" Type="http://schemas.openxmlformats.org/officeDocument/2006/relationships/hyperlink" Target="https://doi.org/10.1051/shsconf/202418101036" TargetMode="External"/><Relationship Id="rId44" Type="http://schemas.openxmlformats.org/officeDocument/2006/relationships/hyperlink" Target="https://doi.org/10.1177/09746862251327829" TargetMode="External"/><Relationship Id="rId52" Type="http://schemas.openxmlformats.org/officeDocument/2006/relationships/hyperlink" Target="https://doi.org/10.21632/saki.7.2.139-153" TargetMode="External"/><Relationship Id="rId60" Type="http://schemas.openxmlformats.org/officeDocument/2006/relationships/hyperlink" Target="https://doi.org/10.1108/ijoa-04-2020-2146"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vjikms-01-2022-0029" TargetMode="External"/><Relationship Id="rId22" Type="http://schemas.openxmlformats.org/officeDocument/2006/relationships/hyperlink" Target="https://doi.org/10.4018/joeuc.379769" TargetMode="External"/><Relationship Id="rId27" Type="http://schemas.openxmlformats.org/officeDocument/2006/relationships/hyperlink" Target="https://doi.org/10.1002/sd.70164" TargetMode="External"/><Relationship Id="rId30" Type="http://schemas.openxmlformats.org/officeDocument/2006/relationships/hyperlink" Target="https://doi.org/10.20944/preprints202406.1761.v1" TargetMode="External"/><Relationship Id="rId35" Type="http://schemas.openxmlformats.org/officeDocument/2006/relationships/hyperlink" Target="https://doi.org/10.24036/jmpe.v6i4.15335" TargetMode="External"/><Relationship Id="rId43" Type="http://schemas.openxmlformats.org/officeDocument/2006/relationships/hyperlink" Target="https://hbr.org/2011/01/the-big-idea-creating-shared-value" TargetMode="External"/><Relationship Id="rId48" Type="http://schemas.openxmlformats.org/officeDocument/2006/relationships/hyperlink" Target="https://doi.org/10.47191/jefms/v6-i12-07" TargetMode="External"/><Relationship Id="rId56" Type="http://schemas.openxmlformats.org/officeDocument/2006/relationships/hyperlink" Target="https://www.unilever.com/investors/annual-report-and-accounts/"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111/basr.12358" TargetMode="External"/><Relationship Id="rId3" Type="http://schemas.openxmlformats.org/officeDocument/2006/relationships/styles" Target="styles.xml"/><Relationship Id="rId12" Type="http://schemas.openxmlformats.org/officeDocument/2006/relationships/hyperlink" Target="https://doi.org/10.30574/msarr.2024.10.1.0029" TargetMode="External"/><Relationship Id="rId17" Type="http://schemas.openxmlformats.org/officeDocument/2006/relationships/hyperlink" Target="https://doi.org/10.47191/jefms/v7-i11-36" TargetMode="External"/><Relationship Id="rId25" Type="http://schemas.openxmlformats.org/officeDocument/2006/relationships/hyperlink" Target="https://doi.org/10.1177/07410883251372206" TargetMode="External"/><Relationship Id="rId33" Type="http://schemas.openxmlformats.org/officeDocument/2006/relationships/hyperlink" Target="https://doi.org/10.3390/su142215258" TargetMode="External"/><Relationship Id="rId38" Type="http://schemas.openxmlformats.org/officeDocument/2006/relationships/hyperlink" Target="https://doi.org/10.4236/ojbm.2023.114086" TargetMode="External"/><Relationship Id="rId46" Type="http://schemas.openxmlformats.org/officeDocument/2006/relationships/hyperlink" Target="https://doi.org/10.1108/jsma-02-2023-0027" TargetMode="External"/><Relationship Id="rId59" Type="http://schemas.openxmlformats.org/officeDocument/2006/relationships/hyperlink" Target="https://doi.org/10.60079/abim.v2i3.3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8C3E9-7A4D-47B2-915E-777991DE2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29</Pages>
  <Words>7898</Words>
  <Characters>45025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58</cp:revision>
  <dcterms:created xsi:type="dcterms:W3CDTF">2026-04-20T19:39:00Z</dcterms:created>
  <dcterms:modified xsi:type="dcterms:W3CDTF">2026-04-30T21:01:00Z</dcterms:modified>
</cp:coreProperties>
</file>