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F569B4" w14:textId="77777777" w:rsidR="00EF35FE" w:rsidRPr="008A65E8" w:rsidRDefault="00EF35FE" w:rsidP="008A65E8">
      <w:pPr>
        <w:spacing w:line="360" w:lineRule="auto"/>
        <w:rPr>
          <w:rFonts w:ascii="Arial" w:hAnsi="Arial" w:cs="Arial"/>
        </w:rPr>
      </w:pPr>
    </w:p>
    <w:p w14:paraId="7BAC9CC7" w14:textId="77777777" w:rsidR="00EF35FE" w:rsidRPr="008A65E8" w:rsidRDefault="00EF35FE" w:rsidP="008A65E8">
      <w:pPr>
        <w:spacing w:line="360" w:lineRule="auto"/>
        <w:rPr>
          <w:rFonts w:ascii="Arial" w:hAnsi="Arial" w:cs="Arial"/>
        </w:rPr>
      </w:pPr>
    </w:p>
    <w:p w14:paraId="426A2170" w14:textId="77777777" w:rsidR="00EF35FE" w:rsidRPr="00786795" w:rsidRDefault="00EF35FE" w:rsidP="008A65E8">
      <w:pPr>
        <w:spacing w:line="360" w:lineRule="auto"/>
        <w:rPr>
          <w:rFonts w:ascii="Arial" w:hAnsi="Arial" w:cs="Arial"/>
          <w:b/>
          <w:bCs/>
        </w:rPr>
      </w:pPr>
    </w:p>
    <w:p w14:paraId="76859389" w14:textId="094CBB47" w:rsidR="00EF35FE" w:rsidRPr="00786795" w:rsidRDefault="00EF35FE" w:rsidP="008A65E8">
      <w:pPr>
        <w:spacing w:line="360" w:lineRule="auto"/>
        <w:jc w:val="center"/>
        <w:rPr>
          <w:rFonts w:ascii="Arial" w:hAnsi="Arial" w:cs="Arial"/>
          <w:b/>
          <w:bCs/>
        </w:rPr>
      </w:pPr>
      <w:r w:rsidRPr="00786795">
        <w:rPr>
          <w:rFonts w:ascii="Arial" w:hAnsi="Arial" w:cs="Arial"/>
          <w:b/>
          <w:bCs/>
        </w:rPr>
        <w:t>Which Setting Better Promotes Empowerment in Older Adults: Domiciliary Care or Residential Care?</w:t>
      </w:r>
      <w:r w:rsidRPr="00786795">
        <w:rPr>
          <w:rFonts w:ascii="Arial" w:hAnsi="Arial" w:cs="Arial"/>
          <w:b/>
          <w:bCs/>
        </w:rPr>
        <w:t xml:space="preserve"> – </w:t>
      </w:r>
      <w:r w:rsidRPr="00786795">
        <w:rPr>
          <w:rFonts w:ascii="Arial" w:hAnsi="Arial" w:cs="Arial"/>
          <w:b/>
          <w:bCs/>
          <w:i/>
          <w:iCs/>
        </w:rPr>
        <w:t>Domiciliary Focused</w:t>
      </w:r>
    </w:p>
    <w:p w14:paraId="485BE904" w14:textId="77777777" w:rsidR="00EF35FE" w:rsidRPr="00786795" w:rsidRDefault="00EF35FE" w:rsidP="008A65E8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104FDDD" w14:textId="77777777" w:rsidR="00EF35FE" w:rsidRPr="00786795" w:rsidRDefault="00EF35FE" w:rsidP="008A65E8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73BA1D3" w14:textId="77777777" w:rsidR="00EF35FE" w:rsidRPr="00786795" w:rsidRDefault="00EF35FE" w:rsidP="008A65E8">
      <w:pPr>
        <w:spacing w:line="360" w:lineRule="auto"/>
        <w:jc w:val="center"/>
        <w:rPr>
          <w:rFonts w:ascii="Arial" w:hAnsi="Arial" w:cs="Arial"/>
          <w:b/>
          <w:bCs/>
        </w:rPr>
      </w:pPr>
      <w:r w:rsidRPr="00786795">
        <w:rPr>
          <w:rFonts w:ascii="Arial" w:hAnsi="Arial" w:cs="Arial"/>
          <w:b/>
          <w:bCs/>
        </w:rPr>
        <w:t>Component 2</w:t>
      </w:r>
      <w:r w:rsidRPr="00786795">
        <w:rPr>
          <w:rFonts w:ascii="Arial" w:hAnsi="Arial" w:cs="Arial"/>
          <w:b/>
          <w:bCs/>
        </w:rPr>
        <w:t xml:space="preserve"> - Debate</w:t>
      </w:r>
    </w:p>
    <w:p w14:paraId="35BBE4EF" w14:textId="77777777" w:rsidR="00EF35FE" w:rsidRPr="00786795" w:rsidRDefault="00EF35FE" w:rsidP="008A65E8">
      <w:pPr>
        <w:spacing w:line="360" w:lineRule="auto"/>
        <w:jc w:val="center"/>
        <w:rPr>
          <w:rFonts w:ascii="Arial" w:hAnsi="Arial" w:cs="Arial"/>
          <w:b/>
          <w:bCs/>
        </w:rPr>
      </w:pPr>
      <w:r w:rsidRPr="00786795">
        <w:rPr>
          <w:rFonts w:ascii="Arial" w:hAnsi="Arial" w:cs="Arial"/>
          <w:b/>
          <w:bCs/>
        </w:rPr>
        <w:t>Empowering the Older Person – BMHP6027</w:t>
      </w:r>
    </w:p>
    <w:p w14:paraId="044A7108" w14:textId="77777777" w:rsidR="00EF35FE" w:rsidRPr="00786795" w:rsidRDefault="00EF35FE" w:rsidP="008A65E8">
      <w:pPr>
        <w:spacing w:line="360" w:lineRule="auto"/>
        <w:jc w:val="center"/>
        <w:rPr>
          <w:rFonts w:ascii="Arial" w:hAnsi="Arial" w:cs="Arial"/>
          <w:b/>
          <w:bCs/>
        </w:rPr>
      </w:pPr>
      <w:r w:rsidRPr="00786795">
        <w:rPr>
          <w:rFonts w:ascii="Arial" w:hAnsi="Arial" w:cs="Arial"/>
          <w:b/>
          <w:bCs/>
        </w:rPr>
        <w:t>Lecturer: Zakiyyah Ahmed</w:t>
      </w:r>
    </w:p>
    <w:p w14:paraId="36DEE8F8" w14:textId="77777777" w:rsidR="00EF35FE" w:rsidRPr="00786795" w:rsidRDefault="00EF35FE" w:rsidP="008A65E8">
      <w:pPr>
        <w:spacing w:line="360" w:lineRule="auto"/>
        <w:jc w:val="center"/>
        <w:rPr>
          <w:rFonts w:ascii="Arial" w:hAnsi="Arial" w:cs="Arial"/>
          <w:b/>
          <w:bCs/>
        </w:rPr>
      </w:pPr>
      <w:r w:rsidRPr="00786795">
        <w:rPr>
          <w:rFonts w:ascii="Arial" w:hAnsi="Arial" w:cs="Arial"/>
          <w:b/>
          <w:bCs/>
        </w:rPr>
        <w:t xml:space="preserve">Student Name: </w:t>
      </w:r>
      <w:r w:rsidRPr="00786795">
        <w:rPr>
          <w:rFonts w:ascii="Arial" w:hAnsi="Arial" w:cs="Arial"/>
          <w:b/>
          <w:bCs/>
        </w:rPr>
        <w:t>Mariana Cristina Tudor</w:t>
      </w:r>
    </w:p>
    <w:p w14:paraId="209C3A40" w14:textId="77777777" w:rsidR="00EF35FE" w:rsidRPr="00786795" w:rsidRDefault="00EF35FE" w:rsidP="008A65E8">
      <w:pPr>
        <w:spacing w:line="360" w:lineRule="auto"/>
        <w:jc w:val="center"/>
        <w:rPr>
          <w:rFonts w:ascii="Arial" w:hAnsi="Arial" w:cs="Arial"/>
          <w:b/>
          <w:bCs/>
        </w:rPr>
      </w:pPr>
      <w:r w:rsidRPr="00786795">
        <w:rPr>
          <w:rFonts w:ascii="Arial" w:hAnsi="Arial" w:cs="Arial"/>
          <w:b/>
          <w:bCs/>
        </w:rPr>
        <w:t>Student Number: 224</w:t>
      </w:r>
      <w:r w:rsidRPr="00786795">
        <w:rPr>
          <w:rFonts w:ascii="Arial" w:hAnsi="Arial" w:cs="Arial"/>
          <w:b/>
          <w:bCs/>
        </w:rPr>
        <w:t>2927</w:t>
      </w:r>
    </w:p>
    <w:p w14:paraId="36FB3BEE" w14:textId="77777777" w:rsidR="00EF35FE" w:rsidRPr="008A65E8" w:rsidRDefault="00EF35FE" w:rsidP="008A65E8">
      <w:pPr>
        <w:spacing w:line="360" w:lineRule="auto"/>
        <w:rPr>
          <w:rFonts w:ascii="Arial" w:hAnsi="Arial" w:cs="Arial"/>
        </w:rPr>
      </w:pPr>
    </w:p>
    <w:p w14:paraId="59FB4453" w14:textId="77777777" w:rsidR="00EF35FE" w:rsidRPr="008A65E8" w:rsidRDefault="00EF35FE" w:rsidP="008A65E8">
      <w:pPr>
        <w:spacing w:line="360" w:lineRule="auto"/>
        <w:rPr>
          <w:rFonts w:ascii="Arial" w:hAnsi="Arial" w:cs="Arial"/>
        </w:rPr>
      </w:pPr>
    </w:p>
    <w:p w14:paraId="19EB1179" w14:textId="77777777" w:rsidR="00EF35FE" w:rsidRPr="008A65E8" w:rsidRDefault="00EF35FE" w:rsidP="008A65E8">
      <w:pPr>
        <w:spacing w:line="360" w:lineRule="auto"/>
        <w:rPr>
          <w:rFonts w:ascii="Arial" w:hAnsi="Arial" w:cs="Arial"/>
        </w:rPr>
      </w:pPr>
    </w:p>
    <w:p w14:paraId="1C0C5982" w14:textId="77777777" w:rsidR="00EF35FE" w:rsidRPr="008A65E8" w:rsidRDefault="00EF35FE" w:rsidP="008A65E8">
      <w:pPr>
        <w:spacing w:line="360" w:lineRule="auto"/>
        <w:rPr>
          <w:rFonts w:ascii="Arial" w:hAnsi="Arial" w:cs="Arial"/>
        </w:rPr>
      </w:pPr>
    </w:p>
    <w:p w14:paraId="4A3B1DB9" w14:textId="77777777" w:rsidR="00EF35FE" w:rsidRPr="008A65E8" w:rsidRDefault="00EF35FE" w:rsidP="008A65E8">
      <w:pPr>
        <w:spacing w:line="360" w:lineRule="auto"/>
        <w:rPr>
          <w:rFonts w:ascii="Arial" w:hAnsi="Arial" w:cs="Arial"/>
        </w:rPr>
      </w:pPr>
    </w:p>
    <w:p w14:paraId="0D4E7719" w14:textId="77777777" w:rsidR="00EF35FE" w:rsidRPr="008A65E8" w:rsidRDefault="00EF35FE" w:rsidP="008A65E8">
      <w:pPr>
        <w:spacing w:line="360" w:lineRule="auto"/>
        <w:rPr>
          <w:rFonts w:ascii="Arial" w:hAnsi="Arial" w:cs="Arial"/>
        </w:rPr>
      </w:pPr>
    </w:p>
    <w:p w14:paraId="098F835C" w14:textId="77777777" w:rsidR="00EF35FE" w:rsidRPr="008A65E8" w:rsidRDefault="00EF35FE" w:rsidP="008A65E8">
      <w:pPr>
        <w:spacing w:line="360" w:lineRule="auto"/>
        <w:rPr>
          <w:rFonts w:ascii="Arial" w:hAnsi="Arial" w:cs="Arial"/>
        </w:rPr>
      </w:pPr>
    </w:p>
    <w:p w14:paraId="140E5691" w14:textId="77777777" w:rsidR="00EF35FE" w:rsidRPr="008A65E8" w:rsidRDefault="00EF35FE" w:rsidP="008A65E8">
      <w:pPr>
        <w:spacing w:line="360" w:lineRule="auto"/>
        <w:rPr>
          <w:rFonts w:ascii="Arial" w:hAnsi="Arial" w:cs="Arial"/>
        </w:rPr>
      </w:pPr>
    </w:p>
    <w:p w14:paraId="131AF529" w14:textId="77777777" w:rsidR="00EF35FE" w:rsidRPr="008A65E8" w:rsidRDefault="00EF35FE" w:rsidP="008A65E8">
      <w:pPr>
        <w:spacing w:line="360" w:lineRule="auto"/>
        <w:rPr>
          <w:rFonts w:ascii="Arial" w:hAnsi="Arial" w:cs="Arial"/>
        </w:rPr>
      </w:pPr>
    </w:p>
    <w:p w14:paraId="6FCF7A84" w14:textId="77777777" w:rsidR="00EF35FE" w:rsidRPr="008A65E8" w:rsidRDefault="00EF35FE" w:rsidP="008A65E8">
      <w:pPr>
        <w:spacing w:line="360" w:lineRule="auto"/>
        <w:rPr>
          <w:rFonts w:ascii="Arial" w:hAnsi="Arial" w:cs="Arial"/>
        </w:rPr>
      </w:pPr>
    </w:p>
    <w:p w14:paraId="4F70B00A" w14:textId="77777777" w:rsidR="00EF35FE" w:rsidRPr="008A65E8" w:rsidRDefault="00EF35FE" w:rsidP="008A65E8">
      <w:pPr>
        <w:spacing w:line="360" w:lineRule="auto"/>
        <w:rPr>
          <w:rFonts w:ascii="Arial" w:hAnsi="Arial" w:cs="Arial"/>
        </w:rPr>
      </w:pPr>
    </w:p>
    <w:p w14:paraId="3D84F9BC" w14:textId="77777777" w:rsidR="00EF35FE" w:rsidRPr="008A65E8" w:rsidRDefault="00EF35FE" w:rsidP="008A65E8">
      <w:pPr>
        <w:spacing w:line="360" w:lineRule="auto"/>
        <w:rPr>
          <w:rFonts w:ascii="Arial" w:hAnsi="Arial" w:cs="Arial"/>
        </w:rPr>
      </w:pPr>
    </w:p>
    <w:p w14:paraId="51EE4A4E" w14:textId="77777777" w:rsidR="00EF35FE" w:rsidRPr="008A65E8" w:rsidRDefault="00EF35FE" w:rsidP="008A65E8">
      <w:pPr>
        <w:spacing w:line="360" w:lineRule="auto"/>
        <w:rPr>
          <w:rFonts w:ascii="Arial" w:hAnsi="Arial" w:cs="Arial"/>
        </w:rPr>
      </w:pPr>
    </w:p>
    <w:p w14:paraId="10F40C56" w14:textId="77777777" w:rsidR="00EF35FE" w:rsidRPr="008A65E8" w:rsidRDefault="00EF35FE" w:rsidP="008A65E8">
      <w:pPr>
        <w:spacing w:line="360" w:lineRule="auto"/>
        <w:rPr>
          <w:rFonts w:ascii="Arial" w:hAnsi="Arial" w:cs="Arial"/>
        </w:rPr>
      </w:pPr>
    </w:p>
    <w:p w14:paraId="0B890F6C" w14:textId="588E1744" w:rsidR="008A65E8" w:rsidRPr="008A65E8" w:rsidRDefault="008A65E8" w:rsidP="008A65E8">
      <w:pPr>
        <w:spacing w:line="360" w:lineRule="auto"/>
        <w:rPr>
          <w:rFonts w:ascii="Arial" w:hAnsi="Arial" w:cs="Arial"/>
          <w:b/>
          <w:bCs/>
        </w:rPr>
      </w:pPr>
      <w:r w:rsidRPr="008A65E8">
        <w:rPr>
          <w:rFonts w:ascii="Arial" w:hAnsi="Arial" w:cs="Arial"/>
          <w:b/>
          <w:bCs/>
        </w:rPr>
        <w:lastRenderedPageBreak/>
        <w:t>Reference Li</w:t>
      </w:r>
      <w:r>
        <w:rPr>
          <w:rFonts w:ascii="Arial" w:hAnsi="Arial" w:cs="Arial"/>
          <w:b/>
          <w:bCs/>
        </w:rPr>
        <w:t>st</w:t>
      </w:r>
    </w:p>
    <w:p w14:paraId="2421685F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Age UK (2024) ‘Older people at risk of being forced into residential care due to massive delays in making adaptations to </w:t>
      </w:r>
      <w:proofErr w:type="gramStart"/>
      <w:r w:rsidRPr="008A65E8">
        <w:rPr>
          <w:rFonts w:ascii="Arial" w:hAnsi="Arial" w:cs="Arial"/>
        </w:rPr>
        <w:t>homes’</w:t>
      </w:r>
      <w:proofErr w:type="gramEnd"/>
      <w:r w:rsidRPr="008A65E8">
        <w:rPr>
          <w:rFonts w:ascii="Arial" w:hAnsi="Arial" w:cs="Arial"/>
        </w:rPr>
        <w:t xml:space="preserve">. Available at: https://www.ageuk.org.uk/latest-press/articles/2024/age-uk-comment-in-response-to-the-ombudsman-report-on-waspi-women/older-people-at-risk-of-being-forced-into-residential-care-due-to-massive-delays-in-making-adaptations-to-homes/ (Accessed: </w:t>
      </w:r>
      <w:r w:rsidRPr="008A65E8">
        <w:rPr>
          <w:rFonts w:ascii="Arial" w:hAnsi="Arial" w:cs="Arial"/>
        </w:rPr>
        <w:t>9 Nov 2025</w:t>
      </w:r>
      <w:r w:rsidRPr="008A65E8">
        <w:rPr>
          <w:rFonts w:ascii="Arial" w:hAnsi="Arial" w:cs="Arial"/>
        </w:rPr>
        <w:t>).</w:t>
      </w:r>
    </w:p>
    <w:p w14:paraId="30ADB897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Al-Hamad, A., Yasin, Y.M., Metersky, K., </w:t>
      </w:r>
      <w:proofErr w:type="spellStart"/>
      <w:r w:rsidRPr="008A65E8">
        <w:rPr>
          <w:rFonts w:ascii="Arial" w:hAnsi="Arial" w:cs="Arial"/>
        </w:rPr>
        <w:t>Kokorelias</w:t>
      </w:r>
      <w:proofErr w:type="spellEnd"/>
      <w:r w:rsidRPr="008A65E8">
        <w:rPr>
          <w:rFonts w:ascii="Arial" w:hAnsi="Arial" w:cs="Arial"/>
        </w:rPr>
        <w:t xml:space="preserve">, K.M., Yasin, L. &amp; Afzal, F. (2025) ‘Home healthcare services and interventions for older adults: an umbrella review of systematic reviews and meta-analyses’, </w:t>
      </w:r>
      <w:r w:rsidRPr="008A65E8">
        <w:rPr>
          <w:rFonts w:ascii="Arial" w:hAnsi="Arial" w:cs="Arial"/>
          <w:i/>
          <w:iCs/>
        </w:rPr>
        <w:t>Journal of Ageing and Longevity</w:t>
      </w:r>
      <w:r w:rsidRPr="008A65E8">
        <w:rPr>
          <w:rFonts w:ascii="Arial" w:hAnsi="Arial" w:cs="Arial"/>
        </w:rPr>
        <w:t>, 5(3), 25.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10.3390/jal5030025.</w:t>
      </w:r>
    </w:p>
    <w:p w14:paraId="138F358D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Atchley, R.C. (1989) ‘A continuity theory of normal aging’, </w:t>
      </w:r>
      <w:r w:rsidRPr="008A65E8">
        <w:rPr>
          <w:rFonts w:ascii="Arial" w:hAnsi="Arial" w:cs="Arial"/>
          <w:i/>
          <w:iCs/>
        </w:rPr>
        <w:t>The Gerontologist</w:t>
      </w:r>
      <w:r w:rsidRPr="008A65E8">
        <w:rPr>
          <w:rFonts w:ascii="Arial" w:hAnsi="Arial" w:cs="Arial"/>
        </w:rPr>
        <w:t>, 29(2), pp. 183–190. Available at</w:t>
      </w:r>
      <w:r w:rsidRPr="008A65E8">
        <w:rPr>
          <w:rFonts w:ascii="Arial" w:hAnsi="Arial" w:cs="Arial"/>
        </w:rPr>
        <w:t xml:space="preserve">: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10.1093/</w:t>
      </w:r>
      <w:proofErr w:type="spellStart"/>
      <w:r w:rsidRPr="008A65E8">
        <w:rPr>
          <w:rFonts w:ascii="Arial" w:hAnsi="Arial" w:cs="Arial"/>
        </w:rPr>
        <w:t>geront</w:t>
      </w:r>
      <w:proofErr w:type="spellEnd"/>
      <w:r w:rsidRPr="008A65E8">
        <w:rPr>
          <w:rFonts w:ascii="Arial" w:hAnsi="Arial" w:cs="Arial"/>
        </w:rPr>
        <w:t>/29.2.183.</w:t>
      </w:r>
    </w:p>
    <w:p w14:paraId="78061AA4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Baltes, P.B. &amp; Baltes, M.M. (1990) ‘Psychological perspectives on successful aging: the model of selective optimization with compensation’, </w:t>
      </w:r>
      <w:r w:rsidRPr="008A65E8">
        <w:rPr>
          <w:rFonts w:ascii="Arial" w:hAnsi="Arial" w:cs="Arial"/>
          <w:i/>
          <w:iCs/>
        </w:rPr>
        <w:t xml:space="preserve">in Baltes, P.B. &amp; Baltes, M.M. (eds.) Successful Aging: Perspectives from the </w:t>
      </w:r>
      <w:proofErr w:type="spellStart"/>
      <w:r w:rsidRPr="008A65E8">
        <w:rPr>
          <w:rFonts w:ascii="Arial" w:hAnsi="Arial" w:cs="Arial"/>
          <w:i/>
          <w:iCs/>
        </w:rPr>
        <w:t>Behavioral</w:t>
      </w:r>
      <w:proofErr w:type="spellEnd"/>
      <w:r w:rsidRPr="008A65E8">
        <w:rPr>
          <w:rFonts w:ascii="Arial" w:hAnsi="Arial" w:cs="Arial"/>
          <w:i/>
          <w:iCs/>
        </w:rPr>
        <w:t xml:space="preserve"> Sciences</w:t>
      </w:r>
      <w:r w:rsidRPr="008A65E8">
        <w:rPr>
          <w:rFonts w:ascii="Arial" w:hAnsi="Arial" w:cs="Arial"/>
        </w:rPr>
        <w:t xml:space="preserve">, pp. 1–34. Available at: https://www.cambridge.org/core/books/abs/successful-aging/psychological-perspectives-on-successful-aging-the-model-of-selective-optimization-with-compensation/EAE9389C90617AE014260735DFFCEF82 (Accessed: </w:t>
      </w:r>
      <w:r w:rsidRPr="008A65E8">
        <w:rPr>
          <w:rFonts w:ascii="Arial" w:hAnsi="Arial" w:cs="Arial"/>
        </w:rPr>
        <w:t>9 Nov 2025</w:t>
      </w:r>
      <w:r w:rsidRPr="008A65E8">
        <w:rPr>
          <w:rFonts w:ascii="Arial" w:hAnsi="Arial" w:cs="Arial"/>
        </w:rPr>
        <w:t>).</w:t>
      </w:r>
    </w:p>
    <w:p w14:paraId="1D38FD2B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Barken, R. (2019) “Independence” among older people receiving support at home: the meaning of daily care practices’, </w:t>
      </w:r>
      <w:r w:rsidRPr="008A65E8">
        <w:rPr>
          <w:rFonts w:ascii="Arial" w:hAnsi="Arial" w:cs="Arial"/>
          <w:i/>
          <w:iCs/>
        </w:rPr>
        <w:t>Ageing &amp; Society</w:t>
      </w:r>
      <w:r w:rsidRPr="008A65E8">
        <w:rPr>
          <w:rFonts w:ascii="Arial" w:hAnsi="Arial" w:cs="Arial"/>
        </w:rPr>
        <w:t>, 39(3), pp. 518–540.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10.1017/S0144686X17001039.</w:t>
      </w:r>
    </w:p>
    <w:p w14:paraId="2E550A34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Bauer, A., Fernandez, J.L., Henderson, C., Wittenberg, R. &amp; Knapp, M. (2019) ‘Cost-minimisation analysis of home care reablement for older people in England: a modelling study’, </w:t>
      </w:r>
      <w:r w:rsidRPr="008A65E8">
        <w:rPr>
          <w:rFonts w:ascii="Arial" w:hAnsi="Arial" w:cs="Arial"/>
          <w:i/>
          <w:iCs/>
        </w:rPr>
        <w:t>Health &amp; Social Care in the Community</w:t>
      </w:r>
      <w:r w:rsidRPr="008A65E8">
        <w:rPr>
          <w:rFonts w:ascii="Arial" w:hAnsi="Arial" w:cs="Arial"/>
        </w:rPr>
        <w:t>, 27(5), pp. 1241–1250.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10.1111/hsc.12756.</w:t>
      </w:r>
    </w:p>
    <w:p w14:paraId="0F752D7B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Boland, L., Légaré, F., Becerra Perez, M.M., Menear, M., Garvelink, M.M., McIsaac, D.I., Painchaud Guérard, G., Emond, J., </w:t>
      </w:r>
      <w:proofErr w:type="spellStart"/>
      <w:r w:rsidRPr="008A65E8">
        <w:rPr>
          <w:rFonts w:ascii="Arial" w:hAnsi="Arial" w:cs="Arial"/>
        </w:rPr>
        <w:t>Brière</w:t>
      </w:r>
      <w:proofErr w:type="spellEnd"/>
      <w:r w:rsidRPr="008A65E8">
        <w:rPr>
          <w:rFonts w:ascii="Arial" w:hAnsi="Arial" w:cs="Arial"/>
        </w:rPr>
        <w:t>, N. &amp; Stacey, D. (2017) ‘Impact of home care versus alternative locations of care on elder health outcomes: an overview of systematic reviews’, BMC Geriatrics, 17, 20.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10.1186/s12877-016-0395-y.</w:t>
      </w:r>
    </w:p>
    <w:p w14:paraId="1D5E9131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Brown, P., Leverton, M., Burton, A., Harrison-Dening, K., Beresford-Dent, J. &amp; Cooper, C. (2022) ‘How does the delivery of paid home care compare to the care plan for clients living with dementia?’, </w:t>
      </w:r>
      <w:r w:rsidRPr="008A65E8">
        <w:rPr>
          <w:rFonts w:ascii="Arial" w:hAnsi="Arial" w:cs="Arial"/>
          <w:i/>
          <w:iCs/>
        </w:rPr>
        <w:t>Health &amp; Social Care in the Community</w:t>
      </w:r>
      <w:r w:rsidRPr="008A65E8">
        <w:rPr>
          <w:rFonts w:ascii="Arial" w:hAnsi="Arial" w:cs="Arial"/>
        </w:rPr>
        <w:t>, 30(5), pp. e3158–e3170.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10.1111/hsc.13761.</w:t>
      </w:r>
    </w:p>
    <w:p w14:paraId="4FF4BF8B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lastRenderedPageBreak/>
        <w:t xml:space="preserve">Burns, D., </w:t>
      </w:r>
      <w:proofErr w:type="spellStart"/>
      <w:r w:rsidRPr="008A65E8">
        <w:rPr>
          <w:rFonts w:ascii="Arial" w:hAnsi="Arial" w:cs="Arial"/>
        </w:rPr>
        <w:t>Goodlad</w:t>
      </w:r>
      <w:proofErr w:type="spellEnd"/>
      <w:r w:rsidRPr="008A65E8">
        <w:rPr>
          <w:rFonts w:ascii="Arial" w:hAnsi="Arial" w:cs="Arial"/>
        </w:rPr>
        <w:t xml:space="preserve">, C., Hamblin, K. &amp; Zimpel-Leal, K. (2022) ‘Innovation in UK independent homecare services: a thematic narrative review’, </w:t>
      </w:r>
      <w:r w:rsidRPr="008A65E8">
        <w:rPr>
          <w:rFonts w:ascii="Arial" w:hAnsi="Arial" w:cs="Arial"/>
          <w:i/>
          <w:iCs/>
        </w:rPr>
        <w:t>Health &amp; Social Care in the Community</w:t>
      </w:r>
      <w:r w:rsidRPr="008A65E8">
        <w:rPr>
          <w:rFonts w:ascii="Arial" w:hAnsi="Arial" w:cs="Arial"/>
        </w:rPr>
        <w:t>, 30(6), pp. e3447–e3458.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10.1111/hsc.13954.</w:t>
      </w:r>
    </w:p>
    <w:p w14:paraId="7B6520EB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Burns, D., </w:t>
      </w:r>
      <w:proofErr w:type="spellStart"/>
      <w:r w:rsidRPr="008A65E8">
        <w:rPr>
          <w:rFonts w:ascii="Arial" w:hAnsi="Arial" w:cs="Arial"/>
        </w:rPr>
        <w:t>Goodlad</w:t>
      </w:r>
      <w:proofErr w:type="spellEnd"/>
      <w:r w:rsidRPr="008A65E8">
        <w:rPr>
          <w:rFonts w:ascii="Arial" w:hAnsi="Arial" w:cs="Arial"/>
        </w:rPr>
        <w:t xml:space="preserve">, C., Hamblin, K. &amp; Zimpel-Leal, K. (2022) ‘Innovation in UK independent homecare services: a thematic narrative review’, </w:t>
      </w:r>
      <w:r w:rsidRPr="008A65E8">
        <w:rPr>
          <w:rFonts w:ascii="Arial" w:hAnsi="Arial" w:cs="Arial"/>
          <w:i/>
          <w:iCs/>
        </w:rPr>
        <w:t>Health &amp; Social Care in the Community</w:t>
      </w:r>
      <w:r w:rsidRPr="008A65E8">
        <w:rPr>
          <w:rFonts w:ascii="Arial" w:hAnsi="Arial" w:cs="Arial"/>
        </w:rPr>
        <w:t>, 30(6), pp. e3447–e3458.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10.1111/hsc.13954.</w:t>
      </w:r>
    </w:p>
    <w:p w14:paraId="71ACC703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  <w:i/>
          <w:iCs/>
        </w:rPr>
        <w:t>Care Act 2014</w:t>
      </w:r>
      <w:r w:rsidRPr="008A65E8">
        <w:rPr>
          <w:rFonts w:ascii="Arial" w:hAnsi="Arial" w:cs="Arial"/>
        </w:rPr>
        <w:t>. Available at:</w:t>
      </w:r>
      <w:r w:rsidRPr="008A65E8">
        <w:rPr>
          <w:rFonts w:ascii="Arial" w:hAnsi="Arial" w:cs="Arial"/>
        </w:rPr>
        <w:t xml:space="preserve"> </w:t>
      </w:r>
      <w:hyperlink r:id="rId6" w:history="1">
        <w:r w:rsidRPr="008A65E8">
          <w:rPr>
            <w:rStyle w:val="Hyperlink"/>
            <w:rFonts w:ascii="Arial" w:hAnsi="Arial" w:cs="Arial"/>
          </w:rPr>
          <w:t>https://www.legislation.gov.uk/ukpga/2014/23/contents</w:t>
        </w:r>
      </w:hyperlink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(Accessed:</w:t>
      </w:r>
      <w:r w:rsidRPr="008A65E8">
        <w:rPr>
          <w:rFonts w:ascii="Arial" w:hAnsi="Arial" w:cs="Arial"/>
        </w:rPr>
        <w:t xml:space="preserve"> 9 Nov 2025</w:t>
      </w:r>
      <w:r w:rsidRPr="008A65E8">
        <w:rPr>
          <w:rFonts w:ascii="Arial" w:hAnsi="Arial" w:cs="Arial"/>
        </w:rPr>
        <w:t>).</w:t>
      </w:r>
    </w:p>
    <w:p w14:paraId="0C5BB0CF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>Care Quality Commission (202</w:t>
      </w:r>
      <w:r w:rsidRPr="008A65E8">
        <w:rPr>
          <w:rFonts w:ascii="Arial" w:hAnsi="Arial" w:cs="Arial"/>
        </w:rPr>
        <w:t>4</w:t>
      </w:r>
      <w:r w:rsidRPr="008A65E8">
        <w:rPr>
          <w:rFonts w:ascii="Arial" w:hAnsi="Arial" w:cs="Arial"/>
        </w:rPr>
        <w:t xml:space="preserve">) </w:t>
      </w:r>
      <w:r w:rsidRPr="008A65E8">
        <w:rPr>
          <w:rFonts w:ascii="Arial" w:hAnsi="Arial" w:cs="Arial"/>
          <w:i/>
          <w:iCs/>
        </w:rPr>
        <w:t>Appendix: CQC ratings charts</w:t>
      </w:r>
      <w:r w:rsidRPr="008A65E8">
        <w:rPr>
          <w:rFonts w:ascii="Arial" w:hAnsi="Arial" w:cs="Arial"/>
        </w:rPr>
        <w:t xml:space="preserve">. Available at: https://www.cqc.org.uk/publications/major-report/state-care/2022-2023/ratings-charts (Accessed: </w:t>
      </w:r>
      <w:r w:rsidRPr="008A65E8">
        <w:rPr>
          <w:rFonts w:ascii="Arial" w:hAnsi="Arial" w:cs="Arial"/>
        </w:rPr>
        <w:t>9 Nov 2025</w:t>
      </w:r>
      <w:r w:rsidRPr="008A65E8">
        <w:rPr>
          <w:rFonts w:ascii="Arial" w:hAnsi="Arial" w:cs="Arial"/>
        </w:rPr>
        <w:t>).</w:t>
      </w:r>
    </w:p>
    <w:p w14:paraId="349AAC46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>Cooper, C., Cenko, B., Dow, B. &amp; Rapaport, P. (2017) ‘A systematic review evaluating the impact of paid home carer training, supervision, and other interventions on the health and well-being of older home care clients’</w:t>
      </w:r>
      <w:r w:rsidRPr="008A65E8">
        <w:rPr>
          <w:rFonts w:ascii="Arial" w:hAnsi="Arial" w:cs="Arial"/>
          <w:i/>
          <w:iCs/>
        </w:rPr>
        <w:t>, International Psychogeriatrics</w:t>
      </w:r>
      <w:r w:rsidRPr="008A65E8">
        <w:rPr>
          <w:rFonts w:ascii="Arial" w:hAnsi="Arial" w:cs="Arial"/>
        </w:rPr>
        <w:t>, 29(4), pp. 595–604.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10.1017/S1041610216002386.</w:t>
      </w:r>
    </w:p>
    <w:p w14:paraId="2CCFC050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Crocker, T.F., Ensor, J., Lam, N., Jordão, M., Bajpai, R., Bond, M., Forster, A., Riley, R.D., Andre, D., Brundle, C., Ellwood, A., Green, J., Hale, M., Mirza, L., Morgan, J., Patel, I., </w:t>
      </w:r>
      <w:proofErr w:type="spellStart"/>
      <w:r w:rsidRPr="008A65E8">
        <w:rPr>
          <w:rFonts w:ascii="Arial" w:hAnsi="Arial" w:cs="Arial"/>
        </w:rPr>
        <w:t>Patetsini</w:t>
      </w:r>
      <w:proofErr w:type="spellEnd"/>
      <w:r w:rsidRPr="008A65E8">
        <w:rPr>
          <w:rFonts w:ascii="Arial" w:hAnsi="Arial" w:cs="Arial"/>
        </w:rPr>
        <w:t xml:space="preserve">, E., Prescott, M., Ramiz, R., Todd, O., Walford, R., Gladman, J., &amp; Clegg, A. (2024) ‘Community based complex interventions to sustain independence in older people: systematic review and network meta-analysis’, </w:t>
      </w:r>
      <w:r w:rsidRPr="008A65E8">
        <w:rPr>
          <w:rFonts w:ascii="Arial" w:hAnsi="Arial" w:cs="Arial"/>
          <w:i/>
          <w:iCs/>
        </w:rPr>
        <w:t>BMJ</w:t>
      </w:r>
      <w:r w:rsidRPr="008A65E8">
        <w:rPr>
          <w:rFonts w:ascii="Arial" w:hAnsi="Arial" w:cs="Arial"/>
        </w:rPr>
        <w:t>, 384, e077764.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10.1136/bmj-2023-077764.</w:t>
      </w:r>
    </w:p>
    <w:p w14:paraId="39119075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Davey, V., Healey, J., Liddle, J., Beresford, B., Rand, S., Goodman, C., Spilsbury, K. &amp; Hanratty, B. (2025) ‘Routine data collection in home care: a national survey of home care providers in England’, </w:t>
      </w:r>
      <w:r w:rsidRPr="008A65E8">
        <w:rPr>
          <w:rFonts w:ascii="Arial" w:hAnsi="Arial" w:cs="Arial"/>
          <w:i/>
          <w:iCs/>
        </w:rPr>
        <w:t>Quality in Ageing and Older Adults</w:t>
      </w:r>
      <w:r w:rsidRPr="008A65E8">
        <w:rPr>
          <w:rFonts w:ascii="Arial" w:hAnsi="Arial" w:cs="Arial"/>
        </w:rPr>
        <w:t>, 26(1), pp. 56–69.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10.1108/QAOA-06-2024-0039.</w:t>
      </w:r>
    </w:p>
    <w:p w14:paraId="71DFB8B6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Department of Health &amp; Social Care (2025) </w:t>
      </w:r>
      <w:r w:rsidRPr="008A65E8">
        <w:rPr>
          <w:rFonts w:ascii="Arial" w:hAnsi="Arial" w:cs="Arial"/>
          <w:i/>
          <w:iCs/>
        </w:rPr>
        <w:t>Adult social care in England, monthly statistics: November 2025</w:t>
      </w:r>
      <w:r w:rsidRPr="008A65E8">
        <w:rPr>
          <w:rFonts w:ascii="Arial" w:hAnsi="Arial" w:cs="Arial"/>
        </w:rPr>
        <w:t xml:space="preserve">. Published 6 November 2025. Available at: https://www.gov.uk/government/statistics/adult-social-care-in-england-monthly-statistics-november-2025/adult-social-care-in-england-monthly-statistics-november-2025 (Accessed: </w:t>
      </w:r>
      <w:r w:rsidRPr="008A65E8">
        <w:rPr>
          <w:rFonts w:ascii="Arial" w:hAnsi="Arial" w:cs="Arial"/>
        </w:rPr>
        <w:t>9 Nov 2025</w:t>
      </w:r>
      <w:r w:rsidRPr="008A65E8">
        <w:rPr>
          <w:rFonts w:ascii="Arial" w:hAnsi="Arial" w:cs="Arial"/>
        </w:rPr>
        <w:t>).</w:t>
      </w:r>
    </w:p>
    <w:p w14:paraId="2EBE00A6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Donnellan, W.J., Hirons, A., Clarke, K., Muinos, C. &amp; McCabe, L. (2022) ‘Exploring resilience in UK-based domiciliary care workers before and during the COVID-19 pandemic’, </w:t>
      </w:r>
      <w:r w:rsidRPr="008A65E8">
        <w:rPr>
          <w:rFonts w:ascii="Arial" w:hAnsi="Arial" w:cs="Arial"/>
          <w:i/>
          <w:iCs/>
        </w:rPr>
        <w:lastRenderedPageBreak/>
        <w:t>International Journal of Environmental Research and Public Health</w:t>
      </w:r>
      <w:r w:rsidRPr="008A65E8">
        <w:rPr>
          <w:rFonts w:ascii="Arial" w:hAnsi="Arial" w:cs="Arial"/>
        </w:rPr>
        <w:t>, 19(23).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10.3390/ijerph192316128.</w:t>
      </w:r>
    </w:p>
    <w:p w14:paraId="4A2BB4C0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proofErr w:type="spellStart"/>
      <w:r w:rsidRPr="008A65E8">
        <w:rPr>
          <w:rFonts w:ascii="Arial" w:hAnsi="Arial" w:cs="Arial"/>
        </w:rPr>
        <w:t>Dragosits</w:t>
      </w:r>
      <w:proofErr w:type="spellEnd"/>
      <w:r w:rsidRPr="008A65E8">
        <w:rPr>
          <w:rFonts w:ascii="Arial" w:hAnsi="Arial" w:cs="Arial"/>
        </w:rPr>
        <w:t xml:space="preserve">, A., Martinsen, B., Hemingway, A. &amp; Norlyk, A. (2025) ‘Balancing acts – striving towards independence after early discharge: lived experiences of older adults and their relatives’, </w:t>
      </w:r>
      <w:r w:rsidRPr="008A65E8">
        <w:rPr>
          <w:rFonts w:ascii="Arial" w:hAnsi="Arial" w:cs="Arial"/>
          <w:i/>
          <w:iCs/>
        </w:rPr>
        <w:t>BMC Health Services Research</w:t>
      </w:r>
      <w:r w:rsidRPr="008A65E8">
        <w:rPr>
          <w:rFonts w:ascii="Arial" w:hAnsi="Arial" w:cs="Arial"/>
        </w:rPr>
        <w:t>, 25, 185</w:t>
      </w:r>
      <w:r w:rsidRPr="008A65E8">
        <w:rPr>
          <w:rFonts w:ascii="Arial" w:hAnsi="Arial" w:cs="Arial"/>
        </w:rPr>
        <w:t xml:space="preserve">.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10.1186/s12913-025-12322-7.</w:t>
      </w:r>
    </w:p>
    <w:p w14:paraId="09C1F86E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Dudman, J., Meyer, J., Holman, C. &amp; Moyle, W. (2018) ‘Recognition of the complexity facing residential care homes: a practitioner inquiry’, </w:t>
      </w:r>
      <w:r w:rsidRPr="008A65E8">
        <w:rPr>
          <w:rFonts w:ascii="Arial" w:hAnsi="Arial" w:cs="Arial"/>
          <w:i/>
          <w:iCs/>
        </w:rPr>
        <w:t>Primary Health Care Research &amp; Development</w:t>
      </w:r>
      <w:r w:rsidRPr="008A65E8">
        <w:rPr>
          <w:rFonts w:ascii="Arial" w:hAnsi="Arial" w:cs="Arial"/>
        </w:rPr>
        <w:t>, 19(6), pp. 584–590.</w:t>
      </w:r>
      <w:r w:rsidRPr="008A65E8">
        <w:rPr>
          <w:rFonts w:ascii="Arial" w:hAnsi="Arial" w:cs="Arial"/>
        </w:rPr>
        <w:t xml:space="preserve"> Available at: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10.1017/S1463423618000105.</w:t>
      </w:r>
    </w:p>
    <w:p w14:paraId="71643CCB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EBSCOhost </w:t>
      </w:r>
      <w:r w:rsidRPr="008A65E8">
        <w:rPr>
          <w:rFonts w:ascii="Arial" w:hAnsi="Arial" w:cs="Arial"/>
        </w:rPr>
        <w:t>(2025</w:t>
      </w:r>
      <w:r w:rsidRPr="008A65E8">
        <w:rPr>
          <w:rFonts w:ascii="Arial" w:hAnsi="Arial" w:cs="Arial"/>
        </w:rPr>
        <w:t xml:space="preserve">) ‘Activity theory (aging)’, Research Starters – Sociology. Available at: https://www.ebsco.com/research-starters/sociology/activity-theory-aging (Accessed: </w:t>
      </w:r>
      <w:r w:rsidRPr="008A65E8">
        <w:rPr>
          <w:rFonts w:ascii="Arial" w:hAnsi="Arial" w:cs="Arial"/>
        </w:rPr>
        <w:t>9 Nov 2025</w:t>
      </w:r>
      <w:r w:rsidRPr="008A65E8">
        <w:rPr>
          <w:rFonts w:ascii="Arial" w:hAnsi="Arial" w:cs="Arial"/>
        </w:rPr>
        <w:t>).</w:t>
      </w:r>
    </w:p>
    <w:p w14:paraId="2D7D37BA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  <w:i/>
          <w:iCs/>
        </w:rPr>
        <w:t>Equality Act 2010</w:t>
      </w:r>
      <w:r w:rsidRPr="008A65E8">
        <w:rPr>
          <w:rFonts w:ascii="Arial" w:hAnsi="Arial" w:cs="Arial"/>
        </w:rPr>
        <w:t xml:space="preserve">. </w:t>
      </w:r>
      <w:r w:rsidRPr="008A65E8">
        <w:rPr>
          <w:rFonts w:ascii="Arial" w:hAnsi="Arial" w:cs="Arial"/>
        </w:rPr>
        <w:t xml:space="preserve">Available at: https://www.legislation.gov.uk/ukpga/2010/15/contents (Accessed: </w:t>
      </w:r>
      <w:r w:rsidRPr="008A65E8">
        <w:rPr>
          <w:rFonts w:ascii="Arial" w:hAnsi="Arial" w:cs="Arial"/>
        </w:rPr>
        <w:t>9 Nov 2025</w:t>
      </w:r>
      <w:r w:rsidRPr="008A65E8">
        <w:rPr>
          <w:rFonts w:ascii="Arial" w:hAnsi="Arial" w:cs="Arial"/>
        </w:rPr>
        <w:t>).</w:t>
      </w:r>
    </w:p>
    <w:p w14:paraId="37CF9757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Gordon, A.L., Franklin, M., Bradshaw, L., Logan, P., Elliott, R. &amp; Gladman, J.R.F. (2014) ‘Health status of UK care home residents: a cohort study’, Age and Ageing, 43(1), pp. 97–103.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10.1093/ageing/aft077.</w:t>
      </w:r>
    </w:p>
    <w:p w14:paraId="31EDA3FF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>Haddad, L.M. &amp; Toney-Butler, T.J. (2023) ‘Empowerment’</w:t>
      </w:r>
      <w:r w:rsidRPr="008A65E8">
        <w:rPr>
          <w:rFonts w:ascii="Arial" w:hAnsi="Arial" w:cs="Arial"/>
          <w:i/>
          <w:iCs/>
        </w:rPr>
        <w:t xml:space="preserve">, </w:t>
      </w:r>
      <w:proofErr w:type="spellStart"/>
      <w:proofErr w:type="gramStart"/>
      <w:r w:rsidRPr="008A65E8">
        <w:rPr>
          <w:rFonts w:ascii="Arial" w:hAnsi="Arial" w:cs="Arial"/>
          <w:i/>
          <w:iCs/>
        </w:rPr>
        <w:t>StatPearls</w:t>
      </w:r>
      <w:proofErr w:type="spellEnd"/>
      <w:r w:rsidRPr="008A65E8">
        <w:rPr>
          <w:rFonts w:ascii="Arial" w:hAnsi="Arial" w:cs="Arial"/>
        </w:rPr>
        <w:t>..</w:t>
      </w:r>
      <w:proofErr w:type="gramEnd"/>
      <w:r w:rsidRPr="008A65E8">
        <w:rPr>
          <w:rFonts w:ascii="Arial" w:hAnsi="Arial" w:cs="Arial"/>
        </w:rPr>
        <w:t xml:space="preserve"> Available at: https://www.ncbi.nlm.nih.gov/books/NBK430929/ (Accessed: </w:t>
      </w:r>
      <w:r w:rsidRPr="008A65E8">
        <w:rPr>
          <w:rFonts w:ascii="Arial" w:hAnsi="Arial" w:cs="Arial"/>
        </w:rPr>
        <w:t>09 Nov 2025</w:t>
      </w:r>
      <w:r w:rsidRPr="008A65E8">
        <w:rPr>
          <w:rFonts w:ascii="Arial" w:hAnsi="Arial" w:cs="Arial"/>
        </w:rPr>
        <w:t>).</w:t>
      </w:r>
    </w:p>
    <w:p w14:paraId="04B93ABE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Hall, A., Davey, V., McGarrigle, L., Astbury, J., Lazo Green, K., Ahmed, N., Williams, O., Beyer, F., Hanratty, B. &amp; Price, D. (2025) ‘The meaning of “quality” of homecare for older people: a scoping review’, </w:t>
      </w:r>
      <w:r w:rsidRPr="008A65E8">
        <w:rPr>
          <w:rFonts w:ascii="Arial" w:hAnsi="Arial" w:cs="Arial"/>
          <w:i/>
          <w:iCs/>
        </w:rPr>
        <w:t>BMC Health Services Research</w:t>
      </w:r>
      <w:r w:rsidRPr="008A65E8">
        <w:rPr>
          <w:rFonts w:ascii="Arial" w:hAnsi="Arial" w:cs="Arial"/>
        </w:rPr>
        <w:t>, 25, 1009.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10.1186/s12913-025-13057-1.</w:t>
      </w:r>
    </w:p>
    <w:p w14:paraId="510F3AFA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Hamblin, K., Burns, D. &amp; </w:t>
      </w:r>
      <w:proofErr w:type="spellStart"/>
      <w:r w:rsidRPr="008A65E8">
        <w:rPr>
          <w:rFonts w:ascii="Arial" w:hAnsi="Arial" w:cs="Arial"/>
        </w:rPr>
        <w:t>Goodlad</w:t>
      </w:r>
      <w:proofErr w:type="spellEnd"/>
      <w:r w:rsidRPr="008A65E8">
        <w:rPr>
          <w:rFonts w:ascii="Arial" w:hAnsi="Arial" w:cs="Arial"/>
        </w:rPr>
        <w:t>, C. (2025) ‘Technology and homecare in the UK: policy, storylines and practice’</w:t>
      </w:r>
      <w:r w:rsidRPr="008A65E8">
        <w:rPr>
          <w:rFonts w:ascii="Arial" w:hAnsi="Arial" w:cs="Arial"/>
          <w:i/>
          <w:iCs/>
        </w:rPr>
        <w:t>, Journal of Social Policy</w:t>
      </w:r>
      <w:r w:rsidRPr="008A65E8">
        <w:rPr>
          <w:rFonts w:ascii="Arial" w:hAnsi="Arial" w:cs="Arial"/>
        </w:rPr>
        <w:t>, 54(2), pp. 412–428.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10.1017/S0047279423000156.</w:t>
      </w:r>
    </w:p>
    <w:p w14:paraId="50566C40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Healey, J., Davey, V., Liddle, J., O’Rourke, G., Hanratty, B. &amp; Beresford, B. (2024) ‘UK homecare providers’ views about, and experiences of, digitalisation: a national survey’, </w:t>
      </w:r>
      <w:r w:rsidRPr="008A65E8">
        <w:rPr>
          <w:rFonts w:ascii="Arial" w:hAnsi="Arial" w:cs="Arial"/>
          <w:i/>
          <w:iCs/>
        </w:rPr>
        <w:t>Digital Health</w:t>
      </w:r>
      <w:r w:rsidRPr="008A65E8">
        <w:rPr>
          <w:rFonts w:ascii="Arial" w:hAnsi="Arial" w:cs="Arial"/>
        </w:rPr>
        <w:t>, 10</w:t>
      </w:r>
      <w:r w:rsidRPr="008A65E8">
        <w:rPr>
          <w:rFonts w:ascii="Arial" w:hAnsi="Arial" w:cs="Arial"/>
        </w:rPr>
        <w:t xml:space="preserve">.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10.1177/20552076241255477.</w:t>
      </w:r>
    </w:p>
    <w:p w14:paraId="1E83AE84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  <w:i/>
          <w:iCs/>
        </w:rPr>
        <w:t>Health and Care Act 2022</w:t>
      </w:r>
      <w:r w:rsidRPr="008A65E8">
        <w:rPr>
          <w:rFonts w:ascii="Arial" w:hAnsi="Arial" w:cs="Arial"/>
        </w:rPr>
        <w:t xml:space="preserve">. Available at: https://www.legislation.gov.uk/ukpga/2022/31/contents (Accessed: </w:t>
      </w:r>
      <w:r w:rsidRPr="008A65E8">
        <w:rPr>
          <w:rFonts w:ascii="Arial" w:hAnsi="Arial" w:cs="Arial"/>
        </w:rPr>
        <w:t>9 Nov 2025</w:t>
      </w:r>
      <w:r w:rsidRPr="008A65E8">
        <w:rPr>
          <w:rFonts w:ascii="Arial" w:hAnsi="Arial" w:cs="Arial"/>
        </w:rPr>
        <w:t>).</w:t>
      </w:r>
    </w:p>
    <w:p w14:paraId="3CCABA92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lastRenderedPageBreak/>
        <w:t xml:space="preserve">Hughes, S. &amp; Burch, S. (2020) ‘“I’m not just a number on a sheet, I’m a person”: domiciliary care, self and getting older’, </w:t>
      </w:r>
      <w:r w:rsidRPr="008A65E8">
        <w:rPr>
          <w:rFonts w:ascii="Arial" w:hAnsi="Arial" w:cs="Arial"/>
          <w:i/>
          <w:iCs/>
        </w:rPr>
        <w:t>Health &amp; Social Care in the Community</w:t>
      </w:r>
      <w:r w:rsidRPr="008A65E8">
        <w:rPr>
          <w:rFonts w:ascii="Arial" w:hAnsi="Arial" w:cs="Arial"/>
        </w:rPr>
        <w:t>, 28(3), pp. 903–912.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10.1111/hsc.12921.</w:t>
      </w:r>
    </w:p>
    <w:p w14:paraId="48644ADB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  <w:i/>
          <w:iCs/>
        </w:rPr>
        <w:t>Human Rights Act 1998</w:t>
      </w:r>
      <w:r w:rsidRPr="008A65E8">
        <w:rPr>
          <w:rFonts w:ascii="Arial" w:hAnsi="Arial" w:cs="Arial"/>
        </w:rPr>
        <w:t xml:space="preserve">. Available at: https://www.legislation.gov.uk/ukpga/1998/42/contents (Accessed: </w:t>
      </w:r>
      <w:r w:rsidRPr="008A65E8">
        <w:rPr>
          <w:rFonts w:ascii="Arial" w:hAnsi="Arial" w:cs="Arial"/>
        </w:rPr>
        <w:t>9 Nov 2025</w:t>
      </w:r>
      <w:r w:rsidRPr="008A65E8">
        <w:rPr>
          <w:rFonts w:ascii="Arial" w:hAnsi="Arial" w:cs="Arial"/>
        </w:rPr>
        <w:t>).</w:t>
      </w:r>
    </w:p>
    <w:p w14:paraId="4A9888E7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Hunter, N.J.R., Wells, Y., Clune, S.J., Ayala Quintanilla, B.P. &amp; Johnstone, E. (2021) ‘Choice and quality in home-based and community-based aged care: insights from two rapid evidence reviews’, </w:t>
      </w:r>
      <w:r w:rsidRPr="008A65E8">
        <w:rPr>
          <w:rFonts w:ascii="Arial" w:hAnsi="Arial" w:cs="Arial"/>
          <w:i/>
          <w:iCs/>
        </w:rPr>
        <w:t>Ageing &amp; Society</w:t>
      </w:r>
      <w:r w:rsidRPr="008A65E8">
        <w:rPr>
          <w:rFonts w:ascii="Arial" w:hAnsi="Arial" w:cs="Arial"/>
        </w:rPr>
        <w:t>, 41(4), pp. 875–916.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10.1017/S0144686X19001065.</w:t>
      </w:r>
    </w:p>
    <w:p w14:paraId="58C8DB7C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Jasper, R., Hughes, J., Roberts, A., Chester, H., Davies, S. &amp; Challis, D. (2019) ‘Commissioning home care for older people: scoping the evidence’, </w:t>
      </w:r>
      <w:r w:rsidRPr="008A65E8">
        <w:rPr>
          <w:rFonts w:ascii="Arial" w:hAnsi="Arial" w:cs="Arial"/>
          <w:i/>
          <w:iCs/>
        </w:rPr>
        <w:t>Journal of Long-Term Care</w:t>
      </w:r>
      <w:r w:rsidRPr="008A65E8">
        <w:rPr>
          <w:rFonts w:ascii="Arial" w:hAnsi="Arial" w:cs="Arial"/>
        </w:rPr>
        <w:t>, pp. 176–193</w:t>
      </w:r>
      <w:r w:rsidRPr="008A65E8">
        <w:rPr>
          <w:rFonts w:ascii="Arial" w:hAnsi="Arial" w:cs="Arial"/>
        </w:rPr>
        <w:t xml:space="preserve">.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10.31389/jltc.9.</w:t>
      </w:r>
    </w:p>
    <w:p w14:paraId="2C990E86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Kuluski, K., Ho, J.W., Hans, P.K. &amp; Nelson, M.L.A. (2017) ‘Community care for people with complex care needs: bridging the gap between health and social care’, </w:t>
      </w:r>
      <w:r w:rsidRPr="008A65E8">
        <w:rPr>
          <w:rFonts w:ascii="Arial" w:hAnsi="Arial" w:cs="Arial"/>
          <w:i/>
          <w:iCs/>
        </w:rPr>
        <w:t>International Journal of Integrated Care</w:t>
      </w:r>
      <w:r w:rsidRPr="008A65E8">
        <w:rPr>
          <w:rFonts w:ascii="Arial" w:hAnsi="Arial" w:cs="Arial"/>
        </w:rPr>
        <w:t>, 17(4), 2.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10.5334/ijic.2944.</w:t>
      </w:r>
    </w:p>
    <w:p w14:paraId="06CEE26E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Kwan, I., Rutter, D., Anderson, B. &amp; Stansfield, C. (2019) ‘Personal care and practical support at home: a systematic review of older people’s views and experiences’, </w:t>
      </w:r>
      <w:r w:rsidRPr="008A65E8">
        <w:rPr>
          <w:rFonts w:ascii="Arial" w:hAnsi="Arial" w:cs="Arial"/>
          <w:i/>
          <w:iCs/>
        </w:rPr>
        <w:t>Working with Older People</w:t>
      </w:r>
      <w:r w:rsidRPr="008A65E8">
        <w:rPr>
          <w:rFonts w:ascii="Arial" w:hAnsi="Arial" w:cs="Arial"/>
        </w:rPr>
        <w:t>, 23(2), pp. 87–106.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10.1108/WWOP-01-2019-0002.</w:t>
      </w:r>
    </w:p>
    <w:p w14:paraId="49D14ED5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Leverton, M., Burton, A., Beresford-Dent, J., Rapaport, P., Manthorpe, J., Azocar, I., Giebel, C., Lord, K. &amp; Cooper, C. (2021) ‘Supporting independence at home for people living with dementia: a qualitative ethnographic study of homecare’, </w:t>
      </w:r>
      <w:r w:rsidRPr="008A65E8">
        <w:rPr>
          <w:rFonts w:ascii="Arial" w:hAnsi="Arial" w:cs="Arial"/>
          <w:i/>
          <w:iCs/>
        </w:rPr>
        <w:t>Social Psychiatry and Psychiatric Epidemiology</w:t>
      </w:r>
      <w:r w:rsidRPr="008A65E8">
        <w:rPr>
          <w:rFonts w:ascii="Arial" w:hAnsi="Arial" w:cs="Arial"/>
        </w:rPr>
        <w:t>, 56, pp. 2323–2336</w:t>
      </w:r>
      <w:r w:rsidRPr="008A65E8">
        <w:rPr>
          <w:rFonts w:ascii="Arial" w:hAnsi="Arial" w:cs="Arial"/>
        </w:rPr>
        <w:t xml:space="preserve">.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10.1007/s00127-021-02084-y.</w:t>
      </w:r>
    </w:p>
    <w:p w14:paraId="7DCA160B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>Lizano-Díez, I., Amaral-</w:t>
      </w:r>
      <w:proofErr w:type="spellStart"/>
      <w:r w:rsidRPr="008A65E8">
        <w:rPr>
          <w:rFonts w:ascii="Arial" w:hAnsi="Arial" w:cs="Arial"/>
        </w:rPr>
        <w:t>Rohter</w:t>
      </w:r>
      <w:proofErr w:type="spellEnd"/>
      <w:r w:rsidRPr="008A65E8">
        <w:rPr>
          <w:rFonts w:ascii="Arial" w:hAnsi="Arial" w:cs="Arial"/>
        </w:rPr>
        <w:t xml:space="preserve">, S., Pérez-Carbonell, L. &amp; Aceituno, S. (2022) ‘Impact of home care services on patient and economic outcomes: a targeted review’, </w:t>
      </w:r>
      <w:r w:rsidRPr="008A65E8">
        <w:rPr>
          <w:rFonts w:ascii="Arial" w:hAnsi="Arial" w:cs="Arial"/>
          <w:i/>
          <w:iCs/>
        </w:rPr>
        <w:t>Home Health Care Management &amp; Practice</w:t>
      </w:r>
      <w:r w:rsidRPr="008A65E8">
        <w:rPr>
          <w:rFonts w:ascii="Arial" w:hAnsi="Arial" w:cs="Arial"/>
        </w:rPr>
        <w:t>, 34(2). Available at</w:t>
      </w:r>
      <w:r w:rsidRPr="008A65E8">
        <w:rPr>
          <w:rFonts w:ascii="Arial" w:hAnsi="Arial" w:cs="Arial"/>
        </w:rPr>
        <w:t xml:space="preserve">: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10.1177/10848223211038305.</w:t>
      </w:r>
    </w:p>
    <w:p w14:paraId="4CBCADF0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Local Government Association (2025) ‘Implementing digital social care </w:t>
      </w:r>
      <w:proofErr w:type="gramStart"/>
      <w:r w:rsidRPr="008A65E8">
        <w:rPr>
          <w:rFonts w:ascii="Arial" w:hAnsi="Arial" w:cs="Arial"/>
        </w:rPr>
        <w:t>records’</w:t>
      </w:r>
      <w:proofErr w:type="gramEnd"/>
      <w:r w:rsidRPr="008A65E8">
        <w:rPr>
          <w:rFonts w:ascii="Arial" w:hAnsi="Arial" w:cs="Arial"/>
        </w:rPr>
        <w:t xml:space="preserve">. Available at: https://www.local.gov.uk/our-support/partners-care-and-health/digital-transformation/implementing-digital-social-care (Accessed: </w:t>
      </w:r>
      <w:r w:rsidRPr="008A65E8">
        <w:rPr>
          <w:rFonts w:ascii="Arial" w:hAnsi="Arial" w:cs="Arial"/>
        </w:rPr>
        <w:t>9 Nov 2025</w:t>
      </w:r>
      <w:r w:rsidRPr="008A65E8">
        <w:rPr>
          <w:rFonts w:ascii="Arial" w:hAnsi="Arial" w:cs="Arial"/>
        </w:rPr>
        <w:t>).</w:t>
      </w:r>
    </w:p>
    <w:p w14:paraId="7D69B975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Lunt, C., Dowrick, C. &amp; Lloyd-Williams, M. (2021) ‘What is the impact of day care on older people with long-term conditions: a systematic review’, </w:t>
      </w:r>
      <w:r w:rsidRPr="008A65E8">
        <w:rPr>
          <w:rFonts w:ascii="Arial" w:hAnsi="Arial" w:cs="Arial"/>
          <w:i/>
          <w:iCs/>
        </w:rPr>
        <w:t>Health &amp; Social Care in the Community</w:t>
      </w:r>
      <w:r w:rsidRPr="008A65E8">
        <w:rPr>
          <w:rFonts w:ascii="Arial" w:hAnsi="Arial" w:cs="Arial"/>
        </w:rPr>
        <w:t>, 29(5), pp. 1201–1221.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10.1111/hsc.13245.</w:t>
      </w:r>
    </w:p>
    <w:p w14:paraId="5BFCC593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lastRenderedPageBreak/>
        <w:t xml:space="preserve">National Institute for Health and Care Excellence (2016) Home care for older people (Quality Standard QS123). Published 22 June 2016. Available at: https://www.nice.org.uk/guidance/qs123/chapter/About-this-quality-standard (Accessed: </w:t>
      </w:r>
      <w:r w:rsidRPr="008A65E8">
        <w:rPr>
          <w:rFonts w:ascii="Arial" w:hAnsi="Arial" w:cs="Arial"/>
        </w:rPr>
        <w:t>9 Nov 2025</w:t>
      </w:r>
      <w:r w:rsidRPr="008A65E8">
        <w:rPr>
          <w:rFonts w:ascii="Arial" w:hAnsi="Arial" w:cs="Arial"/>
        </w:rPr>
        <w:t>).</w:t>
      </w:r>
    </w:p>
    <w:p w14:paraId="0B346CDA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NHS Digital (2024) </w:t>
      </w:r>
      <w:r w:rsidRPr="008A65E8">
        <w:rPr>
          <w:rFonts w:ascii="Arial" w:hAnsi="Arial" w:cs="Arial"/>
          <w:i/>
          <w:iCs/>
        </w:rPr>
        <w:t xml:space="preserve">Measures from the Adult Social Care Outcomes Framework (ASCOF). </w:t>
      </w:r>
      <w:r w:rsidRPr="008A65E8">
        <w:rPr>
          <w:rFonts w:ascii="Arial" w:hAnsi="Arial" w:cs="Arial"/>
        </w:rPr>
        <w:t xml:space="preserve">Official statistics. Available at: https://digital.nhs.uk/data-and-information/publications/statistical/adult-social-care-outcomes-framework-ascof (Accessed: </w:t>
      </w:r>
      <w:r w:rsidRPr="008A65E8">
        <w:rPr>
          <w:rFonts w:ascii="Arial" w:hAnsi="Arial" w:cs="Arial"/>
        </w:rPr>
        <w:t>9 Nov 2025</w:t>
      </w:r>
      <w:r w:rsidRPr="008A65E8">
        <w:rPr>
          <w:rFonts w:ascii="Arial" w:hAnsi="Arial" w:cs="Arial"/>
        </w:rPr>
        <w:t>).</w:t>
      </w:r>
    </w:p>
    <w:p w14:paraId="75408F81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>NHS England (2019</w:t>
      </w:r>
      <w:r w:rsidRPr="008A65E8">
        <w:rPr>
          <w:rFonts w:ascii="Arial" w:hAnsi="Arial" w:cs="Arial"/>
          <w:i/>
          <w:iCs/>
        </w:rPr>
        <w:t>) The NHS Long Term Plan</w:t>
      </w:r>
      <w:r w:rsidRPr="008A65E8">
        <w:rPr>
          <w:rFonts w:ascii="Arial" w:hAnsi="Arial" w:cs="Arial"/>
        </w:rPr>
        <w:t>. Available at:</w:t>
      </w:r>
      <w:r w:rsidRPr="008A65E8">
        <w:rPr>
          <w:rFonts w:ascii="Arial" w:hAnsi="Arial" w:cs="Arial"/>
        </w:rPr>
        <w:t xml:space="preserve"> </w:t>
      </w:r>
      <w:hyperlink r:id="rId7" w:history="1">
        <w:r w:rsidRPr="008A65E8">
          <w:rPr>
            <w:rStyle w:val="Hyperlink"/>
            <w:rFonts w:ascii="Arial" w:hAnsi="Arial" w:cs="Arial"/>
          </w:rPr>
          <w:t>https://www.longtermplan.nhs.uk</w:t>
        </w:r>
      </w:hyperlink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 xml:space="preserve">(Accessed: </w:t>
      </w:r>
      <w:r w:rsidRPr="008A65E8">
        <w:rPr>
          <w:rFonts w:ascii="Arial" w:hAnsi="Arial" w:cs="Arial"/>
        </w:rPr>
        <w:t>9 Nov 2025</w:t>
      </w:r>
      <w:r w:rsidRPr="008A65E8">
        <w:rPr>
          <w:rFonts w:ascii="Arial" w:hAnsi="Arial" w:cs="Arial"/>
        </w:rPr>
        <w:t>).</w:t>
      </w:r>
    </w:p>
    <w:p w14:paraId="48CE3D6D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Paddock, K., Brown Wilson, C., Walshe, C. &amp; Todd, C. (2019) ‘Care home life and identity: a qualitative case study’, </w:t>
      </w:r>
      <w:r w:rsidRPr="008A65E8">
        <w:rPr>
          <w:rFonts w:ascii="Arial" w:hAnsi="Arial" w:cs="Arial"/>
          <w:i/>
          <w:iCs/>
        </w:rPr>
        <w:t>The Gerontologist</w:t>
      </w:r>
      <w:r w:rsidRPr="008A65E8">
        <w:rPr>
          <w:rFonts w:ascii="Arial" w:hAnsi="Arial" w:cs="Arial"/>
        </w:rPr>
        <w:t>, 59(4), pp. 655–664. Available at</w:t>
      </w:r>
      <w:r w:rsidRPr="008A65E8">
        <w:rPr>
          <w:rFonts w:ascii="Arial" w:hAnsi="Arial" w:cs="Arial"/>
        </w:rPr>
        <w:t xml:space="preserve">: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10.1093/</w:t>
      </w:r>
      <w:proofErr w:type="spellStart"/>
      <w:r w:rsidRPr="008A65E8">
        <w:rPr>
          <w:rFonts w:ascii="Arial" w:hAnsi="Arial" w:cs="Arial"/>
        </w:rPr>
        <w:t>geront</w:t>
      </w:r>
      <w:proofErr w:type="spellEnd"/>
      <w:r w:rsidRPr="008A65E8">
        <w:rPr>
          <w:rFonts w:ascii="Arial" w:hAnsi="Arial" w:cs="Arial"/>
        </w:rPr>
        <w:t>/gny090.</w:t>
      </w:r>
    </w:p>
    <w:p w14:paraId="2B17584A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 xml:space="preserve">Spiers, G., Matthews, F.E., Moffatt, S., Barker, R.O., Jarvis, H., Stow, D., Kingston, A. &amp; Hanratty, B. (2019) ‘Impact of social care supply on healthcare utilisation by older adults: a systematic review and meta-analysis’, </w:t>
      </w:r>
      <w:r w:rsidRPr="008A65E8">
        <w:rPr>
          <w:rFonts w:ascii="Arial" w:hAnsi="Arial" w:cs="Arial"/>
          <w:i/>
          <w:iCs/>
        </w:rPr>
        <w:t>Age and Ageing</w:t>
      </w:r>
      <w:r w:rsidRPr="008A65E8">
        <w:rPr>
          <w:rFonts w:ascii="Arial" w:hAnsi="Arial" w:cs="Arial"/>
        </w:rPr>
        <w:t>, 48(1), pp. 57–66.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10.1093/ageing/afy147.</w:t>
      </w:r>
    </w:p>
    <w:p w14:paraId="39A2D29E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>Tester, S. (1996) ‘Domiciliary Care’</w:t>
      </w:r>
      <w:r w:rsidRPr="008A65E8">
        <w:rPr>
          <w:rFonts w:ascii="Arial" w:hAnsi="Arial" w:cs="Arial"/>
          <w:i/>
          <w:iCs/>
        </w:rPr>
        <w:t>, in Community Care for Older People</w:t>
      </w:r>
      <w:r w:rsidRPr="008A65E8">
        <w:rPr>
          <w:rFonts w:ascii="Arial" w:hAnsi="Arial" w:cs="Arial"/>
        </w:rPr>
        <w:t>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10.1007/978-1-349-24479-9_4.</w:t>
      </w:r>
    </w:p>
    <w:p w14:paraId="3676D908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  <w:i/>
          <w:iCs/>
        </w:rPr>
        <w:t>The Domiciliary Care Agencies Regulations 2002</w:t>
      </w:r>
      <w:r w:rsidRPr="008A65E8">
        <w:rPr>
          <w:rFonts w:ascii="Arial" w:hAnsi="Arial" w:cs="Arial"/>
        </w:rPr>
        <w:t xml:space="preserve">. Available at: https://www.legislation.gov.uk/uksi/2002/3214/part/III/made (Accessed: </w:t>
      </w:r>
      <w:r w:rsidRPr="008A65E8">
        <w:rPr>
          <w:rFonts w:ascii="Arial" w:hAnsi="Arial" w:cs="Arial"/>
        </w:rPr>
        <w:t>9 Nov 2025</w:t>
      </w:r>
      <w:r w:rsidRPr="008A65E8">
        <w:rPr>
          <w:rFonts w:ascii="Arial" w:hAnsi="Arial" w:cs="Arial"/>
        </w:rPr>
        <w:t>).</w:t>
      </w:r>
    </w:p>
    <w:p w14:paraId="0870D563" w14:textId="77777777" w:rsidR="008A65E8" w:rsidRPr="008A65E8" w:rsidRDefault="008A65E8" w:rsidP="008A65E8">
      <w:pPr>
        <w:spacing w:line="360" w:lineRule="auto"/>
        <w:rPr>
          <w:rFonts w:ascii="Arial" w:hAnsi="Arial" w:cs="Arial"/>
        </w:rPr>
      </w:pPr>
      <w:r w:rsidRPr="008A65E8">
        <w:rPr>
          <w:rFonts w:ascii="Arial" w:hAnsi="Arial" w:cs="Arial"/>
        </w:rPr>
        <w:t>Wong, A., Cooper, C., Evans, C.J., Rawle, M.J., Walters, K., Conroy, S.P. &amp; Davies, N. (2025) ‘Supporting older people through Hospital at Home care: a systematic review of patient, carer and healthcare professionals’ perspectives’</w:t>
      </w:r>
      <w:r w:rsidRPr="008A65E8">
        <w:rPr>
          <w:rFonts w:ascii="Arial" w:hAnsi="Arial" w:cs="Arial"/>
          <w:i/>
          <w:iCs/>
        </w:rPr>
        <w:t>, Age and Ageing</w:t>
      </w:r>
      <w:r w:rsidRPr="008A65E8">
        <w:rPr>
          <w:rFonts w:ascii="Arial" w:hAnsi="Arial" w:cs="Arial"/>
        </w:rPr>
        <w:t>, 54(2), afaf033.</w:t>
      </w:r>
      <w:r w:rsidRPr="008A65E8">
        <w:rPr>
          <w:rFonts w:ascii="Arial" w:hAnsi="Arial" w:cs="Arial"/>
        </w:rPr>
        <w:t xml:space="preserve"> </w:t>
      </w:r>
      <w:r w:rsidRPr="008A65E8">
        <w:rPr>
          <w:rFonts w:ascii="Arial" w:hAnsi="Arial" w:cs="Arial"/>
        </w:rPr>
        <w:t>Available at</w:t>
      </w:r>
      <w:r w:rsidRPr="008A65E8">
        <w:rPr>
          <w:rFonts w:ascii="Arial" w:hAnsi="Arial" w:cs="Arial"/>
        </w:rPr>
        <w:t>:</w:t>
      </w:r>
      <w:r w:rsidRPr="008A65E8">
        <w:rPr>
          <w:rFonts w:ascii="Arial" w:hAnsi="Arial" w:cs="Arial"/>
        </w:rPr>
        <w:t xml:space="preserve"> </w:t>
      </w:r>
      <w:proofErr w:type="spellStart"/>
      <w:r w:rsidRPr="008A65E8">
        <w:rPr>
          <w:rFonts w:ascii="Arial" w:hAnsi="Arial" w:cs="Arial"/>
        </w:rPr>
        <w:t>doi</w:t>
      </w:r>
      <w:proofErr w:type="spellEnd"/>
      <w:r w:rsidRPr="008A65E8">
        <w:rPr>
          <w:rFonts w:ascii="Arial" w:hAnsi="Arial" w:cs="Arial"/>
        </w:rPr>
        <w:t>: 10.1093/ageing/afaf033.</w:t>
      </w:r>
    </w:p>
    <w:sectPr w:rsidR="008A65E8" w:rsidRPr="008A65E8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258DDC" w14:textId="77777777" w:rsidR="000A24C6" w:rsidRDefault="000A24C6" w:rsidP="00786795">
      <w:pPr>
        <w:spacing w:after="0" w:line="240" w:lineRule="auto"/>
      </w:pPr>
      <w:r>
        <w:separator/>
      </w:r>
    </w:p>
  </w:endnote>
  <w:endnote w:type="continuationSeparator" w:id="0">
    <w:p w14:paraId="0FF78B3D" w14:textId="77777777" w:rsidR="000A24C6" w:rsidRDefault="000A24C6" w:rsidP="007867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BBFAA3" w14:textId="77777777" w:rsidR="000A24C6" w:rsidRDefault="000A24C6" w:rsidP="00786795">
      <w:pPr>
        <w:spacing w:after="0" w:line="240" w:lineRule="auto"/>
      </w:pPr>
      <w:r>
        <w:separator/>
      </w:r>
    </w:p>
  </w:footnote>
  <w:footnote w:type="continuationSeparator" w:id="0">
    <w:p w14:paraId="78218AD3" w14:textId="77777777" w:rsidR="000A24C6" w:rsidRDefault="000A24C6" w:rsidP="007867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68080646"/>
      <w:docPartObj>
        <w:docPartGallery w:val="Page Numbers (Top of Page)"/>
        <w:docPartUnique/>
      </w:docPartObj>
    </w:sdtPr>
    <w:sdtContent>
      <w:p w14:paraId="78C3D9C0" w14:textId="7AE727C8" w:rsidR="00786795" w:rsidRDefault="00786795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BCC48F5" w14:textId="77777777" w:rsidR="00786795" w:rsidRDefault="0078679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35FE"/>
    <w:rsid w:val="000A24C6"/>
    <w:rsid w:val="00335D6A"/>
    <w:rsid w:val="00786795"/>
    <w:rsid w:val="0087116A"/>
    <w:rsid w:val="008A65E8"/>
    <w:rsid w:val="00901C49"/>
    <w:rsid w:val="00A96C0E"/>
    <w:rsid w:val="00C84E61"/>
    <w:rsid w:val="00D4796D"/>
    <w:rsid w:val="00E67299"/>
    <w:rsid w:val="00EF35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012359"/>
  <w15:chartTrackingRefBased/>
  <w15:docId w15:val="{2CF5F6CC-397C-4876-B3DA-E059769F4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35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35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35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35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35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35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35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35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35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35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35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35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35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35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35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35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35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35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35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35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35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35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35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35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35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35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35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35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35F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A65E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65E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867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6795"/>
  </w:style>
  <w:style w:type="paragraph" w:styleId="Footer">
    <w:name w:val="footer"/>
    <w:basedOn w:val="Normal"/>
    <w:link w:val="FooterChar"/>
    <w:uiPriority w:val="99"/>
    <w:unhideWhenUsed/>
    <w:rsid w:val="007867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679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longtermplan.nhs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14/23/contents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1719</Words>
  <Characters>9804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Gaiu (2332587)</dc:creator>
  <cp:keywords/>
  <dc:description/>
  <cp:lastModifiedBy>Alexandru Gaiu (2332587)</cp:lastModifiedBy>
  <cp:revision>2</cp:revision>
  <dcterms:created xsi:type="dcterms:W3CDTF">2025-11-09T16:20:00Z</dcterms:created>
  <dcterms:modified xsi:type="dcterms:W3CDTF">2025-11-09T16:20:00Z</dcterms:modified>
</cp:coreProperties>
</file>