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ayout w:type="fixed"/>
        <w:tblLook w:val="0600" w:firstRow="0" w:lastRow="0" w:firstColumn="0" w:lastColumn="0" w:noHBand="1" w:noVBand="1"/>
      </w:tblPr>
      <w:tblGrid>
        <w:gridCol w:w="5395"/>
        <w:gridCol w:w="5237"/>
      </w:tblGrid>
      <w:tr w:rsidR="00A81248" w:rsidRPr="00F50E51" w14:paraId="45C43E71" w14:textId="77777777" w:rsidTr="00A31A5B">
        <w:tc>
          <w:tcPr>
            <w:tcW w:w="5395" w:type="dxa"/>
          </w:tcPr>
          <w:p w14:paraId="7C8CA899" w14:textId="77777777" w:rsidR="00A81248" w:rsidRPr="00F50E51" w:rsidRDefault="00A81248" w:rsidP="00A81248">
            <w:pPr>
              <w:pStyle w:val="GraphicAnchor"/>
              <w:rPr>
                <w:noProof/>
                <w:lang w:val="en-GB"/>
              </w:rPr>
            </w:pPr>
          </w:p>
        </w:tc>
        <w:tc>
          <w:tcPr>
            <w:tcW w:w="5237" w:type="dxa"/>
          </w:tcPr>
          <w:p w14:paraId="3B2CEE71" w14:textId="77777777" w:rsidR="00A81248" w:rsidRPr="00F50E51" w:rsidRDefault="00A81248" w:rsidP="00A81248">
            <w:pPr>
              <w:pStyle w:val="GraphicAnchor"/>
              <w:rPr>
                <w:noProof/>
                <w:lang w:val="en-GB"/>
              </w:rPr>
            </w:pPr>
          </w:p>
        </w:tc>
      </w:tr>
      <w:tr w:rsidR="00A81248" w:rsidRPr="00F50E51" w14:paraId="7646B4D5" w14:textId="77777777" w:rsidTr="00A31A5B">
        <w:trPr>
          <w:trHeight w:val="2719"/>
        </w:trPr>
        <w:tc>
          <w:tcPr>
            <w:tcW w:w="5395" w:type="dxa"/>
          </w:tcPr>
          <w:p w14:paraId="149C4347" w14:textId="426CA233" w:rsidR="00A81248" w:rsidRPr="00F50E51" w:rsidRDefault="00096B92" w:rsidP="00C66528">
            <w:pPr>
              <w:pStyle w:val="Heading1"/>
              <w:rPr>
                <w:noProof/>
                <w:lang w:val="en-GB"/>
              </w:rPr>
            </w:pPr>
            <w:r>
              <w:rPr>
                <w:noProof/>
                <w:lang w:val="en-GB"/>
              </w:rPr>
              <w:t>IFRS</w:t>
            </w:r>
            <w:r>
              <w:rPr>
                <w:noProof/>
                <w:lang w:val="en-GB"/>
              </w:rPr>
              <w:br/>
              <w:t>REPORT</w:t>
            </w:r>
          </w:p>
        </w:tc>
        <w:tc>
          <w:tcPr>
            <w:tcW w:w="5237" w:type="dxa"/>
          </w:tcPr>
          <w:p w14:paraId="49CDC68C" w14:textId="77777777" w:rsidR="00A81248" w:rsidRPr="00F50E51" w:rsidRDefault="00A81248">
            <w:pPr>
              <w:rPr>
                <w:noProof/>
                <w:lang w:val="en-GB"/>
              </w:rPr>
            </w:pPr>
          </w:p>
        </w:tc>
      </w:tr>
      <w:tr w:rsidR="00A81248" w:rsidRPr="00F50E51" w14:paraId="6910CB74" w14:textId="77777777" w:rsidTr="00A31A5B">
        <w:trPr>
          <w:trHeight w:val="8865"/>
        </w:trPr>
        <w:tc>
          <w:tcPr>
            <w:tcW w:w="5395" w:type="dxa"/>
          </w:tcPr>
          <w:p w14:paraId="119456A1" w14:textId="77777777" w:rsidR="00A81248" w:rsidRPr="00F50E51" w:rsidRDefault="00A81248">
            <w:pPr>
              <w:rPr>
                <w:noProof/>
                <w:lang w:val="en-GB"/>
              </w:rPr>
            </w:pPr>
            <w:r w:rsidRPr="00F50E51">
              <w:rPr>
                <w:noProof/>
                <w:lang w:val="en-GB" w:bidi="en-GB"/>
              </w:rPr>
              <mc:AlternateContent>
                <mc:Choice Requires="wpg">
                  <w:drawing>
                    <wp:anchor distT="0" distB="0" distL="114300" distR="114300" simplePos="0" relativeHeight="251659264" behindDoc="1" locked="0" layoutInCell="1" allowOverlap="1" wp14:anchorId="49CC9DF9" wp14:editId="49D52AD4">
                      <wp:simplePos x="0" y="0"/>
                      <wp:positionH relativeFrom="margin">
                        <wp:posOffset>-449580</wp:posOffset>
                      </wp:positionH>
                      <wp:positionV relativeFrom="page">
                        <wp:posOffset>-2246630</wp:posOffset>
                      </wp:positionV>
                      <wp:extent cx="7772400" cy="1068705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68705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5CC5E8F2" id="Group 1" o:spid="_x0000_s1026" alt="&quot;&quot;" style="position:absolute;margin-left:-35.4pt;margin-top:-176.9pt;width:612pt;height:841.5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dd804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94b6d2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37" w:type="dxa"/>
          </w:tcPr>
          <w:p w14:paraId="02CC0CB9" w14:textId="77777777" w:rsidR="00A81248" w:rsidRPr="00F50E51" w:rsidRDefault="00A81248">
            <w:pPr>
              <w:rPr>
                <w:noProof/>
                <w:lang w:val="en-GB"/>
              </w:rPr>
            </w:pPr>
          </w:p>
        </w:tc>
      </w:tr>
      <w:tr w:rsidR="00A81248" w:rsidRPr="00F50E51" w14:paraId="30D6ABA8" w14:textId="77777777" w:rsidTr="00A31A5B">
        <w:trPr>
          <w:trHeight w:val="1299"/>
        </w:trPr>
        <w:tc>
          <w:tcPr>
            <w:tcW w:w="5395" w:type="dxa"/>
          </w:tcPr>
          <w:p w14:paraId="445A0E77" w14:textId="77777777" w:rsidR="00A81248" w:rsidRPr="00C76D86" w:rsidRDefault="00A81248">
            <w:pPr>
              <w:rPr>
                <w:rFonts w:ascii="Arial" w:hAnsi="Arial" w:cs="Arial"/>
                <w:iCs/>
                <w:noProof/>
                <w:sz w:val="36"/>
                <w:szCs w:val="22"/>
                <w:lang w:val="en-GB"/>
              </w:rPr>
            </w:pPr>
          </w:p>
        </w:tc>
        <w:tc>
          <w:tcPr>
            <w:tcW w:w="5237" w:type="dxa"/>
          </w:tcPr>
          <w:p w14:paraId="4DE9B63C" w14:textId="0F865053" w:rsidR="00A81248" w:rsidRPr="00C76D86" w:rsidRDefault="00C76D86" w:rsidP="00A81248">
            <w:pPr>
              <w:pStyle w:val="Heading2"/>
              <w:rPr>
                <w:rFonts w:ascii="Arial" w:hAnsi="Arial" w:cs="Arial"/>
                <w:i w:val="0"/>
                <w:iCs/>
                <w:noProof/>
                <w:sz w:val="36"/>
                <w:szCs w:val="22"/>
                <w:lang w:val="en-GB"/>
              </w:rPr>
            </w:pPr>
            <w:r w:rsidRPr="00C76D86">
              <w:rPr>
                <w:rFonts w:ascii="Arial" w:hAnsi="Arial" w:cs="Arial"/>
                <w:i w:val="0"/>
                <w:iCs/>
                <w:noProof/>
                <w:sz w:val="36"/>
                <w:szCs w:val="22"/>
                <w:lang w:val="en-GB"/>
              </w:rPr>
              <w:t>7/12/2023</w:t>
            </w:r>
          </w:p>
          <w:p w14:paraId="1A00EED2" w14:textId="0EDDA272" w:rsidR="00A81248" w:rsidRPr="00C76D86" w:rsidRDefault="00C76D86" w:rsidP="00C66528">
            <w:pPr>
              <w:pStyle w:val="Heading2"/>
              <w:rPr>
                <w:rFonts w:ascii="Arial" w:hAnsi="Arial" w:cs="Arial"/>
                <w:i w:val="0"/>
                <w:iCs/>
                <w:noProof/>
                <w:sz w:val="36"/>
                <w:szCs w:val="22"/>
                <w:lang w:val="en-GB"/>
              </w:rPr>
            </w:pPr>
            <w:r w:rsidRPr="00C76D86">
              <w:rPr>
                <w:rFonts w:ascii="Arial" w:hAnsi="Arial" w:cs="Arial"/>
                <w:i w:val="0"/>
                <w:iCs/>
                <w:noProof/>
                <w:sz w:val="36"/>
                <w:szCs w:val="22"/>
                <w:lang w:val="en-GB"/>
              </w:rPr>
              <w:t>Financial Reporting</w:t>
            </w:r>
          </w:p>
        </w:tc>
      </w:tr>
      <w:tr w:rsidR="00A81248" w:rsidRPr="00F50E51" w14:paraId="4013486C" w14:textId="77777777" w:rsidTr="00A31A5B">
        <w:trPr>
          <w:trHeight w:val="1402"/>
        </w:trPr>
        <w:tc>
          <w:tcPr>
            <w:tcW w:w="5395" w:type="dxa"/>
          </w:tcPr>
          <w:p w14:paraId="36841CCE" w14:textId="77777777" w:rsidR="00A81248" w:rsidRPr="00C76D86" w:rsidRDefault="00A81248">
            <w:pPr>
              <w:rPr>
                <w:rFonts w:ascii="Arial" w:hAnsi="Arial" w:cs="Arial"/>
                <w:iCs/>
                <w:noProof/>
                <w:sz w:val="36"/>
                <w:szCs w:val="22"/>
                <w:lang w:val="en-GB"/>
              </w:rPr>
            </w:pPr>
          </w:p>
        </w:tc>
        <w:tc>
          <w:tcPr>
            <w:tcW w:w="5237" w:type="dxa"/>
          </w:tcPr>
          <w:p w14:paraId="0551DD56" w14:textId="3044DD61" w:rsidR="00A81248" w:rsidRPr="00C76D86" w:rsidRDefault="00C76D86" w:rsidP="00A81248">
            <w:pPr>
              <w:pStyle w:val="Heading2"/>
              <w:rPr>
                <w:rFonts w:ascii="Arial" w:hAnsi="Arial" w:cs="Arial"/>
                <w:i w:val="0"/>
                <w:iCs/>
                <w:noProof/>
                <w:sz w:val="36"/>
                <w:szCs w:val="22"/>
                <w:lang w:val="en-GB"/>
              </w:rPr>
            </w:pPr>
            <w:r w:rsidRPr="00C76D86">
              <w:rPr>
                <w:rFonts w:ascii="Arial" w:hAnsi="Arial" w:cs="Arial"/>
                <w:i w:val="0"/>
                <w:iCs/>
                <w:noProof/>
                <w:sz w:val="36"/>
                <w:szCs w:val="22"/>
                <w:lang w:val="en-GB"/>
              </w:rPr>
              <w:t>Lauren Howells</w:t>
            </w:r>
            <w:r w:rsidR="00C66528" w:rsidRPr="00C76D86">
              <w:rPr>
                <w:rFonts w:ascii="Arial" w:hAnsi="Arial" w:cs="Arial"/>
                <w:i w:val="0"/>
                <w:iCs/>
                <w:noProof/>
                <w:sz w:val="36"/>
                <w:szCs w:val="22"/>
                <w:lang w:val="en-GB" w:bidi="en-GB"/>
              </w:rPr>
              <w:t xml:space="preserve"> </w:t>
            </w:r>
          </w:p>
          <w:p w14:paraId="30A4DF32" w14:textId="4302185C" w:rsidR="00A81248" w:rsidRPr="00C76D86" w:rsidRDefault="00C76D86" w:rsidP="00A81248">
            <w:pPr>
              <w:pStyle w:val="Heading2"/>
              <w:rPr>
                <w:rFonts w:ascii="Arial" w:hAnsi="Arial" w:cs="Arial"/>
                <w:i w:val="0"/>
                <w:iCs/>
                <w:noProof/>
                <w:sz w:val="36"/>
                <w:szCs w:val="22"/>
                <w:lang w:val="en-GB"/>
              </w:rPr>
            </w:pPr>
            <w:r w:rsidRPr="00C76D86">
              <w:rPr>
                <w:rFonts w:ascii="Arial" w:hAnsi="Arial" w:cs="Arial"/>
                <w:i w:val="0"/>
                <w:iCs/>
                <w:noProof/>
                <w:sz w:val="36"/>
                <w:szCs w:val="22"/>
                <w:lang w:val="en-GB"/>
              </w:rPr>
              <w:t>2110727</w:t>
            </w:r>
          </w:p>
        </w:tc>
      </w:tr>
    </w:tbl>
    <w:p w14:paraId="3ECE271C" w14:textId="77777777" w:rsidR="000C4ED1" w:rsidRPr="00F50E51" w:rsidRDefault="000C4ED1">
      <w:pPr>
        <w:rPr>
          <w:noProof/>
          <w:lang w:val="en-GB"/>
        </w:rPr>
      </w:pPr>
    </w:p>
    <w:p w14:paraId="4AA89F56" w14:textId="77777777" w:rsidR="00096B92" w:rsidRDefault="00096B92" w:rsidP="00A24793">
      <w:pPr>
        <w:rPr>
          <w:noProof/>
          <w:lang w:val="en-GB"/>
        </w:rPr>
      </w:pPr>
    </w:p>
    <w:p w14:paraId="5A01C8F5" w14:textId="2FA5D14D" w:rsidR="00B747EF" w:rsidRPr="00B07422" w:rsidRDefault="00B747EF" w:rsidP="00B747EF">
      <w:pPr>
        <w:rPr>
          <w:rFonts w:ascii="Arial" w:hAnsi="Arial" w:cs="Arial"/>
        </w:rPr>
      </w:pPr>
      <w:r w:rsidRPr="00B07422">
        <w:rPr>
          <w:rFonts w:ascii="Arial" w:hAnsi="Arial" w:cs="Arial"/>
        </w:rPr>
        <w:lastRenderedPageBreak/>
        <w:br/>
        <w:t xml:space="preserve">Implementing International Financial Reporting Standards (IFRS) in a developed economy like the United States presents a multitude of challenges, particularly concerning the transition from the existing U.S. Generally Accepted Accounting Principles (GAAP) and the complexity inherent in IFRS standards. This transition is not merely a matter of adopting new accounting principles but entails significant adjustments in reporting practices, systems, and </w:t>
      </w:r>
      <w:proofErr w:type="spellStart"/>
      <w:r w:rsidRPr="00B07422">
        <w:rPr>
          <w:rFonts w:ascii="Arial" w:hAnsi="Arial" w:cs="Arial"/>
        </w:rPr>
        <w:t>organisational</w:t>
      </w:r>
      <w:proofErr w:type="spellEnd"/>
      <w:r w:rsidRPr="00B07422">
        <w:rPr>
          <w:rFonts w:ascii="Arial" w:hAnsi="Arial" w:cs="Arial"/>
        </w:rPr>
        <w:t xml:space="preserve"> processes. Additionally, the complexity of IFRS standards introduces intricacies that necessitate comprehensive understanding and adaptation by stakeholders.</w:t>
      </w:r>
    </w:p>
    <w:p w14:paraId="3D39CBD7" w14:textId="77777777" w:rsidR="00B747EF" w:rsidRPr="00B07422" w:rsidRDefault="00B747EF" w:rsidP="00B747EF">
      <w:pPr>
        <w:rPr>
          <w:rFonts w:ascii="Arial" w:hAnsi="Arial" w:cs="Arial"/>
        </w:rPr>
      </w:pPr>
    </w:p>
    <w:p w14:paraId="11874C7A" w14:textId="5F388FDC" w:rsidR="00B747EF" w:rsidRPr="00B07422" w:rsidRDefault="00B747EF" w:rsidP="00B747EF">
      <w:pPr>
        <w:rPr>
          <w:rFonts w:ascii="Arial" w:hAnsi="Arial" w:cs="Arial"/>
        </w:rPr>
      </w:pPr>
      <w:r w:rsidRPr="00B07422">
        <w:rPr>
          <w:rFonts w:ascii="Arial" w:hAnsi="Arial" w:cs="Arial"/>
        </w:rPr>
        <w:t xml:space="preserve">One of the primary challenges in implementing IFRS in the United States lies in the transition process from U.S. GAAP to IFRS. According to Barth (2008), this transition involves aligning existing accounting practices with the principles-based approach of IFRS, which can be a daunting task due to the fundamental differences between the two frameworks. Unlike GAAP, which is rule-based and prescriptive, IFRS relies on </w:t>
      </w:r>
      <w:r w:rsidRPr="00B07422">
        <w:rPr>
          <w:rFonts w:ascii="Arial" w:hAnsi="Arial" w:cs="Arial"/>
        </w:rPr>
        <w:t>principles</w:t>
      </w:r>
      <w:r w:rsidRPr="00B07422">
        <w:rPr>
          <w:rFonts w:ascii="Arial" w:hAnsi="Arial" w:cs="Arial"/>
        </w:rPr>
        <w:t xml:space="preserve"> requiring a deeper understanding of underlying concepts and judgements in application (Nobes, 2015). This shift necessitates substantial retraining of accountants, auditors, and financial analysts to ensure compliance and accuracy in financial reporting (Barth, 2008).</w:t>
      </w:r>
    </w:p>
    <w:p w14:paraId="7D7FC221" w14:textId="77777777" w:rsidR="00B747EF" w:rsidRPr="00B07422" w:rsidRDefault="00B747EF" w:rsidP="00B747EF">
      <w:pPr>
        <w:rPr>
          <w:rFonts w:ascii="Arial" w:hAnsi="Arial" w:cs="Arial"/>
        </w:rPr>
      </w:pPr>
    </w:p>
    <w:p w14:paraId="0E8DA643" w14:textId="17F3C2AA" w:rsidR="00B747EF" w:rsidRPr="00B07422" w:rsidRDefault="00B747EF" w:rsidP="00B747EF">
      <w:pPr>
        <w:rPr>
          <w:rFonts w:ascii="Arial" w:hAnsi="Arial" w:cs="Arial"/>
        </w:rPr>
      </w:pPr>
      <w:r w:rsidRPr="00B07422">
        <w:rPr>
          <w:rFonts w:ascii="Arial" w:hAnsi="Arial" w:cs="Arial"/>
        </w:rPr>
        <w:t>Moreover, the complexity of IFRS standards poses significant challenges during implementation. The intricate nature of IFRS guidelines, coupled with the need for interpretation and judgement, can lead to inconsistencies and complexities in financial reporting (</w:t>
      </w:r>
      <w:proofErr w:type="spellStart"/>
      <w:r w:rsidRPr="00B07422">
        <w:rPr>
          <w:rFonts w:ascii="Arial" w:hAnsi="Arial" w:cs="Arial"/>
        </w:rPr>
        <w:t>Daske</w:t>
      </w:r>
      <w:proofErr w:type="spellEnd"/>
      <w:r w:rsidRPr="00B07422">
        <w:rPr>
          <w:rFonts w:ascii="Arial" w:hAnsi="Arial" w:cs="Arial"/>
        </w:rPr>
        <w:t xml:space="preserve"> et al., 2008). For instance, IFRS standards often offer multiple acceptable methods for accounting treatments, leading to potential variations in reported figures across </w:t>
      </w:r>
      <w:proofErr w:type="spellStart"/>
      <w:r w:rsidRPr="00B07422">
        <w:rPr>
          <w:rFonts w:ascii="Arial" w:hAnsi="Arial" w:cs="Arial"/>
        </w:rPr>
        <w:t>organisations</w:t>
      </w:r>
      <w:proofErr w:type="spellEnd"/>
      <w:r w:rsidRPr="00B07422">
        <w:rPr>
          <w:rFonts w:ascii="Arial" w:hAnsi="Arial" w:cs="Arial"/>
        </w:rPr>
        <w:t xml:space="preserve"> (</w:t>
      </w:r>
      <w:proofErr w:type="spellStart"/>
      <w:r w:rsidRPr="00B07422">
        <w:rPr>
          <w:rFonts w:ascii="Arial" w:hAnsi="Arial" w:cs="Arial"/>
        </w:rPr>
        <w:t>Daske</w:t>
      </w:r>
      <w:proofErr w:type="spellEnd"/>
      <w:r w:rsidRPr="00B07422">
        <w:rPr>
          <w:rFonts w:ascii="Arial" w:hAnsi="Arial" w:cs="Arial"/>
        </w:rPr>
        <w:t xml:space="preserve"> et al., 2008). This variability complicates comparability between financial statements, hampering stakeholders' ability to assess and </w:t>
      </w:r>
      <w:proofErr w:type="spellStart"/>
      <w:r w:rsidRPr="00B07422">
        <w:rPr>
          <w:rFonts w:ascii="Arial" w:hAnsi="Arial" w:cs="Arial"/>
        </w:rPr>
        <w:t>analyse</w:t>
      </w:r>
      <w:proofErr w:type="spellEnd"/>
      <w:r w:rsidRPr="00B07422">
        <w:rPr>
          <w:rFonts w:ascii="Arial" w:hAnsi="Arial" w:cs="Arial"/>
        </w:rPr>
        <w:t xml:space="preserve"> financial performance effectively.</w:t>
      </w:r>
    </w:p>
    <w:p w14:paraId="3408A5CF" w14:textId="77777777" w:rsidR="00B747EF" w:rsidRPr="00B07422" w:rsidRDefault="00B747EF" w:rsidP="00B747EF">
      <w:pPr>
        <w:rPr>
          <w:rFonts w:ascii="Arial" w:hAnsi="Arial" w:cs="Arial"/>
        </w:rPr>
      </w:pPr>
    </w:p>
    <w:p w14:paraId="6B3005D2" w14:textId="29476C0B" w:rsidR="00B747EF" w:rsidRPr="00B07422" w:rsidRDefault="00B747EF" w:rsidP="00B747EF">
      <w:pPr>
        <w:rPr>
          <w:rFonts w:ascii="Arial" w:hAnsi="Arial" w:cs="Arial"/>
        </w:rPr>
      </w:pPr>
      <w:r w:rsidRPr="00B07422">
        <w:rPr>
          <w:rFonts w:ascii="Arial" w:hAnsi="Arial" w:cs="Arial"/>
        </w:rPr>
        <w:t xml:space="preserve">Furthermore, the adoption of IFRS introduces challenges related to regulatory oversight and enforcement. Unlike the </w:t>
      </w:r>
      <w:proofErr w:type="spellStart"/>
      <w:r w:rsidRPr="00B07422">
        <w:rPr>
          <w:rFonts w:ascii="Arial" w:hAnsi="Arial" w:cs="Arial"/>
        </w:rPr>
        <w:t>centralised</w:t>
      </w:r>
      <w:proofErr w:type="spellEnd"/>
      <w:r w:rsidRPr="00B07422">
        <w:rPr>
          <w:rFonts w:ascii="Arial" w:hAnsi="Arial" w:cs="Arial"/>
        </w:rPr>
        <w:t xml:space="preserve"> regulatory structure of the U.S. Securities and Exchange Commission (SEC) overseeing GAAP, the global adoption of IFRS lacks a unified regulatory body, resulting in fragmented enforcement mechanisms across jurisdictions (Ball, 2006). This </w:t>
      </w:r>
      <w:proofErr w:type="spellStart"/>
      <w:r w:rsidRPr="00B07422">
        <w:rPr>
          <w:rFonts w:ascii="Arial" w:hAnsi="Arial" w:cs="Arial"/>
        </w:rPr>
        <w:t>decentralised</w:t>
      </w:r>
      <w:proofErr w:type="spellEnd"/>
      <w:r w:rsidRPr="00B07422">
        <w:rPr>
          <w:rFonts w:ascii="Arial" w:hAnsi="Arial" w:cs="Arial"/>
        </w:rPr>
        <w:t xml:space="preserve"> enforcement model raises concerns regarding consistency and reliability in financial reporting, as regulatory oversight may vary in </w:t>
      </w:r>
      <w:proofErr w:type="spellStart"/>
      <w:r w:rsidRPr="00B07422">
        <w:rPr>
          <w:rFonts w:ascii="Arial" w:hAnsi="Arial" w:cs="Arial"/>
        </w:rPr>
        <w:t>rigour</w:t>
      </w:r>
      <w:proofErr w:type="spellEnd"/>
      <w:r w:rsidRPr="00B07422">
        <w:rPr>
          <w:rFonts w:ascii="Arial" w:hAnsi="Arial" w:cs="Arial"/>
        </w:rPr>
        <w:t xml:space="preserve"> and effectiveness (Ball, 2006). Consequently, stakeholders may encounter difficulties in assessing the credibility and transparency of financial information under IFRS.</w:t>
      </w:r>
    </w:p>
    <w:p w14:paraId="51296A0B" w14:textId="77777777" w:rsidR="00B747EF" w:rsidRPr="00B07422" w:rsidRDefault="00B747EF" w:rsidP="00B747EF">
      <w:pPr>
        <w:rPr>
          <w:rFonts w:ascii="Arial" w:hAnsi="Arial" w:cs="Arial"/>
        </w:rPr>
      </w:pPr>
    </w:p>
    <w:p w14:paraId="2C5C2CF2" w14:textId="4ACDB86F" w:rsidR="00B747EF" w:rsidRPr="00B07422" w:rsidRDefault="00B747EF" w:rsidP="00B747EF">
      <w:pPr>
        <w:rPr>
          <w:rFonts w:ascii="Arial" w:hAnsi="Arial" w:cs="Arial"/>
        </w:rPr>
      </w:pPr>
      <w:r w:rsidRPr="00B07422">
        <w:rPr>
          <w:rFonts w:ascii="Arial" w:hAnsi="Arial" w:cs="Arial"/>
        </w:rPr>
        <w:t xml:space="preserve">Another significant challenge arises from the potential costs associated with implementing and maintaining compliance with IFRS standards. The transition process requires substantial investments in training, technology upgrades, and procedural changes to ensure alignment with IFRS requirements (Barth, 2008). Additionally, ongoing compliance efforts entail continuous monitoring and adaptation to evolving IFRS guidelines, imposing recurring costs on </w:t>
      </w:r>
      <w:proofErr w:type="spellStart"/>
      <w:r w:rsidRPr="00B07422">
        <w:rPr>
          <w:rFonts w:ascii="Arial" w:hAnsi="Arial" w:cs="Arial"/>
        </w:rPr>
        <w:t>organisations</w:t>
      </w:r>
      <w:proofErr w:type="spellEnd"/>
      <w:r w:rsidRPr="00B07422">
        <w:rPr>
          <w:rFonts w:ascii="Arial" w:hAnsi="Arial" w:cs="Arial"/>
        </w:rPr>
        <w:t xml:space="preserve"> (Barth, 2008). These financial burdens may disproportionately affect smaller entities and non-publicly traded companies, exacerbating resource constraints and operational challenges (Barth, 2008).</w:t>
      </w:r>
    </w:p>
    <w:p w14:paraId="78116BEC" w14:textId="77777777" w:rsidR="00B747EF" w:rsidRPr="00B07422" w:rsidRDefault="00B747EF" w:rsidP="00B747EF">
      <w:pPr>
        <w:rPr>
          <w:rFonts w:ascii="Arial" w:hAnsi="Arial" w:cs="Arial"/>
        </w:rPr>
      </w:pPr>
    </w:p>
    <w:p w14:paraId="673509DE" w14:textId="3CD5FB2B" w:rsidR="00B747EF" w:rsidRPr="00B07422" w:rsidRDefault="00B747EF" w:rsidP="00B747EF">
      <w:pPr>
        <w:rPr>
          <w:rFonts w:ascii="Arial" w:hAnsi="Arial" w:cs="Arial"/>
        </w:rPr>
      </w:pPr>
      <w:r w:rsidRPr="00B07422">
        <w:rPr>
          <w:rFonts w:ascii="Arial" w:hAnsi="Arial" w:cs="Arial"/>
        </w:rPr>
        <w:t xml:space="preserve">To </w:t>
      </w:r>
      <w:proofErr w:type="spellStart"/>
      <w:r w:rsidRPr="00B07422">
        <w:rPr>
          <w:rFonts w:ascii="Arial" w:hAnsi="Arial" w:cs="Arial"/>
        </w:rPr>
        <w:t>summarise</w:t>
      </w:r>
      <w:proofErr w:type="spellEnd"/>
      <w:r w:rsidRPr="00B07422">
        <w:rPr>
          <w:rFonts w:ascii="Arial" w:hAnsi="Arial" w:cs="Arial"/>
        </w:rPr>
        <w:t xml:space="preserve">, the challenges surrounding the implementation of IFRS in a developed economy like the United States are multifaceted and intricate. Transitioning from U.S. GAAP to IFRS requires significant adjustments and retraining, while the complexity inherent in IFRS standards introduces inconsistencies and complicates regulatory oversight. Moreover, the financial costs associated with compliance pose additional burdens on </w:t>
      </w:r>
      <w:proofErr w:type="spellStart"/>
      <w:r w:rsidRPr="00B07422">
        <w:rPr>
          <w:rFonts w:ascii="Arial" w:hAnsi="Arial" w:cs="Arial"/>
        </w:rPr>
        <w:t>organisations</w:t>
      </w:r>
      <w:proofErr w:type="spellEnd"/>
      <w:r w:rsidRPr="00B07422">
        <w:rPr>
          <w:rFonts w:ascii="Arial" w:hAnsi="Arial" w:cs="Arial"/>
        </w:rPr>
        <w:t xml:space="preserve">. Addressing these challenges necessitates collaborative efforts from regulatory bodies, standard-setting </w:t>
      </w:r>
      <w:proofErr w:type="spellStart"/>
      <w:r w:rsidRPr="00B07422">
        <w:rPr>
          <w:rFonts w:ascii="Arial" w:hAnsi="Arial" w:cs="Arial"/>
        </w:rPr>
        <w:t>organisations</w:t>
      </w:r>
      <w:proofErr w:type="spellEnd"/>
      <w:r w:rsidRPr="00B07422">
        <w:rPr>
          <w:rFonts w:ascii="Arial" w:hAnsi="Arial" w:cs="Arial"/>
        </w:rPr>
        <w:t>, and industry stakeholders to facilitate a smooth transition and ensure the integrity and reliability of financial reporting under IFRS.</w:t>
      </w:r>
    </w:p>
    <w:p w14:paraId="094035C3" w14:textId="77777777" w:rsidR="00E863BF" w:rsidRPr="00B07422" w:rsidRDefault="00E863BF" w:rsidP="00B747EF">
      <w:pPr>
        <w:rPr>
          <w:rFonts w:ascii="Arial" w:hAnsi="Arial" w:cs="Arial"/>
        </w:rPr>
      </w:pPr>
    </w:p>
    <w:p w14:paraId="1DA492BC" w14:textId="77777777" w:rsidR="00B747EF" w:rsidRPr="00B07422" w:rsidRDefault="00B747EF" w:rsidP="00B747EF">
      <w:pPr>
        <w:rPr>
          <w:rFonts w:ascii="Arial" w:hAnsi="Arial" w:cs="Arial"/>
        </w:rPr>
      </w:pPr>
    </w:p>
    <w:p w14:paraId="35B54489" w14:textId="2614B208" w:rsidR="00B07422" w:rsidRPr="00B07422" w:rsidRDefault="00B07422" w:rsidP="00B07422">
      <w:pPr>
        <w:rPr>
          <w:rFonts w:ascii="Arial" w:hAnsi="Arial" w:cs="Arial"/>
        </w:rPr>
      </w:pPr>
      <w:r w:rsidRPr="00B07422">
        <w:rPr>
          <w:rFonts w:ascii="Arial" w:hAnsi="Arial" w:cs="Arial"/>
        </w:rPr>
        <w:lastRenderedPageBreak/>
        <w:t>Embracing International Financial Reporting Standards (IFRS) in a developed economy like the United States offers several advantages, particularly in enhancing global comparability and promoting efficient reporting practices. These benefits contribute to improved transparency, facilitate cross-border investment, and bolster confidence in financial markets. Exploring the advantages of IFRS implementation in the United States sheds light on the potential benefits of harmonising accounting standards globally.</w:t>
      </w:r>
    </w:p>
    <w:p w14:paraId="66AF1848" w14:textId="77777777" w:rsidR="00B07422" w:rsidRPr="00B07422" w:rsidRDefault="00B07422" w:rsidP="00B07422">
      <w:pPr>
        <w:rPr>
          <w:rFonts w:ascii="Arial" w:hAnsi="Arial" w:cs="Arial"/>
        </w:rPr>
      </w:pPr>
    </w:p>
    <w:p w14:paraId="06131354" w14:textId="17C11E2B" w:rsidR="00B07422" w:rsidRPr="00B07422" w:rsidRDefault="00B07422" w:rsidP="00B07422">
      <w:pPr>
        <w:rPr>
          <w:rFonts w:ascii="Arial" w:hAnsi="Arial" w:cs="Arial"/>
        </w:rPr>
      </w:pPr>
      <w:r w:rsidRPr="00B07422">
        <w:rPr>
          <w:rFonts w:ascii="Arial" w:hAnsi="Arial" w:cs="Arial"/>
        </w:rPr>
        <w:t>A key advantage of adopting IFRS in the United States lies in the enhancement of global comparability in financial reporting. Unlike U.S. Generally Accepted Accounting Principles (GAAP), which are primarily used domestically, IFRS enjoys widespread adoption across numerous jurisdictions worldwide (Christensen et al., 2015). This global acceptance of IFRS enables investors, analysts, and other stakeholders to compare financial statements across borders more effectively, facilitating better decision-making and risk assessment (Christensen et al., 2015). Aligning reporting standards with international norms reduces information asymmetry, enhances market efficiency, and attracts foreign investment, ultimately fostering economic growth.</w:t>
      </w:r>
    </w:p>
    <w:p w14:paraId="45858542" w14:textId="77777777" w:rsidR="00B07422" w:rsidRPr="00B07422" w:rsidRDefault="00B07422" w:rsidP="00B07422">
      <w:pPr>
        <w:rPr>
          <w:rFonts w:ascii="Arial" w:hAnsi="Arial" w:cs="Arial"/>
        </w:rPr>
      </w:pPr>
    </w:p>
    <w:p w14:paraId="24D92754" w14:textId="664378FE" w:rsidR="00B07422" w:rsidRPr="00B07422" w:rsidRDefault="00B07422" w:rsidP="00B07422">
      <w:pPr>
        <w:rPr>
          <w:rFonts w:ascii="Arial" w:hAnsi="Arial" w:cs="Arial"/>
        </w:rPr>
      </w:pPr>
      <w:r w:rsidRPr="00B07422">
        <w:rPr>
          <w:rFonts w:ascii="Arial" w:hAnsi="Arial" w:cs="Arial"/>
        </w:rPr>
        <w:t>Furthermore, the implementation of IFRS promotes efficient reporting practices by simplifying accounting standards and reducing complexity. Compared to the rules-based nature of U.S. GAAP, IFRS adopts a principles-based approach, focusing on substance over form and providing greater flexibility in financial reporting (Cairns, 2011). This principles-based framework allows companies to tailor their reporting to reflect the economic substance of transactions, enhancing transparency and reducing the likelihood of earnings management practices (Cairns, 2011).</w:t>
      </w:r>
    </w:p>
    <w:p w14:paraId="38E77E0D" w14:textId="77777777" w:rsidR="00B07422" w:rsidRPr="00B07422" w:rsidRDefault="00B07422" w:rsidP="00B07422">
      <w:pPr>
        <w:rPr>
          <w:rFonts w:ascii="Arial" w:hAnsi="Arial" w:cs="Arial"/>
        </w:rPr>
      </w:pPr>
    </w:p>
    <w:p w14:paraId="39C682A1" w14:textId="2E561EC7" w:rsidR="00B07422" w:rsidRPr="00B07422" w:rsidRDefault="00B07422" w:rsidP="00B07422">
      <w:pPr>
        <w:rPr>
          <w:rFonts w:ascii="Arial" w:hAnsi="Arial" w:cs="Arial"/>
        </w:rPr>
      </w:pPr>
      <w:r w:rsidRPr="00B07422">
        <w:rPr>
          <w:rFonts w:ascii="Arial" w:hAnsi="Arial" w:cs="Arial"/>
        </w:rPr>
        <w:t>Additionally, embracing IFRS can lead to cost savings for multinational corporations operating in multiple jurisdictions. Maintaining dual sets of financial records to comply with both U.S. GAAP and local GAAP requirements incurs significant administrative and compliance costs for multinational companies (</w:t>
      </w:r>
      <w:proofErr w:type="spellStart"/>
      <w:r w:rsidRPr="00B07422">
        <w:rPr>
          <w:rFonts w:ascii="Arial" w:hAnsi="Arial" w:cs="Arial"/>
        </w:rPr>
        <w:t>Leuz</w:t>
      </w:r>
      <w:proofErr w:type="spellEnd"/>
      <w:r w:rsidRPr="00B07422">
        <w:rPr>
          <w:rFonts w:ascii="Arial" w:hAnsi="Arial" w:cs="Arial"/>
        </w:rPr>
        <w:t xml:space="preserve"> &amp; Wysocki, 2016). By transitioning to a single set of global accounting standards under IFRS, companies can streamline their reporting processes, reduce complexity, and achieve cost efficiencies (</w:t>
      </w:r>
      <w:proofErr w:type="spellStart"/>
      <w:r w:rsidRPr="00B07422">
        <w:rPr>
          <w:rFonts w:ascii="Arial" w:hAnsi="Arial" w:cs="Arial"/>
        </w:rPr>
        <w:t>Leuz</w:t>
      </w:r>
      <w:proofErr w:type="spellEnd"/>
      <w:r w:rsidRPr="00B07422">
        <w:rPr>
          <w:rFonts w:ascii="Arial" w:hAnsi="Arial" w:cs="Arial"/>
        </w:rPr>
        <w:t xml:space="preserve"> &amp; Wysocki, 2016). Harmonising reporting standards not only reduces compliance burdens but also enhances the comparability and consistency of financial information across subsidiaries and geographic regions.</w:t>
      </w:r>
    </w:p>
    <w:p w14:paraId="3A3088DF" w14:textId="77777777" w:rsidR="00B07422" w:rsidRPr="00B07422" w:rsidRDefault="00B07422" w:rsidP="00B07422">
      <w:pPr>
        <w:rPr>
          <w:rFonts w:ascii="Arial" w:hAnsi="Arial" w:cs="Arial"/>
        </w:rPr>
      </w:pPr>
    </w:p>
    <w:p w14:paraId="0F8E2E69" w14:textId="23DB96AF" w:rsidR="00B07422" w:rsidRPr="00B07422" w:rsidRDefault="00B07422" w:rsidP="00B07422">
      <w:pPr>
        <w:rPr>
          <w:rFonts w:ascii="Arial" w:hAnsi="Arial" w:cs="Arial"/>
        </w:rPr>
      </w:pPr>
      <w:r w:rsidRPr="00B07422">
        <w:rPr>
          <w:rFonts w:ascii="Arial" w:hAnsi="Arial" w:cs="Arial"/>
        </w:rPr>
        <w:t>Moreover, the adoption of IFRS fosters greater alignment with international capital markets, facilitating cross-border investment and capital allocation. Investors and analysts value the consistency and comparability of financial information prepared under IFRS, as it enables them to assess investment opportunities and risks more accurately (Ball, 2006). By harmonising accounting standards with global norms, the United States can attract foreign capital and enhance its position as a leading destination for international investment (Ball, 2006).</w:t>
      </w:r>
    </w:p>
    <w:p w14:paraId="0B1FA40C" w14:textId="77777777" w:rsidR="00B07422" w:rsidRPr="00B07422" w:rsidRDefault="00B07422" w:rsidP="00B07422">
      <w:pPr>
        <w:rPr>
          <w:rFonts w:ascii="Arial" w:hAnsi="Arial" w:cs="Arial"/>
        </w:rPr>
      </w:pPr>
    </w:p>
    <w:p w14:paraId="5C973667" w14:textId="6571A73C" w:rsidR="00B07422" w:rsidRPr="00B07422" w:rsidRDefault="00B07422" w:rsidP="00B07422">
      <w:pPr>
        <w:rPr>
          <w:rFonts w:ascii="Arial" w:hAnsi="Arial" w:cs="Arial"/>
        </w:rPr>
      </w:pPr>
      <w:r w:rsidRPr="00B07422">
        <w:rPr>
          <w:rFonts w:ascii="Arial" w:hAnsi="Arial" w:cs="Arial"/>
        </w:rPr>
        <w:t>In summary, implementing IFRS in a developed economy like the United States offers significant</w:t>
      </w:r>
      <w:r w:rsidRPr="00B07422">
        <w:rPr>
          <w:rFonts w:ascii="Arial" w:hAnsi="Arial" w:cs="Arial"/>
        </w:rPr>
        <w:t xml:space="preserve"> </w:t>
      </w:r>
      <w:r w:rsidRPr="00B07422">
        <w:rPr>
          <w:rFonts w:ascii="Arial" w:hAnsi="Arial" w:cs="Arial"/>
        </w:rPr>
        <w:t>benefits, including enhanced global comparability and efficient reporting practices. By adopting international accounting standards, the United States can improve transparency, attract foreign investment, and reduce compliance costs for multinational corporations. Moreover, harmonising reporting standards with international norms fosters greater alignment with global capital markets, promoting economic growth and stability.</w:t>
      </w:r>
    </w:p>
    <w:p w14:paraId="549C3D6A" w14:textId="7F739D8A" w:rsidR="00E863BF" w:rsidRPr="00B07422" w:rsidRDefault="00E863BF" w:rsidP="00E863BF">
      <w:pPr>
        <w:rPr>
          <w:rFonts w:ascii="Arial" w:hAnsi="Arial" w:cs="Arial"/>
        </w:rPr>
      </w:pPr>
      <w:r w:rsidRPr="00B07422">
        <w:rPr>
          <w:rFonts w:ascii="Arial" w:hAnsi="Arial" w:cs="Arial"/>
          <w:noProof/>
          <w:lang w:val="en-GB"/>
        </w:rPr>
        <w:t xml:space="preserve"> </w:t>
      </w:r>
      <w:r w:rsidRPr="00B07422">
        <w:rPr>
          <w:rFonts w:ascii="Arial" w:hAnsi="Arial" w:cs="Arial"/>
        </w:rPr>
        <w:br/>
        <w:t>Implementing International Financial Reporting Standards (IFRS) in a developing economy like Brazil presents several challenges, particularly concerning limited technical expertise and inadequate regulatory infrastructure. These hurdles can hinder the effective adoption and implementation of IFRS, impacting financial reporting quality, investor confidence, and economic development. Examining the challenges of implementing IFRS in Brazil provides valuable insights into the complexities faced by developing economies striving to align with global accounting standards.</w:t>
      </w:r>
    </w:p>
    <w:p w14:paraId="51750C48" w14:textId="77777777" w:rsidR="00CB226D" w:rsidRPr="00B07422" w:rsidRDefault="00CB226D" w:rsidP="00E863BF">
      <w:pPr>
        <w:rPr>
          <w:rFonts w:ascii="Arial" w:hAnsi="Arial" w:cs="Arial"/>
        </w:rPr>
      </w:pPr>
    </w:p>
    <w:p w14:paraId="08ECDE62" w14:textId="64169593" w:rsidR="00E863BF" w:rsidRPr="00B07422" w:rsidRDefault="00E863BF" w:rsidP="00E863BF">
      <w:pPr>
        <w:rPr>
          <w:rFonts w:ascii="Arial" w:hAnsi="Arial" w:cs="Arial"/>
        </w:rPr>
      </w:pPr>
      <w:r w:rsidRPr="00B07422">
        <w:rPr>
          <w:rFonts w:ascii="Arial" w:hAnsi="Arial" w:cs="Arial"/>
        </w:rPr>
        <w:lastRenderedPageBreak/>
        <w:t>One of the primary challenges in implementing IFRS in Brazil is the limited technical expertise among accounting professionals and regulatory authorities. Unlike developed economies with well-established accounting education systems and professional training programmes, developing countries often face shortages of qualified accountants proficient in IFRS (</w:t>
      </w:r>
      <w:proofErr w:type="spellStart"/>
      <w:r w:rsidRPr="00B07422">
        <w:rPr>
          <w:rFonts w:ascii="Arial" w:hAnsi="Arial" w:cs="Arial"/>
        </w:rPr>
        <w:t>Botosan</w:t>
      </w:r>
      <w:proofErr w:type="spellEnd"/>
      <w:r w:rsidRPr="00B07422">
        <w:rPr>
          <w:rFonts w:ascii="Arial" w:hAnsi="Arial" w:cs="Arial"/>
        </w:rPr>
        <w:t xml:space="preserve"> &amp; Plumlee, 2005). The lack of expertise in interpreting and applying complex IFRS standards can result in errors, inconsistencies, and misinterpretations in financial reporting, undermining the reliability and comparability of financial statements (</w:t>
      </w:r>
      <w:proofErr w:type="spellStart"/>
      <w:r w:rsidRPr="00B07422">
        <w:rPr>
          <w:rFonts w:ascii="Arial" w:hAnsi="Arial" w:cs="Arial"/>
        </w:rPr>
        <w:t>Botosan</w:t>
      </w:r>
      <w:proofErr w:type="spellEnd"/>
      <w:r w:rsidRPr="00B07422">
        <w:rPr>
          <w:rFonts w:ascii="Arial" w:hAnsi="Arial" w:cs="Arial"/>
        </w:rPr>
        <w:t xml:space="preserve"> &amp; Plumlee, 2005). Addressing this challenge requires substantial investments in training and capacity-building initiatives to enhance the competency of accounting professionals and regulatory personnel in Brazil.</w:t>
      </w:r>
    </w:p>
    <w:p w14:paraId="487882E7" w14:textId="77777777" w:rsidR="00CB226D" w:rsidRPr="00B07422" w:rsidRDefault="00CB226D" w:rsidP="00E863BF">
      <w:pPr>
        <w:rPr>
          <w:rFonts w:ascii="Arial" w:hAnsi="Arial" w:cs="Arial"/>
        </w:rPr>
      </w:pPr>
    </w:p>
    <w:p w14:paraId="021C0509" w14:textId="126504DE" w:rsidR="00E863BF" w:rsidRPr="00B07422" w:rsidRDefault="00E863BF" w:rsidP="00E863BF">
      <w:pPr>
        <w:rPr>
          <w:rFonts w:ascii="Arial" w:hAnsi="Arial" w:cs="Arial"/>
        </w:rPr>
      </w:pPr>
      <w:r w:rsidRPr="00B07422">
        <w:rPr>
          <w:rFonts w:ascii="Arial" w:hAnsi="Arial" w:cs="Arial"/>
        </w:rPr>
        <w:t>Furthermore, the inadequate regulatory infrastructure poses significant challenges during the implementation of IFRS in Brazil. Developing economies may lack robust regulatory bodies with the necessary authority, resources, and enforcement mechanisms to oversee compliance with IFRS standards effectively (Soderstrom &amp; Sun, 2007). Weak regulatory oversight increases the risk of non-compliance, financial misstatements, and fraudulent reporting practices, eroding investor confidence and undermining capital market development (Soderstrom &amp; Sun, 2007). Establishing an effective regulatory framework, including transparent reporting requirements, monitoring mechanisms, and enforcement procedures, is crucial to ensuring the integrity and reliability of financial reporting under IFRS in Brazil.</w:t>
      </w:r>
    </w:p>
    <w:p w14:paraId="63B2D0C2" w14:textId="77777777" w:rsidR="00CB226D" w:rsidRPr="00B07422" w:rsidRDefault="00CB226D" w:rsidP="00E863BF">
      <w:pPr>
        <w:rPr>
          <w:rFonts w:ascii="Arial" w:hAnsi="Arial" w:cs="Arial"/>
        </w:rPr>
      </w:pPr>
    </w:p>
    <w:p w14:paraId="07F9DCED" w14:textId="5242B1FB" w:rsidR="00E863BF" w:rsidRPr="00B07422" w:rsidRDefault="00E863BF" w:rsidP="00E863BF">
      <w:pPr>
        <w:rPr>
          <w:rFonts w:ascii="Arial" w:hAnsi="Arial" w:cs="Arial"/>
        </w:rPr>
      </w:pPr>
      <w:r w:rsidRPr="00B07422">
        <w:rPr>
          <w:rFonts w:ascii="Arial" w:hAnsi="Arial" w:cs="Arial"/>
        </w:rPr>
        <w:t xml:space="preserve">Moreover, </w:t>
      </w:r>
      <w:proofErr w:type="gramStart"/>
      <w:r w:rsidRPr="00B07422">
        <w:rPr>
          <w:rFonts w:ascii="Arial" w:hAnsi="Arial" w:cs="Arial"/>
        </w:rPr>
        <w:t>cultural</w:t>
      </w:r>
      <w:proofErr w:type="gramEnd"/>
      <w:r w:rsidRPr="00B07422">
        <w:rPr>
          <w:rFonts w:ascii="Arial" w:hAnsi="Arial" w:cs="Arial"/>
        </w:rPr>
        <w:t xml:space="preserve"> and institutional factors can exacerbate the challenges of implementing IFRS in developing economies like Brazil. Cultural differences, bureaucratic inefficiencies, and institutional constraints may impede the adoption and adaptation of IFRS standards to local contexts (Jaggi &amp; Low, 2000). The transition from existing accounting practices to IFRS requires cultural change, stakeholder engagement, and alignment with national regulatory frameworks, which can be complex and time-consuming (Jaggi &amp; Low, 2000). Overcoming these challenges necessitates strong leadership, stakeholder collaboration, and effective change management strategies to navigate cultural and institutional barriers effectively.</w:t>
      </w:r>
    </w:p>
    <w:p w14:paraId="31253500" w14:textId="77777777" w:rsidR="00CB226D" w:rsidRPr="00B07422" w:rsidRDefault="00CB226D" w:rsidP="00E863BF">
      <w:pPr>
        <w:rPr>
          <w:rFonts w:ascii="Arial" w:hAnsi="Arial" w:cs="Arial"/>
        </w:rPr>
      </w:pPr>
    </w:p>
    <w:p w14:paraId="179D1B7C" w14:textId="5DFF95DD" w:rsidR="00E863BF" w:rsidRPr="00B07422" w:rsidRDefault="00E863BF" w:rsidP="00E863BF">
      <w:pPr>
        <w:rPr>
          <w:rFonts w:ascii="Arial" w:hAnsi="Arial" w:cs="Arial"/>
        </w:rPr>
      </w:pPr>
      <w:r w:rsidRPr="00B07422">
        <w:rPr>
          <w:rFonts w:ascii="Arial" w:hAnsi="Arial" w:cs="Arial"/>
        </w:rPr>
        <w:t>Additionally, resource constraints and competing priorities pose significant obstacles to the implementation of IFRS in Brazil. Developing economies often face limited financial resources, infrastructure deficiencies, and pressing socio-economic challenges that divert attention and resources away from accounting standard convergence efforts (</w:t>
      </w:r>
      <w:proofErr w:type="spellStart"/>
      <w:r w:rsidRPr="00B07422">
        <w:rPr>
          <w:rFonts w:ascii="Arial" w:hAnsi="Arial" w:cs="Arial"/>
        </w:rPr>
        <w:t>Daske</w:t>
      </w:r>
      <w:proofErr w:type="spellEnd"/>
      <w:r w:rsidRPr="00B07422">
        <w:rPr>
          <w:rFonts w:ascii="Arial" w:hAnsi="Arial" w:cs="Arial"/>
        </w:rPr>
        <w:t xml:space="preserve"> et al., 2008). Balancing the need for financial reporting reforms with other developmental priorities requires careful planning, resource allocation, and government support to ensure the successful implementation of IFRS in Brazil.</w:t>
      </w:r>
    </w:p>
    <w:p w14:paraId="6CB3C653" w14:textId="77777777" w:rsidR="00CB226D" w:rsidRPr="00B07422" w:rsidRDefault="00CB226D" w:rsidP="00E863BF">
      <w:pPr>
        <w:rPr>
          <w:rFonts w:ascii="Arial" w:hAnsi="Arial" w:cs="Arial"/>
        </w:rPr>
      </w:pPr>
    </w:p>
    <w:p w14:paraId="0134350A" w14:textId="7B6F022F" w:rsidR="00E863BF" w:rsidRPr="00B07422" w:rsidRDefault="00E863BF" w:rsidP="00E863BF">
      <w:pPr>
        <w:rPr>
          <w:rFonts w:ascii="Arial" w:hAnsi="Arial" w:cs="Arial"/>
        </w:rPr>
      </w:pPr>
      <w:r w:rsidRPr="00B07422">
        <w:rPr>
          <w:rFonts w:ascii="Arial" w:hAnsi="Arial" w:cs="Arial"/>
        </w:rPr>
        <w:t>In summary, implementing IFRS in a developing economy like Brazil presents several challenges, including limited technical expertise, inadequate regulatory infrastructure, cultural and institutional barriers, and resource constraints. Addressing these challenges requires concerted efforts from government agencies, regulatory bodies, accounting professionals, and other stakeholders to enhance capacity, strengthen regulatory oversight, promote cultural change, and allocate resources effectively. Overcoming these hurdles is essential to realising the benefits of IFRS adoption, including improved financial reporting quality, investor confidence, and economic development in Brazil.</w:t>
      </w:r>
    </w:p>
    <w:p w14:paraId="249EBB7B" w14:textId="4A42989A" w:rsidR="00B07422" w:rsidRPr="00B07422" w:rsidRDefault="00B07422" w:rsidP="00B07422">
      <w:pPr>
        <w:rPr>
          <w:rFonts w:ascii="Arial" w:hAnsi="Arial" w:cs="Arial"/>
        </w:rPr>
      </w:pPr>
      <w:r w:rsidRPr="00B07422">
        <w:rPr>
          <w:rFonts w:ascii="Arial" w:hAnsi="Arial" w:cs="Arial"/>
        </w:rPr>
        <w:br/>
        <w:t>Implementing International Financial Reporting Standards (IFRS) in a developing economy like Brazil offers several benefits, particularly in terms of attracting foreign investment and promoting global integration. These advantages contribute to fostering economic growth, improving transparency, and enhancing the country's position in the global marketplace. Examining the benefits of implementing IFRS in Brazil provides valuable insights into the potential advantages of harmonizing accounting standards in developing economies.</w:t>
      </w:r>
    </w:p>
    <w:p w14:paraId="44145B99" w14:textId="77777777" w:rsidR="00B07422" w:rsidRPr="00B07422" w:rsidRDefault="00B07422" w:rsidP="00B07422">
      <w:pPr>
        <w:rPr>
          <w:rFonts w:ascii="Arial" w:hAnsi="Arial" w:cs="Arial"/>
        </w:rPr>
      </w:pPr>
    </w:p>
    <w:p w14:paraId="788B3559" w14:textId="61B3A6D6" w:rsidR="00B07422" w:rsidRPr="00B07422" w:rsidRDefault="00B07422" w:rsidP="00B07422">
      <w:pPr>
        <w:rPr>
          <w:rFonts w:ascii="Arial" w:hAnsi="Arial" w:cs="Arial"/>
        </w:rPr>
      </w:pPr>
      <w:r w:rsidRPr="00B07422">
        <w:rPr>
          <w:rFonts w:ascii="Arial" w:hAnsi="Arial" w:cs="Arial"/>
        </w:rPr>
        <w:lastRenderedPageBreak/>
        <w:t>One significant benefit of adopting IFRS in Brazil is the attractiveness it presents to foreign investors. Foreign investors value transparency, consistency, and comparability in financial reporting, all of which are facilitated by the adoption of globally recognized accounting standards like IFRS (Hail et al., 2010). By aligning with IFRS, Brazil can enhance investor confidence, reduce information asymmetry, and attract foreign capital inflows, which are crucial for financing economic development and infrastructure projects (Hail et al., 2010). Moreover, the adoption of IFRS improves Brazil's visibility and credibility in the international investment community, positioning the country as an attractive destination for foreign direct investment.</w:t>
      </w:r>
    </w:p>
    <w:p w14:paraId="28438E3A" w14:textId="77777777" w:rsidR="00B07422" w:rsidRPr="00B07422" w:rsidRDefault="00B07422" w:rsidP="00B07422">
      <w:pPr>
        <w:rPr>
          <w:rFonts w:ascii="Arial" w:hAnsi="Arial" w:cs="Arial"/>
        </w:rPr>
      </w:pPr>
    </w:p>
    <w:p w14:paraId="0F8A851B" w14:textId="5C0AE016" w:rsidR="00B07422" w:rsidRPr="00B07422" w:rsidRDefault="00B07422" w:rsidP="00B07422">
      <w:pPr>
        <w:rPr>
          <w:rFonts w:ascii="Arial" w:hAnsi="Arial" w:cs="Arial"/>
        </w:rPr>
      </w:pPr>
      <w:r w:rsidRPr="00B07422">
        <w:rPr>
          <w:rFonts w:ascii="Arial" w:hAnsi="Arial" w:cs="Arial"/>
        </w:rPr>
        <w:t>Furthermore, implementing IFRS promotes global integration by aligning Brazil's accounting practices with international norms and standards. Harmonizing accounting standards with IFRS facilitates cross-border business transactions, mergers, and acquisitions, as companies can rely on consistent financial reporting frameworks (</w:t>
      </w:r>
      <w:proofErr w:type="spellStart"/>
      <w:r w:rsidRPr="00B07422">
        <w:rPr>
          <w:rFonts w:ascii="Arial" w:hAnsi="Arial" w:cs="Arial"/>
        </w:rPr>
        <w:t>Daske</w:t>
      </w:r>
      <w:proofErr w:type="spellEnd"/>
      <w:r w:rsidRPr="00B07422">
        <w:rPr>
          <w:rFonts w:ascii="Arial" w:hAnsi="Arial" w:cs="Arial"/>
        </w:rPr>
        <w:t xml:space="preserve"> et al., 2013). This alignment reduces the compliance burden for multinational corporations operating in Brazil and enhances the country's integration into global supply chains and capital markets (</w:t>
      </w:r>
      <w:proofErr w:type="spellStart"/>
      <w:r w:rsidRPr="00B07422">
        <w:rPr>
          <w:rFonts w:ascii="Arial" w:hAnsi="Arial" w:cs="Arial"/>
        </w:rPr>
        <w:t>Daske</w:t>
      </w:r>
      <w:proofErr w:type="spellEnd"/>
      <w:r w:rsidRPr="00B07422">
        <w:rPr>
          <w:rFonts w:ascii="Arial" w:hAnsi="Arial" w:cs="Arial"/>
        </w:rPr>
        <w:t xml:space="preserve"> et al., 2013). By embracing IFRS, Brazil can strengthen its economic ties with other countries, promote trade and investment flows, and enhance its competitiveness in the global economy.</w:t>
      </w:r>
    </w:p>
    <w:p w14:paraId="0E6035DF" w14:textId="77777777" w:rsidR="00B07422" w:rsidRPr="00B07422" w:rsidRDefault="00B07422" w:rsidP="00B07422">
      <w:pPr>
        <w:rPr>
          <w:rFonts w:ascii="Arial" w:hAnsi="Arial" w:cs="Arial"/>
        </w:rPr>
      </w:pPr>
    </w:p>
    <w:p w14:paraId="50211454" w14:textId="42B3FF91" w:rsidR="00B07422" w:rsidRPr="00B07422" w:rsidRDefault="00B07422" w:rsidP="00B07422">
      <w:pPr>
        <w:rPr>
          <w:rFonts w:ascii="Arial" w:hAnsi="Arial" w:cs="Arial"/>
        </w:rPr>
      </w:pPr>
      <w:r w:rsidRPr="00B07422">
        <w:rPr>
          <w:rFonts w:ascii="Arial" w:hAnsi="Arial" w:cs="Arial"/>
        </w:rPr>
        <w:t>Additionally, the adoption of IFRS in Brazil contributes to improving the quality and reliability of financial information, which benefits both domestic and international stakeholders. IFRS-compliant financial statements provide investors, creditors, and other users with clearer insights into the financial performance and position of Brazilian companies (Barth et al., 2012). This transparency reduces the risk of financial misstatements, fraud, and manipulation, enhancing investor confidence and market efficiency (Barth et al., 2012). Moreover, the availability of reliable financial information under IFRS promotes better decision-making, risk management, and resource allocation, contributing to overall economic stability and growth in Brazil.</w:t>
      </w:r>
    </w:p>
    <w:p w14:paraId="2DCB7DEC" w14:textId="77777777" w:rsidR="00B07422" w:rsidRPr="00B07422" w:rsidRDefault="00B07422" w:rsidP="00B07422">
      <w:pPr>
        <w:rPr>
          <w:rFonts w:ascii="Arial" w:hAnsi="Arial" w:cs="Arial"/>
        </w:rPr>
      </w:pPr>
    </w:p>
    <w:p w14:paraId="13E53B59" w14:textId="77777777" w:rsidR="00B07422" w:rsidRPr="00B07422" w:rsidRDefault="00B07422" w:rsidP="00B07422">
      <w:pPr>
        <w:rPr>
          <w:rFonts w:ascii="Arial" w:hAnsi="Arial" w:cs="Arial"/>
        </w:rPr>
      </w:pPr>
      <w:r w:rsidRPr="00B07422">
        <w:rPr>
          <w:rFonts w:ascii="Arial" w:hAnsi="Arial" w:cs="Arial"/>
        </w:rPr>
        <w:t>Furthermore, the adoption of IFRS fosters greater alignment with global best practices and standards in corporate governance and financial reporting. By adhering to internationally recognized accounting principles, Brazilian companies can improve their corporate governance practices, enhance board oversight, and strengthen internal controls (</w:t>
      </w:r>
      <w:proofErr w:type="spellStart"/>
      <w:r w:rsidRPr="00B07422">
        <w:rPr>
          <w:rFonts w:ascii="Arial" w:hAnsi="Arial" w:cs="Arial"/>
        </w:rPr>
        <w:t>Pacter</w:t>
      </w:r>
      <w:proofErr w:type="spellEnd"/>
      <w:r w:rsidRPr="00B07422">
        <w:rPr>
          <w:rFonts w:ascii="Arial" w:hAnsi="Arial" w:cs="Arial"/>
        </w:rPr>
        <w:t>, 2007). This alignment with global standards enhances Brazil's reputation as a reliable and transparent business environment, attracting investment and fostering sustainable economic development (</w:t>
      </w:r>
      <w:proofErr w:type="spellStart"/>
      <w:r w:rsidRPr="00B07422">
        <w:rPr>
          <w:rFonts w:ascii="Arial" w:hAnsi="Arial" w:cs="Arial"/>
        </w:rPr>
        <w:t>Pacter</w:t>
      </w:r>
      <w:proofErr w:type="spellEnd"/>
      <w:r w:rsidRPr="00B07422">
        <w:rPr>
          <w:rFonts w:ascii="Arial" w:hAnsi="Arial" w:cs="Arial"/>
        </w:rPr>
        <w:t xml:space="preserve">, 2007). </w:t>
      </w:r>
    </w:p>
    <w:p w14:paraId="3422109C" w14:textId="77777777" w:rsidR="00B07422" w:rsidRPr="00B07422" w:rsidRDefault="00B07422" w:rsidP="00B07422">
      <w:pPr>
        <w:rPr>
          <w:rFonts w:ascii="Arial" w:hAnsi="Arial" w:cs="Arial"/>
        </w:rPr>
      </w:pPr>
    </w:p>
    <w:p w14:paraId="2015CB36" w14:textId="5C228A57" w:rsidR="00B07422" w:rsidRPr="00B07422" w:rsidRDefault="00B07422" w:rsidP="00B07422">
      <w:pPr>
        <w:rPr>
          <w:rFonts w:ascii="Arial" w:hAnsi="Arial" w:cs="Arial"/>
        </w:rPr>
      </w:pPr>
      <w:r w:rsidRPr="00B07422">
        <w:rPr>
          <w:rFonts w:ascii="Arial" w:hAnsi="Arial" w:cs="Arial"/>
        </w:rPr>
        <w:t>Moreover, the adoption of IFRS encourages the professional development of accountants and auditors in Brazil, promoting greater accountability and professionalism in financial reporting practices.</w:t>
      </w:r>
    </w:p>
    <w:p w14:paraId="5B999F17" w14:textId="77777777" w:rsidR="00B07422" w:rsidRPr="00B07422" w:rsidRDefault="00B07422" w:rsidP="00B07422">
      <w:pPr>
        <w:rPr>
          <w:rFonts w:ascii="Arial" w:hAnsi="Arial" w:cs="Arial"/>
        </w:rPr>
      </w:pPr>
    </w:p>
    <w:p w14:paraId="7F219148" w14:textId="19E404D2" w:rsidR="00B07422" w:rsidRPr="00B07422" w:rsidRDefault="00B07422" w:rsidP="00B07422">
      <w:pPr>
        <w:rPr>
          <w:rFonts w:ascii="Arial" w:hAnsi="Arial" w:cs="Arial"/>
        </w:rPr>
      </w:pPr>
      <w:r w:rsidRPr="00B07422">
        <w:rPr>
          <w:rFonts w:ascii="Arial" w:hAnsi="Arial" w:cs="Arial"/>
        </w:rPr>
        <w:t>In summary, implementing IFRS in a developing economy like Brazil offers several benefits, including attracting foreign investment, promoting global integration, improving financial transparency, and enhancing corporate governance practices. By adopting internationally recognized accounting standards, Brazil can enhance its attractiveness to foreign investors, strengthen its integration into the global economy, and improve the quality and reliability of financial information. These advantages contribute to fostering economic growth, stability, and prosperity in Brazil.</w:t>
      </w:r>
    </w:p>
    <w:p w14:paraId="4B88734D" w14:textId="740C1AD2" w:rsidR="00B07422" w:rsidRPr="00B07422" w:rsidRDefault="00B07422" w:rsidP="00B747EF">
      <w:pPr>
        <w:rPr>
          <w:rFonts w:ascii="Arial" w:hAnsi="Arial" w:cs="Arial"/>
          <w:color w:val="0D0D0D"/>
          <w:shd w:val="clear" w:color="auto" w:fill="FFFFFF"/>
        </w:rPr>
      </w:pPr>
      <w:r w:rsidRPr="00B07422">
        <w:rPr>
          <w:rFonts w:ascii="Arial" w:hAnsi="Arial" w:cs="Arial"/>
        </w:rPr>
        <w:br/>
      </w:r>
      <w:r w:rsidRPr="00B07422">
        <w:rPr>
          <w:rFonts w:ascii="Arial" w:hAnsi="Arial" w:cs="Arial"/>
          <w:color w:val="0D0D0D"/>
          <w:shd w:val="clear" w:color="auto" w:fill="FFFFFF"/>
        </w:rPr>
        <w:t>To optimize IFRS adoption in the United States, strategic transition planning and robust training initiatives are paramount. Establishing a comprehensive transition strategy, including phased implementation and stakeholder engagement, can facilitate a smooth migration from U.S. GAAP to IFRS (</w:t>
      </w:r>
      <w:proofErr w:type="spellStart"/>
      <w:r w:rsidRPr="00B07422">
        <w:rPr>
          <w:rFonts w:ascii="Arial" w:hAnsi="Arial" w:cs="Arial"/>
          <w:color w:val="0D0D0D"/>
          <w:shd w:val="clear" w:color="auto" w:fill="FFFFFF"/>
        </w:rPr>
        <w:t>DeFond</w:t>
      </w:r>
      <w:proofErr w:type="spellEnd"/>
      <w:r w:rsidRPr="00B07422">
        <w:rPr>
          <w:rFonts w:ascii="Arial" w:hAnsi="Arial" w:cs="Arial"/>
          <w:color w:val="0D0D0D"/>
          <w:shd w:val="clear" w:color="auto" w:fill="FFFFFF"/>
        </w:rPr>
        <w:t xml:space="preserve"> &amp; Hung, 2003). Additionally, investing in extensive training programs for accounting professionals, auditors, and regulators is crucial to ensure a deep understanding and effective application of IFRS principles (Barth, Landsman, &amp; Lang, 2008). By prioritizing strategic transition and investing in rigorous training, the United States can enhance the success and efficiency of IFRS adoption.</w:t>
      </w:r>
    </w:p>
    <w:p w14:paraId="02C220DF" w14:textId="5C1DBAFE" w:rsidR="00B07422" w:rsidRDefault="00B07422" w:rsidP="00B747EF">
      <w:pPr>
        <w:rPr>
          <w:rFonts w:ascii="Arial" w:hAnsi="Arial" w:cs="Arial"/>
          <w:color w:val="0D0D0D"/>
          <w:shd w:val="clear" w:color="auto" w:fill="FFFFFF"/>
        </w:rPr>
      </w:pPr>
      <w:r w:rsidRPr="00B07422">
        <w:rPr>
          <w:rFonts w:ascii="Arial" w:hAnsi="Arial" w:cs="Arial"/>
        </w:rPr>
        <w:lastRenderedPageBreak/>
        <w:br/>
      </w:r>
      <w:r w:rsidRPr="00B07422">
        <w:rPr>
          <w:rFonts w:ascii="Arial" w:hAnsi="Arial" w:cs="Arial"/>
          <w:color w:val="0D0D0D"/>
          <w:shd w:val="clear" w:color="auto" w:fill="FFFFFF"/>
        </w:rPr>
        <w:t>To optimize IFRS adoption in Brazil, prioritizing capacity building and regulatory strengthening is essential. Investing in capacity-building initiatives to enhance the technical expertise of accounting professionals and regulatory authorities can improve the quality and consistency of financial reporting (</w:t>
      </w:r>
      <w:proofErr w:type="spellStart"/>
      <w:r w:rsidRPr="00B07422">
        <w:rPr>
          <w:rFonts w:ascii="Arial" w:hAnsi="Arial" w:cs="Arial"/>
          <w:color w:val="0D0D0D"/>
          <w:shd w:val="clear" w:color="auto" w:fill="FFFFFF"/>
        </w:rPr>
        <w:t>Botosan</w:t>
      </w:r>
      <w:proofErr w:type="spellEnd"/>
      <w:r w:rsidRPr="00B07422">
        <w:rPr>
          <w:rFonts w:ascii="Arial" w:hAnsi="Arial" w:cs="Arial"/>
          <w:color w:val="0D0D0D"/>
          <w:shd w:val="clear" w:color="auto" w:fill="FFFFFF"/>
        </w:rPr>
        <w:t xml:space="preserve"> &amp; Plumlee, 2005). Additionally, strengthening regulatory frameworks and enforcement mechanisms can bolster compliance with IFRS standards, enhancing transparency and investor confidence (Soderstrom &amp; Sun, 2007). By focusing on capacity building and regulatory strengthening, Brazil can maximize the benefits of IFRS adoption and promote sustainable economic development.</w:t>
      </w:r>
    </w:p>
    <w:p w14:paraId="5937A1DD" w14:textId="6D325D59" w:rsidR="0025098B" w:rsidRDefault="0025098B" w:rsidP="0025098B"/>
    <w:p w14:paraId="793F453C" w14:textId="625F3092" w:rsidR="00710C15" w:rsidRPr="00710C15" w:rsidRDefault="00710C15">
      <w:pPr>
        <w:pStyle w:val="Heading1"/>
        <w:rPr>
          <w:sz w:val="40"/>
          <w:szCs w:val="16"/>
        </w:rPr>
      </w:pPr>
      <w:r w:rsidRPr="00710C15">
        <w:rPr>
          <w:sz w:val="40"/>
          <w:szCs w:val="16"/>
        </w:rPr>
        <w:t>References</w:t>
      </w:r>
    </w:p>
    <w:p w14:paraId="7388F4E8" w14:textId="68284D82" w:rsidR="00710C15" w:rsidRPr="00710C15" w:rsidRDefault="00710C15" w:rsidP="00710C15">
      <w:pPr>
        <w:rPr>
          <w:sz w:val="2"/>
          <w:szCs w:val="2"/>
        </w:rPr>
      </w:pPr>
      <w:r>
        <w:br/>
      </w:r>
    </w:p>
    <w:sdt>
      <w:sdtPr>
        <w:id w:val="-573587230"/>
        <w:bibliography/>
      </w:sdtPr>
      <w:sdtContent>
        <w:p w14:paraId="0AA3D3C9" w14:textId="78D737EA" w:rsidR="00710C15" w:rsidRDefault="00710C15" w:rsidP="00710C15">
          <w:r>
            <w:t>Ball, R. (2006). International Financial Reporting Standards (IFRS): Pros and cons for investors. Accounting and Business Research, 36(sup1), 5-27. (Accessed 15 Jan. 2024).</w:t>
          </w:r>
        </w:p>
        <w:p w14:paraId="4A006DE2" w14:textId="77777777" w:rsidR="00710C15" w:rsidRDefault="00710C15" w:rsidP="00710C15"/>
        <w:p w14:paraId="0D8442DC" w14:textId="77777777" w:rsidR="00710C15" w:rsidRDefault="00710C15" w:rsidP="00710C15">
          <w:r>
            <w:t>Ball, R. (2006). International Financial Reporting Standards (IFRS): pros and cons for investors. Accounting and Business Research, 36(sup1), 5-27. (Accessed 16 Jan. 2024).</w:t>
          </w:r>
        </w:p>
        <w:p w14:paraId="2605978A" w14:textId="77777777" w:rsidR="00710C15" w:rsidRDefault="00710C15" w:rsidP="00710C15"/>
        <w:p w14:paraId="3F9343A7" w14:textId="77777777" w:rsidR="00710C15" w:rsidRDefault="00710C15" w:rsidP="00710C15">
          <w:proofErr w:type="spellStart"/>
          <w:r>
            <w:t>Botosan</w:t>
          </w:r>
          <w:proofErr w:type="spellEnd"/>
          <w:r>
            <w:t>, C. A., &amp; Plumlee, M. A. (2005). Assessing alternative proxies for the expected risk premium. The Accounting Review, 80(1), 21-53. (Accessed 15 Jan. 2024).</w:t>
          </w:r>
        </w:p>
        <w:p w14:paraId="0F973231" w14:textId="77777777" w:rsidR="00710C15" w:rsidRDefault="00710C15" w:rsidP="00710C15"/>
        <w:p w14:paraId="366D3115" w14:textId="77777777" w:rsidR="00710C15" w:rsidRDefault="00710C15" w:rsidP="00710C15">
          <w:proofErr w:type="spellStart"/>
          <w:r>
            <w:t>Botosan</w:t>
          </w:r>
          <w:proofErr w:type="spellEnd"/>
          <w:r>
            <w:t>, C. A., &amp; Plumlee, M. A. (2005). Assessing alternative proxies for the expected risk premium. The Accounting Review, 80(1), 21-53. (Accessed 16 Jan. 2024).</w:t>
          </w:r>
        </w:p>
        <w:p w14:paraId="1600BDB6" w14:textId="77777777" w:rsidR="00710C15" w:rsidRDefault="00710C15" w:rsidP="00710C15"/>
        <w:p w14:paraId="357AA2BE" w14:textId="77777777" w:rsidR="00710C15" w:rsidRDefault="00710C15" w:rsidP="00710C15">
          <w:r>
            <w:t>Barth, M. E. (2008). Global financial reporting: Implications for US academia. The Accounting Review, 83(5), 1159-1179. (Accessed 17 Jan. 2024).</w:t>
          </w:r>
        </w:p>
        <w:p w14:paraId="3CC232A2" w14:textId="77777777" w:rsidR="00710C15" w:rsidRDefault="00710C15" w:rsidP="00710C15"/>
        <w:p w14:paraId="011D4201" w14:textId="77777777" w:rsidR="00710C15" w:rsidRDefault="00710C15" w:rsidP="00710C15">
          <w:r>
            <w:t>Barth, M. E., Landsman, W. R., &amp; Lang, M. H. (2008). International accounting standards and accounting quality. Journal of Accounting Research, 46(3), 467-498. (Accessed 18 Jan. 2024).</w:t>
          </w:r>
        </w:p>
        <w:p w14:paraId="5A79C8F9" w14:textId="77777777" w:rsidR="00710C15" w:rsidRDefault="00710C15" w:rsidP="00710C15"/>
        <w:p w14:paraId="0D1FE389" w14:textId="77777777" w:rsidR="00710C15" w:rsidRDefault="00710C15" w:rsidP="00710C15">
          <w:r>
            <w:t xml:space="preserve">Christensen, H. B., Lee, E., &amp; Walker, M. (2015). Incentives or standards: What determines accounting quality changes around IFRS </w:t>
          </w:r>
          <w:proofErr w:type="gramStart"/>
          <w:r>
            <w:t>adoption?.</w:t>
          </w:r>
          <w:proofErr w:type="gramEnd"/>
          <w:r>
            <w:t xml:space="preserve"> European Accounting Review, 24(1), 31-61. (Accessed 19 Jan. 2024).</w:t>
          </w:r>
        </w:p>
        <w:p w14:paraId="1B68AD01" w14:textId="77777777" w:rsidR="00710C15" w:rsidRDefault="00710C15" w:rsidP="00710C15"/>
        <w:p w14:paraId="19C1B59D" w14:textId="77777777" w:rsidR="00710C15" w:rsidRDefault="00710C15" w:rsidP="00710C15">
          <w:r>
            <w:t>Cairns, D. (2011). The economic impact of IFRS – A review. Accounting in Europe, 8(1), 1-13. (Accessed 20 Jan. 2024).</w:t>
          </w:r>
        </w:p>
        <w:p w14:paraId="37610EFE" w14:textId="77777777" w:rsidR="00710C15" w:rsidRDefault="00710C15" w:rsidP="00710C15"/>
        <w:p w14:paraId="218900A4" w14:textId="77777777" w:rsidR="00710C15" w:rsidRDefault="00710C15" w:rsidP="00710C15">
          <w:proofErr w:type="spellStart"/>
          <w:r>
            <w:t>Daske</w:t>
          </w:r>
          <w:proofErr w:type="spellEnd"/>
          <w:r>
            <w:t xml:space="preserve">, H., Hail, L., </w:t>
          </w:r>
          <w:proofErr w:type="spellStart"/>
          <w:r>
            <w:t>Leuz</w:t>
          </w:r>
          <w:proofErr w:type="spellEnd"/>
          <w:r>
            <w:t>, C., &amp; Verdi, R. (2013). Adopting a label: Heterogeneity in the economic consequences around IAS/IFRS adoptions. Journal of Accounting Research, 51(3), 495-547. (Accessed 21 Jan. 2024).</w:t>
          </w:r>
        </w:p>
        <w:p w14:paraId="1FEA494E" w14:textId="77777777" w:rsidR="00710C15" w:rsidRDefault="00710C15" w:rsidP="00710C15"/>
        <w:p w14:paraId="7A0AF1E0" w14:textId="77777777" w:rsidR="00710C15" w:rsidRDefault="00710C15" w:rsidP="00710C15">
          <w:proofErr w:type="spellStart"/>
          <w:r>
            <w:t>Daske</w:t>
          </w:r>
          <w:proofErr w:type="spellEnd"/>
          <w:r>
            <w:t xml:space="preserve">, H., Hail, L., </w:t>
          </w:r>
          <w:proofErr w:type="spellStart"/>
          <w:r>
            <w:t>Leuz</w:t>
          </w:r>
          <w:proofErr w:type="spellEnd"/>
          <w:r>
            <w:t xml:space="preserve">, C., &amp; Verdi, R. (2008). Mandatory IFRS reporting around the world: early evidence </w:t>
          </w:r>
          <w:proofErr w:type="gramStart"/>
          <w:r>
            <w:t>on</w:t>
          </w:r>
          <w:proofErr w:type="gramEnd"/>
          <w:r>
            <w:t xml:space="preserve"> the economic consequences. Journal of Accounting Research, 46(5), 1085-1142. (Accessed 15 Jan. 2024).</w:t>
          </w:r>
        </w:p>
        <w:p w14:paraId="10EE1597" w14:textId="77777777" w:rsidR="00710C15" w:rsidRDefault="00710C15" w:rsidP="00710C15"/>
        <w:p w14:paraId="18BEF509" w14:textId="77777777" w:rsidR="00710C15" w:rsidRDefault="00710C15" w:rsidP="00710C15">
          <w:proofErr w:type="spellStart"/>
          <w:r>
            <w:t>Daske</w:t>
          </w:r>
          <w:proofErr w:type="spellEnd"/>
          <w:r>
            <w:t xml:space="preserve">, H., Hail, L., </w:t>
          </w:r>
          <w:proofErr w:type="spellStart"/>
          <w:r>
            <w:t>Leuz</w:t>
          </w:r>
          <w:proofErr w:type="spellEnd"/>
          <w:r>
            <w:t xml:space="preserve">, C., &amp; Verdi, R. (2008). Mandatory IFRS reporting around the world: early evidence </w:t>
          </w:r>
          <w:proofErr w:type="gramStart"/>
          <w:r>
            <w:t>on</w:t>
          </w:r>
          <w:proofErr w:type="gramEnd"/>
          <w:r>
            <w:t xml:space="preserve"> the economic consequences. Journal of Accounting Research, 46(5), 1085-1142. (Accessed 16 Jan. 2024).</w:t>
          </w:r>
        </w:p>
        <w:p w14:paraId="70CB1011" w14:textId="77777777" w:rsidR="00710C15" w:rsidRDefault="00710C15" w:rsidP="00710C15"/>
        <w:p w14:paraId="3934460D" w14:textId="77777777" w:rsidR="00710C15" w:rsidRDefault="00710C15" w:rsidP="00710C15">
          <w:proofErr w:type="spellStart"/>
          <w:r>
            <w:t>DeFond</w:t>
          </w:r>
          <w:proofErr w:type="spellEnd"/>
          <w:r>
            <w:t>, M. L., &amp; Hung, M. (2003). An empirical analysis of analysts' cash flow forecasts. Journal of Accounting and Economics, 35(1), 73-100. (Accessed 17 Jan. 2024).</w:t>
          </w:r>
        </w:p>
        <w:p w14:paraId="25702D87" w14:textId="77777777" w:rsidR="00710C15" w:rsidRDefault="00710C15" w:rsidP="00710C15"/>
        <w:p w14:paraId="5B8F4E7C" w14:textId="77777777" w:rsidR="00710C15" w:rsidRDefault="00710C15" w:rsidP="00710C15">
          <w:r>
            <w:lastRenderedPageBreak/>
            <w:t xml:space="preserve">Hail, L., </w:t>
          </w:r>
          <w:proofErr w:type="spellStart"/>
          <w:r>
            <w:t>Leuz</w:t>
          </w:r>
          <w:proofErr w:type="spellEnd"/>
          <w:r>
            <w:t>, C., &amp; Wysocki, P. D. (2010). Global accounting convergence and the potential adoption of IFRS by the US (part II): Political factors and future scenarios for US accounting standards. Accounting Horizons, 24(4), 567-588. (Accessed 18 Jan. 2024).</w:t>
          </w:r>
        </w:p>
        <w:p w14:paraId="23C2DEF7" w14:textId="77777777" w:rsidR="00710C15" w:rsidRDefault="00710C15" w:rsidP="00710C15"/>
        <w:p w14:paraId="05F05D23" w14:textId="77777777" w:rsidR="00710C15" w:rsidRDefault="00710C15" w:rsidP="00710C15">
          <w:r>
            <w:t>Jaggi, B., &amp; Low, P. (2000). Impact of culture, market forces, and legal system on financial disclosures. International Journal of Accounting, 35(4), 495-519. (Accessed 19 Jan. 2024).</w:t>
          </w:r>
        </w:p>
        <w:p w14:paraId="7131AC0D" w14:textId="77777777" w:rsidR="00710C15" w:rsidRDefault="00710C15" w:rsidP="00710C15"/>
        <w:p w14:paraId="19A27299" w14:textId="77777777" w:rsidR="00710C15" w:rsidRDefault="00710C15" w:rsidP="00710C15">
          <w:proofErr w:type="spellStart"/>
          <w:r>
            <w:t>Leuz</w:t>
          </w:r>
          <w:proofErr w:type="spellEnd"/>
          <w:r>
            <w:t>, C., &amp; Wysocki, P. D. (2016). The economics of disclosure and financial reporting regulation: Evidence and suggestions for future research. Journal of Accounting Research, 54(2), 525-622. (Accessed 20 Jan. 2024).</w:t>
          </w:r>
        </w:p>
        <w:p w14:paraId="08132570" w14:textId="77777777" w:rsidR="00710C15" w:rsidRDefault="00710C15" w:rsidP="00710C15"/>
        <w:p w14:paraId="618FE299" w14:textId="77777777" w:rsidR="00710C15" w:rsidRDefault="00710C15" w:rsidP="00710C15">
          <w:r>
            <w:t>Nobes, C. (2015). The Conceptual Underpinnings of IFRS. Accounting in Europe, 12(2), 149-173. (Accessed 21 Jan. 2024).</w:t>
          </w:r>
        </w:p>
        <w:p w14:paraId="67F4E82A" w14:textId="77777777" w:rsidR="00710C15" w:rsidRDefault="00710C15" w:rsidP="00710C15"/>
        <w:p w14:paraId="397B7245" w14:textId="77777777" w:rsidR="00710C15" w:rsidRDefault="00710C15" w:rsidP="00710C15">
          <w:proofErr w:type="spellStart"/>
          <w:r>
            <w:t>Pacter</w:t>
          </w:r>
          <w:proofErr w:type="spellEnd"/>
          <w:r>
            <w:t xml:space="preserve">, P. (2007). International financial reporting standards: What are the </w:t>
          </w:r>
          <w:proofErr w:type="gramStart"/>
          <w:r>
            <w:t>benefits?.</w:t>
          </w:r>
          <w:proofErr w:type="gramEnd"/>
          <w:r>
            <w:t xml:space="preserve"> Journal of International Financial Management &amp; Accounting, 18(2), 90-119. (Accessed 15 Jan. 2024).</w:t>
          </w:r>
        </w:p>
        <w:p w14:paraId="4FDB80D4" w14:textId="77777777" w:rsidR="00710C15" w:rsidRDefault="00710C15" w:rsidP="00710C15"/>
        <w:p w14:paraId="32EA34F6" w14:textId="77777777" w:rsidR="00710C15" w:rsidRDefault="00710C15" w:rsidP="00710C15">
          <w:r>
            <w:t>Soderstrom, N. S., &amp; Sun, K. J. (2007). IFRS adoption and accounting quality: A review. European Accounting Review, 16(4), 675-702. (Accessed 16 Jan. 2024).</w:t>
          </w:r>
        </w:p>
        <w:p w14:paraId="5DFE8314" w14:textId="77777777" w:rsidR="00710C15" w:rsidRDefault="00710C15" w:rsidP="00710C15"/>
        <w:p w14:paraId="07F77B93" w14:textId="77777777" w:rsidR="00710C15" w:rsidRDefault="00710C15" w:rsidP="00710C15">
          <w:r>
            <w:t>Soderstrom, N. S., &amp; Sun, K. J. (2007). IFRS adoption and accounting quality: A review. European Accounting Review, 16(4), 675-702. (Accessed 17 Jan. 2024).</w:t>
          </w:r>
        </w:p>
        <w:p w14:paraId="0DD18D78" w14:textId="3C4C59B2" w:rsidR="00B07422" w:rsidRPr="00B07422" w:rsidRDefault="00710C15" w:rsidP="00B747EF">
          <w:pPr>
            <w:rPr>
              <w:rFonts w:ascii="Arial" w:hAnsi="Arial" w:cs="Arial"/>
              <w:noProof/>
              <w:lang w:val="en-GB"/>
            </w:rPr>
          </w:pPr>
        </w:p>
      </w:sdtContent>
    </w:sdt>
    <w:sectPr w:rsidR="00B07422" w:rsidRPr="00B07422" w:rsidSect="0006710D">
      <w:footerReference w:type="even" r:id="rId11"/>
      <w:footerReference w:type="default" r:id="rId12"/>
      <w:pgSz w:w="11906" w:h="16838" w:code="9"/>
      <w:pgMar w:top="720" w:right="624" w:bottom="1077" w:left="624"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379D7C" w14:textId="77777777" w:rsidR="0006710D" w:rsidRDefault="0006710D" w:rsidP="001205A1">
      <w:r>
        <w:separator/>
      </w:r>
    </w:p>
  </w:endnote>
  <w:endnote w:type="continuationSeparator" w:id="0">
    <w:p w14:paraId="66E62F23" w14:textId="77777777" w:rsidR="0006710D" w:rsidRDefault="0006710D"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97884697"/>
      <w:docPartObj>
        <w:docPartGallery w:val="Page Numbers (Bottom of Page)"/>
        <w:docPartUnique/>
      </w:docPartObj>
    </w:sdtPr>
    <w:sdtContent>
      <w:p w14:paraId="6EFCFDEC" w14:textId="77777777" w:rsidR="001205A1" w:rsidRDefault="001205A1" w:rsidP="001739D4">
        <w:pPr>
          <w:pStyle w:val="Footer"/>
          <w:framePr w:wrap="none" w:vAnchor="text" w:hAnchor="margin" w:xAlign="right" w:y="1"/>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separate"/>
        </w:r>
        <w:r w:rsidR="007B0740">
          <w:rPr>
            <w:rStyle w:val="PageNumber"/>
            <w:noProof/>
            <w:lang w:val="en-GB" w:bidi="en-GB"/>
          </w:rPr>
          <w:t>2</w:t>
        </w:r>
        <w:r>
          <w:rPr>
            <w:rStyle w:val="PageNumber"/>
            <w:lang w:val="en-GB" w:bidi="en-GB"/>
          </w:rPr>
          <w:fldChar w:fldCharType="end"/>
        </w:r>
      </w:p>
    </w:sdtContent>
  </w:sdt>
  <w:p w14:paraId="7AA64270"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noProof/>
        <w:lang w:val="en-GB"/>
      </w:rPr>
      <w:id w:val="-1041358343"/>
      <w:docPartObj>
        <w:docPartGallery w:val="Page Numbers (Bottom of Page)"/>
        <w:docPartUnique/>
      </w:docPartObj>
    </w:sdtPr>
    <w:sdtContent>
      <w:p w14:paraId="29537DD2" w14:textId="77777777" w:rsidR="001205A1" w:rsidRPr="00F50E51" w:rsidRDefault="001205A1" w:rsidP="001739D4">
        <w:pPr>
          <w:pStyle w:val="Footer"/>
          <w:framePr w:wrap="none" w:vAnchor="text" w:hAnchor="margin" w:xAlign="right" w:y="1"/>
          <w:rPr>
            <w:rStyle w:val="PageNumber"/>
            <w:noProof/>
            <w:lang w:val="en-GB"/>
          </w:rPr>
        </w:pPr>
        <w:r w:rsidRPr="00F50E51">
          <w:rPr>
            <w:rStyle w:val="PageNumber"/>
            <w:noProof/>
            <w:lang w:val="en-GB" w:bidi="en-GB"/>
          </w:rPr>
          <w:fldChar w:fldCharType="begin"/>
        </w:r>
        <w:r w:rsidRPr="00F50E51">
          <w:rPr>
            <w:rStyle w:val="PageNumber"/>
            <w:noProof/>
            <w:lang w:val="en-GB" w:bidi="en-GB"/>
          </w:rPr>
          <w:instrText xml:space="preserve"> PAGE </w:instrText>
        </w:r>
        <w:r w:rsidRPr="00F50E51">
          <w:rPr>
            <w:rStyle w:val="PageNumber"/>
            <w:noProof/>
            <w:lang w:val="en-GB" w:bidi="en-GB"/>
          </w:rPr>
          <w:fldChar w:fldCharType="separate"/>
        </w:r>
        <w:r w:rsidR="00A84125" w:rsidRPr="00F50E51">
          <w:rPr>
            <w:rStyle w:val="PageNumber"/>
            <w:noProof/>
            <w:lang w:val="en-GB" w:bidi="en-GB"/>
          </w:rPr>
          <w:t>4</w:t>
        </w:r>
        <w:r w:rsidRPr="00F50E51">
          <w:rPr>
            <w:rStyle w:val="PageNumber"/>
            <w:noProof/>
            <w:lang w:val="en-GB" w:bidi="en-GB"/>
          </w:rPr>
          <w:fldChar w:fldCharType="end"/>
        </w:r>
      </w:p>
    </w:sdtContent>
  </w:sdt>
  <w:tbl>
    <w:tblPr>
      <w:tblW w:w="10658" w:type="dxa"/>
      <w:tblLayout w:type="fixed"/>
      <w:tblCellMar>
        <w:left w:w="0" w:type="dxa"/>
        <w:right w:w="0" w:type="dxa"/>
      </w:tblCellMar>
      <w:tblLook w:val="0600" w:firstRow="0" w:lastRow="0" w:firstColumn="0" w:lastColumn="0" w:noHBand="1" w:noVBand="1"/>
    </w:tblPr>
    <w:tblGrid>
      <w:gridCol w:w="5329"/>
      <w:gridCol w:w="5329"/>
    </w:tblGrid>
    <w:tr w:rsidR="001205A1" w:rsidRPr="00F50E51" w14:paraId="3E795A61" w14:textId="77777777" w:rsidTr="00A84125">
      <w:tc>
        <w:tcPr>
          <w:tcW w:w="5329" w:type="dxa"/>
        </w:tcPr>
        <w:p w14:paraId="030E9BE3" w14:textId="168F9B1A" w:rsidR="001205A1" w:rsidRPr="00F50E51" w:rsidRDefault="00710C15" w:rsidP="00C66528">
          <w:pPr>
            <w:pStyle w:val="Footer"/>
            <w:rPr>
              <w:noProof/>
              <w:lang w:val="en-GB"/>
            </w:rPr>
          </w:pPr>
          <w:r>
            <w:rPr>
              <w:noProof/>
              <w:lang w:val="en-GB"/>
            </w:rPr>
            <w:t>IFRS</w:t>
          </w:r>
          <w:r>
            <w:rPr>
              <w:noProof/>
              <w:lang w:val="en-GB"/>
            </w:rPr>
            <w:t xml:space="preserve"> </w:t>
          </w:r>
          <w:r>
            <w:rPr>
              <w:noProof/>
              <w:lang w:val="en-GB"/>
            </w:rPr>
            <w:t>REPORT</w:t>
          </w:r>
        </w:p>
      </w:tc>
      <w:tc>
        <w:tcPr>
          <w:tcW w:w="5329" w:type="dxa"/>
        </w:tcPr>
        <w:p w14:paraId="627F0896" w14:textId="77777777" w:rsidR="001205A1" w:rsidRPr="00F50E51" w:rsidRDefault="001205A1" w:rsidP="00A31A5B">
          <w:pPr>
            <w:pStyle w:val="Footer"/>
            <w:rPr>
              <w:noProof/>
              <w:lang w:val="en-GB"/>
            </w:rPr>
          </w:pPr>
        </w:p>
      </w:tc>
    </w:tr>
  </w:tbl>
  <w:p w14:paraId="508D1DB2" w14:textId="77777777" w:rsidR="001205A1" w:rsidRPr="00F50E51" w:rsidRDefault="001205A1">
    <w:pPr>
      <w:pStyle w:val="Footer"/>
      <w:rPr>
        <w:noProof/>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32DF84" w14:textId="77777777" w:rsidR="0006710D" w:rsidRDefault="0006710D" w:rsidP="001205A1">
      <w:r>
        <w:separator/>
      </w:r>
    </w:p>
  </w:footnote>
  <w:footnote w:type="continuationSeparator" w:id="0">
    <w:p w14:paraId="26091D2C" w14:textId="77777777" w:rsidR="0006710D" w:rsidRDefault="0006710D"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57DEA"/>
    <w:multiLevelType w:val="multilevel"/>
    <w:tmpl w:val="93ACA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AC5F78"/>
    <w:multiLevelType w:val="multilevel"/>
    <w:tmpl w:val="89E81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5D05BC"/>
    <w:multiLevelType w:val="multilevel"/>
    <w:tmpl w:val="3AE49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560257"/>
    <w:multiLevelType w:val="multilevel"/>
    <w:tmpl w:val="E736B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777CB7"/>
    <w:multiLevelType w:val="multilevel"/>
    <w:tmpl w:val="865E2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1715409">
    <w:abstractNumId w:val="3"/>
  </w:num>
  <w:num w:numId="2" w16cid:durableId="1863469384">
    <w:abstractNumId w:val="2"/>
  </w:num>
  <w:num w:numId="3" w16cid:durableId="1251501093">
    <w:abstractNumId w:val="4"/>
  </w:num>
  <w:num w:numId="4" w16cid:durableId="1114401713">
    <w:abstractNumId w:val="1"/>
  </w:num>
  <w:num w:numId="5" w16cid:durableId="1021474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D86"/>
    <w:rsid w:val="0006710D"/>
    <w:rsid w:val="00096B92"/>
    <w:rsid w:val="000C4ED1"/>
    <w:rsid w:val="001205A1"/>
    <w:rsid w:val="0025098B"/>
    <w:rsid w:val="002560A5"/>
    <w:rsid w:val="002877E8"/>
    <w:rsid w:val="002B0D15"/>
    <w:rsid w:val="002E7C4E"/>
    <w:rsid w:val="0031055C"/>
    <w:rsid w:val="00371EE1"/>
    <w:rsid w:val="003A798E"/>
    <w:rsid w:val="0041624E"/>
    <w:rsid w:val="00425A99"/>
    <w:rsid w:val="00480F97"/>
    <w:rsid w:val="005E6B25"/>
    <w:rsid w:val="005F4F46"/>
    <w:rsid w:val="006C60E6"/>
    <w:rsid w:val="00710C15"/>
    <w:rsid w:val="007B0740"/>
    <w:rsid w:val="007C1BAB"/>
    <w:rsid w:val="00A15CF7"/>
    <w:rsid w:val="00A24793"/>
    <w:rsid w:val="00A31A5B"/>
    <w:rsid w:val="00A81248"/>
    <w:rsid w:val="00A84125"/>
    <w:rsid w:val="00B07422"/>
    <w:rsid w:val="00B747EF"/>
    <w:rsid w:val="00BF1816"/>
    <w:rsid w:val="00C66528"/>
    <w:rsid w:val="00C673F6"/>
    <w:rsid w:val="00C76D86"/>
    <w:rsid w:val="00C915F0"/>
    <w:rsid w:val="00CB226D"/>
    <w:rsid w:val="00E262AC"/>
    <w:rsid w:val="00E863BF"/>
    <w:rsid w:val="00EB09E7"/>
    <w:rsid w:val="00F50E51"/>
    <w:rsid w:val="00FB65B8"/>
    <w:rsid w:val="00FC49AE"/>
    <w:rsid w:val="00FD2FC3"/>
    <w:rsid w:val="00FE6E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E4F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94B6D2"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DD804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94B6D2"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94B6D2"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94B6D2"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DD804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94B6D2"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94B6D2"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DD804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94B6D2" w:themeColor="accent1"/>
      <w:sz w:val="76"/>
    </w:rPr>
  </w:style>
  <w:style w:type="character" w:customStyle="1" w:styleId="QuoteChar">
    <w:name w:val="Quote Char"/>
    <w:basedOn w:val="DefaultParagraphFont"/>
    <w:link w:val="Quote"/>
    <w:uiPriority w:val="29"/>
    <w:rsid w:val="00FC49AE"/>
    <w:rPr>
      <w:rFonts w:asciiTheme="majorHAnsi" w:hAnsiTheme="majorHAnsi"/>
      <w:iCs/>
      <w:color w:val="94B6D2" w:themeColor="accent1"/>
      <w:sz w:val="76"/>
    </w:rPr>
  </w:style>
  <w:style w:type="paragraph" w:styleId="NormalWeb">
    <w:name w:val="Normal (Web)"/>
    <w:basedOn w:val="Normal"/>
    <w:uiPriority w:val="99"/>
    <w:unhideWhenUsed/>
    <w:rsid w:val="00EB09E7"/>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853119">
      <w:bodyDiv w:val="1"/>
      <w:marLeft w:val="0"/>
      <w:marRight w:val="0"/>
      <w:marTop w:val="0"/>
      <w:marBottom w:val="0"/>
      <w:divBdr>
        <w:top w:val="none" w:sz="0" w:space="0" w:color="auto"/>
        <w:left w:val="none" w:sz="0" w:space="0" w:color="auto"/>
        <w:bottom w:val="none" w:sz="0" w:space="0" w:color="auto"/>
        <w:right w:val="none" w:sz="0" w:space="0" w:color="auto"/>
      </w:divBdr>
    </w:div>
    <w:div w:id="433062739">
      <w:bodyDiv w:val="1"/>
      <w:marLeft w:val="0"/>
      <w:marRight w:val="0"/>
      <w:marTop w:val="0"/>
      <w:marBottom w:val="0"/>
      <w:divBdr>
        <w:top w:val="none" w:sz="0" w:space="0" w:color="auto"/>
        <w:left w:val="none" w:sz="0" w:space="0" w:color="auto"/>
        <w:bottom w:val="none" w:sz="0" w:space="0" w:color="auto"/>
        <w:right w:val="none" w:sz="0" w:space="0" w:color="auto"/>
      </w:divBdr>
    </w:div>
    <w:div w:id="577057711">
      <w:bodyDiv w:val="1"/>
      <w:marLeft w:val="0"/>
      <w:marRight w:val="0"/>
      <w:marTop w:val="0"/>
      <w:marBottom w:val="0"/>
      <w:divBdr>
        <w:top w:val="none" w:sz="0" w:space="0" w:color="auto"/>
        <w:left w:val="none" w:sz="0" w:space="0" w:color="auto"/>
        <w:bottom w:val="none" w:sz="0" w:space="0" w:color="auto"/>
        <w:right w:val="none" w:sz="0" w:space="0" w:color="auto"/>
      </w:divBdr>
    </w:div>
    <w:div w:id="706292104">
      <w:bodyDiv w:val="1"/>
      <w:marLeft w:val="0"/>
      <w:marRight w:val="0"/>
      <w:marTop w:val="0"/>
      <w:marBottom w:val="0"/>
      <w:divBdr>
        <w:top w:val="none" w:sz="0" w:space="0" w:color="auto"/>
        <w:left w:val="none" w:sz="0" w:space="0" w:color="auto"/>
        <w:bottom w:val="none" w:sz="0" w:space="0" w:color="auto"/>
        <w:right w:val="none" w:sz="0" w:space="0" w:color="auto"/>
      </w:divBdr>
    </w:div>
    <w:div w:id="713046167">
      <w:bodyDiv w:val="1"/>
      <w:marLeft w:val="0"/>
      <w:marRight w:val="0"/>
      <w:marTop w:val="0"/>
      <w:marBottom w:val="0"/>
      <w:divBdr>
        <w:top w:val="none" w:sz="0" w:space="0" w:color="auto"/>
        <w:left w:val="none" w:sz="0" w:space="0" w:color="auto"/>
        <w:bottom w:val="none" w:sz="0" w:space="0" w:color="auto"/>
        <w:right w:val="none" w:sz="0" w:space="0" w:color="auto"/>
      </w:divBdr>
    </w:div>
    <w:div w:id="889807232">
      <w:bodyDiv w:val="1"/>
      <w:marLeft w:val="0"/>
      <w:marRight w:val="0"/>
      <w:marTop w:val="0"/>
      <w:marBottom w:val="0"/>
      <w:divBdr>
        <w:top w:val="none" w:sz="0" w:space="0" w:color="auto"/>
        <w:left w:val="none" w:sz="0" w:space="0" w:color="auto"/>
        <w:bottom w:val="none" w:sz="0" w:space="0" w:color="auto"/>
        <w:right w:val="none" w:sz="0" w:space="0" w:color="auto"/>
      </w:divBdr>
    </w:div>
    <w:div w:id="958141770">
      <w:bodyDiv w:val="1"/>
      <w:marLeft w:val="0"/>
      <w:marRight w:val="0"/>
      <w:marTop w:val="0"/>
      <w:marBottom w:val="0"/>
      <w:divBdr>
        <w:top w:val="none" w:sz="0" w:space="0" w:color="auto"/>
        <w:left w:val="none" w:sz="0" w:space="0" w:color="auto"/>
        <w:bottom w:val="none" w:sz="0" w:space="0" w:color="auto"/>
        <w:right w:val="none" w:sz="0" w:space="0" w:color="auto"/>
      </w:divBdr>
    </w:div>
    <w:div w:id="972058176">
      <w:bodyDiv w:val="1"/>
      <w:marLeft w:val="0"/>
      <w:marRight w:val="0"/>
      <w:marTop w:val="0"/>
      <w:marBottom w:val="0"/>
      <w:divBdr>
        <w:top w:val="none" w:sz="0" w:space="0" w:color="auto"/>
        <w:left w:val="none" w:sz="0" w:space="0" w:color="auto"/>
        <w:bottom w:val="none" w:sz="0" w:space="0" w:color="auto"/>
        <w:right w:val="none" w:sz="0" w:space="0" w:color="auto"/>
      </w:divBdr>
    </w:div>
    <w:div w:id="1002006861">
      <w:bodyDiv w:val="1"/>
      <w:marLeft w:val="0"/>
      <w:marRight w:val="0"/>
      <w:marTop w:val="0"/>
      <w:marBottom w:val="0"/>
      <w:divBdr>
        <w:top w:val="none" w:sz="0" w:space="0" w:color="auto"/>
        <w:left w:val="none" w:sz="0" w:space="0" w:color="auto"/>
        <w:bottom w:val="none" w:sz="0" w:space="0" w:color="auto"/>
        <w:right w:val="none" w:sz="0" w:space="0" w:color="auto"/>
      </w:divBdr>
    </w:div>
    <w:div w:id="1334605874">
      <w:bodyDiv w:val="1"/>
      <w:marLeft w:val="0"/>
      <w:marRight w:val="0"/>
      <w:marTop w:val="0"/>
      <w:marBottom w:val="0"/>
      <w:divBdr>
        <w:top w:val="none" w:sz="0" w:space="0" w:color="auto"/>
        <w:left w:val="none" w:sz="0" w:space="0" w:color="auto"/>
        <w:bottom w:val="none" w:sz="0" w:space="0" w:color="auto"/>
        <w:right w:val="none" w:sz="0" w:space="0" w:color="auto"/>
      </w:divBdr>
    </w:div>
    <w:div w:id="1437096713">
      <w:bodyDiv w:val="1"/>
      <w:marLeft w:val="0"/>
      <w:marRight w:val="0"/>
      <w:marTop w:val="0"/>
      <w:marBottom w:val="0"/>
      <w:divBdr>
        <w:top w:val="none" w:sz="0" w:space="0" w:color="auto"/>
        <w:left w:val="none" w:sz="0" w:space="0" w:color="auto"/>
        <w:bottom w:val="none" w:sz="0" w:space="0" w:color="auto"/>
        <w:right w:val="none" w:sz="0" w:space="0" w:color="auto"/>
      </w:divBdr>
    </w:div>
    <w:div w:id="1572305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uren\AppData\Roaming\Microsoft\Templates\Jazzy%20student%20report.dotx" TargetMode="External"/></Relationships>
</file>

<file path=word/theme/theme1.xml><?xml version="1.0" encoding="utf-8"?>
<a:theme xmlns:a="http://schemas.openxmlformats.org/drawingml/2006/main" name="CSR">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2.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AA66DC-03DC-4EFC-AFE0-4ADB60C7D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7</Pages>
  <Words>3113</Words>
  <Characters>17745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2023-12-19T21:10:00Z</dcterms:created>
  <dcterms:modified xsi:type="dcterms:W3CDTF">2024-04-19T21:51:00Z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