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1F04" w14:textId="77777777" w:rsidR="00147B85" w:rsidRDefault="00147B85">
      <w:pPr>
        <w:jc w:val="center"/>
        <w:rPr>
          <w:b/>
          <w:u w:val="single"/>
        </w:rPr>
      </w:pPr>
    </w:p>
    <w:p w14:paraId="45C07E65" w14:textId="77777777" w:rsidR="00147B85" w:rsidRDefault="00147B85">
      <w:pPr>
        <w:jc w:val="center"/>
        <w:rPr>
          <w:b/>
          <w:u w:val="single"/>
        </w:rPr>
      </w:pPr>
    </w:p>
    <w:p w14:paraId="04BDCD66" w14:textId="77777777" w:rsidR="00147B85" w:rsidRDefault="00147B85">
      <w:pPr>
        <w:jc w:val="center"/>
        <w:rPr>
          <w:b/>
          <w:u w:val="single"/>
        </w:rPr>
      </w:pPr>
    </w:p>
    <w:p w14:paraId="007D85CB" w14:textId="77777777" w:rsidR="00147B85" w:rsidRDefault="00147B85">
      <w:pPr>
        <w:jc w:val="center"/>
        <w:rPr>
          <w:b/>
          <w:u w:val="single"/>
        </w:rPr>
      </w:pPr>
    </w:p>
    <w:p w14:paraId="6A827803" w14:textId="77777777" w:rsidR="00147B85" w:rsidRDefault="00147B85">
      <w:pPr>
        <w:jc w:val="center"/>
        <w:rPr>
          <w:b/>
          <w:u w:val="single"/>
        </w:rPr>
      </w:pPr>
    </w:p>
    <w:p w14:paraId="2A42FEEF" w14:textId="77777777" w:rsidR="00147B85" w:rsidRDefault="00147B85">
      <w:pPr>
        <w:jc w:val="center"/>
        <w:rPr>
          <w:b/>
          <w:u w:val="single"/>
        </w:rPr>
      </w:pPr>
    </w:p>
    <w:p w14:paraId="673ACEB8" w14:textId="77777777" w:rsidR="00147B85" w:rsidRDefault="00147B85">
      <w:pPr>
        <w:jc w:val="center"/>
        <w:rPr>
          <w:b/>
          <w:u w:val="single"/>
        </w:rPr>
      </w:pPr>
    </w:p>
    <w:p w14:paraId="56195603" w14:textId="77777777" w:rsidR="00147B85" w:rsidRDefault="00147B85">
      <w:pPr>
        <w:jc w:val="center"/>
        <w:rPr>
          <w:b/>
          <w:u w:val="single"/>
        </w:rPr>
      </w:pPr>
    </w:p>
    <w:p w14:paraId="2505A3E2" w14:textId="77777777" w:rsidR="00147B85" w:rsidRPr="002345AD" w:rsidRDefault="00000000">
      <w:pPr>
        <w:jc w:val="center"/>
        <w:rPr>
          <w:b/>
          <w:sz w:val="32"/>
          <w:szCs w:val="32"/>
          <w:u w:val="single"/>
        </w:rPr>
      </w:pPr>
      <w:r w:rsidRPr="002345AD">
        <w:rPr>
          <w:b/>
          <w:sz w:val="32"/>
          <w:szCs w:val="32"/>
          <w:u w:val="single"/>
        </w:rPr>
        <w:t>Professional Career Development</w:t>
      </w:r>
    </w:p>
    <w:p w14:paraId="700A8882" w14:textId="5C4FADBD" w:rsidR="00AE33C7" w:rsidRPr="002345AD" w:rsidRDefault="00AE33C7">
      <w:pPr>
        <w:jc w:val="center"/>
        <w:rPr>
          <w:b/>
          <w:sz w:val="32"/>
          <w:szCs w:val="32"/>
          <w:u w:val="single"/>
        </w:rPr>
      </w:pPr>
      <w:r w:rsidRPr="002345AD">
        <w:rPr>
          <w:b/>
          <w:sz w:val="32"/>
          <w:szCs w:val="32"/>
          <w:u w:val="single"/>
        </w:rPr>
        <w:t>Reflective Report</w:t>
      </w:r>
    </w:p>
    <w:p w14:paraId="425882C0" w14:textId="77777777" w:rsidR="002345AD" w:rsidRDefault="002345AD">
      <w:pPr>
        <w:jc w:val="center"/>
        <w:rPr>
          <w:i/>
        </w:rPr>
      </w:pPr>
    </w:p>
    <w:p w14:paraId="646CD311" w14:textId="1D00CA2B" w:rsidR="00147B85" w:rsidRPr="002345AD" w:rsidRDefault="00000000">
      <w:pPr>
        <w:jc w:val="center"/>
        <w:rPr>
          <w:i/>
          <w:sz w:val="28"/>
          <w:szCs w:val="28"/>
        </w:rPr>
      </w:pPr>
      <w:r w:rsidRPr="002345AD">
        <w:rPr>
          <w:i/>
          <w:sz w:val="28"/>
          <w:szCs w:val="28"/>
        </w:rPr>
        <w:t xml:space="preserve">Student Name: </w:t>
      </w:r>
      <w:r w:rsidR="00AE33C7" w:rsidRPr="002345AD">
        <w:rPr>
          <w:i/>
          <w:sz w:val="28"/>
          <w:szCs w:val="28"/>
        </w:rPr>
        <w:t xml:space="preserve">Katarzyna </w:t>
      </w:r>
      <w:proofErr w:type="spellStart"/>
      <w:r w:rsidR="00AE33C7" w:rsidRPr="002345AD">
        <w:rPr>
          <w:i/>
          <w:sz w:val="28"/>
          <w:szCs w:val="28"/>
        </w:rPr>
        <w:t>Mrotek</w:t>
      </w:r>
      <w:proofErr w:type="spellEnd"/>
    </w:p>
    <w:p w14:paraId="3DEA1555" w14:textId="26917A70" w:rsidR="00147B85" w:rsidRPr="002345AD" w:rsidRDefault="00000000">
      <w:pPr>
        <w:jc w:val="center"/>
        <w:rPr>
          <w:i/>
          <w:sz w:val="28"/>
          <w:szCs w:val="28"/>
        </w:rPr>
      </w:pPr>
      <w:r w:rsidRPr="002345AD">
        <w:rPr>
          <w:i/>
          <w:sz w:val="28"/>
          <w:szCs w:val="28"/>
        </w:rPr>
        <w:t xml:space="preserve">Student ID: </w:t>
      </w:r>
      <w:r w:rsidR="00AE33C7" w:rsidRPr="002345AD">
        <w:rPr>
          <w:i/>
          <w:sz w:val="28"/>
          <w:szCs w:val="28"/>
        </w:rPr>
        <w:t>2223775</w:t>
      </w:r>
    </w:p>
    <w:p w14:paraId="584135C5" w14:textId="5E589580" w:rsidR="00147B85" w:rsidRPr="002345AD" w:rsidRDefault="00AE33C7">
      <w:pPr>
        <w:jc w:val="center"/>
        <w:rPr>
          <w:i/>
          <w:sz w:val="28"/>
          <w:szCs w:val="28"/>
        </w:rPr>
      </w:pPr>
      <w:r w:rsidRPr="002345AD">
        <w:rPr>
          <w:i/>
          <w:sz w:val="28"/>
          <w:szCs w:val="28"/>
        </w:rPr>
        <w:t>Date of submission: 0</w:t>
      </w:r>
      <w:r w:rsidR="003B0185">
        <w:rPr>
          <w:i/>
          <w:sz w:val="28"/>
          <w:szCs w:val="28"/>
        </w:rPr>
        <w:t>1.</w:t>
      </w:r>
      <w:r w:rsidRPr="002345AD">
        <w:rPr>
          <w:i/>
          <w:sz w:val="28"/>
          <w:szCs w:val="28"/>
        </w:rPr>
        <w:t>06.2023</w:t>
      </w:r>
    </w:p>
    <w:p w14:paraId="58B8A2E0" w14:textId="77777777" w:rsidR="00147B85" w:rsidRDefault="00000000">
      <w:pPr>
        <w:spacing w:line="276" w:lineRule="auto"/>
        <w:jc w:val="left"/>
      </w:pPr>
      <w:r>
        <w:br w:type="page"/>
      </w:r>
    </w:p>
    <w:p w14:paraId="3E4D6330" w14:textId="77777777" w:rsidR="00147B85" w:rsidRDefault="00000000">
      <w:pPr>
        <w:rPr>
          <w:b/>
        </w:rPr>
      </w:pPr>
      <w:r>
        <w:rPr>
          <w:b/>
        </w:rPr>
        <w:lastRenderedPageBreak/>
        <w:t>Executive Summary</w:t>
      </w:r>
    </w:p>
    <w:p w14:paraId="39E2ECEC" w14:textId="77777777" w:rsidR="00147B85" w:rsidRDefault="00000000">
      <w:r>
        <w:t xml:space="preserve">This report is a report on the basis of my learning in career development. It introduces what career development is and then discusses the various tools available for developing ones career in the next section. In the last section it concludes with a brief write up on how much I need to do personally in order to develop the weaknesses in my career.  </w:t>
      </w:r>
      <w:r>
        <w:br w:type="page"/>
      </w:r>
    </w:p>
    <w:p w14:paraId="51A7F452" w14:textId="77777777" w:rsidR="00147B85" w:rsidRDefault="00000000">
      <w:pPr>
        <w:keepNext/>
        <w:keepLines/>
        <w:pBdr>
          <w:top w:val="nil"/>
          <w:left w:val="nil"/>
          <w:bottom w:val="nil"/>
          <w:right w:val="nil"/>
          <w:between w:val="nil"/>
        </w:pBdr>
        <w:spacing w:before="480" w:after="0" w:line="276" w:lineRule="auto"/>
        <w:jc w:val="left"/>
        <w:rPr>
          <w:rFonts w:ascii="Cambria" w:eastAsia="Cambria" w:hAnsi="Cambria" w:cs="Cambria"/>
          <w:b/>
          <w:color w:val="366091"/>
          <w:sz w:val="28"/>
          <w:szCs w:val="28"/>
        </w:rPr>
      </w:pPr>
      <w:r>
        <w:rPr>
          <w:rFonts w:ascii="Cambria" w:eastAsia="Cambria" w:hAnsi="Cambria" w:cs="Cambria"/>
          <w:b/>
          <w:color w:val="366091"/>
          <w:sz w:val="28"/>
          <w:szCs w:val="28"/>
        </w:rPr>
        <w:lastRenderedPageBreak/>
        <w:t>Table of Contents</w:t>
      </w:r>
    </w:p>
    <w:p w14:paraId="6885D78F" w14:textId="77777777" w:rsidR="00AE33C7" w:rsidRDefault="00AE33C7" w:rsidP="00AE33C7">
      <w:pPr>
        <w:keepNext/>
        <w:keepLines/>
        <w:numPr>
          <w:ilvl w:val="0"/>
          <w:numId w:val="9"/>
        </w:numPr>
        <w:pBdr>
          <w:top w:val="nil"/>
          <w:left w:val="nil"/>
          <w:bottom w:val="nil"/>
          <w:right w:val="nil"/>
          <w:between w:val="nil"/>
        </w:pBdr>
        <w:spacing w:before="480" w:after="0"/>
        <w:rPr>
          <w:b/>
          <w:color w:val="000000"/>
        </w:rPr>
      </w:pPr>
      <w:r>
        <w:rPr>
          <w:b/>
          <w:color w:val="000000"/>
        </w:rPr>
        <w:t>Terms of Reference</w:t>
      </w:r>
    </w:p>
    <w:p w14:paraId="5C96F064" w14:textId="77777777" w:rsidR="00AE33C7" w:rsidRDefault="00AE33C7" w:rsidP="00AE33C7">
      <w:pPr>
        <w:keepNext/>
        <w:keepLines/>
        <w:numPr>
          <w:ilvl w:val="0"/>
          <w:numId w:val="9"/>
        </w:numPr>
        <w:pBdr>
          <w:top w:val="nil"/>
          <w:left w:val="nil"/>
          <w:bottom w:val="nil"/>
          <w:right w:val="nil"/>
          <w:between w:val="nil"/>
        </w:pBdr>
        <w:spacing w:before="480" w:after="0"/>
        <w:rPr>
          <w:b/>
          <w:color w:val="000000"/>
        </w:rPr>
      </w:pPr>
      <w:r>
        <w:rPr>
          <w:b/>
          <w:color w:val="000000"/>
        </w:rPr>
        <w:t>Introduction</w:t>
      </w:r>
    </w:p>
    <w:p w14:paraId="5C70E3F3" w14:textId="77777777" w:rsidR="002345AD" w:rsidRDefault="002345AD" w:rsidP="00AE33C7">
      <w:pPr>
        <w:keepNext/>
        <w:keepLines/>
        <w:numPr>
          <w:ilvl w:val="0"/>
          <w:numId w:val="9"/>
        </w:numPr>
        <w:pBdr>
          <w:top w:val="nil"/>
          <w:left w:val="nil"/>
          <w:bottom w:val="nil"/>
          <w:right w:val="nil"/>
          <w:between w:val="nil"/>
        </w:pBdr>
        <w:spacing w:before="480" w:after="0"/>
        <w:rPr>
          <w:b/>
          <w:color w:val="000000"/>
        </w:rPr>
      </w:pPr>
      <w:r>
        <w:rPr>
          <w:b/>
          <w:color w:val="000000"/>
        </w:rPr>
        <w:t>Main findings</w:t>
      </w:r>
    </w:p>
    <w:p w14:paraId="3CB785BC" w14:textId="214B2FAE" w:rsidR="00AE33C7" w:rsidRDefault="00AE33C7" w:rsidP="00AE33C7">
      <w:pPr>
        <w:keepNext/>
        <w:keepLines/>
        <w:numPr>
          <w:ilvl w:val="0"/>
          <w:numId w:val="9"/>
        </w:numPr>
        <w:pBdr>
          <w:top w:val="nil"/>
          <w:left w:val="nil"/>
          <w:bottom w:val="nil"/>
          <w:right w:val="nil"/>
          <w:between w:val="nil"/>
        </w:pBdr>
        <w:spacing w:before="480" w:after="0"/>
        <w:rPr>
          <w:b/>
          <w:color w:val="000000"/>
        </w:rPr>
      </w:pPr>
      <w:r>
        <w:rPr>
          <w:b/>
          <w:color w:val="000000"/>
        </w:rPr>
        <w:t>Conclusions</w:t>
      </w:r>
    </w:p>
    <w:p w14:paraId="4D0AA6BB" w14:textId="4A0E56C8" w:rsidR="00AE33C7" w:rsidRPr="00AE33C7" w:rsidRDefault="002345AD" w:rsidP="00AE33C7">
      <w:pPr>
        <w:keepNext/>
        <w:keepLines/>
        <w:numPr>
          <w:ilvl w:val="0"/>
          <w:numId w:val="9"/>
        </w:numPr>
        <w:pBdr>
          <w:top w:val="nil"/>
          <w:left w:val="nil"/>
          <w:bottom w:val="nil"/>
          <w:right w:val="nil"/>
          <w:between w:val="nil"/>
        </w:pBdr>
        <w:spacing w:before="480" w:after="0"/>
        <w:rPr>
          <w:b/>
          <w:color w:val="000000"/>
        </w:rPr>
      </w:pPr>
      <w:r>
        <w:rPr>
          <w:b/>
          <w:color w:val="000000"/>
        </w:rPr>
        <w:t>Reference list</w:t>
      </w:r>
    </w:p>
    <w:p w14:paraId="2AA682DD" w14:textId="77777777" w:rsidR="00147B85" w:rsidRDefault="00147B85">
      <w:pPr>
        <w:rPr>
          <w:b/>
        </w:rPr>
      </w:pPr>
    </w:p>
    <w:p w14:paraId="50F720AA" w14:textId="77777777" w:rsidR="00147B85" w:rsidRDefault="00000000">
      <w:pPr>
        <w:spacing w:line="276" w:lineRule="auto"/>
        <w:jc w:val="left"/>
        <w:rPr>
          <w:b/>
        </w:rPr>
      </w:pPr>
      <w:r>
        <w:br w:type="page"/>
      </w:r>
    </w:p>
    <w:p w14:paraId="33AD056E" w14:textId="77777777" w:rsidR="00147B85" w:rsidRDefault="00000000" w:rsidP="00AE33C7">
      <w:pPr>
        <w:keepNext/>
        <w:keepLines/>
        <w:numPr>
          <w:ilvl w:val="0"/>
          <w:numId w:val="10"/>
        </w:numPr>
        <w:pBdr>
          <w:top w:val="nil"/>
          <w:left w:val="nil"/>
          <w:bottom w:val="nil"/>
          <w:right w:val="nil"/>
          <w:between w:val="nil"/>
        </w:pBdr>
        <w:spacing w:before="480" w:after="0"/>
        <w:rPr>
          <w:b/>
          <w:color w:val="000000"/>
        </w:rPr>
      </w:pPr>
      <w:r>
        <w:rPr>
          <w:b/>
          <w:color w:val="000000"/>
        </w:rPr>
        <w:lastRenderedPageBreak/>
        <w:t>Terms of Reference</w:t>
      </w:r>
    </w:p>
    <w:p w14:paraId="082CE019" w14:textId="23EE5F38" w:rsidR="002345AD" w:rsidRDefault="002345AD" w:rsidP="002345AD">
      <w:pPr>
        <w:pStyle w:val="ListParagraph"/>
        <w:rPr>
          <w:b/>
        </w:rPr>
      </w:pPr>
      <w:r w:rsidRPr="002345AD">
        <w:rPr>
          <w:b/>
        </w:rPr>
        <w:t>Professional</w:t>
      </w:r>
      <w:r>
        <w:rPr>
          <w:b/>
          <w:sz w:val="28"/>
          <w:szCs w:val="28"/>
        </w:rPr>
        <w:t xml:space="preserve"> </w:t>
      </w:r>
      <w:r w:rsidRPr="002345AD">
        <w:rPr>
          <w:b/>
        </w:rPr>
        <w:t>Career</w:t>
      </w:r>
      <w:r>
        <w:rPr>
          <w:b/>
          <w:sz w:val="28"/>
          <w:szCs w:val="28"/>
        </w:rPr>
        <w:t xml:space="preserve"> </w:t>
      </w:r>
      <w:r w:rsidRPr="002345AD">
        <w:rPr>
          <w:b/>
        </w:rPr>
        <w:t>Development</w:t>
      </w:r>
    </w:p>
    <w:p w14:paraId="2B708394" w14:textId="37C6FD5A" w:rsidR="002345AD" w:rsidRDefault="002345AD" w:rsidP="002345AD">
      <w:pPr>
        <w:pStyle w:val="ListParagraph"/>
        <w:rPr>
          <w:b/>
        </w:rPr>
      </w:pPr>
      <w:r>
        <w:rPr>
          <w:b/>
        </w:rPr>
        <w:t>Reflective report</w:t>
      </w:r>
    </w:p>
    <w:p w14:paraId="52B3057E" w14:textId="1A9CF534" w:rsidR="002345AD" w:rsidRDefault="002345AD" w:rsidP="002345AD">
      <w:pPr>
        <w:pStyle w:val="ListParagraph"/>
        <w:rPr>
          <w:b/>
          <w:sz w:val="28"/>
          <w:szCs w:val="28"/>
          <w:u w:val="single"/>
        </w:rPr>
      </w:pPr>
      <w:r>
        <w:rPr>
          <w:b/>
        </w:rPr>
        <w:t>Date of deadline: 02.06.2023</w:t>
      </w:r>
    </w:p>
    <w:p w14:paraId="0C825A02" w14:textId="77777777" w:rsidR="002345AD" w:rsidRPr="002345AD" w:rsidRDefault="002345AD" w:rsidP="002345AD">
      <w:pPr>
        <w:pStyle w:val="ListParagraph"/>
        <w:rPr>
          <w:b/>
          <w:sz w:val="28"/>
          <w:szCs w:val="28"/>
          <w:u w:val="single"/>
        </w:rPr>
      </w:pPr>
    </w:p>
    <w:p w14:paraId="456D122E" w14:textId="77777777" w:rsidR="002345AD" w:rsidRDefault="002345AD" w:rsidP="002345AD">
      <w:pPr>
        <w:keepNext/>
        <w:keepLines/>
        <w:pBdr>
          <w:top w:val="nil"/>
          <w:left w:val="nil"/>
          <w:bottom w:val="nil"/>
          <w:right w:val="nil"/>
          <w:between w:val="nil"/>
        </w:pBdr>
        <w:spacing w:before="480" w:after="0"/>
        <w:ind w:left="720"/>
        <w:rPr>
          <w:b/>
          <w:color w:val="000000"/>
        </w:rPr>
      </w:pPr>
    </w:p>
    <w:p w14:paraId="19251316" w14:textId="77777777" w:rsidR="002345AD" w:rsidRDefault="002345AD" w:rsidP="002345AD">
      <w:pPr>
        <w:keepNext/>
        <w:keepLines/>
        <w:pBdr>
          <w:top w:val="nil"/>
          <w:left w:val="nil"/>
          <w:bottom w:val="nil"/>
          <w:right w:val="nil"/>
          <w:between w:val="nil"/>
        </w:pBdr>
        <w:spacing w:before="480" w:after="0"/>
        <w:ind w:left="360"/>
        <w:rPr>
          <w:b/>
          <w:color w:val="000000"/>
        </w:rPr>
      </w:pPr>
    </w:p>
    <w:p w14:paraId="27B1F76E" w14:textId="7A4AAADE" w:rsidR="00147B85" w:rsidRPr="00AE33C7" w:rsidRDefault="00147B85" w:rsidP="00AE33C7">
      <w:pPr>
        <w:spacing w:line="276" w:lineRule="auto"/>
        <w:jc w:val="left"/>
        <w:rPr>
          <w:b/>
        </w:rPr>
      </w:pPr>
      <w:bookmarkStart w:id="0" w:name="_heading=h.30j0zll" w:colFirst="0" w:colLast="0"/>
      <w:bookmarkEnd w:id="0"/>
    </w:p>
    <w:p w14:paraId="716E0974" w14:textId="77777777" w:rsidR="00147B85" w:rsidRDefault="00000000">
      <w:pPr>
        <w:spacing w:line="276" w:lineRule="auto"/>
        <w:jc w:val="left"/>
      </w:pPr>
      <w:r>
        <w:br w:type="page"/>
      </w:r>
    </w:p>
    <w:p w14:paraId="256DA6D2" w14:textId="77777777" w:rsidR="00147B85" w:rsidRDefault="00000000" w:rsidP="00AE33C7">
      <w:pPr>
        <w:keepNext/>
        <w:keepLines/>
        <w:numPr>
          <w:ilvl w:val="0"/>
          <w:numId w:val="10"/>
        </w:numPr>
        <w:pBdr>
          <w:top w:val="nil"/>
          <w:left w:val="nil"/>
          <w:bottom w:val="nil"/>
          <w:right w:val="nil"/>
          <w:between w:val="nil"/>
        </w:pBdr>
        <w:spacing w:before="480" w:after="0"/>
        <w:rPr>
          <w:b/>
          <w:color w:val="000000"/>
        </w:rPr>
      </w:pPr>
      <w:r>
        <w:rPr>
          <w:b/>
          <w:color w:val="000000"/>
        </w:rPr>
        <w:lastRenderedPageBreak/>
        <w:t>Introduction</w:t>
      </w:r>
    </w:p>
    <w:p w14:paraId="7AA58D8B" w14:textId="77777777" w:rsidR="00147B85" w:rsidRDefault="00000000">
      <w:r>
        <w:t>Professional Career Development takes place in both sectors private and public. Some kind of annual performance review is done at every industry (Walker-Donnelly et. al., 2019, pp. 9-17). During meetings one of the topics discussed would be professional career development. Job performance can be specified with goals. Goals can be decided independently or in advance of meeting or in going forward. In the case of career development learning activities are focussed towards outcomes in career. Competencies in career might be included in development (</w:t>
      </w:r>
      <w:proofErr w:type="spellStart"/>
      <w:r>
        <w:t>Blokker</w:t>
      </w:r>
      <w:proofErr w:type="spellEnd"/>
      <w:r>
        <w:t xml:space="preserve"> et. al., 2019, pp. 172-184). In professional career development is included. There is a process of development in advancement of career. The relation is with current function. There is integration with human resources with a strong focus on review. The inclusions of motivations are development in current job, preparation for promotion and change in direction of career. There is the element of technical assistance in approaches to professional development with practices of communities and process of reflective learning. Insight is gained into development through experiences.  </w:t>
      </w:r>
    </w:p>
    <w:p w14:paraId="3C3403BC" w14:textId="77777777" w:rsidR="00147B85" w:rsidRDefault="00000000">
      <w:pPr>
        <w:spacing w:line="276" w:lineRule="auto"/>
        <w:jc w:val="left"/>
        <w:rPr>
          <w:b/>
        </w:rPr>
      </w:pPr>
      <w:r>
        <w:br w:type="page"/>
      </w:r>
    </w:p>
    <w:p w14:paraId="32800F0D" w14:textId="77777777" w:rsidR="00147B85" w:rsidRDefault="00000000" w:rsidP="00AE33C7">
      <w:pPr>
        <w:keepNext/>
        <w:keepLines/>
        <w:numPr>
          <w:ilvl w:val="0"/>
          <w:numId w:val="10"/>
        </w:numPr>
        <w:pBdr>
          <w:top w:val="nil"/>
          <w:left w:val="nil"/>
          <w:bottom w:val="nil"/>
          <w:right w:val="nil"/>
          <w:between w:val="nil"/>
        </w:pBdr>
        <w:spacing w:before="480" w:after="0"/>
        <w:rPr>
          <w:b/>
          <w:color w:val="000000"/>
        </w:rPr>
      </w:pPr>
      <w:r>
        <w:rPr>
          <w:b/>
          <w:color w:val="000000"/>
        </w:rPr>
        <w:lastRenderedPageBreak/>
        <w:t>Discussion &amp; Findings</w:t>
      </w:r>
    </w:p>
    <w:p w14:paraId="75CE31B2"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t>Johari Window</w:t>
      </w:r>
    </w:p>
    <w:p w14:paraId="025580EA" w14:textId="77777777" w:rsidR="00147B85" w:rsidRDefault="00000000">
      <w:r>
        <w:t xml:space="preserve">The Johari Window was developed 60 years ago (Oliver and Duncan, 2019). The tool was developed for discovery of the self. It is widely used for promotion of self-awareness and personal development. Group dynamics and intergroup relations were understood better by this model. </w:t>
      </w:r>
    </w:p>
    <w:p w14:paraId="253F3F3E" w14:textId="77777777" w:rsidR="00147B85" w:rsidRDefault="00000000">
      <w:r>
        <w:rPr>
          <w:noProof/>
        </w:rPr>
        <w:drawing>
          <wp:inline distT="0" distB="0" distL="0" distR="0" wp14:anchorId="5CBC8141" wp14:editId="46B78490">
            <wp:extent cx="5731510" cy="3704662"/>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510" cy="3704662"/>
                    </a:xfrm>
                    <a:prstGeom prst="rect">
                      <a:avLst/>
                    </a:prstGeom>
                    <a:ln/>
                  </pic:spPr>
                </pic:pic>
              </a:graphicData>
            </a:graphic>
          </wp:inline>
        </w:drawing>
      </w:r>
    </w:p>
    <w:p w14:paraId="0669E3C7" w14:textId="77777777" w:rsidR="00147B85" w:rsidRDefault="00000000">
      <w:pPr>
        <w:jc w:val="center"/>
      </w:pPr>
      <w:r>
        <w:t>Fig. 1: The Johari Window</w:t>
      </w:r>
    </w:p>
    <w:p w14:paraId="275400E4" w14:textId="77777777" w:rsidR="00147B85" w:rsidRDefault="00000000">
      <w:pPr>
        <w:jc w:val="center"/>
      </w:pPr>
      <w:r>
        <w:t xml:space="preserve">(Source: </w:t>
      </w:r>
      <w:proofErr w:type="spellStart"/>
      <w:r>
        <w:t>Loschinin</w:t>
      </w:r>
      <w:proofErr w:type="spellEnd"/>
      <w:r>
        <w:t>, 2016)</w:t>
      </w:r>
    </w:p>
    <w:p w14:paraId="5CB2FC20" w14:textId="77777777" w:rsidR="00147B85" w:rsidRDefault="00000000">
      <w:r>
        <w:t xml:space="preserve">There are four quadrants to the Johari window; the open what is known to me and to others, the blind what is known to others but not me (Lowes, 2020); the hidden what is known to me but not to others. The reference is to façade because of how presentation is done and what I hide with contention or not, from others; the last is unknown which is not known by me or others. This is mostly due to lack of cognitive awareness. Each quadrant is the embodiment of my thoughts and personal information. Establishment of trust and rapport is done with uncovering of discrepancies. O can identify my blind spot through Johari Window. What do I know that others don’t know and vice versa. Identification of my </w:t>
      </w:r>
      <w:proofErr w:type="spellStart"/>
      <w:r>
        <w:t>blindspots</w:t>
      </w:r>
      <w:proofErr w:type="spellEnd"/>
      <w:r>
        <w:t xml:space="preserve"> is more than knowing my weaknesses (</w:t>
      </w:r>
      <w:proofErr w:type="spellStart"/>
      <w:r>
        <w:t>Koca</w:t>
      </w:r>
      <w:proofErr w:type="spellEnd"/>
      <w:r>
        <w:t xml:space="preserve"> and </w:t>
      </w:r>
      <w:proofErr w:type="spellStart"/>
      <w:r>
        <w:t>Eriguc</w:t>
      </w:r>
      <w:proofErr w:type="spellEnd"/>
      <w:r>
        <w:t xml:space="preserve">, 2020, pp. 434-446). I have to identify three people </w:t>
      </w:r>
      <w:r>
        <w:lastRenderedPageBreak/>
        <w:t xml:space="preserve">I trust for six months in professional capacity. I should reach out to them for their insights about growth. I have to know if I’m really communicating about talents, education and interests. I can identify gaps I want to close with vital professional contribution. What does the feedback bring for me? Are there changes for clear representation? Is there focus on improvement and growth? With greatest awareness of myself I can understand all of these.   </w:t>
      </w:r>
    </w:p>
    <w:p w14:paraId="597F3489"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t>SWOT Analysis</w:t>
      </w:r>
    </w:p>
    <w:p w14:paraId="000F4E9B" w14:textId="77777777" w:rsidR="00147B85" w:rsidRDefault="00000000">
      <w:r>
        <w:t>The simplest looking format of SWOT analysis is a four quadrant table. With the information from SWOT strengths can be leveraged with opportunities and threats (</w:t>
      </w:r>
      <w:proofErr w:type="spellStart"/>
      <w:r>
        <w:t>Benzaghta</w:t>
      </w:r>
      <w:proofErr w:type="spellEnd"/>
      <w:r>
        <w:t xml:space="preserve"> et. al., 2021, pp. 55-73). In a personal SWOT analysis there should be a goal. I should start with a SWOT analysis template that makes sense to me. The strengths and weaknesses must be identified which makes excitement about career. I have to ask myself questions like what areas do I naturally excel in? What skills have been developed by me? What gifts are available to me naturally? In the next step weaknesses are identified. The areas I need to improve because of setbacks in my career (</w:t>
      </w:r>
      <w:proofErr w:type="spellStart"/>
      <w:r>
        <w:t>Teoli</w:t>
      </w:r>
      <w:proofErr w:type="spellEnd"/>
      <w:r>
        <w:t xml:space="preserve"> et. al., 2019). What are the traits which are negative about me? What part of my education calls for training? What would be viewed as my weakness by other people? In the opportunities section the external factors for leverage are determination of a new direction in career. What state is the economy currently in? Is there growth in my industry? Is there new technology in my industry to learn? The final look is towards threats; the external factors which can hurt my goal (</w:t>
      </w:r>
      <w:proofErr w:type="spellStart"/>
      <w:r>
        <w:t>Pyut</w:t>
      </w:r>
      <w:proofErr w:type="spellEnd"/>
      <w:r>
        <w:t xml:space="preserve"> et. al., 2020). Is there contraction or change of direction in my industry? Is there competition for types of jobs? What can be considered as external danger to my goals? I have to move outside my zone of comfort. I also have to reveal my faults and weaknesses. There are two methods for evaluation, match and turn negatives into positives. A course of action might be determined in two categories. A weakness can be turned into strength in a creative manner. After the completion it is mandatory to follow through the results uncovered. </w:t>
      </w:r>
    </w:p>
    <w:p w14:paraId="664733D3" w14:textId="77777777" w:rsidR="00147B85" w:rsidRDefault="00000000">
      <w:pPr>
        <w:jc w:val="center"/>
      </w:pPr>
      <w:r>
        <w:rPr>
          <w:noProof/>
        </w:rPr>
        <w:lastRenderedPageBreak/>
        <w:drawing>
          <wp:inline distT="0" distB="0" distL="0" distR="0" wp14:anchorId="09655C03" wp14:editId="10878E73">
            <wp:extent cx="5731510" cy="5670276"/>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510" cy="5670276"/>
                    </a:xfrm>
                    <a:prstGeom prst="rect">
                      <a:avLst/>
                    </a:prstGeom>
                    <a:ln/>
                  </pic:spPr>
                </pic:pic>
              </a:graphicData>
            </a:graphic>
          </wp:inline>
        </w:drawing>
      </w:r>
    </w:p>
    <w:p w14:paraId="549C033D" w14:textId="77777777" w:rsidR="00147B85" w:rsidRDefault="00000000">
      <w:pPr>
        <w:jc w:val="center"/>
      </w:pPr>
      <w:r>
        <w:t xml:space="preserve">Fig. 2 SWOT Analysis </w:t>
      </w:r>
    </w:p>
    <w:p w14:paraId="00351D9F" w14:textId="77777777" w:rsidR="00147B85" w:rsidRDefault="00000000">
      <w:pPr>
        <w:jc w:val="center"/>
      </w:pPr>
      <w:r>
        <w:t>(Source:Coursehero.com, 2022)</w:t>
      </w:r>
    </w:p>
    <w:p w14:paraId="10BE03CD"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t>SMART Analysis</w:t>
      </w:r>
    </w:p>
    <w:p w14:paraId="64A49B4D" w14:textId="77777777" w:rsidR="00147B85" w:rsidRDefault="00000000">
      <w:r>
        <w:t xml:space="preserve">For career smart goals can be set. SMART is an acronym for Specific, Measurable, Achievable, Realistic and Timely. Goals are a part of life which point toward a clear point and goes towards the clarification of importance. </w:t>
      </w:r>
    </w:p>
    <w:p w14:paraId="19E6BA4A" w14:textId="77777777" w:rsidR="00147B85" w:rsidRDefault="00000000">
      <w:r>
        <w:rPr>
          <w:noProof/>
        </w:rPr>
        <w:lastRenderedPageBreak/>
        <mc:AlternateContent>
          <mc:Choice Requires="wpg">
            <w:drawing>
              <wp:inline distT="0" distB="0" distL="0" distR="0" wp14:anchorId="3B707D76" wp14:editId="6589EDBC">
                <wp:extent cx="5486400" cy="3200400"/>
                <wp:effectExtent l="0" t="0" r="0" b="0"/>
                <wp:docPr id="17" name="Group 17"/>
                <wp:cNvGraphicFramePr/>
                <a:graphic xmlns:a="http://schemas.openxmlformats.org/drawingml/2006/main">
                  <a:graphicData uri="http://schemas.microsoft.com/office/word/2010/wordprocessingGroup">
                    <wpg:wgp>
                      <wpg:cNvGrpSpPr/>
                      <wpg:grpSpPr>
                        <a:xfrm>
                          <a:off x="0" y="0"/>
                          <a:ext cx="5486400" cy="3200400"/>
                          <a:chOff x="2568100" y="2159350"/>
                          <a:chExt cx="5521425" cy="3222225"/>
                        </a:xfrm>
                      </wpg:grpSpPr>
                      <wpg:grpSp>
                        <wpg:cNvPr id="1315477850" name="Group 1315477850"/>
                        <wpg:cNvGrpSpPr/>
                        <wpg:grpSpPr>
                          <a:xfrm>
                            <a:off x="2602800" y="2179800"/>
                            <a:ext cx="5486400" cy="3200400"/>
                            <a:chOff x="0" y="0"/>
                            <a:chExt cx="5525825" cy="3266825"/>
                          </a:xfrm>
                        </wpg:grpSpPr>
                        <wps:wsp>
                          <wps:cNvPr id="2001936611" name="Rectangle 2001936611"/>
                          <wps:cNvSpPr/>
                          <wps:spPr>
                            <a:xfrm>
                              <a:off x="0" y="0"/>
                              <a:ext cx="5525825" cy="3266825"/>
                            </a:xfrm>
                            <a:prstGeom prst="rect">
                              <a:avLst/>
                            </a:prstGeom>
                            <a:noFill/>
                            <a:ln>
                              <a:noFill/>
                            </a:ln>
                          </wps:spPr>
                          <wps:txbx>
                            <w:txbxContent>
                              <w:p w14:paraId="1337A045"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g:grpSp>
                          <wpg:cNvPr id="207732496" name="Group 207732496"/>
                          <wpg:cNvGrpSpPr/>
                          <wpg:grpSpPr>
                            <a:xfrm>
                              <a:off x="0" y="0"/>
                              <a:ext cx="5486400" cy="3200400"/>
                              <a:chOff x="0" y="0"/>
                              <a:chExt cx="5486400" cy="3200400"/>
                            </a:xfrm>
                          </wpg:grpSpPr>
                          <wps:wsp>
                            <wps:cNvPr id="1446224881" name="Rectangle 1446224881"/>
                            <wps:cNvSpPr/>
                            <wps:spPr>
                              <a:xfrm>
                                <a:off x="0" y="0"/>
                                <a:ext cx="5486400" cy="3200400"/>
                              </a:xfrm>
                              <a:prstGeom prst="rect">
                                <a:avLst/>
                              </a:prstGeom>
                              <a:noFill/>
                              <a:ln>
                                <a:noFill/>
                              </a:ln>
                            </wps:spPr>
                            <wps:txbx>
                              <w:txbxContent>
                                <w:p w14:paraId="65758BEB"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150716583" name="Round Same-side Corner of Rectangle 150716583"/>
                            <wps:cNvSpPr/>
                            <wps:spPr>
                              <a:xfrm rot="5400000">
                                <a:off x="3307639" y="-1329680"/>
                                <a:ext cx="842368" cy="3504441"/>
                              </a:xfrm>
                              <a:prstGeom prst="round2SameRect">
                                <a:avLst>
                                  <a:gd name="adj1" fmla="val 16667"/>
                                  <a:gd name="adj2" fmla="val 0"/>
                                </a:avLst>
                              </a:prstGeom>
                              <a:solidFill>
                                <a:srgbClr val="CDE1E8">
                                  <a:alpha val="89411"/>
                                </a:srgbClr>
                              </a:solidFill>
                              <a:ln w="9525" cap="flat" cmpd="sng">
                                <a:solidFill>
                                  <a:srgbClr val="CDE1E8">
                                    <a:alpha val="89411"/>
                                  </a:srgbClr>
                                </a:solidFill>
                                <a:prstDash val="solid"/>
                                <a:round/>
                                <a:headEnd type="none" w="sm" len="sm"/>
                                <a:tailEnd type="none" w="sm" len="sm"/>
                              </a:ln>
                              <a:effectLst>
                                <a:outerShdw blurRad="40000" dist="23000" dir="5400000" rotWithShape="0">
                                  <a:srgbClr val="000000">
                                    <a:alpha val="34509"/>
                                  </a:srgbClr>
                                </a:outerShdw>
                              </a:effectLst>
                            </wps:spPr>
                            <wps:txbx>
                              <w:txbxContent>
                                <w:p w14:paraId="4492926F"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1790642646" name="Rectangle 1790642646"/>
                            <wps:cNvSpPr/>
                            <wps:spPr>
                              <a:xfrm>
                                <a:off x="1976603" y="42477"/>
                                <a:ext cx="3463320" cy="760126"/>
                              </a:xfrm>
                              <a:prstGeom prst="rect">
                                <a:avLst/>
                              </a:prstGeom>
                              <a:noFill/>
                              <a:ln>
                                <a:noFill/>
                              </a:ln>
                            </wps:spPr>
                            <wps:txbx>
                              <w:txbxContent>
                                <w:p w14:paraId="51C1D767" w14:textId="77777777" w:rsidR="00147B85" w:rsidRDefault="00000000">
                                  <w:pPr>
                                    <w:spacing w:after="0" w:line="215" w:lineRule="auto"/>
                                    <w:ind w:left="90" w:firstLine="160"/>
                                    <w:jc w:val="left"/>
                                    <w:textDirection w:val="btLr"/>
                                  </w:pPr>
                                  <w:r>
                                    <w:rPr>
                                      <w:rFonts w:ascii="Calibri" w:eastAsia="Calibri" w:hAnsi="Calibri" w:cs="Calibri"/>
                                      <w:color w:val="000000"/>
                                      <w:sz w:val="14"/>
                                    </w:rPr>
                                    <w:t>I am involved in this goal</w:t>
                                  </w:r>
                                </w:p>
                                <w:p w14:paraId="14715B58"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I want to accomplish Career Development</w:t>
                                  </w:r>
                                </w:p>
                                <w:p w14:paraId="5BC9F909"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The goal is to be achieved at my workplace</w:t>
                                  </w:r>
                                </w:p>
                                <w:p w14:paraId="6E63C5B4"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I want to  achive this goal at the present moment</w:t>
                                  </w:r>
                                </w:p>
                                <w:p w14:paraId="04A478C4"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 xml:space="preserve">I want to achive this goal for professionally developing my career. </w:t>
                                  </w:r>
                                </w:p>
                                <w:p w14:paraId="34B999BF" w14:textId="77777777" w:rsidR="00147B85" w:rsidRDefault="00147B85">
                                  <w:pPr>
                                    <w:spacing w:before="21" w:after="0" w:line="215" w:lineRule="auto"/>
                                    <w:ind w:left="90" w:firstLine="160"/>
                                    <w:jc w:val="left"/>
                                    <w:textDirection w:val="btLr"/>
                                  </w:pPr>
                                </w:p>
                              </w:txbxContent>
                            </wps:txbx>
                            <wps:bodyPr spcFirstLastPara="1" wrap="square" lIns="26650" tIns="13325" rIns="26650" bIns="13325" anchor="ctr" anchorCtr="0">
                              <a:noAutofit/>
                            </wps:bodyPr>
                          </wps:wsp>
                          <wps:wsp>
                            <wps:cNvPr id="1709163538" name="Rounded Rectangle 1709163538"/>
                            <wps:cNvSpPr/>
                            <wps:spPr>
                              <a:xfrm>
                                <a:off x="5355" y="261778"/>
                                <a:ext cx="1971248" cy="321524"/>
                              </a:xfrm>
                              <a:prstGeom prst="roundRect">
                                <a:avLst>
                                  <a:gd name="adj" fmla="val 16667"/>
                                </a:avLst>
                              </a:prstGeom>
                              <a:gradFill>
                                <a:gsLst>
                                  <a:gs pos="0">
                                    <a:srgbClr val="27869E"/>
                                  </a:gs>
                                  <a:gs pos="80000">
                                    <a:srgbClr val="34B0D0"/>
                                  </a:gs>
                                  <a:gs pos="100000">
                                    <a:srgbClr val="30B3D4"/>
                                  </a:gs>
                                </a:gsLst>
                                <a:lin ang="16200000" scaled="0"/>
                              </a:gradFill>
                              <a:ln>
                                <a:noFill/>
                              </a:ln>
                              <a:effectLst>
                                <a:outerShdw blurRad="40000" dist="23000" dir="5400000" rotWithShape="0">
                                  <a:srgbClr val="000000">
                                    <a:alpha val="34509"/>
                                  </a:srgbClr>
                                </a:outerShdw>
                              </a:effectLst>
                            </wps:spPr>
                            <wps:txbx>
                              <w:txbxContent>
                                <w:p w14:paraId="32468A34"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456885936" name="Rectangle 456885936"/>
                            <wps:cNvSpPr/>
                            <wps:spPr>
                              <a:xfrm>
                                <a:off x="21051" y="277474"/>
                                <a:ext cx="1939856" cy="290132"/>
                              </a:xfrm>
                              <a:prstGeom prst="rect">
                                <a:avLst/>
                              </a:prstGeom>
                              <a:noFill/>
                              <a:ln>
                                <a:noFill/>
                              </a:ln>
                            </wps:spPr>
                            <wps:txbx>
                              <w:txbxContent>
                                <w:p w14:paraId="0256875D" w14:textId="77777777" w:rsidR="00147B85" w:rsidRDefault="00000000">
                                  <w:pPr>
                                    <w:spacing w:after="0" w:line="215" w:lineRule="auto"/>
                                    <w:jc w:val="center"/>
                                    <w:textDirection w:val="btLr"/>
                                  </w:pPr>
                                  <w:r>
                                    <w:rPr>
                                      <w:rFonts w:ascii="Calibri" w:eastAsia="Calibri" w:hAnsi="Calibri" w:cs="Calibri"/>
                                      <w:color w:val="000000"/>
                                      <w:sz w:val="32"/>
                                    </w:rPr>
                                    <w:t>Specific</w:t>
                                  </w:r>
                                </w:p>
                              </w:txbxContent>
                            </wps:txbx>
                            <wps:bodyPr spcFirstLastPara="1" wrap="square" lIns="60950" tIns="30475" rIns="60950" bIns="30475" anchor="ctr" anchorCtr="0">
                              <a:noAutofit/>
                            </wps:bodyPr>
                          </wps:wsp>
                          <wps:wsp>
                            <wps:cNvPr id="1532814102" name="Round Same-side Corner of Rectangle 1532814102"/>
                            <wps:cNvSpPr/>
                            <wps:spPr>
                              <a:xfrm rot="5400000">
                                <a:off x="3474718" y="-638313"/>
                                <a:ext cx="508212" cy="3504441"/>
                              </a:xfrm>
                              <a:prstGeom prst="round2SameRect">
                                <a:avLst>
                                  <a:gd name="adj1" fmla="val 16667"/>
                                  <a:gd name="adj2" fmla="val 0"/>
                                </a:avLst>
                              </a:prstGeom>
                              <a:solidFill>
                                <a:srgbClr val="CCEEDE">
                                  <a:alpha val="89411"/>
                                </a:srgbClr>
                              </a:solidFill>
                              <a:ln w="9525" cap="flat" cmpd="sng">
                                <a:solidFill>
                                  <a:srgbClr val="CCEEDE">
                                    <a:alpha val="89411"/>
                                  </a:srgbClr>
                                </a:solidFill>
                                <a:prstDash val="solid"/>
                                <a:round/>
                                <a:headEnd type="none" w="sm" len="sm"/>
                                <a:tailEnd type="none" w="sm" len="sm"/>
                              </a:ln>
                              <a:effectLst>
                                <a:outerShdw blurRad="40000" dist="23000" dir="5400000" rotWithShape="0">
                                  <a:srgbClr val="000000">
                                    <a:alpha val="34509"/>
                                  </a:srgbClr>
                                </a:outerShdw>
                              </a:effectLst>
                            </wps:spPr>
                            <wps:txbx>
                              <w:txbxContent>
                                <w:p w14:paraId="58B67055"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575842830" name="Rectangle 575842830"/>
                            <wps:cNvSpPr/>
                            <wps:spPr>
                              <a:xfrm>
                                <a:off x="1976604" y="884610"/>
                                <a:ext cx="3479632" cy="458594"/>
                              </a:xfrm>
                              <a:prstGeom prst="rect">
                                <a:avLst/>
                              </a:prstGeom>
                              <a:noFill/>
                              <a:ln>
                                <a:noFill/>
                              </a:ln>
                            </wps:spPr>
                            <wps:txbx>
                              <w:txbxContent>
                                <w:p w14:paraId="28BF85D8" w14:textId="77777777" w:rsidR="00147B85" w:rsidRDefault="00000000">
                                  <w:pPr>
                                    <w:spacing w:after="0" w:line="215" w:lineRule="auto"/>
                                    <w:ind w:left="90" w:firstLine="160"/>
                                    <w:jc w:val="left"/>
                                    <w:textDirection w:val="btLr"/>
                                  </w:pPr>
                                  <w:r>
                                    <w:rPr>
                                      <w:rFonts w:ascii="Calibri" w:eastAsia="Calibri" w:hAnsi="Calibri" w:cs="Calibri"/>
                                      <w:color w:val="000000"/>
                                      <w:sz w:val="14"/>
                                    </w:rPr>
                                    <w:t xml:space="preserve">I would know if i have achieved my goals if i have achieved  all of my career goals. </w:t>
                                  </w:r>
                                </w:p>
                              </w:txbxContent>
                            </wps:txbx>
                            <wps:bodyPr spcFirstLastPara="1" wrap="square" lIns="26650" tIns="13325" rIns="26650" bIns="13325" anchor="ctr" anchorCtr="0">
                              <a:noAutofit/>
                            </wps:bodyPr>
                          </wps:wsp>
                          <wps:wsp>
                            <wps:cNvPr id="1628857223" name="Rounded Rectangle 1628857223"/>
                            <wps:cNvSpPr/>
                            <wps:spPr>
                              <a:xfrm>
                                <a:off x="5355" y="953144"/>
                                <a:ext cx="1971248" cy="321524"/>
                              </a:xfrm>
                              <a:prstGeom prst="roundRect">
                                <a:avLst>
                                  <a:gd name="adj" fmla="val 16667"/>
                                </a:avLst>
                              </a:prstGeom>
                              <a:gradFill>
                                <a:gsLst>
                                  <a:gs pos="0">
                                    <a:srgbClr val="24A96A"/>
                                  </a:gs>
                                  <a:gs pos="80000">
                                    <a:srgbClr val="2FDF8C"/>
                                  </a:gs>
                                  <a:gs pos="100000">
                                    <a:srgbClr val="2DE38D"/>
                                  </a:gs>
                                </a:gsLst>
                                <a:lin ang="16200000" scaled="0"/>
                              </a:gradFill>
                              <a:ln>
                                <a:noFill/>
                              </a:ln>
                              <a:effectLst>
                                <a:outerShdw blurRad="40000" dist="23000" dir="5400000" rotWithShape="0">
                                  <a:srgbClr val="000000">
                                    <a:alpha val="34509"/>
                                  </a:srgbClr>
                                </a:outerShdw>
                              </a:effectLst>
                            </wps:spPr>
                            <wps:txbx>
                              <w:txbxContent>
                                <w:p w14:paraId="4C4D1111"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578670369" name="Rectangle 578670369"/>
                            <wps:cNvSpPr/>
                            <wps:spPr>
                              <a:xfrm>
                                <a:off x="21051" y="968840"/>
                                <a:ext cx="1939856" cy="290132"/>
                              </a:xfrm>
                              <a:prstGeom prst="rect">
                                <a:avLst/>
                              </a:prstGeom>
                              <a:noFill/>
                              <a:ln>
                                <a:noFill/>
                              </a:ln>
                            </wps:spPr>
                            <wps:txbx>
                              <w:txbxContent>
                                <w:p w14:paraId="33C22A2E" w14:textId="77777777" w:rsidR="00147B85" w:rsidRDefault="00000000">
                                  <w:pPr>
                                    <w:spacing w:after="0" w:line="215" w:lineRule="auto"/>
                                    <w:jc w:val="center"/>
                                    <w:textDirection w:val="btLr"/>
                                  </w:pPr>
                                  <w:r>
                                    <w:rPr>
                                      <w:rFonts w:ascii="Calibri" w:eastAsia="Calibri" w:hAnsi="Calibri" w:cs="Calibri"/>
                                      <w:color w:val="000000"/>
                                      <w:sz w:val="32"/>
                                    </w:rPr>
                                    <w:t>Measurable</w:t>
                                  </w:r>
                                </w:p>
                              </w:txbxContent>
                            </wps:txbx>
                            <wps:bodyPr spcFirstLastPara="1" wrap="square" lIns="60950" tIns="30475" rIns="60950" bIns="30475" anchor="ctr" anchorCtr="0">
                              <a:noAutofit/>
                            </wps:bodyPr>
                          </wps:wsp>
                          <wps:wsp>
                            <wps:cNvPr id="804528202" name="Round Same-side Corner of Rectangle 804528202"/>
                            <wps:cNvSpPr/>
                            <wps:spPr>
                              <a:xfrm rot="5400000">
                                <a:off x="3397644" y="-36952"/>
                                <a:ext cx="662358" cy="3504441"/>
                              </a:xfrm>
                              <a:prstGeom prst="round2SameRect">
                                <a:avLst>
                                  <a:gd name="adj1" fmla="val 16667"/>
                                  <a:gd name="adj2" fmla="val 0"/>
                                </a:avLst>
                              </a:prstGeom>
                              <a:solidFill>
                                <a:srgbClr val="D2F2CB">
                                  <a:alpha val="89411"/>
                                </a:srgbClr>
                              </a:solidFill>
                              <a:ln w="9525" cap="flat" cmpd="sng">
                                <a:solidFill>
                                  <a:srgbClr val="D2F2CB">
                                    <a:alpha val="89411"/>
                                  </a:srgbClr>
                                </a:solidFill>
                                <a:prstDash val="solid"/>
                                <a:round/>
                                <a:headEnd type="none" w="sm" len="sm"/>
                                <a:tailEnd type="none" w="sm" len="sm"/>
                              </a:ln>
                              <a:effectLst>
                                <a:outerShdw blurRad="40000" dist="23000" dir="5400000" rotWithShape="0">
                                  <a:srgbClr val="000000">
                                    <a:alpha val="34509"/>
                                  </a:srgbClr>
                                </a:outerShdw>
                              </a:effectLst>
                            </wps:spPr>
                            <wps:txbx>
                              <w:txbxContent>
                                <w:p w14:paraId="31C8F4F7"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1418849995" name="Rectangle 1418849995"/>
                            <wps:cNvSpPr/>
                            <wps:spPr>
                              <a:xfrm>
                                <a:off x="1976603" y="1416423"/>
                                <a:ext cx="3472107" cy="597690"/>
                              </a:xfrm>
                              <a:prstGeom prst="rect">
                                <a:avLst/>
                              </a:prstGeom>
                              <a:noFill/>
                              <a:ln>
                                <a:noFill/>
                              </a:ln>
                            </wps:spPr>
                            <wps:txbx>
                              <w:txbxContent>
                                <w:p w14:paraId="604A631C" w14:textId="77777777" w:rsidR="00147B85" w:rsidRDefault="00000000">
                                  <w:pPr>
                                    <w:spacing w:after="0" w:line="215" w:lineRule="auto"/>
                                    <w:ind w:left="90" w:firstLine="160"/>
                                    <w:jc w:val="left"/>
                                    <w:textDirection w:val="btLr"/>
                                  </w:pPr>
                                  <w:r>
                                    <w:rPr>
                                      <w:rFonts w:ascii="Calibri" w:eastAsia="Calibri" w:hAnsi="Calibri" w:cs="Calibri"/>
                                      <w:color w:val="000000"/>
                                      <w:sz w:val="14"/>
                                    </w:rPr>
                                    <w:t>I have the resoursces necessary for this goal</w:t>
                                  </w:r>
                                </w:p>
                                <w:p w14:paraId="20C906E9"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 xml:space="preserve"> Others have performed this successfully before me</w:t>
                                  </w:r>
                                </w:p>
                              </w:txbxContent>
                            </wps:txbx>
                            <wps:bodyPr spcFirstLastPara="1" wrap="square" lIns="26650" tIns="13325" rIns="26650" bIns="13325" anchor="ctr" anchorCtr="0">
                              <a:noAutofit/>
                            </wps:bodyPr>
                          </wps:wsp>
                          <wps:wsp>
                            <wps:cNvPr id="1843453588" name="Rounded Rectangle 1843453588"/>
                            <wps:cNvSpPr/>
                            <wps:spPr>
                              <a:xfrm>
                                <a:off x="5355" y="1554506"/>
                                <a:ext cx="1971248" cy="321524"/>
                              </a:xfrm>
                              <a:prstGeom prst="roundRect">
                                <a:avLst>
                                  <a:gd name="adj" fmla="val 16667"/>
                                </a:avLst>
                              </a:prstGeom>
                              <a:gradFill>
                                <a:gsLst>
                                  <a:gs pos="0">
                                    <a:srgbClr val="39B520"/>
                                  </a:gs>
                                  <a:gs pos="80000">
                                    <a:srgbClr val="4CED2B"/>
                                  </a:gs>
                                  <a:gs pos="100000">
                                    <a:srgbClr val="4AF228"/>
                                  </a:gs>
                                </a:gsLst>
                                <a:lin ang="16200000" scaled="0"/>
                              </a:gradFill>
                              <a:ln>
                                <a:noFill/>
                              </a:ln>
                              <a:effectLst>
                                <a:outerShdw blurRad="40000" dist="23000" dir="5400000" rotWithShape="0">
                                  <a:srgbClr val="000000">
                                    <a:alpha val="34509"/>
                                  </a:srgbClr>
                                </a:outerShdw>
                              </a:effectLst>
                            </wps:spPr>
                            <wps:txbx>
                              <w:txbxContent>
                                <w:p w14:paraId="2F6BA38C"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442594411" name="Rectangle 442594411"/>
                            <wps:cNvSpPr/>
                            <wps:spPr>
                              <a:xfrm>
                                <a:off x="21051" y="1570202"/>
                                <a:ext cx="1939856" cy="290132"/>
                              </a:xfrm>
                              <a:prstGeom prst="rect">
                                <a:avLst/>
                              </a:prstGeom>
                              <a:noFill/>
                              <a:ln>
                                <a:noFill/>
                              </a:ln>
                            </wps:spPr>
                            <wps:txbx>
                              <w:txbxContent>
                                <w:p w14:paraId="4731B856" w14:textId="77777777" w:rsidR="00147B85" w:rsidRDefault="00000000">
                                  <w:pPr>
                                    <w:spacing w:after="0" w:line="215" w:lineRule="auto"/>
                                    <w:jc w:val="center"/>
                                    <w:textDirection w:val="btLr"/>
                                  </w:pPr>
                                  <w:r>
                                    <w:rPr>
                                      <w:rFonts w:ascii="Calibri" w:eastAsia="Calibri" w:hAnsi="Calibri" w:cs="Calibri"/>
                                      <w:color w:val="000000"/>
                                      <w:sz w:val="32"/>
                                    </w:rPr>
                                    <w:t>Achieveable</w:t>
                                  </w:r>
                                </w:p>
                              </w:txbxContent>
                            </wps:txbx>
                            <wps:bodyPr spcFirstLastPara="1" wrap="square" lIns="60950" tIns="30475" rIns="60950" bIns="30475" anchor="ctr" anchorCtr="0">
                              <a:noAutofit/>
                            </wps:bodyPr>
                          </wps:wsp>
                          <wps:wsp>
                            <wps:cNvPr id="2029228268" name="Round Same-side Corner of Rectangle 2029228268"/>
                            <wps:cNvSpPr/>
                            <wps:spPr>
                              <a:xfrm rot="5400000">
                                <a:off x="3475327" y="563799"/>
                                <a:ext cx="506992" cy="3504441"/>
                              </a:xfrm>
                              <a:prstGeom prst="round2SameRect">
                                <a:avLst>
                                  <a:gd name="adj1" fmla="val 16667"/>
                                  <a:gd name="adj2" fmla="val 0"/>
                                </a:avLst>
                              </a:prstGeom>
                              <a:solidFill>
                                <a:srgbClr val="F5F6CB">
                                  <a:alpha val="89411"/>
                                </a:srgbClr>
                              </a:solidFill>
                              <a:ln w="9525" cap="flat" cmpd="sng">
                                <a:solidFill>
                                  <a:srgbClr val="F5F6CB">
                                    <a:alpha val="89411"/>
                                  </a:srgbClr>
                                </a:solidFill>
                                <a:prstDash val="solid"/>
                                <a:round/>
                                <a:headEnd type="none" w="sm" len="sm"/>
                                <a:tailEnd type="none" w="sm" len="sm"/>
                              </a:ln>
                              <a:effectLst>
                                <a:outerShdw blurRad="40000" dist="23000" dir="5400000" rotWithShape="0">
                                  <a:srgbClr val="000000">
                                    <a:alpha val="34509"/>
                                  </a:srgbClr>
                                </a:outerShdw>
                              </a:effectLst>
                            </wps:spPr>
                            <wps:txbx>
                              <w:txbxContent>
                                <w:p w14:paraId="26ACCB92"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1174520402" name="Rectangle 1174520402"/>
                            <wps:cNvSpPr/>
                            <wps:spPr>
                              <a:xfrm>
                                <a:off x="1976603" y="2087273"/>
                                <a:ext cx="3479692" cy="457494"/>
                              </a:xfrm>
                              <a:prstGeom prst="rect">
                                <a:avLst/>
                              </a:prstGeom>
                              <a:noFill/>
                              <a:ln>
                                <a:noFill/>
                              </a:ln>
                            </wps:spPr>
                            <wps:txbx>
                              <w:txbxContent>
                                <w:p w14:paraId="02E9DECD" w14:textId="77777777" w:rsidR="00147B85" w:rsidRDefault="00000000">
                                  <w:pPr>
                                    <w:spacing w:after="0" w:line="215" w:lineRule="auto"/>
                                    <w:ind w:left="90" w:firstLine="160"/>
                                    <w:jc w:val="left"/>
                                    <w:textDirection w:val="btLr"/>
                                  </w:pPr>
                                  <w:r>
                                    <w:rPr>
                                      <w:rFonts w:ascii="Calibri" w:eastAsia="Calibri" w:hAnsi="Calibri" w:cs="Calibri"/>
                                      <w:color w:val="000000"/>
                                      <w:sz w:val="14"/>
                                    </w:rPr>
                                    <w:t>The goal is realistic and within reach</w:t>
                                  </w:r>
                                </w:p>
                                <w:p w14:paraId="61151DDC"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I am able to commit to achieving the goal</w:t>
                                  </w:r>
                                </w:p>
                              </w:txbxContent>
                            </wps:txbx>
                            <wps:bodyPr spcFirstLastPara="1" wrap="square" lIns="26650" tIns="13325" rIns="26650" bIns="13325" anchor="ctr" anchorCtr="0">
                              <a:noAutofit/>
                            </wps:bodyPr>
                          </wps:wsp>
                          <wps:wsp>
                            <wps:cNvPr id="1218044318" name="Rounded Rectangle 1218044318"/>
                            <wps:cNvSpPr/>
                            <wps:spPr>
                              <a:xfrm>
                                <a:off x="5355" y="2155258"/>
                                <a:ext cx="1971248" cy="321524"/>
                              </a:xfrm>
                              <a:prstGeom prst="roundRect">
                                <a:avLst>
                                  <a:gd name="adj" fmla="val 16667"/>
                                </a:avLst>
                              </a:prstGeom>
                              <a:gradFill>
                                <a:gsLst>
                                  <a:gs pos="0">
                                    <a:srgbClr val="A8BF1F"/>
                                  </a:gs>
                                  <a:gs pos="80000">
                                    <a:srgbClr val="DDFB28"/>
                                  </a:gs>
                                  <a:gs pos="100000">
                                    <a:srgbClr val="E1FF25"/>
                                  </a:gs>
                                </a:gsLst>
                                <a:lin ang="16200000" scaled="0"/>
                              </a:gradFill>
                              <a:ln>
                                <a:noFill/>
                              </a:ln>
                              <a:effectLst>
                                <a:outerShdw blurRad="40000" dist="23000" dir="5400000" rotWithShape="0">
                                  <a:srgbClr val="000000">
                                    <a:alpha val="34509"/>
                                  </a:srgbClr>
                                </a:outerShdw>
                              </a:effectLst>
                            </wps:spPr>
                            <wps:txbx>
                              <w:txbxContent>
                                <w:p w14:paraId="3EA8E749"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2009867406" name="Rectangle 2009867406"/>
                            <wps:cNvSpPr/>
                            <wps:spPr>
                              <a:xfrm>
                                <a:off x="21051" y="2170954"/>
                                <a:ext cx="1939856" cy="290132"/>
                              </a:xfrm>
                              <a:prstGeom prst="rect">
                                <a:avLst/>
                              </a:prstGeom>
                              <a:noFill/>
                              <a:ln>
                                <a:noFill/>
                              </a:ln>
                            </wps:spPr>
                            <wps:txbx>
                              <w:txbxContent>
                                <w:p w14:paraId="38F79231" w14:textId="77777777" w:rsidR="00147B85" w:rsidRDefault="00000000">
                                  <w:pPr>
                                    <w:spacing w:after="0" w:line="215" w:lineRule="auto"/>
                                    <w:jc w:val="center"/>
                                    <w:textDirection w:val="btLr"/>
                                  </w:pPr>
                                  <w:r>
                                    <w:rPr>
                                      <w:rFonts w:ascii="Calibri" w:eastAsia="Calibri" w:hAnsi="Calibri" w:cs="Calibri"/>
                                      <w:color w:val="000000"/>
                                      <w:sz w:val="32"/>
                                    </w:rPr>
                                    <w:t>Relevant</w:t>
                                  </w:r>
                                </w:p>
                              </w:txbxContent>
                            </wps:txbx>
                            <wps:bodyPr spcFirstLastPara="1" wrap="square" lIns="60950" tIns="30475" rIns="60950" bIns="30475" anchor="ctr" anchorCtr="0">
                              <a:noAutofit/>
                            </wps:bodyPr>
                          </wps:wsp>
                          <wps:wsp>
                            <wps:cNvPr id="1849970381" name="Round Same-side Corner of Rectangle 1849970381"/>
                            <wps:cNvSpPr/>
                            <wps:spPr>
                              <a:xfrm rot="5400000">
                                <a:off x="3422098" y="1140097"/>
                                <a:ext cx="613450" cy="3504441"/>
                              </a:xfrm>
                              <a:prstGeom prst="round2SameRect">
                                <a:avLst>
                                  <a:gd name="adj1" fmla="val 16667"/>
                                  <a:gd name="adj2" fmla="val 0"/>
                                </a:avLst>
                              </a:prstGeom>
                              <a:solidFill>
                                <a:srgbClr val="FBDACB">
                                  <a:alpha val="89411"/>
                                </a:srgbClr>
                              </a:solidFill>
                              <a:ln w="9525" cap="flat" cmpd="sng">
                                <a:solidFill>
                                  <a:srgbClr val="FBDACB">
                                    <a:alpha val="89411"/>
                                  </a:srgbClr>
                                </a:solidFill>
                                <a:prstDash val="solid"/>
                                <a:round/>
                                <a:headEnd type="none" w="sm" len="sm"/>
                                <a:tailEnd type="none" w="sm" len="sm"/>
                              </a:ln>
                              <a:effectLst>
                                <a:outerShdw blurRad="40000" dist="23000" dir="5400000" rotWithShape="0">
                                  <a:srgbClr val="000000">
                                    <a:alpha val="34509"/>
                                  </a:srgbClr>
                                </a:outerShdw>
                              </a:effectLst>
                            </wps:spPr>
                            <wps:txbx>
                              <w:txbxContent>
                                <w:p w14:paraId="5FECD440"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398685463" name="Rectangle 398685463"/>
                            <wps:cNvSpPr/>
                            <wps:spPr>
                              <a:xfrm>
                                <a:off x="1976603" y="2615538"/>
                                <a:ext cx="3474495" cy="553558"/>
                              </a:xfrm>
                              <a:prstGeom prst="rect">
                                <a:avLst/>
                              </a:prstGeom>
                              <a:noFill/>
                              <a:ln>
                                <a:noFill/>
                              </a:ln>
                            </wps:spPr>
                            <wps:txbx>
                              <w:txbxContent>
                                <w:p w14:paraId="1C6285CE" w14:textId="77777777" w:rsidR="00147B85" w:rsidRDefault="00000000">
                                  <w:pPr>
                                    <w:spacing w:after="0" w:line="215" w:lineRule="auto"/>
                                    <w:ind w:left="90" w:firstLine="160"/>
                                    <w:jc w:val="left"/>
                                    <w:textDirection w:val="btLr"/>
                                  </w:pPr>
                                  <w:r>
                                    <w:rPr>
                                      <w:rFonts w:ascii="Calibri" w:eastAsia="Calibri" w:hAnsi="Calibri" w:cs="Calibri"/>
                                      <w:color w:val="000000"/>
                                      <w:sz w:val="14"/>
                                    </w:rPr>
                                    <w:t>My goal has a deadline</w:t>
                                  </w:r>
                                </w:p>
                                <w:p w14:paraId="0AB3FB98" w14:textId="77777777" w:rsidR="00147B85" w:rsidRDefault="00000000">
                                  <w:pPr>
                                    <w:spacing w:before="21" w:after="0" w:line="215" w:lineRule="auto"/>
                                    <w:ind w:left="90" w:firstLine="160"/>
                                    <w:jc w:val="left"/>
                                    <w:textDirection w:val="btLr"/>
                                  </w:pPr>
                                  <w:r>
                                    <w:rPr>
                                      <w:rFonts w:ascii="Calibri" w:eastAsia="Calibri" w:hAnsi="Calibri" w:cs="Calibri"/>
                                      <w:color w:val="000000"/>
                                      <w:sz w:val="14"/>
                                    </w:rPr>
                                    <w:t>I want to achive my goals within a year</w:t>
                                  </w:r>
                                </w:p>
                              </w:txbxContent>
                            </wps:txbx>
                            <wps:bodyPr spcFirstLastPara="1" wrap="square" lIns="26650" tIns="13325" rIns="26650" bIns="13325" anchor="ctr" anchorCtr="0">
                              <a:noAutofit/>
                            </wps:bodyPr>
                          </wps:wsp>
                          <wps:wsp>
                            <wps:cNvPr id="1155365486" name="Rounded Rectangle 1155365486"/>
                            <wps:cNvSpPr/>
                            <wps:spPr>
                              <a:xfrm>
                                <a:off x="5355" y="2731556"/>
                                <a:ext cx="1971248" cy="321524"/>
                              </a:xfrm>
                              <a:prstGeom prst="roundRect">
                                <a:avLst>
                                  <a:gd name="adj" fmla="val 16667"/>
                                </a:avLst>
                              </a:prstGeom>
                              <a:gradFill>
                                <a:gsLst>
                                  <a:gs pos="0">
                                    <a:srgbClr val="C8691E"/>
                                  </a:gs>
                                  <a:gs pos="80000">
                                    <a:srgbClr val="FF8C27"/>
                                  </a:gs>
                                  <a:gs pos="100000">
                                    <a:srgbClr val="FF8B23"/>
                                  </a:gs>
                                </a:gsLst>
                                <a:lin ang="16200000" scaled="0"/>
                              </a:gradFill>
                              <a:ln>
                                <a:noFill/>
                              </a:ln>
                              <a:effectLst>
                                <a:outerShdw blurRad="40000" dist="23000" dir="5400000" rotWithShape="0">
                                  <a:srgbClr val="000000">
                                    <a:alpha val="34509"/>
                                  </a:srgbClr>
                                </a:outerShdw>
                              </a:effectLst>
                            </wps:spPr>
                            <wps:txbx>
                              <w:txbxContent>
                                <w:p w14:paraId="45B21B43" w14:textId="77777777" w:rsidR="00147B85" w:rsidRDefault="00147B85">
                                  <w:pPr>
                                    <w:spacing w:after="0" w:line="240" w:lineRule="auto"/>
                                    <w:jc w:val="left"/>
                                    <w:textDirection w:val="btLr"/>
                                  </w:pPr>
                                </w:p>
                              </w:txbxContent>
                            </wps:txbx>
                            <wps:bodyPr spcFirstLastPara="1" wrap="square" lIns="91425" tIns="91425" rIns="91425" bIns="91425" anchor="ctr" anchorCtr="0">
                              <a:noAutofit/>
                            </wps:bodyPr>
                          </wps:wsp>
                          <wps:wsp>
                            <wps:cNvPr id="718922707" name="Rectangle 718922707"/>
                            <wps:cNvSpPr/>
                            <wps:spPr>
                              <a:xfrm>
                                <a:off x="21051" y="2747252"/>
                                <a:ext cx="1939856" cy="290132"/>
                              </a:xfrm>
                              <a:prstGeom prst="rect">
                                <a:avLst/>
                              </a:prstGeom>
                              <a:noFill/>
                              <a:ln>
                                <a:noFill/>
                              </a:ln>
                            </wps:spPr>
                            <wps:txbx>
                              <w:txbxContent>
                                <w:p w14:paraId="3336A691" w14:textId="77777777" w:rsidR="00147B85" w:rsidRDefault="00000000">
                                  <w:pPr>
                                    <w:spacing w:after="0" w:line="215" w:lineRule="auto"/>
                                    <w:jc w:val="center"/>
                                    <w:textDirection w:val="btLr"/>
                                  </w:pPr>
                                  <w:r>
                                    <w:rPr>
                                      <w:rFonts w:ascii="Calibri" w:eastAsia="Calibri" w:hAnsi="Calibri" w:cs="Calibri"/>
                                      <w:color w:val="000000"/>
                                      <w:sz w:val="32"/>
                                    </w:rPr>
                                    <w:t>Time- based</w:t>
                                  </w:r>
                                </w:p>
                              </w:txbxContent>
                            </wps:txbx>
                            <wps:bodyPr spcFirstLastPara="1" wrap="square" lIns="60950" tIns="30475" rIns="60950" bIns="30475" anchor="ctr" anchorCtr="0">
                              <a:noAutofit/>
                            </wps:bodyPr>
                          </wps:wsp>
                        </wpg:grpSp>
                      </wpg:grp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486400" cy="3200400"/>
                <wp:effectExtent b="0" l="0" r="0" t="0"/>
                <wp:docPr id="17"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5486400" cy="3200400"/>
                        </a:xfrm>
                        <a:prstGeom prst="rect"/>
                        <a:ln/>
                      </pic:spPr>
                    </pic:pic>
                  </a:graphicData>
                </a:graphic>
              </wp:inline>
            </w:drawing>
          </mc:Fallback>
        </mc:AlternateContent>
      </w:r>
      <w:r>
        <w:t xml:space="preserve"> </w:t>
      </w:r>
    </w:p>
    <w:p w14:paraId="4385625A" w14:textId="77777777" w:rsidR="00147B85" w:rsidRDefault="00000000">
      <w:pPr>
        <w:jc w:val="center"/>
      </w:pPr>
      <w:r>
        <w:t>Fig. 3 SMART Analysis</w:t>
      </w:r>
    </w:p>
    <w:p w14:paraId="6F1AFCBF" w14:textId="77777777" w:rsidR="00147B85" w:rsidRDefault="00000000">
      <w:pPr>
        <w:jc w:val="center"/>
      </w:pPr>
      <w:r>
        <w:t xml:space="preserve">(Source: </w:t>
      </w:r>
      <w:proofErr w:type="spellStart"/>
      <w:r>
        <w:t>Self created</w:t>
      </w:r>
      <w:proofErr w:type="spellEnd"/>
      <w:r>
        <w:t>)</w:t>
      </w:r>
    </w:p>
    <w:p w14:paraId="795F145C"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t>PDP</w:t>
      </w:r>
    </w:p>
    <w:p w14:paraId="4F9CF9B1" w14:textId="77777777" w:rsidR="00147B85" w:rsidRDefault="00000000">
      <w:r>
        <w:t xml:space="preserve">Personal Development planning can be utilised to become aware of relevant skills, identification and development of skills needed, need of achievement of skills, focus on career and personal development, development of a source of information and demonstration of readiness for opportunities of development (Grit, 2019). Having a plan lets you aim at the bigger picture while working towards expectations of growth. Milestones are also recognised. Motivation comes a long way for clear and intentional growth. A development plan for the career includes a statement of summary, goals which are short term, goals which are long term, skills I currently possess, skills I am currently developing, resources and action items. In order for the career plan I have to give a thought to my current position, where am I with the career what part of it do I enjoy? I have to consider my goals like what dies my dream career look like? What I want to do more of and what I want to delegate (Gee et. al., 2019). Next I have to do an analysis of my skills. Skills I currently have at my disposal, skills needed in development for reaching goals. I need to storm my brain for resources like what are the resources of growth I can access? An action plan can be written like skills I need for development with progression towards goals. A timeline can be created for helping to stay on target. I can slowly work towards my goals like progression on action items. I can also try new approaches, seek guidance and support (Griller, 2018). </w:t>
      </w:r>
    </w:p>
    <w:p w14:paraId="5423E746"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lastRenderedPageBreak/>
        <w:t>Learning Style Questionnaire</w:t>
      </w:r>
    </w:p>
    <w:p w14:paraId="006C3875" w14:textId="77777777" w:rsidR="00147B85" w:rsidRDefault="00000000">
      <w:r>
        <w:t xml:space="preserve">The Honey and Mumford has been used extensively in industry and academia. This </w:t>
      </w:r>
      <w:proofErr w:type="spellStart"/>
      <w:r>
        <w:t>self development</w:t>
      </w:r>
      <w:proofErr w:type="spellEnd"/>
      <w:r>
        <w:t xml:space="preserve"> instrument is cost effective with design measures (Weng et. al., 2018). There are 40 to 80 items in the questionnaire. Individuals and groups are stimulated by it. After identification of the learning style they choose between experiences of learning. There is help in easy learning and effective opportunities of learning. In the Honey and Mumford test the following are considered: learning opportunities match with how you learn best, give all round to learning with increase in versatility which are planned and spontaneous. Processes and skills are improved with awareness of self-scrutiny and improvement. It is based on the learning cycle of David Kolb. The demonstration I show preferences learned can change with time with change in circumstances. The learning stages have got four cycles- reactive or proactive learning cycles with expansion of potential learning, review of what you have learned with changing circumstances. The raw materials from meetings might be utilised for learning of lessons with conclusion and answers. Use of conclusions for forward plan and action plan in moving forward (Shirazi and </w:t>
      </w:r>
      <w:proofErr w:type="spellStart"/>
      <w:r>
        <w:t>Heidari</w:t>
      </w:r>
      <w:proofErr w:type="spellEnd"/>
      <w:r>
        <w:t xml:space="preserve">, 2019).   </w:t>
      </w:r>
    </w:p>
    <w:p w14:paraId="52BE93AE" w14:textId="77777777" w:rsidR="00147B85" w:rsidRDefault="00000000">
      <w:r>
        <w:rPr>
          <w:noProof/>
        </w:rPr>
        <w:drawing>
          <wp:inline distT="0" distB="0" distL="0" distR="0" wp14:anchorId="77722547" wp14:editId="710D08C7">
            <wp:extent cx="3848100" cy="3352800"/>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3848100" cy="3352800"/>
                    </a:xfrm>
                    <a:prstGeom prst="rect">
                      <a:avLst/>
                    </a:prstGeom>
                    <a:ln/>
                  </pic:spPr>
                </pic:pic>
              </a:graphicData>
            </a:graphic>
          </wp:inline>
        </w:drawing>
      </w:r>
    </w:p>
    <w:p w14:paraId="7434565F" w14:textId="77777777" w:rsidR="00147B85" w:rsidRDefault="00000000">
      <w:r>
        <w:t xml:space="preserve">       Fig. 4 Honey and Mumford Learning Cycle</w:t>
      </w:r>
    </w:p>
    <w:p w14:paraId="16E26FDA" w14:textId="77777777" w:rsidR="00147B85" w:rsidRDefault="00000000">
      <w:r>
        <w:t xml:space="preserve">             (Source: </w:t>
      </w:r>
      <w:hyperlink r:id="rId11">
        <w:r>
          <w:rPr>
            <w:color w:val="0000FF"/>
            <w:u w:val="single"/>
          </w:rPr>
          <w:t>https://www.talentlens.com</w:t>
        </w:r>
      </w:hyperlink>
      <w:r>
        <w:t>)</w:t>
      </w:r>
    </w:p>
    <w:p w14:paraId="07E9C30F" w14:textId="77777777" w:rsidR="00147B85" w:rsidRDefault="00000000">
      <w:r>
        <w:t xml:space="preserve">The aim of the questionnaire is equipping with skills in four phases of the learning cycle- experience, review, conclusion and planning. With preferences for learner styles there is better </w:t>
      </w:r>
      <w:r>
        <w:lastRenderedPageBreak/>
        <w:t xml:space="preserve">equipping of experiences to suiting style of predominance. With different learning opportunities there is more easy and effective learning. An </w:t>
      </w:r>
      <w:proofErr w:type="spellStart"/>
      <w:r>
        <w:t>individuals</w:t>
      </w:r>
      <w:proofErr w:type="spellEnd"/>
      <w:r>
        <w:t xml:space="preserve"> preference is measured by LSQ with reference to the different styles of learning; reflectors, theorists, pragmatics and activists. A raw score is provided in the report of output with a score of percentages and a graph containing visuals. Managers can utilise the learning styles beneficially. The report of output has suggestions for actions wherein the strategies of learning might be identified. There is disagreement of overview of statements. There is benefit to use of information. The output report has style for identification in learning best for preference of avoidance. There are disagreements with overview of statements and there is less preference in improvement. Better blending of learning programmes were done with prediction of learning difficulties, constitution of learning groups, allocation of roles and other trainings of participation and encouragement of production of development plans. There are four key styles of learning, they are Direct action is taken by activists. There is enthusiasm and welcome of challenges. Flexibility and open-mindedness are some characteristics of them. If allowed activists would excel in their learning. There is generation of ideas and involvement of people to bounce ideas around. There is involvement of a passive role and repeating of tasks on the same rote.  Methodical and through are what reflectors are. Reading and listening are enjoyed by them with undertaking of experiences in drawing of conclusions. With respect to other styles reflectors excel when there is thought or watching over ideas. There is difficulty in learning when given the stage for centre or conclusions drawn. Theorists like to see the big picture. There is logic and objective to sequential approaches. They have a rationalistic side and tend to veer towards perfection. Excel at learning would happen with theorists when assumptions are challenged and given a clear purpose for work. There learning might prove to be difficult on cases where methodically sound material is not provided and there is no structure of the activity. Things in practice are liked by pragmatists. There are the qualities of realism and being down to earth for pragmatists. There is the opportunity of trying out learning. There would be immediate implementation of learning by demonstration. Learning might be difficult for pragmatists when there are convulsion and stalling with obstacles for implementation.      </w:t>
      </w:r>
    </w:p>
    <w:p w14:paraId="2DECC727" w14:textId="77777777" w:rsidR="00147B85" w:rsidRDefault="00000000">
      <w:pPr>
        <w:jc w:val="center"/>
        <w:rPr>
          <w:b/>
          <w:sz w:val="32"/>
          <w:szCs w:val="32"/>
        </w:rPr>
      </w:pPr>
      <w:r>
        <w:rPr>
          <w:b/>
          <w:sz w:val="32"/>
          <w:szCs w:val="32"/>
        </w:rPr>
        <w:t>Learning Style Questionnaire</w:t>
      </w:r>
    </w:p>
    <w:p w14:paraId="6FA0FF8D" w14:textId="77777777" w:rsidR="00147B85" w:rsidRDefault="00000000">
      <w:r>
        <w:rPr>
          <w:noProof/>
        </w:rPr>
        <w:lastRenderedPageBreak/>
        <w:drawing>
          <wp:inline distT="0" distB="0" distL="0" distR="0" wp14:anchorId="1C16C164" wp14:editId="3005DFFD">
            <wp:extent cx="5731510" cy="927696"/>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510" cy="927696"/>
                    </a:xfrm>
                    <a:prstGeom prst="rect">
                      <a:avLst/>
                    </a:prstGeom>
                    <a:ln/>
                  </pic:spPr>
                </pic:pic>
              </a:graphicData>
            </a:graphic>
          </wp:inline>
        </w:drawing>
      </w:r>
    </w:p>
    <w:p w14:paraId="0E78C301" w14:textId="77777777" w:rsidR="00147B85" w:rsidRDefault="00147B85"/>
    <w:p w14:paraId="49DDBDBA" w14:textId="77777777" w:rsidR="00147B85" w:rsidRDefault="00000000">
      <w:pPr>
        <w:ind w:left="360"/>
      </w:pPr>
      <w:r>
        <w:rPr>
          <w:noProof/>
        </w:rPr>
        <w:drawing>
          <wp:inline distT="0" distB="0" distL="0" distR="0" wp14:anchorId="6C6EAB66" wp14:editId="6CB254A0">
            <wp:extent cx="5731510" cy="3863258"/>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510" cy="3863258"/>
                    </a:xfrm>
                    <a:prstGeom prst="rect">
                      <a:avLst/>
                    </a:prstGeom>
                    <a:ln/>
                  </pic:spPr>
                </pic:pic>
              </a:graphicData>
            </a:graphic>
          </wp:inline>
        </w:drawing>
      </w:r>
    </w:p>
    <w:p w14:paraId="5AC46388" w14:textId="77777777" w:rsidR="00147B85" w:rsidRDefault="00000000">
      <w:pPr>
        <w:tabs>
          <w:tab w:val="left" w:pos="1350"/>
        </w:tabs>
        <w:spacing w:after="0" w:line="240" w:lineRule="auto"/>
        <w:ind w:left="360"/>
        <w:jc w:val="left"/>
      </w:pPr>
      <w:r>
        <w:rPr>
          <w:noProof/>
        </w:rPr>
        <w:lastRenderedPageBreak/>
        <w:drawing>
          <wp:inline distT="0" distB="0" distL="0" distR="0" wp14:anchorId="10655F9C" wp14:editId="1C11A34A">
            <wp:extent cx="5731510" cy="3434620"/>
            <wp:effectExtent l="0" t="0" r="0" b="0"/>
            <wp:docPr id="2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510" cy="3434620"/>
                    </a:xfrm>
                    <a:prstGeom prst="rect">
                      <a:avLst/>
                    </a:prstGeom>
                    <a:ln/>
                  </pic:spPr>
                </pic:pic>
              </a:graphicData>
            </a:graphic>
          </wp:inline>
        </w:drawing>
      </w:r>
    </w:p>
    <w:p w14:paraId="3B2B45E1" w14:textId="77777777" w:rsidR="00147B85" w:rsidRDefault="00147B85">
      <w:pPr>
        <w:rPr>
          <w:b/>
        </w:rPr>
      </w:pPr>
    </w:p>
    <w:p w14:paraId="06248AAE" w14:textId="77777777" w:rsidR="00147B85" w:rsidRDefault="00147B85">
      <w:pPr>
        <w:rPr>
          <w:b/>
        </w:rPr>
      </w:pPr>
    </w:p>
    <w:p w14:paraId="42E8E2B1" w14:textId="77777777" w:rsidR="00147B85" w:rsidRDefault="00147B85">
      <w:pPr>
        <w:rPr>
          <w:b/>
        </w:rPr>
      </w:pPr>
    </w:p>
    <w:p w14:paraId="7B4D83F4" w14:textId="77777777" w:rsidR="00147B85" w:rsidRDefault="00147B85">
      <w:pPr>
        <w:rPr>
          <w:b/>
        </w:rPr>
      </w:pPr>
    </w:p>
    <w:p w14:paraId="67CC17CE" w14:textId="77777777" w:rsidR="00147B85" w:rsidRDefault="00000000">
      <w:pPr>
        <w:ind w:left="360"/>
      </w:pPr>
      <w:r>
        <w:rPr>
          <w:noProof/>
        </w:rPr>
        <w:drawing>
          <wp:inline distT="0" distB="0" distL="0" distR="0" wp14:anchorId="6BB20986" wp14:editId="28244A00">
            <wp:extent cx="5731510" cy="3724257"/>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510" cy="3724257"/>
                    </a:xfrm>
                    <a:prstGeom prst="rect">
                      <a:avLst/>
                    </a:prstGeom>
                    <a:ln/>
                  </pic:spPr>
                </pic:pic>
              </a:graphicData>
            </a:graphic>
          </wp:inline>
        </w:drawing>
      </w:r>
    </w:p>
    <w:p w14:paraId="1BBA36E5" w14:textId="77777777" w:rsidR="00147B85" w:rsidRDefault="00000000">
      <w:pPr>
        <w:rPr>
          <w:b/>
        </w:rPr>
      </w:pPr>
      <w:r>
        <w:rPr>
          <w:b/>
        </w:rPr>
        <w:lastRenderedPageBreak/>
        <w:t>SCORING:</w:t>
      </w:r>
    </w:p>
    <w:p w14:paraId="51D8A8BC" w14:textId="77777777" w:rsidR="00147B85" w:rsidRDefault="00000000">
      <w:r>
        <w:t xml:space="preserve">Here the scores of three sections are added up.  The maximum score in any section is 30 and the minimum score is 10.  </w:t>
      </w:r>
    </w:p>
    <w:p w14:paraId="7FCE2150" w14:textId="77777777" w:rsidR="00147B85" w:rsidRDefault="00000000">
      <w:r>
        <w:t>Section One score:     __26___(Visual)</w:t>
      </w:r>
    </w:p>
    <w:p w14:paraId="21E10548" w14:textId="77777777" w:rsidR="00147B85" w:rsidRDefault="00000000">
      <w:r>
        <w:t>Section Two score:    ___20___(Auditory)</w:t>
      </w:r>
    </w:p>
    <w:p w14:paraId="50946183" w14:textId="77777777" w:rsidR="00147B85" w:rsidRDefault="00000000">
      <w:r>
        <w:t>Section Three score:  ___23__(</w:t>
      </w:r>
      <w:proofErr w:type="spellStart"/>
      <w:r>
        <w:t>Kinesthetic</w:t>
      </w:r>
      <w:proofErr w:type="spellEnd"/>
      <w:r>
        <w:t>)</w:t>
      </w:r>
    </w:p>
    <w:p w14:paraId="676DCDEE" w14:textId="77777777" w:rsidR="00147B85" w:rsidRDefault="00000000">
      <w:r>
        <w:t>From the above questionnaire one can make a guess about my preference and style of learning. I have also learned a lot from the learning questionnaire. My auditory score has come up a bit in the lows and I have to practice and perfect that position. I also am able to make an idea about which nuances need tweaking in order to better my responses (</w:t>
      </w:r>
      <w:proofErr w:type="spellStart"/>
      <w:r>
        <w:t>Ilcin</w:t>
      </w:r>
      <w:proofErr w:type="spellEnd"/>
      <w:r>
        <w:t xml:space="preserve"> et. al., 2018, pp. 1-14). </w:t>
      </w:r>
    </w:p>
    <w:p w14:paraId="7A822083" w14:textId="77777777" w:rsidR="00147B85" w:rsidRDefault="00000000">
      <w:pPr>
        <w:keepNext/>
        <w:keepLines/>
        <w:numPr>
          <w:ilvl w:val="0"/>
          <w:numId w:val="7"/>
        </w:numPr>
        <w:pBdr>
          <w:top w:val="nil"/>
          <w:left w:val="nil"/>
          <w:bottom w:val="nil"/>
          <w:right w:val="nil"/>
          <w:between w:val="nil"/>
        </w:pBdr>
        <w:spacing w:before="200" w:after="0"/>
        <w:rPr>
          <w:b/>
          <w:color w:val="000000"/>
        </w:rPr>
      </w:pPr>
      <w:r>
        <w:rPr>
          <w:b/>
          <w:color w:val="000000"/>
        </w:rPr>
        <w:t>PDP Model</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3"/>
        <w:gridCol w:w="1478"/>
        <w:gridCol w:w="2229"/>
        <w:gridCol w:w="1224"/>
        <w:gridCol w:w="1167"/>
        <w:gridCol w:w="1155"/>
      </w:tblGrid>
      <w:tr w:rsidR="00147B85" w14:paraId="57F95927" w14:textId="77777777">
        <w:tc>
          <w:tcPr>
            <w:tcW w:w="1763" w:type="dxa"/>
            <w:shd w:val="clear" w:color="auto" w:fill="B8CCE4"/>
          </w:tcPr>
          <w:p w14:paraId="6D2647DC" w14:textId="77777777" w:rsidR="00147B85" w:rsidRDefault="00000000">
            <w:r>
              <w:t>What are your long-term goals?</w:t>
            </w:r>
          </w:p>
        </w:tc>
        <w:tc>
          <w:tcPr>
            <w:tcW w:w="1478" w:type="dxa"/>
            <w:shd w:val="clear" w:color="auto" w:fill="B8CCE4"/>
          </w:tcPr>
          <w:p w14:paraId="709FAFF1" w14:textId="77777777" w:rsidR="00147B85" w:rsidRDefault="00000000">
            <w:r>
              <w:t>What are your specific career goals?</w:t>
            </w:r>
          </w:p>
        </w:tc>
        <w:tc>
          <w:tcPr>
            <w:tcW w:w="2229" w:type="dxa"/>
            <w:shd w:val="clear" w:color="auto" w:fill="B8CCE4"/>
          </w:tcPr>
          <w:p w14:paraId="392D957B" w14:textId="77777777" w:rsidR="00147B85" w:rsidRDefault="00000000">
            <w:r>
              <w:t xml:space="preserve">What are the key skills needed for each one of your goals? </w:t>
            </w:r>
          </w:p>
        </w:tc>
        <w:tc>
          <w:tcPr>
            <w:tcW w:w="1224" w:type="dxa"/>
            <w:shd w:val="clear" w:color="auto" w:fill="B8CCE4"/>
          </w:tcPr>
          <w:p w14:paraId="24CC5CF0" w14:textId="77777777" w:rsidR="00147B85" w:rsidRDefault="00000000">
            <w:r>
              <w:t>What skills do you need to work on?</w:t>
            </w:r>
          </w:p>
        </w:tc>
        <w:tc>
          <w:tcPr>
            <w:tcW w:w="1167" w:type="dxa"/>
            <w:shd w:val="clear" w:color="auto" w:fill="B8CCE4"/>
          </w:tcPr>
          <w:p w14:paraId="4F162114" w14:textId="77777777" w:rsidR="00147B85" w:rsidRDefault="00000000">
            <w:r>
              <w:t xml:space="preserve">What actions are you going to take? </w:t>
            </w:r>
          </w:p>
        </w:tc>
        <w:tc>
          <w:tcPr>
            <w:tcW w:w="1155" w:type="dxa"/>
            <w:shd w:val="clear" w:color="auto" w:fill="B8CCE4"/>
          </w:tcPr>
          <w:p w14:paraId="1EFFD775" w14:textId="77777777" w:rsidR="00147B85" w:rsidRDefault="00000000">
            <w:r>
              <w:t>When are you going to complete your training?</w:t>
            </w:r>
          </w:p>
        </w:tc>
      </w:tr>
      <w:tr w:rsidR="00147B85" w14:paraId="7701B2AC" w14:textId="77777777">
        <w:tc>
          <w:tcPr>
            <w:tcW w:w="1763" w:type="dxa"/>
            <w:vMerge w:val="restart"/>
            <w:shd w:val="clear" w:color="auto" w:fill="FBD5B5"/>
          </w:tcPr>
          <w:p w14:paraId="13DE091C" w14:textId="77777777" w:rsidR="00147B85" w:rsidRDefault="00000000">
            <w:r>
              <w:t>Good Communication</w:t>
            </w:r>
          </w:p>
        </w:tc>
        <w:tc>
          <w:tcPr>
            <w:tcW w:w="1478" w:type="dxa"/>
          </w:tcPr>
          <w:p w14:paraId="481025C7" w14:textId="77777777" w:rsidR="00147B85" w:rsidRDefault="00000000">
            <w:r>
              <w:t>Verbal messages</w:t>
            </w:r>
          </w:p>
        </w:tc>
        <w:tc>
          <w:tcPr>
            <w:tcW w:w="2229" w:type="dxa"/>
          </w:tcPr>
          <w:p w14:paraId="2E861C62" w14:textId="77777777" w:rsidR="00147B85" w:rsidRDefault="00000000">
            <w:pPr>
              <w:numPr>
                <w:ilvl w:val="0"/>
                <w:numId w:val="1"/>
              </w:numPr>
              <w:pBdr>
                <w:top w:val="nil"/>
                <w:left w:val="nil"/>
                <w:bottom w:val="nil"/>
                <w:right w:val="nil"/>
                <w:between w:val="nil"/>
              </w:pBdr>
            </w:pPr>
            <w:r>
              <w:rPr>
                <w:color w:val="000000"/>
              </w:rPr>
              <w:t>Speaking</w:t>
            </w:r>
          </w:p>
          <w:p w14:paraId="69FBB450" w14:textId="77777777" w:rsidR="00147B85" w:rsidRDefault="00000000">
            <w:pPr>
              <w:numPr>
                <w:ilvl w:val="0"/>
                <w:numId w:val="1"/>
              </w:numPr>
              <w:pBdr>
                <w:top w:val="nil"/>
                <w:left w:val="nil"/>
                <w:bottom w:val="nil"/>
                <w:right w:val="nil"/>
                <w:between w:val="nil"/>
              </w:pBdr>
            </w:pPr>
            <w:r>
              <w:rPr>
                <w:color w:val="000000"/>
              </w:rPr>
              <w:t>Listening</w:t>
            </w:r>
          </w:p>
          <w:p w14:paraId="784163A9" w14:textId="77777777" w:rsidR="00147B85" w:rsidRDefault="00000000">
            <w:pPr>
              <w:numPr>
                <w:ilvl w:val="0"/>
                <w:numId w:val="1"/>
              </w:numPr>
              <w:pBdr>
                <w:top w:val="nil"/>
                <w:left w:val="nil"/>
                <w:bottom w:val="nil"/>
                <w:right w:val="nil"/>
                <w:between w:val="nil"/>
              </w:pBdr>
              <w:spacing w:after="200"/>
            </w:pPr>
            <w:r>
              <w:rPr>
                <w:color w:val="000000"/>
              </w:rPr>
              <w:t>Words</w:t>
            </w:r>
          </w:p>
        </w:tc>
        <w:tc>
          <w:tcPr>
            <w:tcW w:w="1224" w:type="dxa"/>
          </w:tcPr>
          <w:p w14:paraId="7F993B3C" w14:textId="77777777" w:rsidR="00147B85" w:rsidRDefault="00000000">
            <w:r>
              <w:t>listening</w:t>
            </w:r>
          </w:p>
        </w:tc>
        <w:tc>
          <w:tcPr>
            <w:tcW w:w="1167" w:type="dxa"/>
          </w:tcPr>
          <w:p w14:paraId="34825BEB" w14:textId="77777777" w:rsidR="00147B85" w:rsidRDefault="00000000">
            <w:r>
              <w:t xml:space="preserve">Practice listening skills </w:t>
            </w:r>
          </w:p>
        </w:tc>
        <w:tc>
          <w:tcPr>
            <w:tcW w:w="1155" w:type="dxa"/>
          </w:tcPr>
          <w:p w14:paraId="080D083D" w14:textId="77777777" w:rsidR="00147B85" w:rsidRDefault="00000000">
            <w:r>
              <w:t>3 months</w:t>
            </w:r>
          </w:p>
        </w:tc>
      </w:tr>
      <w:tr w:rsidR="00147B85" w14:paraId="2B21CE5A" w14:textId="77777777">
        <w:tc>
          <w:tcPr>
            <w:tcW w:w="1763" w:type="dxa"/>
            <w:vMerge/>
            <w:shd w:val="clear" w:color="auto" w:fill="FBD5B5"/>
          </w:tcPr>
          <w:p w14:paraId="17305843" w14:textId="77777777" w:rsidR="00147B85" w:rsidRDefault="00147B85">
            <w:pPr>
              <w:widowControl w:val="0"/>
              <w:pBdr>
                <w:top w:val="nil"/>
                <w:left w:val="nil"/>
                <w:bottom w:val="nil"/>
                <w:right w:val="nil"/>
                <w:between w:val="nil"/>
              </w:pBdr>
              <w:spacing w:line="276" w:lineRule="auto"/>
              <w:jc w:val="left"/>
            </w:pPr>
          </w:p>
        </w:tc>
        <w:tc>
          <w:tcPr>
            <w:tcW w:w="1478" w:type="dxa"/>
          </w:tcPr>
          <w:p w14:paraId="34B6CBD8" w14:textId="77777777" w:rsidR="00147B85" w:rsidRDefault="00000000">
            <w:r>
              <w:t>Non-verbal messages</w:t>
            </w:r>
          </w:p>
        </w:tc>
        <w:tc>
          <w:tcPr>
            <w:tcW w:w="2229" w:type="dxa"/>
          </w:tcPr>
          <w:p w14:paraId="63B6FE93" w14:textId="77777777" w:rsidR="00147B85" w:rsidRDefault="00000000">
            <w:pPr>
              <w:numPr>
                <w:ilvl w:val="0"/>
                <w:numId w:val="6"/>
              </w:numPr>
              <w:pBdr>
                <w:top w:val="nil"/>
                <w:left w:val="nil"/>
                <w:bottom w:val="nil"/>
                <w:right w:val="nil"/>
                <w:between w:val="nil"/>
              </w:pBdr>
            </w:pPr>
            <w:r>
              <w:rPr>
                <w:color w:val="000000"/>
              </w:rPr>
              <w:t>Gestures</w:t>
            </w:r>
          </w:p>
          <w:p w14:paraId="7E5136D3" w14:textId="77777777" w:rsidR="00147B85" w:rsidRDefault="00000000">
            <w:pPr>
              <w:numPr>
                <w:ilvl w:val="0"/>
                <w:numId w:val="6"/>
              </w:numPr>
              <w:pBdr>
                <w:top w:val="nil"/>
                <w:left w:val="nil"/>
                <w:bottom w:val="nil"/>
                <w:right w:val="nil"/>
                <w:between w:val="nil"/>
              </w:pBdr>
            </w:pPr>
            <w:r>
              <w:rPr>
                <w:color w:val="000000"/>
              </w:rPr>
              <w:t>Eye contact</w:t>
            </w:r>
          </w:p>
          <w:p w14:paraId="0CB12C4D" w14:textId="77777777" w:rsidR="00147B85" w:rsidRDefault="00000000">
            <w:pPr>
              <w:numPr>
                <w:ilvl w:val="0"/>
                <w:numId w:val="6"/>
              </w:numPr>
              <w:pBdr>
                <w:top w:val="nil"/>
                <w:left w:val="nil"/>
                <w:bottom w:val="nil"/>
                <w:right w:val="nil"/>
                <w:between w:val="nil"/>
              </w:pBdr>
              <w:spacing w:after="200"/>
            </w:pPr>
            <w:r>
              <w:rPr>
                <w:color w:val="000000"/>
              </w:rPr>
              <w:t>Facial expressions</w:t>
            </w:r>
          </w:p>
        </w:tc>
        <w:tc>
          <w:tcPr>
            <w:tcW w:w="1224" w:type="dxa"/>
          </w:tcPr>
          <w:p w14:paraId="03FD2BF7" w14:textId="77777777" w:rsidR="00147B85" w:rsidRDefault="00000000">
            <w:r>
              <w:t>Eye contact</w:t>
            </w:r>
          </w:p>
        </w:tc>
        <w:tc>
          <w:tcPr>
            <w:tcW w:w="1167" w:type="dxa"/>
          </w:tcPr>
          <w:p w14:paraId="228C59BB" w14:textId="77777777" w:rsidR="00147B85" w:rsidRDefault="00000000">
            <w:r>
              <w:t>Practice eye contact skills</w:t>
            </w:r>
          </w:p>
        </w:tc>
        <w:tc>
          <w:tcPr>
            <w:tcW w:w="1155" w:type="dxa"/>
          </w:tcPr>
          <w:p w14:paraId="7D5B1AD8" w14:textId="77777777" w:rsidR="00147B85" w:rsidRDefault="00000000">
            <w:r>
              <w:t>2 months</w:t>
            </w:r>
          </w:p>
        </w:tc>
      </w:tr>
      <w:tr w:rsidR="00147B85" w14:paraId="02EC4CF1" w14:textId="77777777">
        <w:tc>
          <w:tcPr>
            <w:tcW w:w="1763" w:type="dxa"/>
            <w:vMerge/>
            <w:shd w:val="clear" w:color="auto" w:fill="FBD5B5"/>
          </w:tcPr>
          <w:p w14:paraId="4AF60C2A" w14:textId="77777777" w:rsidR="00147B85" w:rsidRDefault="00147B85">
            <w:pPr>
              <w:widowControl w:val="0"/>
              <w:pBdr>
                <w:top w:val="nil"/>
                <w:left w:val="nil"/>
                <w:bottom w:val="nil"/>
                <w:right w:val="nil"/>
                <w:between w:val="nil"/>
              </w:pBdr>
              <w:spacing w:line="276" w:lineRule="auto"/>
              <w:jc w:val="left"/>
            </w:pPr>
          </w:p>
        </w:tc>
        <w:tc>
          <w:tcPr>
            <w:tcW w:w="1478" w:type="dxa"/>
          </w:tcPr>
          <w:p w14:paraId="5C3D8D4F" w14:textId="77777777" w:rsidR="00147B85" w:rsidRDefault="00000000">
            <w:r>
              <w:t>Electronic messages</w:t>
            </w:r>
          </w:p>
        </w:tc>
        <w:tc>
          <w:tcPr>
            <w:tcW w:w="2229" w:type="dxa"/>
          </w:tcPr>
          <w:p w14:paraId="4062F8AD" w14:textId="77777777" w:rsidR="00147B85" w:rsidRDefault="00000000">
            <w:pPr>
              <w:numPr>
                <w:ilvl w:val="0"/>
                <w:numId w:val="8"/>
              </w:numPr>
              <w:pBdr>
                <w:top w:val="nil"/>
                <w:left w:val="nil"/>
                <w:bottom w:val="nil"/>
                <w:right w:val="nil"/>
                <w:between w:val="nil"/>
              </w:pBdr>
            </w:pPr>
            <w:r>
              <w:rPr>
                <w:color w:val="000000"/>
              </w:rPr>
              <w:t>Typing</w:t>
            </w:r>
          </w:p>
          <w:p w14:paraId="2FEACAAF" w14:textId="77777777" w:rsidR="00147B85" w:rsidRDefault="00000000">
            <w:pPr>
              <w:numPr>
                <w:ilvl w:val="0"/>
                <w:numId w:val="8"/>
              </w:numPr>
              <w:pBdr>
                <w:top w:val="nil"/>
                <w:left w:val="nil"/>
                <w:bottom w:val="nil"/>
                <w:right w:val="nil"/>
                <w:between w:val="nil"/>
              </w:pBdr>
              <w:spacing w:after="200"/>
            </w:pPr>
            <w:r>
              <w:rPr>
                <w:color w:val="000000"/>
              </w:rPr>
              <w:t>Word formation</w:t>
            </w:r>
          </w:p>
        </w:tc>
        <w:tc>
          <w:tcPr>
            <w:tcW w:w="1224" w:type="dxa"/>
          </w:tcPr>
          <w:p w14:paraId="5D6E5A23" w14:textId="77777777" w:rsidR="00147B85" w:rsidRDefault="00000000">
            <w:r>
              <w:t>Typing</w:t>
            </w:r>
          </w:p>
        </w:tc>
        <w:tc>
          <w:tcPr>
            <w:tcW w:w="1167" w:type="dxa"/>
          </w:tcPr>
          <w:p w14:paraId="6D84E440" w14:textId="77777777" w:rsidR="00147B85" w:rsidRDefault="00000000">
            <w:r>
              <w:t>Take typing classes</w:t>
            </w:r>
          </w:p>
        </w:tc>
        <w:tc>
          <w:tcPr>
            <w:tcW w:w="1155" w:type="dxa"/>
          </w:tcPr>
          <w:p w14:paraId="1E356EE7" w14:textId="77777777" w:rsidR="00147B85" w:rsidRDefault="00000000">
            <w:r>
              <w:t>2 months</w:t>
            </w:r>
          </w:p>
        </w:tc>
      </w:tr>
      <w:tr w:rsidR="00147B85" w14:paraId="53F0875F" w14:textId="77777777">
        <w:tc>
          <w:tcPr>
            <w:tcW w:w="1763" w:type="dxa"/>
            <w:vMerge w:val="restart"/>
            <w:shd w:val="clear" w:color="auto" w:fill="FBD5B5"/>
          </w:tcPr>
          <w:p w14:paraId="3E5075CB" w14:textId="77777777" w:rsidR="00147B85" w:rsidRDefault="00000000">
            <w:r>
              <w:t>Team Work</w:t>
            </w:r>
          </w:p>
        </w:tc>
        <w:tc>
          <w:tcPr>
            <w:tcW w:w="1478" w:type="dxa"/>
          </w:tcPr>
          <w:p w14:paraId="2FC3C816" w14:textId="77777777" w:rsidR="00147B85" w:rsidRDefault="00000000">
            <w:r>
              <w:t>Time Management</w:t>
            </w:r>
          </w:p>
        </w:tc>
        <w:tc>
          <w:tcPr>
            <w:tcW w:w="2229" w:type="dxa"/>
          </w:tcPr>
          <w:p w14:paraId="04DFCE96" w14:textId="77777777" w:rsidR="00147B85" w:rsidRDefault="00000000">
            <w:pPr>
              <w:numPr>
                <w:ilvl w:val="0"/>
                <w:numId w:val="2"/>
              </w:numPr>
              <w:pBdr>
                <w:top w:val="nil"/>
                <w:left w:val="nil"/>
                <w:bottom w:val="nil"/>
                <w:right w:val="nil"/>
                <w:between w:val="nil"/>
              </w:pBdr>
            </w:pPr>
            <w:r>
              <w:rPr>
                <w:color w:val="000000"/>
              </w:rPr>
              <w:t xml:space="preserve">Prioritizing </w:t>
            </w:r>
          </w:p>
          <w:p w14:paraId="1904F4C3" w14:textId="77777777" w:rsidR="00147B85" w:rsidRDefault="00000000">
            <w:pPr>
              <w:numPr>
                <w:ilvl w:val="0"/>
                <w:numId w:val="2"/>
              </w:numPr>
              <w:pBdr>
                <w:top w:val="nil"/>
                <w:left w:val="nil"/>
                <w:bottom w:val="nil"/>
                <w:right w:val="nil"/>
                <w:between w:val="nil"/>
              </w:pBdr>
            </w:pPr>
            <w:r>
              <w:rPr>
                <w:color w:val="000000"/>
              </w:rPr>
              <w:t>Goal setting</w:t>
            </w:r>
          </w:p>
          <w:p w14:paraId="6E2E8D04" w14:textId="77777777" w:rsidR="00147B85" w:rsidRDefault="00000000">
            <w:pPr>
              <w:numPr>
                <w:ilvl w:val="0"/>
                <w:numId w:val="2"/>
              </w:numPr>
              <w:pBdr>
                <w:top w:val="nil"/>
                <w:left w:val="nil"/>
                <w:bottom w:val="nil"/>
                <w:right w:val="nil"/>
                <w:between w:val="nil"/>
              </w:pBdr>
              <w:spacing w:after="200"/>
            </w:pPr>
            <w:r>
              <w:rPr>
                <w:color w:val="000000"/>
              </w:rPr>
              <w:lastRenderedPageBreak/>
              <w:t>Delegation</w:t>
            </w:r>
          </w:p>
        </w:tc>
        <w:tc>
          <w:tcPr>
            <w:tcW w:w="1224" w:type="dxa"/>
          </w:tcPr>
          <w:p w14:paraId="0AE4CACB" w14:textId="77777777" w:rsidR="00147B85" w:rsidRDefault="00000000">
            <w:r>
              <w:lastRenderedPageBreak/>
              <w:t>Goal Setting</w:t>
            </w:r>
          </w:p>
        </w:tc>
        <w:tc>
          <w:tcPr>
            <w:tcW w:w="1167" w:type="dxa"/>
          </w:tcPr>
          <w:p w14:paraId="06447670" w14:textId="77777777" w:rsidR="00147B85" w:rsidRDefault="00000000">
            <w:r>
              <w:t xml:space="preserve">Practice by setting </w:t>
            </w:r>
            <w:r>
              <w:lastRenderedPageBreak/>
              <w:t>small goals</w:t>
            </w:r>
          </w:p>
        </w:tc>
        <w:tc>
          <w:tcPr>
            <w:tcW w:w="1155" w:type="dxa"/>
          </w:tcPr>
          <w:p w14:paraId="0B804C01" w14:textId="77777777" w:rsidR="00147B85" w:rsidRDefault="00000000">
            <w:r>
              <w:lastRenderedPageBreak/>
              <w:t>2 months</w:t>
            </w:r>
          </w:p>
        </w:tc>
      </w:tr>
      <w:tr w:rsidR="00147B85" w14:paraId="07B61076" w14:textId="77777777">
        <w:tc>
          <w:tcPr>
            <w:tcW w:w="1763" w:type="dxa"/>
            <w:vMerge/>
            <w:shd w:val="clear" w:color="auto" w:fill="FBD5B5"/>
          </w:tcPr>
          <w:p w14:paraId="4D862C84" w14:textId="77777777" w:rsidR="00147B85" w:rsidRDefault="00147B85">
            <w:pPr>
              <w:widowControl w:val="0"/>
              <w:pBdr>
                <w:top w:val="nil"/>
                <w:left w:val="nil"/>
                <w:bottom w:val="nil"/>
                <w:right w:val="nil"/>
                <w:between w:val="nil"/>
              </w:pBdr>
              <w:spacing w:line="276" w:lineRule="auto"/>
              <w:jc w:val="left"/>
            </w:pPr>
          </w:p>
        </w:tc>
        <w:tc>
          <w:tcPr>
            <w:tcW w:w="1478" w:type="dxa"/>
          </w:tcPr>
          <w:p w14:paraId="2F669819" w14:textId="77777777" w:rsidR="00147B85" w:rsidRDefault="00000000">
            <w:r>
              <w:t>Leadership</w:t>
            </w:r>
          </w:p>
        </w:tc>
        <w:tc>
          <w:tcPr>
            <w:tcW w:w="2229" w:type="dxa"/>
          </w:tcPr>
          <w:p w14:paraId="0DE5D040" w14:textId="77777777" w:rsidR="00147B85" w:rsidRDefault="00000000">
            <w:pPr>
              <w:numPr>
                <w:ilvl w:val="0"/>
                <w:numId w:val="3"/>
              </w:numPr>
              <w:pBdr>
                <w:top w:val="nil"/>
                <w:left w:val="nil"/>
                <w:bottom w:val="nil"/>
                <w:right w:val="nil"/>
                <w:between w:val="nil"/>
              </w:pBdr>
            </w:pPr>
            <w:r>
              <w:rPr>
                <w:color w:val="000000"/>
              </w:rPr>
              <w:t>Empathy</w:t>
            </w:r>
          </w:p>
          <w:p w14:paraId="4472E092" w14:textId="77777777" w:rsidR="00147B85" w:rsidRDefault="00000000">
            <w:pPr>
              <w:numPr>
                <w:ilvl w:val="0"/>
                <w:numId w:val="3"/>
              </w:numPr>
              <w:pBdr>
                <w:top w:val="nil"/>
                <w:left w:val="nil"/>
                <w:bottom w:val="nil"/>
                <w:right w:val="nil"/>
                <w:between w:val="nil"/>
              </w:pBdr>
            </w:pPr>
            <w:r>
              <w:rPr>
                <w:color w:val="000000"/>
              </w:rPr>
              <w:t>Creativity</w:t>
            </w:r>
          </w:p>
          <w:p w14:paraId="061E1929" w14:textId="77777777" w:rsidR="00147B85" w:rsidRDefault="00000000">
            <w:pPr>
              <w:numPr>
                <w:ilvl w:val="0"/>
                <w:numId w:val="3"/>
              </w:numPr>
              <w:pBdr>
                <w:top w:val="nil"/>
                <w:left w:val="nil"/>
                <w:bottom w:val="nil"/>
                <w:right w:val="nil"/>
                <w:between w:val="nil"/>
              </w:pBdr>
            </w:pPr>
            <w:r>
              <w:rPr>
                <w:color w:val="000000"/>
              </w:rPr>
              <w:t>Positivity</w:t>
            </w:r>
          </w:p>
          <w:p w14:paraId="4BB7DE62" w14:textId="77777777" w:rsidR="00147B85" w:rsidRDefault="00000000">
            <w:pPr>
              <w:numPr>
                <w:ilvl w:val="0"/>
                <w:numId w:val="3"/>
              </w:numPr>
              <w:pBdr>
                <w:top w:val="nil"/>
                <w:left w:val="nil"/>
                <w:bottom w:val="nil"/>
                <w:right w:val="nil"/>
                <w:between w:val="nil"/>
              </w:pBdr>
              <w:spacing w:after="200"/>
            </w:pPr>
            <w:r>
              <w:rPr>
                <w:color w:val="000000"/>
              </w:rPr>
              <w:t>Conflict Resolution</w:t>
            </w:r>
          </w:p>
        </w:tc>
        <w:tc>
          <w:tcPr>
            <w:tcW w:w="1224" w:type="dxa"/>
          </w:tcPr>
          <w:p w14:paraId="67DB410C" w14:textId="77777777" w:rsidR="00147B85" w:rsidRDefault="00000000">
            <w:r>
              <w:t>Creativity</w:t>
            </w:r>
          </w:p>
        </w:tc>
        <w:tc>
          <w:tcPr>
            <w:tcW w:w="1167" w:type="dxa"/>
          </w:tcPr>
          <w:p w14:paraId="615B5554" w14:textId="77777777" w:rsidR="00147B85" w:rsidRDefault="00000000">
            <w:r>
              <w:t>Practice and take classes</w:t>
            </w:r>
          </w:p>
        </w:tc>
        <w:tc>
          <w:tcPr>
            <w:tcW w:w="1155" w:type="dxa"/>
          </w:tcPr>
          <w:p w14:paraId="07E56DE8" w14:textId="77777777" w:rsidR="00147B85" w:rsidRDefault="00000000">
            <w:r>
              <w:t>6 months</w:t>
            </w:r>
          </w:p>
        </w:tc>
      </w:tr>
      <w:tr w:rsidR="00147B85" w14:paraId="737341A7" w14:textId="77777777">
        <w:tc>
          <w:tcPr>
            <w:tcW w:w="1763" w:type="dxa"/>
            <w:vMerge/>
            <w:shd w:val="clear" w:color="auto" w:fill="FBD5B5"/>
          </w:tcPr>
          <w:p w14:paraId="6EA234AA" w14:textId="77777777" w:rsidR="00147B85" w:rsidRDefault="00147B85">
            <w:pPr>
              <w:widowControl w:val="0"/>
              <w:pBdr>
                <w:top w:val="nil"/>
                <w:left w:val="nil"/>
                <w:bottom w:val="nil"/>
                <w:right w:val="nil"/>
                <w:between w:val="nil"/>
              </w:pBdr>
              <w:spacing w:line="276" w:lineRule="auto"/>
              <w:jc w:val="left"/>
            </w:pPr>
          </w:p>
        </w:tc>
        <w:tc>
          <w:tcPr>
            <w:tcW w:w="1478" w:type="dxa"/>
          </w:tcPr>
          <w:p w14:paraId="5FCB47A1" w14:textId="77777777" w:rsidR="00147B85" w:rsidRDefault="00000000">
            <w:r>
              <w:t>Critical Thinking</w:t>
            </w:r>
          </w:p>
        </w:tc>
        <w:tc>
          <w:tcPr>
            <w:tcW w:w="2229" w:type="dxa"/>
          </w:tcPr>
          <w:p w14:paraId="1487DEA8" w14:textId="77777777" w:rsidR="00147B85" w:rsidRDefault="00000000">
            <w:pPr>
              <w:numPr>
                <w:ilvl w:val="0"/>
                <w:numId w:val="4"/>
              </w:numPr>
              <w:pBdr>
                <w:top w:val="nil"/>
                <w:left w:val="nil"/>
                <w:bottom w:val="nil"/>
                <w:right w:val="nil"/>
                <w:between w:val="nil"/>
              </w:pBdr>
            </w:pPr>
            <w:r>
              <w:rPr>
                <w:color w:val="000000"/>
              </w:rPr>
              <w:t>Inference</w:t>
            </w:r>
          </w:p>
          <w:p w14:paraId="3B758D7A" w14:textId="77777777" w:rsidR="00147B85" w:rsidRDefault="00000000">
            <w:pPr>
              <w:numPr>
                <w:ilvl w:val="0"/>
                <w:numId w:val="4"/>
              </w:numPr>
              <w:pBdr>
                <w:top w:val="nil"/>
                <w:left w:val="nil"/>
                <w:bottom w:val="nil"/>
                <w:right w:val="nil"/>
                <w:between w:val="nil"/>
              </w:pBdr>
            </w:pPr>
            <w:r>
              <w:rPr>
                <w:color w:val="000000"/>
              </w:rPr>
              <w:t>Research</w:t>
            </w:r>
          </w:p>
          <w:p w14:paraId="27C14EDF" w14:textId="77777777" w:rsidR="00147B85" w:rsidRDefault="00000000">
            <w:pPr>
              <w:numPr>
                <w:ilvl w:val="0"/>
                <w:numId w:val="4"/>
              </w:numPr>
              <w:pBdr>
                <w:top w:val="nil"/>
                <w:left w:val="nil"/>
                <w:bottom w:val="nil"/>
                <w:right w:val="nil"/>
                <w:between w:val="nil"/>
              </w:pBdr>
              <w:spacing w:after="200"/>
            </w:pPr>
            <w:r>
              <w:rPr>
                <w:color w:val="000000"/>
              </w:rPr>
              <w:t>Identification</w:t>
            </w:r>
          </w:p>
        </w:tc>
        <w:tc>
          <w:tcPr>
            <w:tcW w:w="1224" w:type="dxa"/>
          </w:tcPr>
          <w:p w14:paraId="3DFB9AC7" w14:textId="77777777" w:rsidR="00147B85" w:rsidRDefault="00000000">
            <w:r>
              <w:t>Research</w:t>
            </w:r>
          </w:p>
        </w:tc>
        <w:tc>
          <w:tcPr>
            <w:tcW w:w="1167" w:type="dxa"/>
          </w:tcPr>
          <w:p w14:paraId="786D8EFE" w14:textId="77777777" w:rsidR="00147B85" w:rsidRDefault="00000000">
            <w:r>
              <w:t>Practice on mock research problems</w:t>
            </w:r>
          </w:p>
        </w:tc>
        <w:tc>
          <w:tcPr>
            <w:tcW w:w="1155" w:type="dxa"/>
          </w:tcPr>
          <w:p w14:paraId="1E13AA26" w14:textId="77777777" w:rsidR="00147B85" w:rsidRDefault="00000000">
            <w:r>
              <w:t>3 months</w:t>
            </w:r>
          </w:p>
        </w:tc>
      </w:tr>
    </w:tbl>
    <w:p w14:paraId="27AA994F" w14:textId="77777777" w:rsidR="00147B85" w:rsidRDefault="00147B85"/>
    <w:p w14:paraId="56C82611" w14:textId="77777777" w:rsidR="00147B85" w:rsidRDefault="00000000">
      <w:pPr>
        <w:spacing w:line="276" w:lineRule="auto"/>
        <w:jc w:val="left"/>
        <w:rPr>
          <w:b/>
        </w:rPr>
      </w:pPr>
      <w:r>
        <w:br w:type="page"/>
      </w:r>
    </w:p>
    <w:p w14:paraId="5769471F" w14:textId="77777777" w:rsidR="00147B85" w:rsidRDefault="00000000" w:rsidP="00AE33C7">
      <w:pPr>
        <w:keepNext/>
        <w:keepLines/>
        <w:numPr>
          <w:ilvl w:val="0"/>
          <w:numId w:val="10"/>
        </w:numPr>
        <w:pBdr>
          <w:top w:val="nil"/>
          <w:left w:val="nil"/>
          <w:bottom w:val="nil"/>
          <w:right w:val="nil"/>
          <w:between w:val="nil"/>
        </w:pBdr>
        <w:spacing w:before="480" w:after="0"/>
        <w:rPr>
          <w:b/>
          <w:color w:val="000000"/>
        </w:rPr>
      </w:pPr>
      <w:r>
        <w:rPr>
          <w:b/>
          <w:color w:val="000000"/>
        </w:rPr>
        <w:lastRenderedPageBreak/>
        <w:t>Conclusions</w:t>
      </w:r>
    </w:p>
    <w:p w14:paraId="7CDA4E25" w14:textId="77777777" w:rsidR="00147B85" w:rsidRDefault="00000000">
      <w:pPr>
        <w:rPr>
          <w:b/>
        </w:rPr>
      </w:pPr>
      <w:r>
        <w:t xml:space="preserve">In the end I conclude that I need to work on a lot of skills to perfect my career. It offers additional dimensions to strategize from institution and fostering of employability. Value of such strategies are transparent to students. Sustainability is also strengthened. There is strong representation in development of career. In the last few years there has been rapid growth in institutions of higher education. A minority of students are covered with obligation in large numbers. if there is growth and development the nature of services would be reframed. There is also strengthening of career development. </w:t>
      </w:r>
      <w:r>
        <w:br w:type="page"/>
      </w:r>
    </w:p>
    <w:p w14:paraId="5DF4D222" w14:textId="2854E09F" w:rsidR="00147B85" w:rsidRPr="002345AD" w:rsidRDefault="002345AD" w:rsidP="002345AD">
      <w:pPr>
        <w:pStyle w:val="ListParagraph"/>
        <w:keepNext/>
        <w:keepLines/>
        <w:numPr>
          <w:ilvl w:val="0"/>
          <w:numId w:val="10"/>
        </w:numPr>
        <w:pBdr>
          <w:top w:val="nil"/>
          <w:left w:val="nil"/>
          <w:bottom w:val="nil"/>
          <w:right w:val="nil"/>
          <w:between w:val="nil"/>
        </w:pBdr>
        <w:spacing w:before="480" w:after="0"/>
        <w:rPr>
          <w:b/>
          <w:color w:val="000000"/>
        </w:rPr>
      </w:pPr>
      <w:r>
        <w:rPr>
          <w:b/>
          <w:color w:val="000000"/>
        </w:rPr>
        <w:lastRenderedPageBreak/>
        <w:t>Reference list</w:t>
      </w:r>
    </w:p>
    <w:p w14:paraId="142E4363" w14:textId="77777777" w:rsidR="00147B85" w:rsidRDefault="00000000">
      <w:r>
        <w:rPr>
          <w:color w:val="222222"/>
          <w:highlight w:val="white"/>
        </w:rPr>
        <w:t>Walker‐Donnelly, K., Scott, D.A. and Cawthon, T.W., 2019. Introduction: Overview and application of career development theories. </w:t>
      </w:r>
      <w:r>
        <w:rPr>
          <w:i/>
          <w:color w:val="222222"/>
          <w:highlight w:val="white"/>
        </w:rPr>
        <w:t>New Directions for Student Services</w:t>
      </w:r>
      <w:r>
        <w:rPr>
          <w:color w:val="222222"/>
          <w:highlight w:val="white"/>
        </w:rPr>
        <w:t>, </w:t>
      </w:r>
      <w:r>
        <w:rPr>
          <w:i/>
          <w:color w:val="222222"/>
          <w:highlight w:val="white"/>
        </w:rPr>
        <w:t>2019</w:t>
      </w:r>
      <w:r>
        <w:rPr>
          <w:color w:val="222222"/>
          <w:highlight w:val="white"/>
        </w:rPr>
        <w:t>(166), pp.9-17.</w:t>
      </w:r>
      <w:r>
        <w:t xml:space="preserve"> </w:t>
      </w:r>
    </w:p>
    <w:p w14:paraId="4DDBE90F" w14:textId="77777777" w:rsidR="00147B85" w:rsidRDefault="00000000">
      <w:proofErr w:type="spellStart"/>
      <w:r>
        <w:rPr>
          <w:color w:val="222222"/>
          <w:highlight w:val="white"/>
        </w:rPr>
        <w:t>Blokker</w:t>
      </w:r>
      <w:proofErr w:type="spellEnd"/>
      <w:r>
        <w:rPr>
          <w:color w:val="222222"/>
          <w:highlight w:val="white"/>
        </w:rPr>
        <w:t xml:space="preserve">, R., </w:t>
      </w:r>
      <w:proofErr w:type="spellStart"/>
      <w:r>
        <w:rPr>
          <w:color w:val="222222"/>
          <w:highlight w:val="white"/>
        </w:rPr>
        <w:t>Akkermans</w:t>
      </w:r>
      <w:proofErr w:type="spellEnd"/>
      <w:r>
        <w:rPr>
          <w:color w:val="222222"/>
          <w:highlight w:val="white"/>
        </w:rPr>
        <w:t xml:space="preserve">, J., </w:t>
      </w:r>
      <w:proofErr w:type="spellStart"/>
      <w:r>
        <w:rPr>
          <w:color w:val="222222"/>
          <w:highlight w:val="white"/>
        </w:rPr>
        <w:t>Tims</w:t>
      </w:r>
      <w:proofErr w:type="spellEnd"/>
      <w:r>
        <w:rPr>
          <w:color w:val="222222"/>
          <w:highlight w:val="white"/>
        </w:rPr>
        <w:t xml:space="preserve">, M., Jansen, P. and </w:t>
      </w:r>
      <w:proofErr w:type="spellStart"/>
      <w:r>
        <w:rPr>
          <w:color w:val="222222"/>
          <w:highlight w:val="white"/>
        </w:rPr>
        <w:t>Khapova</w:t>
      </w:r>
      <w:proofErr w:type="spellEnd"/>
      <w:r>
        <w:rPr>
          <w:color w:val="222222"/>
          <w:highlight w:val="white"/>
        </w:rPr>
        <w:t>, S., 2019. Building a sustainable start: The role of career competencies, career success, and career shocks in young professionals' employability. </w:t>
      </w:r>
      <w:r>
        <w:rPr>
          <w:i/>
          <w:color w:val="222222"/>
          <w:highlight w:val="white"/>
        </w:rPr>
        <w:t xml:space="preserve">Journal of Vocational </w:t>
      </w:r>
      <w:proofErr w:type="spellStart"/>
      <w:r>
        <w:rPr>
          <w:i/>
          <w:color w:val="222222"/>
          <w:highlight w:val="white"/>
        </w:rPr>
        <w:t>Behavior</w:t>
      </w:r>
      <w:proofErr w:type="spellEnd"/>
      <w:r>
        <w:rPr>
          <w:color w:val="222222"/>
          <w:highlight w:val="white"/>
        </w:rPr>
        <w:t>, </w:t>
      </w:r>
      <w:r>
        <w:rPr>
          <w:i/>
          <w:color w:val="222222"/>
          <w:highlight w:val="white"/>
        </w:rPr>
        <w:t>112</w:t>
      </w:r>
      <w:r>
        <w:rPr>
          <w:color w:val="222222"/>
          <w:highlight w:val="white"/>
        </w:rPr>
        <w:t>, pp.172-184.</w:t>
      </w:r>
      <w:r>
        <w:t xml:space="preserve"> </w:t>
      </w:r>
    </w:p>
    <w:p w14:paraId="0888B1DB" w14:textId="77777777" w:rsidR="00147B85" w:rsidRDefault="00000000">
      <w:r>
        <w:rPr>
          <w:color w:val="222222"/>
          <w:highlight w:val="white"/>
        </w:rPr>
        <w:t>Oliver, S. and Duncan, S., 2019. Looking through the Johari window. </w:t>
      </w:r>
      <w:r>
        <w:rPr>
          <w:i/>
          <w:color w:val="222222"/>
          <w:highlight w:val="white"/>
        </w:rPr>
        <w:t>Research for All</w:t>
      </w:r>
      <w:r>
        <w:rPr>
          <w:color w:val="222222"/>
          <w:highlight w:val="white"/>
        </w:rPr>
        <w:t>.</w:t>
      </w:r>
      <w:r>
        <w:t xml:space="preserve"> </w:t>
      </w:r>
    </w:p>
    <w:p w14:paraId="7F1BC405" w14:textId="77777777" w:rsidR="00147B85" w:rsidRDefault="00000000">
      <w:pPr>
        <w:rPr>
          <w:color w:val="222222"/>
          <w:highlight w:val="white"/>
        </w:rPr>
      </w:pPr>
      <w:proofErr w:type="spellStart"/>
      <w:r>
        <w:rPr>
          <w:color w:val="222222"/>
          <w:highlight w:val="white"/>
        </w:rPr>
        <w:t>Loschinin</w:t>
      </w:r>
      <w:proofErr w:type="spellEnd"/>
      <w:r>
        <w:rPr>
          <w:color w:val="222222"/>
          <w:highlight w:val="white"/>
        </w:rPr>
        <w:t xml:space="preserve">, V. (2016) The Johari window as a part of the design process, Medium. Digital Experience Design. Available at: https://medium.com/digital-experience-design/the-johari-window-as-a-part-of-the-design-process-4cd79a921f4e (Accessed: November 25, 2022). </w:t>
      </w:r>
    </w:p>
    <w:p w14:paraId="673BED20" w14:textId="77777777" w:rsidR="00147B85" w:rsidRDefault="00000000">
      <w:pPr>
        <w:rPr>
          <w:color w:val="222222"/>
          <w:highlight w:val="white"/>
        </w:rPr>
      </w:pPr>
      <w:r>
        <w:rPr>
          <w:color w:val="222222"/>
          <w:highlight w:val="white"/>
        </w:rPr>
        <w:t>Lowes, R., 2020, July. Knowing you: Personal tutoring, learning analytics and the Johari Window. In Frontiers in Education (Vol. 5, p. 101). Frontiers Media SA.</w:t>
      </w:r>
    </w:p>
    <w:p w14:paraId="0104C177" w14:textId="77777777" w:rsidR="00147B85" w:rsidRDefault="00000000">
      <w:pPr>
        <w:rPr>
          <w:color w:val="222222"/>
          <w:highlight w:val="white"/>
        </w:rPr>
      </w:pPr>
      <w:proofErr w:type="spellStart"/>
      <w:r>
        <w:rPr>
          <w:color w:val="222222"/>
          <w:highlight w:val="white"/>
        </w:rPr>
        <w:t>Koca</w:t>
      </w:r>
      <w:proofErr w:type="spellEnd"/>
      <w:r>
        <w:rPr>
          <w:color w:val="222222"/>
          <w:highlight w:val="white"/>
        </w:rPr>
        <w:t xml:space="preserve">, G.Ş. and </w:t>
      </w:r>
      <w:proofErr w:type="spellStart"/>
      <w:r>
        <w:rPr>
          <w:color w:val="222222"/>
          <w:highlight w:val="white"/>
        </w:rPr>
        <w:t>Erigüç</w:t>
      </w:r>
      <w:proofErr w:type="spellEnd"/>
      <w:r>
        <w:rPr>
          <w:color w:val="222222"/>
          <w:highlight w:val="white"/>
        </w:rPr>
        <w:t>, G., 2020. The effects of communication skills levels of health professionals on the dimensions of the Johari Window model. </w:t>
      </w:r>
      <w:r>
        <w:rPr>
          <w:i/>
          <w:color w:val="222222"/>
          <w:highlight w:val="white"/>
        </w:rPr>
        <w:t>International Journal of Healthcare Management</w:t>
      </w:r>
      <w:r>
        <w:rPr>
          <w:color w:val="222222"/>
          <w:highlight w:val="white"/>
        </w:rPr>
        <w:t>, </w:t>
      </w:r>
      <w:r>
        <w:rPr>
          <w:i/>
          <w:color w:val="222222"/>
          <w:highlight w:val="white"/>
        </w:rPr>
        <w:t>13</w:t>
      </w:r>
      <w:r>
        <w:rPr>
          <w:color w:val="222222"/>
          <w:highlight w:val="white"/>
        </w:rPr>
        <w:t>(sup1), pp.434-446.</w:t>
      </w:r>
    </w:p>
    <w:p w14:paraId="2E7EA7BB" w14:textId="77777777" w:rsidR="00147B85" w:rsidRDefault="00000000">
      <w:pPr>
        <w:rPr>
          <w:color w:val="222222"/>
          <w:highlight w:val="white"/>
        </w:rPr>
      </w:pPr>
      <w:proofErr w:type="spellStart"/>
      <w:r>
        <w:rPr>
          <w:color w:val="222222"/>
          <w:highlight w:val="white"/>
        </w:rPr>
        <w:t>Teoli</w:t>
      </w:r>
      <w:proofErr w:type="spellEnd"/>
      <w:r>
        <w:rPr>
          <w:color w:val="222222"/>
          <w:highlight w:val="white"/>
        </w:rPr>
        <w:t xml:space="preserve">, D., </w:t>
      </w:r>
      <w:proofErr w:type="spellStart"/>
      <w:r>
        <w:rPr>
          <w:color w:val="222222"/>
          <w:highlight w:val="white"/>
        </w:rPr>
        <w:t>Sanvictores</w:t>
      </w:r>
      <w:proofErr w:type="spellEnd"/>
      <w:r>
        <w:rPr>
          <w:color w:val="222222"/>
          <w:highlight w:val="white"/>
        </w:rPr>
        <w:t>, T. and An, J., 2019. SWOT analysis.</w:t>
      </w:r>
    </w:p>
    <w:p w14:paraId="4BF57EEF" w14:textId="77777777" w:rsidR="00147B85" w:rsidRDefault="00000000">
      <w:pPr>
        <w:rPr>
          <w:color w:val="222222"/>
          <w:highlight w:val="white"/>
        </w:rPr>
      </w:pPr>
      <w:proofErr w:type="spellStart"/>
      <w:r>
        <w:rPr>
          <w:color w:val="222222"/>
          <w:highlight w:val="white"/>
        </w:rPr>
        <w:t>Benzaghta</w:t>
      </w:r>
      <w:proofErr w:type="spellEnd"/>
      <w:r>
        <w:rPr>
          <w:color w:val="222222"/>
          <w:highlight w:val="white"/>
        </w:rPr>
        <w:t xml:space="preserve">, M.A., </w:t>
      </w:r>
      <w:proofErr w:type="spellStart"/>
      <w:r>
        <w:rPr>
          <w:color w:val="222222"/>
          <w:highlight w:val="white"/>
        </w:rPr>
        <w:t>Elwalda</w:t>
      </w:r>
      <w:proofErr w:type="spellEnd"/>
      <w:r>
        <w:rPr>
          <w:color w:val="222222"/>
          <w:highlight w:val="white"/>
        </w:rPr>
        <w:t>, A., Mousa, M.M., Erkan, I. and Rahman, M., 2021. SWOT analysis applications: An integrative literature review. </w:t>
      </w:r>
      <w:r>
        <w:rPr>
          <w:i/>
          <w:color w:val="222222"/>
          <w:highlight w:val="white"/>
        </w:rPr>
        <w:t>Journal of Global Business Insights</w:t>
      </w:r>
      <w:r>
        <w:rPr>
          <w:color w:val="222222"/>
          <w:highlight w:val="white"/>
        </w:rPr>
        <w:t>, </w:t>
      </w:r>
      <w:r>
        <w:rPr>
          <w:i/>
          <w:color w:val="222222"/>
          <w:highlight w:val="white"/>
        </w:rPr>
        <w:t>6</w:t>
      </w:r>
      <w:r>
        <w:rPr>
          <w:color w:val="222222"/>
          <w:highlight w:val="white"/>
        </w:rPr>
        <w:t>(1), pp.55-73.</w:t>
      </w:r>
    </w:p>
    <w:p w14:paraId="24137F8A" w14:textId="77777777" w:rsidR="00147B85" w:rsidRDefault="00000000">
      <w:pPr>
        <w:rPr>
          <w:color w:val="222222"/>
          <w:highlight w:val="white"/>
        </w:rPr>
      </w:pPr>
      <w:proofErr w:type="spellStart"/>
      <w:r>
        <w:rPr>
          <w:color w:val="222222"/>
          <w:highlight w:val="white"/>
        </w:rPr>
        <w:t>Puyt</w:t>
      </w:r>
      <w:proofErr w:type="spellEnd"/>
      <w:r>
        <w:rPr>
          <w:color w:val="222222"/>
          <w:highlight w:val="white"/>
        </w:rPr>
        <w:t xml:space="preserve">, R., Lie, F.B., De Graaf, F.J. and </w:t>
      </w:r>
      <w:proofErr w:type="spellStart"/>
      <w:r>
        <w:rPr>
          <w:color w:val="222222"/>
          <w:highlight w:val="white"/>
        </w:rPr>
        <w:t>Wilderom</w:t>
      </w:r>
      <w:proofErr w:type="spellEnd"/>
      <w:r>
        <w:rPr>
          <w:color w:val="222222"/>
          <w:highlight w:val="white"/>
        </w:rPr>
        <w:t>, C.P., 2020. Origins of SWOT analysis. In </w:t>
      </w:r>
      <w:r>
        <w:rPr>
          <w:i/>
          <w:color w:val="222222"/>
          <w:highlight w:val="white"/>
        </w:rPr>
        <w:t>Academy of Management Proceedings</w:t>
      </w:r>
      <w:r>
        <w:rPr>
          <w:color w:val="222222"/>
          <w:highlight w:val="white"/>
        </w:rPr>
        <w:t> (Vol. 2020, No. 1, p. 17416). Briarcliff Manor, NY 10510: Academy of Management.</w:t>
      </w:r>
    </w:p>
    <w:p w14:paraId="1B1091B9" w14:textId="77777777" w:rsidR="00147B85" w:rsidRDefault="00000000">
      <w:pPr>
        <w:rPr>
          <w:color w:val="222222"/>
          <w:highlight w:val="white"/>
        </w:rPr>
      </w:pPr>
      <w:proofErr w:type="spellStart"/>
      <w:r>
        <w:rPr>
          <w:color w:val="222222"/>
          <w:highlight w:val="white"/>
        </w:rPr>
        <w:t>CourseHero</w:t>
      </w:r>
      <w:proofErr w:type="spellEnd"/>
      <w:r>
        <w:rPr>
          <w:color w:val="222222"/>
          <w:highlight w:val="white"/>
        </w:rPr>
        <w:t xml:space="preserve"> (2022) Course hero, Principles of Marketing [Deprecated] | | Course Hero. Available at: https://www.coursehero.com/study-guides/marketing-spring2016/reading-defining-and-using-a-swot-analysis/ (Accessed: November 25, 2022). </w:t>
      </w:r>
    </w:p>
    <w:p w14:paraId="65B32FB6" w14:textId="77777777" w:rsidR="00147B85" w:rsidRDefault="00000000">
      <w:pPr>
        <w:rPr>
          <w:color w:val="222222"/>
          <w:highlight w:val="white"/>
        </w:rPr>
      </w:pPr>
      <w:r>
        <w:rPr>
          <w:color w:val="222222"/>
          <w:highlight w:val="white"/>
        </w:rPr>
        <w:t xml:space="preserve">Limited, A. (no date) Smart analysis with explanation on white background. abstract flat vector. Business Vision and strategy layout. infographic for concept design, presentation and Data Chart Stock Vector Image &amp; Art, </w:t>
      </w:r>
      <w:proofErr w:type="spellStart"/>
      <w:r>
        <w:rPr>
          <w:color w:val="222222"/>
          <w:highlight w:val="white"/>
        </w:rPr>
        <w:t>Alamy</w:t>
      </w:r>
      <w:proofErr w:type="spellEnd"/>
      <w:r>
        <w:rPr>
          <w:color w:val="222222"/>
          <w:highlight w:val="white"/>
        </w:rPr>
        <w:t>. Available at: https://www.alamy.com/smart-</w:t>
      </w:r>
      <w:r>
        <w:rPr>
          <w:color w:val="222222"/>
          <w:highlight w:val="white"/>
        </w:rPr>
        <w:lastRenderedPageBreak/>
        <w:t xml:space="preserve">analysis-with-explanation-on-white-background-abstract-flat-vector-business-vision-and-strategy-layout-infographic-for-concept-design-presentation-and-data-chart-image342301773.html (Accessed: November 25, 2022). </w:t>
      </w:r>
    </w:p>
    <w:p w14:paraId="263A3A3A" w14:textId="77777777" w:rsidR="00147B85" w:rsidRDefault="00000000">
      <w:pPr>
        <w:pBdr>
          <w:top w:val="nil"/>
          <w:left w:val="nil"/>
          <w:bottom w:val="nil"/>
          <w:right w:val="nil"/>
          <w:between w:val="nil"/>
        </w:pBdr>
        <w:spacing w:before="280" w:after="280"/>
        <w:ind w:left="567" w:hanging="567"/>
        <w:rPr>
          <w:color w:val="000000"/>
        </w:rPr>
      </w:pPr>
      <w:r>
        <w:rPr>
          <w:color w:val="222222"/>
          <w:highlight w:val="white"/>
        </w:rPr>
        <w:t>Grit, R., 2019. </w:t>
      </w:r>
      <w:r>
        <w:rPr>
          <w:i/>
          <w:color w:val="222222"/>
          <w:highlight w:val="white"/>
        </w:rPr>
        <w:t>Managing your competencies: personal development plan</w:t>
      </w:r>
      <w:r>
        <w:rPr>
          <w:color w:val="222222"/>
          <w:highlight w:val="white"/>
        </w:rPr>
        <w:t>. Routledge.</w:t>
      </w:r>
    </w:p>
    <w:p w14:paraId="22D88622" w14:textId="77777777" w:rsidR="00147B85" w:rsidRDefault="00000000">
      <w:pPr>
        <w:rPr>
          <w:color w:val="222222"/>
          <w:highlight w:val="white"/>
        </w:rPr>
      </w:pPr>
      <w:r>
        <w:rPr>
          <w:color w:val="222222"/>
          <w:highlight w:val="white"/>
        </w:rPr>
        <w:t>Gee, D., Schulte, M. and Matsumoto, R.R., 2019. An individual development plan for pharmacy students for career planning and tracking accreditation standards. </w:t>
      </w:r>
      <w:r>
        <w:rPr>
          <w:i/>
          <w:color w:val="222222"/>
          <w:highlight w:val="white"/>
        </w:rPr>
        <w:t>American Journal of Pharmaceutical Education</w:t>
      </w:r>
      <w:r>
        <w:rPr>
          <w:color w:val="222222"/>
          <w:highlight w:val="white"/>
        </w:rPr>
        <w:t>, </w:t>
      </w:r>
      <w:r>
        <w:rPr>
          <w:i/>
          <w:color w:val="222222"/>
          <w:highlight w:val="white"/>
        </w:rPr>
        <w:t>83</w:t>
      </w:r>
      <w:r>
        <w:rPr>
          <w:color w:val="222222"/>
          <w:highlight w:val="white"/>
        </w:rPr>
        <w:t>(6).</w:t>
      </w:r>
    </w:p>
    <w:p w14:paraId="679E8FA1" w14:textId="77777777" w:rsidR="00147B85" w:rsidRDefault="00000000">
      <w:pPr>
        <w:rPr>
          <w:color w:val="222222"/>
          <w:highlight w:val="white"/>
        </w:rPr>
      </w:pPr>
      <w:r>
        <w:rPr>
          <w:color w:val="222222"/>
          <w:highlight w:val="white"/>
        </w:rPr>
        <w:t>Griller Clark, H., 2018. Involvement of the young person in transition planning. In </w:t>
      </w:r>
      <w:r>
        <w:rPr>
          <w:i/>
          <w:color w:val="222222"/>
          <w:highlight w:val="white"/>
        </w:rPr>
        <w:t>Incarcerated Youth Transitioning Back to the Community</w:t>
      </w:r>
      <w:r>
        <w:rPr>
          <w:color w:val="222222"/>
          <w:highlight w:val="white"/>
        </w:rPr>
        <w:t> (pp. 35-58). Springer, Singapore.</w:t>
      </w:r>
    </w:p>
    <w:p w14:paraId="48F9060E" w14:textId="77777777" w:rsidR="00147B85" w:rsidRDefault="00000000">
      <w:pPr>
        <w:rPr>
          <w:color w:val="222222"/>
          <w:highlight w:val="white"/>
        </w:rPr>
      </w:pPr>
      <w:r>
        <w:rPr>
          <w:color w:val="222222"/>
          <w:highlight w:val="white"/>
        </w:rPr>
        <w:t>Weng, F., Ho, H.J., Yang, R.J. and Weng, C.H., 2018. The influence of learning style on learning attitude with multimedia teaching materials. </w:t>
      </w:r>
      <w:r>
        <w:rPr>
          <w:i/>
          <w:color w:val="222222"/>
          <w:highlight w:val="white"/>
        </w:rPr>
        <w:t>Eurasia journal of mathematics, science and technology education</w:t>
      </w:r>
      <w:r>
        <w:rPr>
          <w:color w:val="222222"/>
          <w:highlight w:val="white"/>
        </w:rPr>
        <w:t>, </w:t>
      </w:r>
      <w:r>
        <w:rPr>
          <w:i/>
          <w:color w:val="222222"/>
          <w:highlight w:val="white"/>
        </w:rPr>
        <w:t>15</w:t>
      </w:r>
      <w:r>
        <w:rPr>
          <w:color w:val="222222"/>
          <w:highlight w:val="white"/>
        </w:rPr>
        <w:t>(1), p.em1659.</w:t>
      </w:r>
    </w:p>
    <w:p w14:paraId="146A1683" w14:textId="77777777" w:rsidR="00147B85" w:rsidRDefault="00000000">
      <w:pPr>
        <w:rPr>
          <w:color w:val="222222"/>
          <w:highlight w:val="white"/>
        </w:rPr>
      </w:pPr>
      <w:r>
        <w:rPr>
          <w:color w:val="222222"/>
          <w:highlight w:val="white"/>
        </w:rPr>
        <w:t xml:space="preserve">Shirazi, F. and </w:t>
      </w:r>
      <w:proofErr w:type="spellStart"/>
      <w:r>
        <w:rPr>
          <w:color w:val="222222"/>
          <w:highlight w:val="white"/>
        </w:rPr>
        <w:t>Heidari</w:t>
      </w:r>
      <w:proofErr w:type="spellEnd"/>
      <w:r>
        <w:rPr>
          <w:color w:val="222222"/>
          <w:highlight w:val="white"/>
        </w:rPr>
        <w:t>, S., 2019. The relationship between critical thinking skills and learning styles and academic achievement of nursing students. The journal of nursing research, 27(4), p.e38.</w:t>
      </w:r>
    </w:p>
    <w:p w14:paraId="44EE67BF" w14:textId="77777777" w:rsidR="00147B85" w:rsidRDefault="00000000">
      <w:pPr>
        <w:rPr>
          <w:color w:val="222222"/>
          <w:highlight w:val="white"/>
        </w:rPr>
      </w:pPr>
      <w:proofErr w:type="spellStart"/>
      <w:r>
        <w:rPr>
          <w:color w:val="222222"/>
          <w:highlight w:val="white"/>
        </w:rPr>
        <w:t>İlçin</w:t>
      </w:r>
      <w:proofErr w:type="spellEnd"/>
      <w:r>
        <w:rPr>
          <w:color w:val="222222"/>
          <w:highlight w:val="white"/>
        </w:rPr>
        <w:t xml:space="preserve">, N., </w:t>
      </w:r>
      <w:proofErr w:type="spellStart"/>
      <w:r>
        <w:rPr>
          <w:color w:val="222222"/>
          <w:highlight w:val="white"/>
        </w:rPr>
        <w:t>Tomruk</w:t>
      </w:r>
      <w:proofErr w:type="spellEnd"/>
      <w:r>
        <w:rPr>
          <w:color w:val="222222"/>
          <w:highlight w:val="white"/>
        </w:rPr>
        <w:t xml:space="preserve">, M., </w:t>
      </w:r>
      <w:proofErr w:type="spellStart"/>
      <w:r>
        <w:rPr>
          <w:color w:val="222222"/>
          <w:highlight w:val="white"/>
        </w:rPr>
        <w:t>Yeşilyaprak</w:t>
      </w:r>
      <w:proofErr w:type="spellEnd"/>
      <w:r>
        <w:rPr>
          <w:color w:val="222222"/>
          <w:highlight w:val="white"/>
        </w:rPr>
        <w:t xml:space="preserve">, S.S., </w:t>
      </w:r>
      <w:proofErr w:type="spellStart"/>
      <w:r>
        <w:rPr>
          <w:color w:val="222222"/>
          <w:highlight w:val="white"/>
        </w:rPr>
        <w:t>Karadibak</w:t>
      </w:r>
      <w:proofErr w:type="spellEnd"/>
      <w:r>
        <w:rPr>
          <w:color w:val="222222"/>
          <w:highlight w:val="white"/>
        </w:rPr>
        <w:t xml:space="preserve">, D. and </w:t>
      </w:r>
      <w:proofErr w:type="spellStart"/>
      <w:r>
        <w:rPr>
          <w:color w:val="222222"/>
          <w:highlight w:val="white"/>
        </w:rPr>
        <w:t>Savcı</w:t>
      </w:r>
      <w:proofErr w:type="spellEnd"/>
      <w:r>
        <w:rPr>
          <w:color w:val="222222"/>
          <w:highlight w:val="white"/>
        </w:rPr>
        <w:t>, S., 2018. The relationship between learning styles and academic performance in TURKISH physiotherapy students. BMC medical education, 18(1), pp.1-8.</w:t>
      </w:r>
    </w:p>
    <w:p w14:paraId="6EDE25B7" w14:textId="1D9DE229" w:rsidR="00CD6B6F" w:rsidRPr="00CD6B6F" w:rsidRDefault="00CD6B6F" w:rsidP="002345AD">
      <w:pPr>
        <w:spacing w:line="276" w:lineRule="auto"/>
        <w:jc w:val="left"/>
      </w:pPr>
    </w:p>
    <w:sectPr w:rsidR="00CD6B6F" w:rsidRPr="00CD6B6F">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pitch w:val="default"/>
  </w:font>
  <w:font w:name="Mangal">
    <w:panose1 w:val="02040503050203030202"/>
    <w:charset w:val="01"/>
    <w:family w:val="roman"/>
    <w:pitch w:val="variable"/>
    <w:sig w:usb0="00002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A6E04"/>
    <w:multiLevelType w:val="multilevel"/>
    <w:tmpl w:val="E084C4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AB21F73"/>
    <w:multiLevelType w:val="multilevel"/>
    <w:tmpl w:val="8332B5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4EA0302"/>
    <w:multiLevelType w:val="multilevel"/>
    <w:tmpl w:val="8332B5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54E0F24"/>
    <w:multiLevelType w:val="multilevel"/>
    <w:tmpl w:val="2E9EC9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AE43F1F"/>
    <w:multiLevelType w:val="hybridMultilevel"/>
    <w:tmpl w:val="96A0D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6946E3"/>
    <w:multiLevelType w:val="multilevel"/>
    <w:tmpl w:val="877E86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0E913C4"/>
    <w:multiLevelType w:val="multilevel"/>
    <w:tmpl w:val="E7C2945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4BF16E9"/>
    <w:multiLevelType w:val="hybridMultilevel"/>
    <w:tmpl w:val="DC24EFD6"/>
    <w:lvl w:ilvl="0" w:tplc="52A62C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5C9001A"/>
    <w:multiLevelType w:val="multilevel"/>
    <w:tmpl w:val="17FEC2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75E144F"/>
    <w:multiLevelType w:val="multilevel"/>
    <w:tmpl w:val="BD04D9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FCF00E8"/>
    <w:multiLevelType w:val="multilevel"/>
    <w:tmpl w:val="0B923E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72666337">
    <w:abstractNumId w:val="8"/>
  </w:num>
  <w:num w:numId="2" w16cid:durableId="1913084387">
    <w:abstractNumId w:val="3"/>
  </w:num>
  <w:num w:numId="3" w16cid:durableId="146095374">
    <w:abstractNumId w:val="10"/>
  </w:num>
  <w:num w:numId="4" w16cid:durableId="2103448531">
    <w:abstractNumId w:val="5"/>
  </w:num>
  <w:num w:numId="5" w16cid:durableId="280571776">
    <w:abstractNumId w:val="1"/>
  </w:num>
  <w:num w:numId="6" w16cid:durableId="1747607929">
    <w:abstractNumId w:val="9"/>
  </w:num>
  <w:num w:numId="7" w16cid:durableId="601647235">
    <w:abstractNumId w:val="6"/>
  </w:num>
  <w:num w:numId="8" w16cid:durableId="1924949054">
    <w:abstractNumId w:val="0"/>
  </w:num>
  <w:num w:numId="9" w16cid:durableId="106313910">
    <w:abstractNumId w:val="4"/>
  </w:num>
  <w:num w:numId="10" w16cid:durableId="260190163">
    <w:abstractNumId w:val="2"/>
  </w:num>
  <w:num w:numId="11" w16cid:durableId="8436693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B85"/>
    <w:rsid w:val="00147B85"/>
    <w:rsid w:val="002345AD"/>
    <w:rsid w:val="003B0185"/>
    <w:rsid w:val="00560A7E"/>
    <w:rsid w:val="00AE33C7"/>
    <w:rsid w:val="00CD6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B103B"/>
  <w15:docId w15:val="{E8C03880-400B-1A4F-A354-D54222423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C6F"/>
    <w:pPr>
      <w:suppressAutoHyphens/>
    </w:pPr>
  </w:style>
  <w:style w:type="paragraph" w:styleId="Heading1">
    <w:name w:val="heading 1"/>
    <w:basedOn w:val="Normal"/>
    <w:next w:val="Normal"/>
    <w:link w:val="Heading1Char"/>
    <w:uiPriority w:val="9"/>
    <w:qFormat/>
    <w:rsid w:val="00AF1E82"/>
    <w:pPr>
      <w:keepNext/>
      <w:keepLines/>
      <w:spacing w:before="480" w:after="0"/>
      <w:outlineLvl w:val="0"/>
    </w:pPr>
    <w:rPr>
      <w:rFonts w:eastAsiaTheme="majorEastAsia" w:cstheme="majorBidi"/>
      <w:b/>
      <w:bCs/>
      <w:szCs w:val="25"/>
    </w:rPr>
  </w:style>
  <w:style w:type="paragraph" w:styleId="Heading2">
    <w:name w:val="heading 2"/>
    <w:basedOn w:val="Normal"/>
    <w:next w:val="Normal"/>
    <w:link w:val="Heading2Char"/>
    <w:uiPriority w:val="9"/>
    <w:semiHidden/>
    <w:unhideWhenUsed/>
    <w:qFormat/>
    <w:rsid w:val="00AF1E82"/>
    <w:pPr>
      <w:keepNext/>
      <w:keepLines/>
      <w:spacing w:before="200" w:after="0"/>
      <w:outlineLvl w:val="1"/>
    </w:pPr>
    <w:rPr>
      <w:rFonts w:eastAsiaTheme="majorEastAsia" w:cstheme="majorBidi"/>
      <w:b/>
      <w:bCs/>
      <w:szCs w:val="23"/>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F1E82"/>
    <w:rPr>
      <w:rFonts w:ascii="Times New Roman" w:eastAsiaTheme="majorEastAsia" w:hAnsi="Times New Roman" w:cstheme="majorBidi"/>
      <w:b/>
      <w:bCs/>
      <w:sz w:val="24"/>
      <w:szCs w:val="25"/>
    </w:rPr>
  </w:style>
  <w:style w:type="character" w:customStyle="1" w:styleId="Heading2Char">
    <w:name w:val="Heading 2 Char"/>
    <w:basedOn w:val="DefaultParagraphFont"/>
    <w:link w:val="Heading2"/>
    <w:uiPriority w:val="9"/>
    <w:rsid w:val="00AF1E82"/>
    <w:rPr>
      <w:rFonts w:ascii="Times New Roman" w:eastAsiaTheme="majorEastAsia" w:hAnsi="Times New Roman" w:cstheme="majorBidi"/>
      <w:b/>
      <w:bCs/>
      <w:sz w:val="24"/>
      <w:szCs w:val="23"/>
    </w:rPr>
  </w:style>
  <w:style w:type="paragraph" w:styleId="ListParagraph">
    <w:name w:val="List Paragraph"/>
    <w:basedOn w:val="Normal"/>
    <w:uiPriority w:val="34"/>
    <w:qFormat/>
    <w:rsid w:val="00C91628"/>
    <w:pPr>
      <w:ind w:left="720"/>
      <w:contextualSpacing/>
    </w:pPr>
  </w:style>
  <w:style w:type="paragraph" w:styleId="BalloonText">
    <w:name w:val="Balloon Text"/>
    <w:basedOn w:val="Normal"/>
    <w:link w:val="BalloonTextChar"/>
    <w:uiPriority w:val="99"/>
    <w:semiHidden/>
    <w:unhideWhenUsed/>
    <w:rsid w:val="005638A0"/>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5638A0"/>
    <w:rPr>
      <w:rFonts w:ascii="Tahoma" w:hAnsi="Tahoma" w:cs="Mangal"/>
      <w:sz w:val="16"/>
      <w:szCs w:val="14"/>
    </w:rPr>
  </w:style>
  <w:style w:type="character" w:styleId="Hyperlink">
    <w:name w:val="Hyperlink"/>
    <w:basedOn w:val="DefaultParagraphFont"/>
    <w:uiPriority w:val="99"/>
    <w:unhideWhenUsed/>
    <w:rsid w:val="00812E1D"/>
    <w:rPr>
      <w:color w:val="0000FF" w:themeColor="hyperlink"/>
      <w:u w:val="single"/>
    </w:rPr>
  </w:style>
  <w:style w:type="table" w:styleId="TableGrid">
    <w:name w:val="Table Grid"/>
    <w:basedOn w:val="TableNormal"/>
    <w:uiPriority w:val="59"/>
    <w:rsid w:val="002579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D35F17"/>
    <w:pPr>
      <w:suppressAutoHyphens w:val="0"/>
      <w:spacing w:line="276" w:lineRule="auto"/>
      <w:jc w:val="left"/>
      <w:outlineLvl w:val="9"/>
    </w:pPr>
    <w:rPr>
      <w:rFonts w:asciiTheme="majorHAnsi" w:hAnsiTheme="majorHAnsi"/>
      <w:color w:val="365F91" w:themeColor="accent1" w:themeShade="BF"/>
      <w:sz w:val="28"/>
      <w:szCs w:val="28"/>
      <w:lang w:val="en-US" w:eastAsia="ja-JP"/>
    </w:rPr>
  </w:style>
  <w:style w:type="paragraph" w:styleId="TOC1">
    <w:name w:val="toc 1"/>
    <w:basedOn w:val="Normal"/>
    <w:next w:val="Normal"/>
    <w:autoRedefine/>
    <w:uiPriority w:val="39"/>
    <w:unhideWhenUsed/>
    <w:rsid w:val="00D35F17"/>
    <w:pPr>
      <w:spacing w:after="100"/>
    </w:pPr>
  </w:style>
  <w:style w:type="paragraph" w:styleId="TOC2">
    <w:name w:val="toc 2"/>
    <w:basedOn w:val="Normal"/>
    <w:next w:val="Normal"/>
    <w:autoRedefine/>
    <w:uiPriority w:val="39"/>
    <w:unhideWhenUsed/>
    <w:rsid w:val="00D35F17"/>
    <w:pPr>
      <w:spacing w:after="100"/>
      <w:ind w:left="240"/>
    </w:pPr>
  </w:style>
  <w:style w:type="paragraph" w:styleId="NormalWeb">
    <w:name w:val="Normal (Web)"/>
    <w:basedOn w:val="Normal"/>
    <w:uiPriority w:val="99"/>
    <w:semiHidden/>
    <w:unhideWhenUsed/>
    <w:rsid w:val="00621CDB"/>
    <w:pPr>
      <w:suppressAutoHyphens w:val="0"/>
      <w:spacing w:before="100" w:beforeAutospacing="1" w:after="100" w:afterAutospacing="1" w:line="240" w:lineRule="auto"/>
      <w:jc w:val="left"/>
    </w:p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alentlens.com"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8.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8cNbVkKtf5Nbjvt0QW9GiSl0Obw==">AMUW2mWqHuiK9Ie98AFZuG+5/Ea8mPEiccdKbI0QySZM7Wggr/XREFl0WBMR95M3q4p/J4YqWI6KWdbtEdL13qVit3cLb3goghUNx7tqEDN1Kw5dJvrSBM4rVRsw+u1C9c7Uxpc2U2CM32NYoyXKA/AJeHRsykOOE3ROHQKIVvEHXB7WvmibfKv909zWp9bb2LYg0lZLtgmKNXOY1YLroE8aXKdzypmyT91JivI2N/i9bhpG0w3gvS0leWCeCE7h6890nZrAi6Jjj+RoHFhxu+lNupr1tTMcl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Katy Mrotek</cp:lastModifiedBy>
  <cp:revision>4</cp:revision>
  <dcterms:created xsi:type="dcterms:W3CDTF">2023-06-01T19:17:00Z</dcterms:created>
  <dcterms:modified xsi:type="dcterms:W3CDTF">2023-06-01T19:19:00Z</dcterms:modified>
</cp:coreProperties>
</file>