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1E95" w:rsidRDefault="00471E95" w:rsidP="00471E95">
      <w:pPr>
        <w:pStyle w:val="TOCHeading"/>
      </w:pPr>
    </w:p>
    <w:p w:rsidR="00CF2A48" w:rsidRPr="00471E95" w:rsidRDefault="00CF2A48" w:rsidP="00292CFB">
      <w:pPr>
        <w:pStyle w:val="Heading1"/>
        <w:jc w:val="both"/>
        <w:rPr>
          <w:rFonts w:ascii="Arial" w:hAnsi="Arial" w:cs="Arial"/>
          <w:b w:val="0"/>
          <w:sz w:val="24"/>
          <w:szCs w:val="24"/>
        </w:rPr>
      </w:pPr>
    </w:p>
    <w:p w:rsidR="00471E95" w:rsidRDefault="00471E95" w:rsidP="00471E95">
      <w:pPr>
        <w:jc w:val="center"/>
        <w:rPr>
          <w:rFonts w:ascii="Arial" w:hAnsi="Arial" w:cs="Arial"/>
          <w:b/>
          <w:sz w:val="28"/>
          <w:szCs w:val="28"/>
        </w:rPr>
      </w:pPr>
    </w:p>
    <w:p w:rsidR="00471E95" w:rsidRDefault="00471E95" w:rsidP="00471E95">
      <w:pPr>
        <w:jc w:val="center"/>
        <w:rPr>
          <w:rFonts w:ascii="Arial" w:hAnsi="Arial" w:cs="Arial"/>
          <w:b/>
          <w:sz w:val="28"/>
          <w:szCs w:val="28"/>
        </w:rPr>
      </w:pPr>
    </w:p>
    <w:p w:rsidR="00471E95" w:rsidRDefault="00471E95" w:rsidP="00471E95">
      <w:pPr>
        <w:jc w:val="center"/>
        <w:rPr>
          <w:rFonts w:ascii="Arial" w:hAnsi="Arial" w:cs="Arial"/>
          <w:b/>
          <w:sz w:val="28"/>
          <w:szCs w:val="28"/>
        </w:rPr>
      </w:pPr>
    </w:p>
    <w:p w:rsidR="00471E95" w:rsidRDefault="00471E95" w:rsidP="00471E95">
      <w:pPr>
        <w:jc w:val="center"/>
        <w:rPr>
          <w:rFonts w:ascii="Arial" w:hAnsi="Arial" w:cs="Arial"/>
          <w:b/>
          <w:sz w:val="28"/>
          <w:szCs w:val="28"/>
        </w:rPr>
      </w:pPr>
    </w:p>
    <w:p w:rsidR="00CF2A48" w:rsidRPr="00471E95" w:rsidRDefault="00471E95" w:rsidP="00471E95">
      <w:pPr>
        <w:jc w:val="center"/>
        <w:rPr>
          <w:rFonts w:ascii="Arial" w:hAnsi="Arial" w:cs="Arial"/>
          <w:b/>
          <w:sz w:val="28"/>
          <w:szCs w:val="28"/>
        </w:rPr>
      </w:pPr>
      <w:r w:rsidRPr="00471E95">
        <w:rPr>
          <w:rFonts w:ascii="Arial" w:hAnsi="Arial" w:cs="Arial"/>
          <w:b/>
          <w:sz w:val="28"/>
          <w:szCs w:val="28"/>
        </w:rPr>
        <w:t>Strategic Management for SMEs</w:t>
      </w:r>
    </w:p>
    <w:p w:rsidR="00471E95" w:rsidRDefault="00471E95" w:rsidP="00471E95">
      <w:pPr>
        <w:jc w:val="center"/>
        <w:rPr>
          <w:rFonts w:ascii="Arial" w:hAnsi="Arial" w:cs="Arial"/>
          <w:b/>
          <w:sz w:val="28"/>
          <w:szCs w:val="28"/>
        </w:rPr>
      </w:pPr>
      <w:r w:rsidRPr="00471E95">
        <w:rPr>
          <w:rFonts w:ascii="Arial" w:hAnsi="Arial" w:cs="Arial"/>
          <w:b/>
          <w:sz w:val="28"/>
          <w:szCs w:val="28"/>
        </w:rPr>
        <w:t xml:space="preserve">BIO&amp;ME </w:t>
      </w:r>
      <w:proofErr w:type="gramStart"/>
      <w:r w:rsidRPr="00471E95">
        <w:rPr>
          <w:rFonts w:ascii="Arial" w:hAnsi="Arial" w:cs="Arial"/>
          <w:b/>
          <w:sz w:val="28"/>
          <w:szCs w:val="28"/>
        </w:rPr>
        <w:t>company</w:t>
      </w:r>
      <w:proofErr w:type="gramEnd"/>
    </w:p>
    <w:p w:rsidR="00471E95" w:rsidRDefault="00471E95" w:rsidP="00471E95">
      <w:pPr>
        <w:jc w:val="right"/>
        <w:rPr>
          <w:rFonts w:ascii="Arial" w:hAnsi="Arial" w:cs="Arial"/>
        </w:rPr>
      </w:pPr>
      <w:r>
        <w:rPr>
          <w:rFonts w:ascii="Arial" w:hAnsi="Arial" w:cs="Arial"/>
        </w:rPr>
        <w:t xml:space="preserve">Student: </w:t>
      </w:r>
      <w:proofErr w:type="spellStart"/>
      <w:r>
        <w:rPr>
          <w:rFonts w:ascii="Arial" w:hAnsi="Arial" w:cs="Arial"/>
        </w:rPr>
        <w:t>Vasilica</w:t>
      </w:r>
      <w:proofErr w:type="spellEnd"/>
      <w:r>
        <w:rPr>
          <w:rFonts w:ascii="Arial" w:hAnsi="Arial" w:cs="Arial"/>
        </w:rPr>
        <w:t xml:space="preserve"> Valentina </w:t>
      </w:r>
      <w:proofErr w:type="spellStart"/>
      <w:r>
        <w:rPr>
          <w:rFonts w:ascii="Arial" w:hAnsi="Arial" w:cs="Arial"/>
        </w:rPr>
        <w:t>Dinca</w:t>
      </w:r>
      <w:proofErr w:type="spellEnd"/>
    </w:p>
    <w:p w:rsidR="00471E95" w:rsidRDefault="00471E95" w:rsidP="00471E95">
      <w:pPr>
        <w:jc w:val="right"/>
        <w:rPr>
          <w:rFonts w:ascii="Arial" w:hAnsi="Arial" w:cs="Arial"/>
        </w:rPr>
      </w:pPr>
      <w:r>
        <w:rPr>
          <w:rFonts w:ascii="Arial" w:hAnsi="Arial" w:cs="Arial"/>
        </w:rPr>
        <w:t>Student number: 2131463</w:t>
      </w:r>
    </w:p>
    <w:p w:rsidR="00471E95" w:rsidRDefault="00471E95" w:rsidP="00471E95">
      <w:pPr>
        <w:jc w:val="right"/>
        <w:rPr>
          <w:rFonts w:ascii="Arial" w:hAnsi="Arial" w:cs="Arial"/>
        </w:rPr>
      </w:pPr>
      <w:r w:rsidRPr="00471E95">
        <w:rPr>
          <w:rFonts w:ascii="Arial" w:hAnsi="Arial" w:cs="Arial"/>
        </w:rPr>
        <w:t>Strategic Management for SMEs</w:t>
      </w:r>
    </w:p>
    <w:p w:rsidR="00471E95" w:rsidRDefault="00471E95" w:rsidP="00471E95">
      <w:pPr>
        <w:jc w:val="right"/>
        <w:rPr>
          <w:rFonts w:ascii="Arial" w:hAnsi="Arial" w:cs="Arial"/>
        </w:rPr>
      </w:pPr>
      <w:r w:rsidRPr="00471E95">
        <w:rPr>
          <w:rFonts w:ascii="Arial" w:hAnsi="Arial" w:cs="Arial"/>
        </w:rPr>
        <w:t>BMSW 6104</w:t>
      </w:r>
    </w:p>
    <w:p w:rsidR="00471E95" w:rsidRPr="00471E95" w:rsidRDefault="00471E95" w:rsidP="00471E95">
      <w:pPr>
        <w:jc w:val="right"/>
        <w:rPr>
          <w:rFonts w:ascii="Arial" w:hAnsi="Arial" w:cs="Arial"/>
        </w:rPr>
      </w:pPr>
      <w:r>
        <w:rPr>
          <w:rFonts w:ascii="Arial" w:hAnsi="Arial" w:cs="Arial"/>
        </w:rPr>
        <w:t xml:space="preserve">Lecturer: </w:t>
      </w:r>
      <w:proofErr w:type="spellStart"/>
      <w:r w:rsidRPr="00471E95">
        <w:rPr>
          <w:rFonts w:ascii="Arial" w:hAnsi="Arial" w:cs="Arial"/>
        </w:rPr>
        <w:t>Dr</w:t>
      </w:r>
      <w:proofErr w:type="spellEnd"/>
      <w:r w:rsidRPr="00471E95">
        <w:rPr>
          <w:rFonts w:ascii="Arial" w:hAnsi="Arial" w:cs="Arial"/>
        </w:rPr>
        <w:t xml:space="preserve"> </w:t>
      </w:r>
      <w:proofErr w:type="spellStart"/>
      <w:r w:rsidRPr="00471E95">
        <w:rPr>
          <w:rFonts w:ascii="Arial" w:hAnsi="Arial" w:cs="Arial"/>
        </w:rPr>
        <w:t>Oluwaseun</w:t>
      </w:r>
      <w:proofErr w:type="spellEnd"/>
      <w:r w:rsidRPr="00471E95">
        <w:rPr>
          <w:rFonts w:ascii="Arial" w:hAnsi="Arial" w:cs="Arial"/>
        </w:rPr>
        <w:t xml:space="preserve"> (</w:t>
      </w:r>
      <w:proofErr w:type="spellStart"/>
      <w:r w:rsidRPr="00471E95">
        <w:rPr>
          <w:rFonts w:ascii="Arial" w:hAnsi="Arial" w:cs="Arial"/>
        </w:rPr>
        <w:t>Olu</w:t>
      </w:r>
      <w:proofErr w:type="spellEnd"/>
      <w:r w:rsidRPr="00471E95">
        <w:rPr>
          <w:rFonts w:ascii="Arial" w:hAnsi="Arial" w:cs="Arial"/>
        </w:rPr>
        <w:t xml:space="preserve">) </w:t>
      </w:r>
      <w:proofErr w:type="spellStart"/>
      <w:r w:rsidRPr="00471E95">
        <w:rPr>
          <w:rFonts w:ascii="Arial" w:hAnsi="Arial" w:cs="Arial"/>
        </w:rPr>
        <w:t>Adegbite</w:t>
      </w:r>
      <w:proofErr w:type="spellEnd"/>
    </w:p>
    <w:p w:rsidR="00471E95" w:rsidRDefault="00471E95" w:rsidP="00C64D93">
      <w:pPr>
        <w:spacing w:line="360" w:lineRule="auto"/>
        <w:jc w:val="both"/>
        <w:rPr>
          <w:rFonts w:ascii="Arial" w:hAnsi="Arial" w:cs="Arial"/>
        </w:rPr>
      </w:pPr>
    </w:p>
    <w:p w:rsidR="00CF2A48" w:rsidRDefault="00471E95" w:rsidP="00471E95">
      <w:r>
        <w:br w:type="page"/>
      </w:r>
    </w:p>
    <w:p w:rsidR="00DE379F" w:rsidRPr="00471E95" w:rsidRDefault="00DE379F" w:rsidP="00471E95"/>
    <w:sdt>
      <w:sdtPr>
        <w:rPr>
          <w:rFonts w:asciiTheme="minorHAnsi" w:eastAsiaTheme="minorHAnsi" w:hAnsiTheme="minorHAnsi" w:cstheme="minorBidi"/>
          <w:b w:val="0"/>
          <w:bCs w:val="0"/>
          <w:color w:val="auto"/>
          <w:sz w:val="22"/>
          <w:szCs w:val="22"/>
          <w:lang w:eastAsia="en-US"/>
        </w:rPr>
        <w:id w:val="-1513447300"/>
        <w:docPartObj>
          <w:docPartGallery w:val="Table of Contents"/>
          <w:docPartUnique/>
        </w:docPartObj>
      </w:sdtPr>
      <w:sdtEndPr>
        <w:rPr>
          <w:noProof/>
        </w:rPr>
      </w:sdtEndPr>
      <w:sdtContent>
        <w:p w:rsidR="00471E95" w:rsidRPr="00DE379F" w:rsidRDefault="00471E95">
          <w:pPr>
            <w:pStyle w:val="TOCHeading"/>
            <w:rPr>
              <w:rFonts w:ascii="Arial" w:hAnsi="Arial" w:cs="Arial"/>
            </w:rPr>
          </w:pPr>
          <w:r w:rsidRPr="00DE379F">
            <w:rPr>
              <w:rFonts w:ascii="Arial" w:hAnsi="Arial" w:cs="Arial"/>
            </w:rPr>
            <w:t>Contents</w:t>
          </w:r>
        </w:p>
        <w:p w:rsidR="008315E1" w:rsidRDefault="00471E95">
          <w:pPr>
            <w:pStyle w:val="TOC1"/>
            <w:rPr>
              <w:rFonts w:asciiTheme="minorHAnsi" w:eastAsiaTheme="minorEastAsia" w:hAnsiTheme="minorHAnsi" w:cstheme="minorBidi"/>
            </w:rPr>
          </w:pPr>
          <w:r>
            <w:fldChar w:fldCharType="begin"/>
          </w:r>
          <w:r>
            <w:instrText xml:space="preserve"> TOC \o "1-3" \h \z \u </w:instrText>
          </w:r>
          <w:r>
            <w:fldChar w:fldCharType="separate"/>
          </w:r>
          <w:hyperlink w:anchor="_Toc182476719" w:history="1">
            <w:r w:rsidR="008315E1" w:rsidRPr="0088369E">
              <w:rPr>
                <w:rStyle w:val="Hyperlink"/>
              </w:rPr>
              <w:t>Introduction</w:t>
            </w:r>
            <w:r w:rsidR="008315E1">
              <w:rPr>
                <w:webHidden/>
              </w:rPr>
              <w:tab/>
            </w:r>
            <w:r w:rsidR="008315E1">
              <w:rPr>
                <w:webHidden/>
              </w:rPr>
              <w:fldChar w:fldCharType="begin"/>
            </w:r>
            <w:r w:rsidR="008315E1">
              <w:rPr>
                <w:webHidden/>
              </w:rPr>
              <w:instrText xml:space="preserve"> PAGEREF _Toc182476719 \h </w:instrText>
            </w:r>
            <w:r w:rsidR="008315E1">
              <w:rPr>
                <w:webHidden/>
              </w:rPr>
            </w:r>
            <w:r w:rsidR="008315E1">
              <w:rPr>
                <w:webHidden/>
              </w:rPr>
              <w:fldChar w:fldCharType="separate"/>
            </w:r>
            <w:r w:rsidR="008315E1">
              <w:rPr>
                <w:webHidden/>
              </w:rPr>
              <w:t>3</w:t>
            </w:r>
            <w:r w:rsidR="008315E1">
              <w:rPr>
                <w:webHidden/>
              </w:rPr>
              <w:fldChar w:fldCharType="end"/>
            </w:r>
          </w:hyperlink>
        </w:p>
        <w:p w:rsidR="008315E1" w:rsidRDefault="008315E1">
          <w:pPr>
            <w:pStyle w:val="TOC1"/>
            <w:rPr>
              <w:rFonts w:asciiTheme="minorHAnsi" w:eastAsiaTheme="minorEastAsia" w:hAnsiTheme="minorHAnsi" w:cstheme="minorBidi"/>
            </w:rPr>
          </w:pPr>
          <w:hyperlink w:anchor="_Toc182476720" w:history="1">
            <w:r w:rsidRPr="0088369E">
              <w:rPr>
                <w:rStyle w:val="Hyperlink"/>
              </w:rPr>
              <w:t>Strategic direction</w:t>
            </w:r>
            <w:r>
              <w:rPr>
                <w:webHidden/>
              </w:rPr>
              <w:tab/>
            </w:r>
            <w:r>
              <w:rPr>
                <w:webHidden/>
              </w:rPr>
              <w:fldChar w:fldCharType="begin"/>
            </w:r>
            <w:r>
              <w:rPr>
                <w:webHidden/>
              </w:rPr>
              <w:instrText xml:space="preserve"> PAGEREF _Toc182476720 \h </w:instrText>
            </w:r>
            <w:r>
              <w:rPr>
                <w:webHidden/>
              </w:rPr>
            </w:r>
            <w:r>
              <w:rPr>
                <w:webHidden/>
              </w:rPr>
              <w:fldChar w:fldCharType="separate"/>
            </w:r>
            <w:r>
              <w:rPr>
                <w:webHidden/>
              </w:rPr>
              <w:t>3</w:t>
            </w:r>
            <w:r>
              <w:rPr>
                <w:webHidden/>
              </w:rPr>
              <w:fldChar w:fldCharType="end"/>
            </w:r>
          </w:hyperlink>
        </w:p>
        <w:p w:rsidR="008315E1" w:rsidRDefault="008315E1">
          <w:pPr>
            <w:pStyle w:val="TOC2"/>
            <w:tabs>
              <w:tab w:val="right" w:leader="dot" w:pos="9350"/>
            </w:tabs>
            <w:rPr>
              <w:rFonts w:eastAsiaTheme="minorEastAsia"/>
              <w:noProof/>
            </w:rPr>
          </w:pPr>
          <w:hyperlink w:anchor="_Toc182476721" w:history="1">
            <w:r w:rsidRPr="0088369E">
              <w:rPr>
                <w:rStyle w:val="Hyperlink"/>
                <w:rFonts w:ascii="Arial" w:hAnsi="Arial" w:cs="Arial"/>
                <w:noProof/>
              </w:rPr>
              <w:t>Strategic Goals</w:t>
            </w:r>
            <w:r>
              <w:rPr>
                <w:noProof/>
                <w:webHidden/>
              </w:rPr>
              <w:tab/>
            </w:r>
            <w:r>
              <w:rPr>
                <w:noProof/>
                <w:webHidden/>
              </w:rPr>
              <w:fldChar w:fldCharType="begin"/>
            </w:r>
            <w:r>
              <w:rPr>
                <w:noProof/>
                <w:webHidden/>
              </w:rPr>
              <w:instrText xml:space="preserve"> PAGEREF _Toc182476721 \h </w:instrText>
            </w:r>
            <w:r>
              <w:rPr>
                <w:noProof/>
                <w:webHidden/>
              </w:rPr>
            </w:r>
            <w:r>
              <w:rPr>
                <w:noProof/>
                <w:webHidden/>
              </w:rPr>
              <w:fldChar w:fldCharType="separate"/>
            </w:r>
            <w:r>
              <w:rPr>
                <w:noProof/>
                <w:webHidden/>
              </w:rPr>
              <w:t>4</w:t>
            </w:r>
            <w:r>
              <w:rPr>
                <w:noProof/>
                <w:webHidden/>
              </w:rPr>
              <w:fldChar w:fldCharType="end"/>
            </w:r>
          </w:hyperlink>
        </w:p>
        <w:p w:rsidR="008315E1" w:rsidRDefault="008315E1">
          <w:pPr>
            <w:pStyle w:val="TOC2"/>
            <w:tabs>
              <w:tab w:val="right" w:leader="dot" w:pos="9350"/>
            </w:tabs>
            <w:rPr>
              <w:rFonts w:eastAsiaTheme="minorEastAsia"/>
              <w:noProof/>
            </w:rPr>
          </w:pPr>
          <w:hyperlink w:anchor="_Toc182476722" w:history="1">
            <w:r w:rsidRPr="0088369E">
              <w:rPr>
                <w:rStyle w:val="Hyperlink"/>
                <w:rFonts w:ascii="Arial" w:hAnsi="Arial" w:cs="Arial"/>
                <w:noProof/>
              </w:rPr>
              <w:t>Current strategy for business</w:t>
            </w:r>
            <w:r>
              <w:rPr>
                <w:noProof/>
                <w:webHidden/>
              </w:rPr>
              <w:tab/>
            </w:r>
            <w:r>
              <w:rPr>
                <w:noProof/>
                <w:webHidden/>
              </w:rPr>
              <w:fldChar w:fldCharType="begin"/>
            </w:r>
            <w:r>
              <w:rPr>
                <w:noProof/>
                <w:webHidden/>
              </w:rPr>
              <w:instrText xml:space="preserve"> PAGEREF _Toc182476722 \h </w:instrText>
            </w:r>
            <w:r>
              <w:rPr>
                <w:noProof/>
                <w:webHidden/>
              </w:rPr>
            </w:r>
            <w:r>
              <w:rPr>
                <w:noProof/>
                <w:webHidden/>
              </w:rPr>
              <w:fldChar w:fldCharType="separate"/>
            </w:r>
            <w:r>
              <w:rPr>
                <w:noProof/>
                <w:webHidden/>
              </w:rPr>
              <w:t>4</w:t>
            </w:r>
            <w:r>
              <w:rPr>
                <w:noProof/>
                <w:webHidden/>
              </w:rPr>
              <w:fldChar w:fldCharType="end"/>
            </w:r>
          </w:hyperlink>
        </w:p>
        <w:p w:rsidR="008315E1" w:rsidRDefault="008315E1">
          <w:pPr>
            <w:pStyle w:val="TOC2"/>
            <w:tabs>
              <w:tab w:val="right" w:leader="dot" w:pos="9350"/>
            </w:tabs>
            <w:rPr>
              <w:rFonts w:eastAsiaTheme="minorEastAsia"/>
              <w:noProof/>
            </w:rPr>
          </w:pPr>
          <w:hyperlink w:anchor="_Toc182476723" w:history="1">
            <w:r w:rsidRPr="0088369E">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_Toc182476723 \h </w:instrText>
            </w:r>
            <w:r>
              <w:rPr>
                <w:noProof/>
                <w:webHidden/>
              </w:rPr>
            </w:r>
            <w:r>
              <w:rPr>
                <w:noProof/>
                <w:webHidden/>
              </w:rPr>
              <w:fldChar w:fldCharType="separate"/>
            </w:r>
            <w:r>
              <w:rPr>
                <w:noProof/>
                <w:webHidden/>
              </w:rPr>
              <w:t>4</w:t>
            </w:r>
            <w:r>
              <w:rPr>
                <w:noProof/>
                <w:webHidden/>
              </w:rPr>
              <w:fldChar w:fldCharType="end"/>
            </w:r>
          </w:hyperlink>
        </w:p>
        <w:p w:rsidR="008315E1" w:rsidRDefault="008315E1">
          <w:pPr>
            <w:pStyle w:val="TOC1"/>
            <w:rPr>
              <w:rFonts w:asciiTheme="minorHAnsi" w:eastAsiaTheme="minorEastAsia" w:hAnsiTheme="minorHAnsi" w:cstheme="minorBidi"/>
            </w:rPr>
          </w:pPr>
          <w:hyperlink w:anchor="_Toc182476724" w:history="1">
            <w:r w:rsidRPr="0088369E">
              <w:rPr>
                <w:rStyle w:val="Hyperlink"/>
              </w:rPr>
              <w:t>Critical analysis of the organisation’s external and internal environment</w:t>
            </w:r>
            <w:r>
              <w:rPr>
                <w:webHidden/>
              </w:rPr>
              <w:tab/>
            </w:r>
            <w:r>
              <w:rPr>
                <w:webHidden/>
              </w:rPr>
              <w:fldChar w:fldCharType="begin"/>
            </w:r>
            <w:r>
              <w:rPr>
                <w:webHidden/>
              </w:rPr>
              <w:instrText xml:space="preserve"> PAGEREF _Toc182476724 \h </w:instrText>
            </w:r>
            <w:r>
              <w:rPr>
                <w:webHidden/>
              </w:rPr>
            </w:r>
            <w:r>
              <w:rPr>
                <w:webHidden/>
              </w:rPr>
              <w:fldChar w:fldCharType="separate"/>
            </w:r>
            <w:r>
              <w:rPr>
                <w:webHidden/>
              </w:rPr>
              <w:t>5</w:t>
            </w:r>
            <w:r>
              <w:rPr>
                <w:webHidden/>
              </w:rPr>
              <w:fldChar w:fldCharType="end"/>
            </w:r>
          </w:hyperlink>
        </w:p>
        <w:p w:rsidR="008315E1" w:rsidRDefault="008315E1">
          <w:pPr>
            <w:pStyle w:val="TOC2"/>
            <w:tabs>
              <w:tab w:val="right" w:leader="dot" w:pos="9350"/>
            </w:tabs>
            <w:rPr>
              <w:rFonts w:eastAsiaTheme="minorEastAsia"/>
              <w:noProof/>
            </w:rPr>
          </w:pPr>
          <w:hyperlink w:anchor="_Toc182476725" w:history="1">
            <w:r w:rsidRPr="0088369E">
              <w:rPr>
                <w:rStyle w:val="Hyperlink"/>
                <w:rFonts w:ascii="Arial" w:hAnsi="Arial" w:cs="Arial"/>
                <w:noProof/>
              </w:rPr>
              <w:t>PESTEL</w:t>
            </w:r>
            <w:r>
              <w:rPr>
                <w:noProof/>
                <w:webHidden/>
              </w:rPr>
              <w:tab/>
            </w:r>
            <w:r>
              <w:rPr>
                <w:noProof/>
                <w:webHidden/>
              </w:rPr>
              <w:fldChar w:fldCharType="begin"/>
            </w:r>
            <w:r>
              <w:rPr>
                <w:noProof/>
                <w:webHidden/>
              </w:rPr>
              <w:instrText xml:space="preserve"> PAGEREF _Toc182476725 \h </w:instrText>
            </w:r>
            <w:r>
              <w:rPr>
                <w:noProof/>
                <w:webHidden/>
              </w:rPr>
            </w:r>
            <w:r>
              <w:rPr>
                <w:noProof/>
                <w:webHidden/>
              </w:rPr>
              <w:fldChar w:fldCharType="separate"/>
            </w:r>
            <w:r>
              <w:rPr>
                <w:noProof/>
                <w:webHidden/>
              </w:rPr>
              <w:t>5</w:t>
            </w:r>
            <w:r>
              <w:rPr>
                <w:noProof/>
                <w:webHidden/>
              </w:rPr>
              <w:fldChar w:fldCharType="end"/>
            </w:r>
          </w:hyperlink>
        </w:p>
        <w:p w:rsidR="008315E1" w:rsidRDefault="008315E1">
          <w:pPr>
            <w:pStyle w:val="TOC2"/>
            <w:tabs>
              <w:tab w:val="right" w:leader="dot" w:pos="9350"/>
            </w:tabs>
            <w:rPr>
              <w:rFonts w:eastAsiaTheme="minorEastAsia"/>
              <w:noProof/>
            </w:rPr>
          </w:pPr>
          <w:hyperlink w:anchor="_Toc182476726" w:history="1">
            <w:r w:rsidRPr="0088369E">
              <w:rPr>
                <w:rStyle w:val="Hyperlink"/>
                <w:rFonts w:ascii="Arial" w:hAnsi="Arial" w:cs="Arial"/>
                <w:noProof/>
              </w:rPr>
              <w:t>PESTEL Analysis for BIO&amp;ME</w:t>
            </w:r>
            <w:r>
              <w:rPr>
                <w:noProof/>
                <w:webHidden/>
              </w:rPr>
              <w:tab/>
            </w:r>
            <w:r>
              <w:rPr>
                <w:noProof/>
                <w:webHidden/>
              </w:rPr>
              <w:fldChar w:fldCharType="begin"/>
            </w:r>
            <w:r>
              <w:rPr>
                <w:noProof/>
                <w:webHidden/>
              </w:rPr>
              <w:instrText xml:space="preserve"> PAGEREF _Toc182476726 \h </w:instrText>
            </w:r>
            <w:r>
              <w:rPr>
                <w:noProof/>
                <w:webHidden/>
              </w:rPr>
            </w:r>
            <w:r>
              <w:rPr>
                <w:noProof/>
                <w:webHidden/>
              </w:rPr>
              <w:fldChar w:fldCharType="separate"/>
            </w:r>
            <w:r>
              <w:rPr>
                <w:noProof/>
                <w:webHidden/>
              </w:rPr>
              <w:t>6</w:t>
            </w:r>
            <w:r>
              <w:rPr>
                <w:noProof/>
                <w:webHidden/>
              </w:rPr>
              <w:fldChar w:fldCharType="end"/>
            </w:r>
          </w:hyperlink>
        </w:p>
        <w:p w:rsidR="008315E1" w:rsidRDefault="008315E1">
          <w:pPr>
            <w:pStyle w:val="TOC2"/>
            <w:tabs>
              <w:tab w:val="right" w:leader="dot" w:pos="9350"/>
            </w:tabs>
            <w:rPr>
              <w:rFonts w:eastAsiaTheme="minorEastAsia"/>
              <w:noProof/>
            </w:rPr>
          </w:pPr>
          <w:hyperlink w:anchor="_Toc182476727" w:history="1">
            <w:r w:rsidRPr="0088369E">
              <w:rPr>
                <w:rStyle w:val="Hyperlink"/>
                <w:rFonts w:ascii="Arial" w:hAnsi="Arial" w:cs="Arial"/>
                <w:noProof/>
              </w:rPr>
              <w:t>SWOT</w:t>
            </w:r>
            <w:r>
              <w:rPr>
                <w:noProof/>
                <w:webHidden/>
              </w:rPr>
              <w:tab/>
            </w:r>
            <w:r>
              <w:rPr>
                <w:noProof/>
                <w:webHidden/>
              </w:rPr>
              <w:fldChar w:fldCharType="begin"/>
            </w:r>
            <w:r>
              <w:rPr>
                <w:noProof/>
                <w:webHidden/>
              </w:rPr>
              <w:instrText xml:space="preserve"> PAGEREF _Toc182476727 \h </w:instrText>
            </w:r>
            <w:r>
              <w:rPr>
                <w:noProof/>
                <w:webHidden/>
              </w:rPr>
            </w:r>
            <w:r>
              <w:rPr>
                <w:noProof/>
                <w:webHidden/>
              </w:rPr>
              <w:fldChar w:fldCharType="separate"/>
            </w:r>
            <w:r>
              <w:rPr>
                <w:noProof/>
                <w:webHidden/>
              </w:rPr>
              <w:t>7</w:t>
            </w:r>
            <w:r>
              <w:rPr>
                <w:noProof/>
                <w:webHidden/>
              </w:rPr>
              <w:fldChar w:fldCharType="end"/>
            </w:r>
          </w:hyperlink>
        </w:p>
        <w:p w:rsidR="008315E1" w:rsidRDefault="008315E1">
          <w:pPr>
            <w:pStyle w:val="TOC2"/>
            <w:tabs>
              <w:tab w:val="right" w:leader="dot" w:pos="9350"/>
            </w:tabs>
            <w:rPr>
              <w:rFonts w:eastAsiaTheme="minorEastAsia"/>
              <w:noProof/>
            </w:rPr>
          </w:pPr>
          <w:hyperlink w:anchor="_Toc182476728" w:history="1">
            <w:r w:rsidRPr="0088369E">
              <w:rPr>
                <w:rStyle w:val="Hyperlink"/>
                <w:rFonts w:ascii="Arial" w:hAnsi="Arial" w:cs="Arial"/>
                <w:noProof/>
              </w:rPr>
              <w:t>SWOT Analysis for BIO&amp;ME company</w:t>
            </w:r>
            <w:r>
              <w:rPr>
                <w:noProof/>
                <w:webHidden/>
              </w:rPr>
              <w:tab/>
            </w:r>
            <w:r>
              <w:rPr>
                <w:noProof/>
                <w:webHidden/>
              </w:rPr>
              <w:fldChar w:fldCharType="begin"/>
            </w:r>
            <w:r>
              <w:rPr>
                <w:noProof/>
                <w:webHidden/>
              </w:rPr>
              <w:instrText xml:space="preserve"> PAGEREF _Toc182476728 \h </w:instrText>
            </w:r>
            <w:r>
              <w:rPr>
                <w:noProof/>
                <w:webHidden/>
              </w:rPr>
            </w:r>
            <w:r>
              <w:rPr>
                <w:noProof/>
                <w:webHidden/>
              </w:rPr>
              <w:fldChar w:fldCharType="separate"/>
            </w:r>
            <w:r>
              <w:rPr>
                <w:noProof/>
                <w:webHidden/>
              </w:rPr>
              <w:t>7</w:t>
            </w:r>
            <w:r>
              <w:rPr>
                <w:noProof/>
                <w:webHidden/>
              </w:rPr>
              <w:fldChar w:fldCharType="end"/>
            </w:r>
          </w:hyperlink>
        </w:p>
        <w:p w:rsidR="008315E1" w:rsidRDefault="008315E1">
          <w:pPr>
            <w:pStyle w:val="TOC1"/>
            <w:rPr>
              <w:rFonts w:asciiTheme="minorHAnsi" w:eastAsiaTheme="minorEastAsia" w:hAnsiTheme="minorHAnsi" w:cstheme="minorBidi"/>
            </w:rPr>
          </w:pPr>
          <w:hyperlink w:anchor="_Toc182476729" w:history="1">
            <w:r w:rsidRPr="0088369E">
              <w:rPr>
                <w:rStyle w:val="Hyperlink"/>
              </w:rPr>
              <w:t>Stakeholders analysis</w:t>
            </w:r>
            <w:r>
              <w:rPr>
                <w:webHidden/>
              </w:rPr>
              <w:tab/>
            </w:r>
            <w:r>
              <w:rPr>
                <w:webHidden/>
              </w:rPr>
              <w:fldChar w:fldCharType="begin"/>
            </w:r>
            <w:r>
              <w:rPr>
                <w:webHidden/>
              </w:rPr>
              <w:instrText xml:space="preserve"> PAGEREF _Toc182476729 \h </w:instrText>
            </w:r>
            <w:r>
              <w:rPr>
                <w:webHidden/>
              </w:rPr>
            </w:r>
            <w:r>
              <w:rPr>
                <w:webHidden/>
              </w:rPr>
              <w:fldChar w:fldCharType="separate"/>
            </w:r>
            <w:r>
              <w:rPr>
                <w:webHidden/>
              </w:rPr>
              <w:t>8</w:t>
            </w:r>
            <w:r>
              <w:rPr>
                <w:webHidden/>
              </w:rPr>
              <w:fldChar w:fldCharType="end"/>
            </w:r>
          </w:hyperlink>
        </w:p>
        <w:p w:rsidR="008315E1" w:rsidRDefault="008315E1">
          <w:pPr>
            <w:pStyle w:val="TOC1"/>
            <w:rPr>
              <w:rFonts w:asciiTheme="minorHAnsi" w:eastAsiaTheme="minorEastAsia" w:hAnsiTheme="minorHAnsi" w:cstheme="minorBidi"/>
            </w:rPr>
          </w:pPr>
          <w:hyperlink w:anchor="_Toc182476730" w:history="1">
            <w:r w:rsidRPr="0088369E">
              <w:rPr>
                <w:rStyle w:val="Hyperlink"/>
              </w:rPr>
              <w:t>Strategic Options for BIO&amp;ME company using the model VMOST</w:t>
            </w:r>
            <w:r>
              <w:rPr>
                <w:webHidden/>
              </w:rPr>
              <w:tab/>
            </w:r>
            <w:r>
              <w:rPr>
                <w:webHidden/>
              </w:rPr>
              <w:fldChar w:fldCharType="begin"/>
            </w:r>
            <w:r>
              <w:rPr>
                <w:webHidden/>
              </w:rPr>
              <w:instrText xml:space="preserve"> PAGEREF _Toc182476730 \h </w:instrText>
            </w:r>
            <w:r>
              <w:rPr>
                <w:webHidden/>
              </w:rPr>
            </w:r>
            <w:r>
              <w:rPr>
                <w:webHidden/>
              </w:rPr>
              <w:fldChar w:fldCharType="separate"/>
            </w:r>
            <w:r>
              <w:rPr>
                <w:webHidden/>
              </w:rPr>
              <w:t>12</w:t>
            </w:r>
            <w:r>
              <w:rPr>
                <w:webHidden/>
              </w:rPr>
              <w:fldChar w:fldCharType="end"/>
            </w:r>
          </w:hyperlink>
        </w:p>
        <w:p w:rsidR="008315E1" w:rsidRDefault="008315E1">
          <w:pPr>
            <w:pStyle w:val="TOC2"/>
            <w:tabs>
              <w:tab w:val="right" w:leader="dot" w:pos="9350"/>
            </w:tabs>
            <w:rPr>
              <w:rFonts w:eastAsiaTheme="minorEastAsia"/>
              <w:noProof/>
            </w:rPr>
          </w:pPr>
          <w:hyperlink w:anchor="_Toc182476731" w:history="1">
            <w:r w:rsidRPr="0088369E">
              <w:rPr>
                <w:rStyle w:val="Hyperlink"/>
                <w:rFonts w:ascii="Arial" w:hAnsi="Arial" w:cs="Arial"/>
                <w:noProof/>
              </w:rPr>
              <w:t>Objectives:</w:t>
            </w:r>
            <w:r>
              <w:rPr>
                <w:noProof/>
                <w:webHidden/>
              </w:rPr>
              <w:tab/>
            </w:r>
            <w:r>
              <w:rPr>
                <w:noProof/>
                <w:webHidden/>
              </w:rPr>
              <w:fldChar w:fldCharType="begin"/>
            </w:r>
            <w:r>
              <w:rPr>
                <w:noProof/>
                <w:webHidden/>
              </w:rPr>
              <w:instrText xml:space="preserve"> PAGEREF _Toc182476731 \h </w:instrText>
            </w:r>
            <w:r>
              <w:rPr>
                <w:noProof/>
                <w:webHidden/>
              </w:rPr>
            </w:r>
            <w:r>
              <w:rPr>
                <w:noProof/>
                <w:webHidden/>
              </w:rPr>
              <w:fldChar w:fldCharType="separate"/>
            </w:r>
            <w:r>
              <w:rPr>
                <w:noProof/>
                <w:webHidden/>
              </w:rPr>
              <w:t>12</w:t>
            </w:r>
            <w:r>
              <w:rPr>
                <w:noProof/>
                <w:webHidden/>
              </w:rPr>
              <w:fldChar w:fldCharType="end"/>
            </w:r>
          </w:hyperlink>
        </w:p>
        <w:p w:rsidR="008315E1" w:rsidRDefault="008315E1">
          <w:pPr>
            <w:pStyle w:val="TOC2"/>
            <w:tabs>
              <w:tab w:val="right" w:leader="dot" w:pos="9350"/>
            </w:tabs>
            <w:rPr>
              <w:rFonts w:eastAsiaTheme="minorEastAsia"/>
              <w:noProof/>
            </w:rPr>
          </w:pPr>
          <w:hyperlink w:anchor="_Toc182476732" w:history="1">
            <w:r w:rsidRPr="0088369E">
              <w:rPr>
                <w:rStyle w:val="Hyperlink"/>
                <w:rFonts w:ascii="Arial" w:hAnsi="Arial" w:cs="Arial"/>
                <w:noProof/>
              </w:rPr>
              <w:t>Strategies:</w:t>
            </w:r>
            <w:r>
              <w:rPr>
                <w:noProof/>
                <w:webHidden/>
              </w:rPr>
              <w:tab/>
            </w:r>
            <w:r>
              <w:rPr>
                <w:noProof/>
                <w:webHidden/>
              </w:rPr>
              <w:fldChar w:fldCharType="begin"/>
            </w:r>
            <w:r>
              <w:rPr>
                <w:noProof/>
                <w:webHidden/>
              </w:rPr>
              <w:instrText xml:space="preserve"> PAGEREF _Toc182476732 \h </w:instrText>
            </w:r>
            <w:r>
              <w:rPr>
                <w:noProof/>
                <w:webHidden/>
              </w:rPr>
            </w:r>
            <w:r>
              <w:rPr>
                <w:noProof/>
                <w:webHidden/>
              </w:rPr>
              <w:fldChar w:fldCharType="separate"/>
            </w:r>
            <w:r>
              <w:rPr>
                <w:noProof/>
                <w:webHidden/>
              </w:rPr>
              <w:t>12</w:t>
            </w:r>
            <w:r>
              <w:rPr>
                <w:noProof/>
                <w:webHidden/>
              </w:rPr>
              <w:fldChar w:fldCharType="end"/>
            </w:r>
          </w:hyperlink>
        </w:p>
        <w:p w:rsidR="008315E1" w:rsidRDefault="008315E1">
          <w:pPr>
            <w:pStyle w:val="TOC2"/>
            <w:tabs>
              <w:tab w:val="right" w:leader="dot" w:pos="9350"/>
            </w:tabs>
            <w:rPr>
              <w:rFonts w:eastAsiaTheme="minorEastAsia"/>
              <w:noProof/>
            </w:rPr>
          </w:pPr>
          <w:hyperlink w:anchor="_Toc182476733" w:history="1">
            <w:r w:rsidRPr="0088369E">
              <w:rPr>
                <w:rStyle w:val="Hyperlink"/>
                <w:rFonts w:ascii="Arial" w:hAnsi="Arial" w:cs="Arial"/>
                <w:noProof/>
              </w:rPr>
              <w:t>Long-Term Sustainability of the Business</w:t>
            </w:r>
            <w:r>
              <w:rPr>
                <w:noProof/>
                <w:webHidden/>
              </w:rPr>
              <w:tab/>
            </w:r>
            <w:r>
              <w:rPr>
                <w:noProof/>
                <w:webHidden/>
              </w:rPr>
              <w:fldChar w:fldCharType="begin"/>
            </w:r>
            <w:r>
              <w:rPr>
                <w:noProof/>
                <w:webHidden/>
              </w:rPr>
              <w:instrText xml:space="preserve"> PAGEREF _Toc182476733 \h </w:instrText>
            </w:r>
            <w:r>
              <w:rPr>
                <w:noProof/>
                <w:webHidden/>
              </w:rPr>
            </w:r>
            <w:r>
              <w:rPr>
                <w:noProof/>
                <w:webHidden/>
              </w:rPr>
              <w:fldChar w:fldCharType="separate"/>
            </w:r>
            <w:r>
              <w:rPr>
                <w:noProof/>
                <w:webHidden/>
              </w:rPr>
              <w:t>13</w:t>
            </w:r>
            <w:r>
              <w:rPr>
                <w:noProof/>
                <w:webHidden/>
              </w:rPr>
              <w:fldChar w:fldCharType="end"/>
            </w:r>
          </w:hyperlink>
        </w:p>
        <w:p w:rsidR="008315E1" w:rsidRDefault="008315E1">
          <w:pPr>
            <w:pStyle w:val="TOC1"/>
            <w:rPr>
              <w:rFonts w:asciiTheme="minorHAnsi" w:eastAsiaTheme="minorEastAsia" w:hAnsiTheme="minorHAnsi" w:cstheme="minorBidi"/>
            </w:rPr>
          </w:pPr>
          <w:hyperlink w:anchor="_Toc182476734" w:history="1">
            <w:r w:rsidRPr="0088369E">
              <w:rPr>
                <w:rStyle w:val="Hyperlink"/>
              </w:rPr>
              <w:t>Key strategic recommendations using Kurt Lewin's change model</w:t>
            </w:r>
            <w:r>
              <w:rPr>
                <w:webHidden/>
              </w:rPr>
              <w:tab/>
            </w:r>
            <w:r>
              <w:rPr>
                <w:webHidden/>
              </w:rPr>
              <w:fldChar w:fldCharType="begin"/>
            </w:r>
            <w:r>
              <w:rPr>
                <w:webHidden/>
              </w:rPr>
              <w:instrText xml:space="preserve"> PAGEREF _Toc182476734 \h </w:instrText>
            </w:r>
            <w:r>
              <w:rPr>
                <w:webHidden/>
              </w:rPr>
            </w:r>
            <w:r>
              <w:rPr>
                <w:webHidden/>
              </w:rPr>
              <w:fldChar w:fldCharType="separate"/>
            </w:r>
            <w:r>
              <w:rPr>
                <w:webHidden/>
              </w:rPr>
              <w:t>15</w:t>
            </w:r>
            <w:r>
              <w:rPr>
                <w:webHidden/>
              </w:rPr>
              <w:fldChar w:fldCharType="end"/>
            </w:r>
          </w:hyperlink>
        </w:p>
        <w:p w:rsidR="008315E1" w:rsidRDefault="008315E1">
          <w:pPr>
            <w:pStyle w:val="TOC1"/>
            <w:rPr>
              <w:rFonts w:asciiTheme="minorHAnsi" w:eastAsiaTheme="minorEastAsia" w:hAnsiTheme="minorHAnsi" w:cstheme="minorBidi"/>
            </w:rPr>
          </w:pPr>
          <w:hyperlink w:anchor="_Toc182476735" w:history="1">
            <w:r w:rsidRPr="0088369E">
              <w:rPr>
                <w:rStyle w:val="Hyperlink"/>
              </w:rPr>
              <w:t>Competitors reaction</w:t>
            </w:r>
            <w:r>
              <w:rPr>
                <w:webHidden/>
              </w:rPr>
              <w:tab/>
            </w:r>
            <w:r>
              <w:rPr>
                <w:webHidden/>
              </w:rPr>
              <w:fldChar w:fldCharType="begin"/>
            </w:r>
            <w:r>
              <w:rPr>
                <w:webHidden/>
              </w:rPr>
              <w:instrText xml:space="preserve"> PAGEREF _Toc182476735 \h </w:instrText>
            </w:r>
            <w:r>
              <w:rPr>
                <w:webHidden/>
              </w:rPr>
            </w:r>
            <w:r>
              <w:rPr>
                <w:webHidden/>
              </w:rPr>
              <w:fldChar w:fldCharType="separate"/>
            </w:r>
            <w:r>
              <w:rPr>
                <w:webHidden/>
              </w:rPr>
              <w:t>16</w:t>
            </w:r>
            <w:r>
              <w:rPr>
                <w:webHidden/>
              </w:rPr>
              <w:fldChar w:fldCharType="end"/>
            </w:r>
          </w:hyperlink>
        </w:p>
        <w:p w:rsidR="008315E1" w:rsidRDefault="008315E1">
          <w:pPr>
            <w:pStyle w:val="TOC1"/>
            <w:rPr>
              <w:rFonts w:asciiTheme="minorHAnsi" w:eastAsiaTheme="minorEastAsia" w:hAnsiTheme="minorHAnsi" w:cstheme="minorBidi"/>
            </w:rPr>
          </w:pPr>
          <w:hyperlink w:anchor="_Toc182476736" w:history="1">
            <w:r w:rsidRPr="0088369E">
              <w:rPr>
                <w:rStyle w:val="Hyperlink"/>
              </w:rPr>
              <w:t>Conclusion</w:t>
            </w:r>
            <w:r>
              <w:rPr>
                <w:webHidden/>
              </w:rPr>
              <w:tab/>
            </w:r>
            <w:r>
              <w:rPr>
                <w:webHidden/>
              </w:rPr>
              <w:fldChar w:fldCharType="begin"/>
            </w:r>
            <w:r>
              <w:rPr>
                <w:webHidden/>
              </w:rPr>
              <w:instrText xml:space="preserve"> PAGEREF _Toc182476736 \h </w:instrText>
            </w:r>
            <w:r>
              <w:rPr>
                <w:webHidden/>
              </w:rPr>
            </w:r>
            <w:r>
              <w:rPr>
                <w:webHidden/>
              </w:rPr>
              <w:fldChar w:fldCharType="separate"/>
            </w:r>
            <w:r>
              <w:rPr>
                <w:webHidden/>
              </w:rPr>
              <w:t>17</w:t>
            </w:r>
            <w:r>
              <w:rPr>
                <w:webHidden/>
              </w:rPr>
              <w:fldChar w:fldCharType="end"/>
            </w:r>
          </w:hyperlink>
        </w:p>
        <w:p w:rsidR="008315E1" w:rsidRDefault="008315E1">
          <w:pPr>
            <w:pStyle w:val="TOC1"/>
            <w:rPr>
              <w:rFonts w:asciiTheme="minorHAnsi" w:eastAsiaTheme="minorEastAsia" w:hAnsiTheme="minorHAnsi" w:cstheme="minorBidi"/>
            </w:rPr>
          </w:pPr>
          <w:hyperlink w:anchor="_Toc182476737" w:history="1">
            <w:r w:rsidRPr="0088369E">
              <w:rPr>
                <w:rStyle w:val="Hyperlink"/>
              </w:rPr>
              <w:t>References</w:t>
            </w:r>
            <w:r>
              <w:rPr>
                <w:webHidden/>
              </w:rPr>
              <w:tab/>
            </w:r>
            <w:r>
              <w:rPr>
                <w:webHidden/>
              </w:rPr>
              <w:fldChar w:fldCharType="begin"/>
            </w:r>
            <w:r>
              <w:rPr>
                <w:webHidden/>
              </w:rPr>
              <w:instrText xml:space="preserve"> PAGEREF _Toc182476737 \h </w:instrText>
            </w:r>
            <w:r>
              <w:rPr>
                <w:webHidden/>
              </w:rPr>
            </w:r>
            <w:r>
              <w:rPr>
                <w:webHidden/>
              </w:rPr>
              <w:fldChar w:fldCharType="separate"/>
            </w:r>
            <w:r>
              <w:rPr>
                <w:webHidden/>
              </w:rPr>
              <w:t>18</w:t>
            </w:r>
            <w:r>
              <w:rPr>
                <w:webHidden/>
              </w:rPr>
              <w:fldChar w:fldCharType="end"/>
            </w:r>
          </w:hyperlink>
        </w:p>
        <w:p w:rsidR="008315E1" w:rsidRDefault="008315E1">
          <w:pPr>
            <w:pStyle w:val="TOC1"/>
            <w:rPr>
              <w:rFonts w:asciiTheme="minorHAnsi" w:eastAsiaTheme="minorEastAsia" w:hAnsiTheme="minorHAnsi" w:cstheme="minorBidi"/>
            </w:rPr>
          </w:pPr>
          <w:hyperlink w:anchor="_Toc182476738" w:history="1">
            <w:r w:rsidRPr="0088369E">
              <w:rPr>
                <w:rStyle w:val="Hyperlink"/>
              </w:rPr>
              <w:t>Poster</w:t>
            </w:r>
            <w:r>
              <w:rPr>
                <w:webHidden/>
              </w:rPr>
              <w:tab/>
            </w:r>
            <w:r>
              <w:rPr>
                <w:webHidden/>
              </w:rPr>
              <w:fldChar w:fldCharType="begin"/>
            </w:r>
            <w:r>
              <w:rPr>
                <w:webHidden/>
              </w:rPr>
              <w:instrText xml:space="preserve"> PAGEREF _Toc182476738 \h </w:instrText>
            </w:r>
            <w:r>
              <w:rPr>
                <w:webHidden/>
              </w:rPr>
            </w:r>
            <w:r>
              <w:rPr>
                <w:webHidden/>
              </w:rPr>
              <w:fldChar w:fldCharType="separate"/>
            </w:r>
            <w:r>
              <w:rPr>
                <w:webHidden/>
              </w:rPr>
              <w:t>20</w:t>
            </w:r>
            <w:r>
              <w:rPr>
                <w:webHidden/>
              </w:rPr>
              <w:fldChar w:fldCharType="end"/>
            </w:r>
          </w:hyperlink>
        </w:p>
        <w:p w:rsidR="00471E95" w:rsidRDefault="00471E95">
          <w:r>
            <w:rPr>
              <w:b/>
              <w:bCs/>
              <w:noProof/>
            </w:rPr>
            <w:fldChar w:fldCharType="end"/>
          </w:r>
        </w:p>
      </w:sdtContent>
    </w:sdt>
    <w:p w:rsidR="00471E95" w:rsidRDefault="00471E95" w:rsidP="00C64D93">
      <w:pPr>
        <w:pStyle w:val="Heading1"/>
        <w:ind w:left="720" w:firstLine="720"/>
        <w:jc w:val="center"/>
        <w:rPr>
          <w:rFonts w:ascii="Arial" w:hAnsi="Arial" w:cs="Arial"/>
          <w:sz w:val="24"/>
          <w:szCs w:val="24"/>
        </w:rPr>
      </w:pPr>
    </w:p>
    <w:p w:rsidR="00471E95" w:rsidRDefault="00471E95" w:rsidP="00471E95"/>
    <w:p w:rsidR="00471E95" w:rsidRPr="00471E95" w:rsidRDefault="00471E95" w:rsidP="00471E95"/>
    <w:p w:rsidR="00471E95" w:rsidRDefault="00471E95" w:rsidP="00471E95">
      <w:pPr>
        <w:rPr>
          <w:rFonts w:eastAsiaTheme="majorEastAsia"/>
          <w:color w:val="365F91" w:themeColor="accent1" w:themeShade="BF"/>
        </w:rPr>
      </w:pPr>
    </w:p>
    <w:p w:rsidR="00471E95" w:rsidRDefault="00471E95" w:rsidP="00C64D93">
      <w:pPr>
        <w:pStyle w:val="Heading1"/>
        <w:ind w:left="720" w:firstLine="720"/>
        <w:jc w:val="center"/>
        <w:rPr>
          <w:rFonts w:ascii="Arial" w:hAnsi="Arial" w:cs="Arial"/>
          <w:sz w:val="24"/>
          <w:szCs w:val="24"/>
        </w:rPr>
      </w:pPr>
    </w:p>
    <w:p w:rsidR="00CF2A48" w:rsidRPr="00047360" w:rsidRDefault="00CF2A48" w:rsidP="00C64D93">
      <w:pPr>
        <w:pStyle w:val="Heading1"/>
        <w:ind w:left="720" w:firstLine="720"/>
        <w:jc w:val="center"/>
        <w:rPr>
          <w:rFonts w:ascii="Arial" w:hAnsi="Arial" w:cs="Arial"/>
          <w:sz w:val="24"/>
          <w:szCs w:val="24"/>
        </w:rPr>
      </w:pPr>
      <w:bookmarkStart w:id="0" w:name="_Toc182435345"/>
      <w:bookmarkStart w:id="1" w:name="_Toc182476719"/>
      <w:r w:rsidRPr="00047360">
        <w:rPr>
          <w:rFonts w:ascii="Arial" w:hAnsi="Arial" w:cs="Arial"/>
          <w:sz w:val="24"/>
          <w:szCs w:val="24"/>
        </w:rPr>
        <w:t>Introduction</w:t>
      </w:r>
      <w:bookmarkEnd w:id="0"/>
      <w:bookmarkEnd w:id="1"/>
    </w:p>
    <w:p w:rsidR="00CF2A48" w:rsidRDefault="00CF2A48" w:rsidP="00292CFB">
      <w:pPr>
        <w:spacing w:line="360" w:lineRule="auto"/>
        <w:ind w:firstLine="720"/>
        <w:jc w:val="both"/>
        <w:rPr>
          <w:rFonts w:ascii="Arial" w:hAnsi="Arial" w:cs="Arial"/>
        </w:rPr>
      </w:pPr>
    </w:p>
    <w:p w:rsidR="000A6A63" w:rsidRDefault="000A6A63" w:rsidP="00292CFB">
      <w:pPr>
        <w:spacing w:line="360" w:lineRule="auto"/>
        <w:ind w:firstLine="720"/>
        <w:jc w:val="both"/>
        <w:rPr>
          <w:rFonts w:ascii="Arial" w:hAnsi="Arial" w:cs="Arial"/>
        </w:rPr>
      </w:pPr>
      <w:r w:rsidRPr="000A6A63">
        <w:rPr>
          <w:rFonts w:ascii="Arial" w:hAnsi="Arial" w:cs="Arial"/>
        </w:rPr>
        <w:t>A strategy is a company's long-term plan of action to accomplish specific objectives and gain a competitive edge in its market (</w:t>
      </w:r>
      <w:proofErr w:type="spellStart"/>
      <w:r w:rsidRPr="000A6A63">
        <w:rPr>
          <w:rFonts w:ascii="Arial" w:hAnsi="Arial" w:cs="Arial"/>
        </w:rPr>
        <w:t>Mintzberg</w:t>
      </w:r>
      <w:proofErr w:type="spellEnd"/>
      <w:r w:rsidRPr="000A6A63">
        <w:rPr>
          <w:rFonts w:ascii="Arial" w:hAnsi="Arial" w:cs="Arial"/>
        </w:rPr>
        <w:t>, 1987).</w:t>
      </w:r>
    </w:p>
    <w:p w:rsidR="00657E01" w:rsidRDefault="00657E01" w:rsidP="00292CFB">
      <w:pPr>
        <w:spacing w:line="360" w:lineRule="auto"/>
        <w:ind w:firstLine="720"/>
        <w:jc w:val="both"/>
        <w:rPr>
          <w:rFonts w:ascii="Arial" w:hAnsi="Arial" w:cs="Arial"/>
        </w:rPr>
      </w:pPr>
      <w:r w:rsidRPr="00657E01">
        <w:rPr>
          <w:rFonts w:ascii="Arial" w:hAnsi="Arial" w:cs="Arial"/>
        </w:rPr>
        <w:t>Strategic management entails coordinating resources with external opportunities and threats while formulating, implementing, and assessing cross-functional decisions to accomplish organizational goals (</w:t>
      </w:r>
      <w:proofErr w:type="spellStart"/>
      <w:r w:rsidRPr="00657E01">
        <w:rPr>
          <w:rFonts w:ascii="Arial" w:hAnsi="Arial" w:cs="Arial"/>
        </w:rPr>
        <w:t>Ansoff</w:t>
      </w:r>
      <w:proofErr w:type="spellEnd"/>
      <w:r w:rsidRPr="00657E01">
        <w:rPr>
          <w:rFonts w:ascii="Arial" w:hAnsi="Arial" w:cs="Arial"/>
        </w:rPr>
        <w:t>, 1991).</w:t>
      </w:r>
    </w:p>
    <w:p w:rsidR="00657E01" w:rsidRDefault="00657E01" w:rsidP="00292CFB">
      <w:pPr>
        <w:spacing w:line="360" w:lineRule="auto"/>
        <w:ind w:firstLine="720"/>
        <w:jc w:val="both"/>
        <w:rPr>
          <w:rFonts w:ascii="Arial" w:hAnsi="Arial" w:cs="Arial"/>
        </w:rPr>
      </w:pPr>
      <w:r w:rsidRPr="00657E01">
        <w:rPr>
          <w:rFonts w:ascii="Arial" w:hAnsi="Arial" w:cs="Arial"/>
        </w:rPr>
        <w:t xml:space="preserve"> Co-founded by Dr. Megan Rossi, BIO&amp;ME provides a variety of high-fiber, gut-friendly granola and muesli products. Supported by scientific research and emphasizing plant-based diversity, the brand uses natural, healthy ingredients to promote digestive health (</w:t>
      </w:r>
      <w:proofErr w:type="spellStart"/>
      <w:r w:rsidRPr="00657E01">
        <w:rPr>
          <w:rFonts w:ascii="Arial" w:hAnsi="Arial" w:cs="Arial"/>
        </w:rPr>
        <w:t>Bio&amp;Me</w:t>
      </w:r>
      <w:proofErr w:type="spellEnd"/>
      <w:r w:rsidRPr="00657E01">
        <w:rPr>
          <w:rFonts w:ascii="Arial" w:hAnsi="Arial" w:cs="Arial"/>
        </w:rPr>
        <w:t>, 2023).</w:t>
      </w:r>
    </w:p>
    <w:p w:rsidR="00657E01" w:rsidRPr="00582160" w:rsidRDefault="00657E01" w:rsidP="00582160">
      <w:pPr>
        <w:spacing w:line="360" w:lineRule="auto"/>
        <w:ind w:firstLine="720"/>
        <w:jc w:val="both"/>
        <w:rPr>
          <w:rFonts w:ascii="Arial" w:hAnsi="Arial" w:cs="Arial"/>
        </w:rPr>
      </w:pPr>
      <w:r w:rsidRPr="00657E01">
        <w:rPr>
          <w:rFonts w:ascii="Arial" w:hAnsi="Arial" w:cs="Arial"/>
        </w:rPr>
        <w:t>This report's objective is to critically analyze strategic management practices and investigate the impact of stakeholders on BIO&amp;ME. The report aims to comprehend how stakeholder relationships and strategic approaches affect the company's competitive positioning, operational effectiveness, and long-term sustainability by assessing these factors.</w:t>
      </w:r>
    </w:p>
    <w:p w:rsidR="009F7140" w:rsidRDefault="009F7140" w:rsidP="00582160">
      <w:pPr>
        <w:pStyle w:val="Heading1"/>
        <w:spacing w:line="360" w:lineRule="auto"/>
        <w:jc w:val="center"/>
        <w:rPr>
          <w:rFonts w:ascii="Arial" w:hAnsi="Arial" w:cs="Arial"/>
          <w:sz w:val="24"/>
          <w:szCs w:val="24"/>
        </w:rPr>
      </w:pPr>
      <w:bookmarkStart w:id="2" w:name="_Toc182435346"/>
      <w:bookmarkStart w:id="3" w:name="_Toc182476720"/>
      <w:r w:rsidRPr="00047360">
        <w:rPr>
          <w:rFonts w:ascii="Arial" w:hAnsi="Arial" w:cs="Arial"/>
          <w:sz w:val="24"/>
          <w:szCs w:val="24"/>
        </w:rPr>
        <w:t>Strategic direction</w:t>
      </w:r>
      <w:bookmarkEnd w:id="2"/>
      <w:bookmarkEnd w:id="3"/>
    </w:p>
    <w:p w:rsidR="00582160" w:rsidRPr="00582160" w:rsidRDefault="00582160" w:rsidP="00582160"/>
    <w:p w:rsidR="00657E01" w:rsidRPr="00657E01" w:rsidRDefault="00657E01" w:rsidP="00657E01">
      <w:pPr>
        <w:spacing w:line="360" w:lineRule="auto"/>
        <w:jc w:val="both"/>
        <w:rPr>
          <w:rFonts w:ascii="Arial" w:hAnsi="Arial" w:cs="Arial"/>
        </w:rPr>
      </w:pPr>
      <w:r w:rsidRPr="00657E01">
        <w:rPr>
          <w:rFonts w:ascii="Arial" w:hAnsi="Arial" w:cs="Arial"/>
        </w:rPr>
        <w:t>Being a leader in granola products that are nourishing and gut-friendly for today's health-conscious consumer</w:t>
      </w:r>
      <w:r w:rsidR="000A6A63">
        <w:rPr>
          <w:rFonts w:ascii="Arial" w:hAnsi="Arial" w:cs="Arial"/>
        </w:rPr>
        <w:t>s</w:t>
      </w:r>
      <w:r w:rsidRPr="00657E01">
        <w:rPr>
          <w:rFonts w:ascii="Arial" w:hAnsi="Arial" w:cs="Arial"/>
        </w:rPr>
        <w:t xml:space="preserve"> is the main goal of BIO&amp;ME's strategic direction.</w:t>
      </w:r>
    </w:p>
    <w:p w:rsidR="00657E01" w:rsidRPr="00657E01" w:rsidRDefault="00657E01" w:rsidP="00657E01">
      <w:pPr>
        <w:spacing w:line="360" w:lineRule="auto"/>
        <w:jc w:val="both"/>
        <w:rPr>
          <w:rFonts w:ascii="Arial" w:hAnsi="Arial" w:cs="Arial"/>
        </w:rPr>
      </w:pPr>
      <w:r w:rsidRPr="00657E01">
        <w:rPr>
          <w:rFonts w:ascii="Arial" w:hAnsi="Arial" w:cs="Arial"/>
          <w:b/>
        </w:rPr>
        <w:t>Vision:</w:t>
      </w:r>
      <w:r w:rsidRPr="00657E01">
        <w:rPr>
          <w:rFonts w:ascii="Arial" w:hAnsi="Arial" w:cs="Arial"/>
        </w:rPr>
        <w:t xml:space="preserve"> "</w:t>
      </w:r>
      <w:r w:rsidR="000A6A63" w:rsidRPr="000A6A63">
        <w:rPr>
          <w:rFonts w:ascii="Arial" w:hAnsi="Arial" w:cs="Arial"/>
        </w:rPr>
        <w:t>Our</w:t>
      </w:r>
      <w:r w:rsidR="000A6A63">
        <w:rPr>
          <w:rFonts w:ascii="Arial" w:hAnsi="Arial" w:cs="Arial"/>
        </w:rPr>
        <w:t xml:space="preserve"> vision is to promote healthier </w:t>
      </w:r>
      <w:r w:rsidR="000A6A63" w:rsidRPr="000A6A63">
        <w:rPr>
          <w:rFonts w:ascii="Arial" w:hAnsi="Arial" w:cs="Arial"/>
        </w:rPr>
        <w:t>living by providing everyone with scrumptious, scientifically supported granola that promotes gut health and overall wellness.</w:t>
      </w:r>
      <w:r w:rsidRPr="00657E01">
        <w:rPr>
          <w:rFonts w:ascii="Arial" w:hAnsi="Arial" w:cs="Arial"/>
        </w:rPr>
        <w:t>"</w:t>
      </w:r>
    </w:p>
    <w:p w:rsidR="00F10B24" w:rsidRDefault="00657E01" w:rsidP="00657E01">
      <w:pPr>
        <w:spacing w:line="360" w:lineRule="auto"/>
        <w:jc w:val="both"/>
        <w:rPr>
          <w:rFonts w:ascii="Arial" w:hAnsi="Arial" w:cs="Arial"/>
        </w:rPr>
      </w:pPr>
      <w:r w:rsidRPr="00657E01">
        <w:rPr>
          <w:rFonts w:ascii="Arial" w:hAnsi="Arial" w:cs="Arial"/>
          <w:b/>
        </w:rPr>
        <w:t xml:space="preserve">The mission </w:t>
      </w:r>
      <w:r w:rsidRPr="00657E01">
        <w:rPr>
          <w:rFonts w:ascii="Arial" w:hAnsi="Arial" w:cs="Arial"/>
        </w:rPr>
        <w:t xml:space="preserve">of BIO&amp;ME is to create granola blends </w:t>
      </w:r>
      <w:r w:rsidR="000A6A63">
        <w:rPr>
          <w:rFonts w:ascii="Arial" w:hAnsi="Arial" w:cs="Arial"/>
        </w:rPr>
        <w:t>that are high in fiber, simple</w:t>
      </w:r>
      <w:r w:rsidRPr="00657E01">
        <w:rPr>
          <w:rFonts w:ascii="Arial" w:hAnsi="Arial" w:cs="Arial"/>
        </w:rPr>
        <w:t xml:space="preserve"> to digest, and promote a healthy gut microbiome in addition to tasting delicious. BIO&amp;ME prioritizes quality, sustainability, and transparency in order to provide consumers with products they can rely on and enjoy while also he</w:t>
      </w:r>
      <w:r w:rsidR="000A6A63">
        <w:rPr>
          <w:rFonts w:ascii="Arial" w:hAnsi="Arial" w:cs="Arial"/>
        </w:rPr>
        <w:t>lping the environment (BIO&amp;ME</w:t>
      </w:r>
      <w:r w:rsidRPr="00657E01">
        <w:rPr>
          <w:rFonts w:ascii="Arial" w:hAnsi="Arial" w:cs="Arial"/>
        </w:rPr>
        <w:t>, 2023).</w:t>
      </w:r>
    </w:p>
    <w:p w:rsidR="00F10B24" w:rsidRPr="00292CFB" w:rsidRDefault="00F10B24" w:rsidP="00292CFB">
      <w:pPr>
        <w:spacing w:line="360" w:lineRule="auto"/>
        <w:jc w:val="both"/>
        <w:rPr>
          <w:rFonts w:ascii="Arial" w:hAnsi="Arial" w:cs="Arial"/>
        </w:rPr>
      </w:pPr>
    </w:p>
    <w:p w:rsidR="009F7140" w:rsidRPr="00292CFB" w:rsidRDefault="009F7140" w:rsidP="00292CFB">
      <w:pPr>
        <w:pStyle w:val="Heading2"/>
        <w:spacing w:line="360" w:lineRule="auto"/>
        <w:jc w:val="both"/>
        <w:rPr>
          <w:rFonts w:ascii="Arial" w:hAnsi="Arial" w:cs="Arial"/>
          <w:sz w:val="24"/>
          <w:szCs w:val="24"/>
        </w:rPr>
      </w:pPr>
      <w:bookmarkStart w:id="4" w:name="_Toc182435347"/>
      <w:bookmarkStart w:id="5" w:name="_Toc182476721"/>
      <w:r w:rsidRPr="00292CFB">
        <w:rPr>
          <w:rFonts w:ascii="Arial" w:hAnsi="Arial" w:cs="Arial"/>
          <w:sz w:val="24"/>
          <w:szCs w:val="24"/>
        </w:rPr>
        <w:lastRenderedPageBreak/>
        <w:t>Strategic Goals</w:t>
      </w:r>
      <w:bookmarkEnd w:id="4"/>
      <w:bookmarkEnd w:id="5"/>
    </w:p>
    <w:p w:rsidR="00657E01" w:rsidRPr="00657E01" w:rsidRDefault="00657E01" w:rsidP="00657E01">
      <w:pPr>
        <w:spacing w:line="360" w:lineRule="auto"/>
        <w:jc w:val="both"/>
        <w:rPr>
          <w:rFonts w:ascii="Arial" w:hAnsi="Arial" w:cs="Arial"/>
        </w:rPr>
      </w:pPr>
      <w:r w:rsidRPr="002D1057">
        <w:rPr>
          <w:rFonts w:ascii="Arial" w:hAnsi="Arial" w:cs="Arial"/>
          <w:b/>
        </w:rPr>
        <w:t>1. Increase market presence</w:t>
      </w:r>
      <w:r w:rsidRPr="00657E01">
        <w:rPr>
          <w:rFonts w:ascii="Arial" w:hAnsi="Arial" w:cs="Arial"/>
        </w:rPr>
        <w:t xml:space="preserve"> by forming retail alliances and breaking into important health-focused areas.</w:t>
      </w:r>
    </w:p>
    <w:p w:rsidR="00657E01" w:rsidRPr="00657E01" w:rsidRDefault="00657E01" w:rsidP="00657E01">
      <w:pPr>
        <w:spacing w:line="360" w:lineRule="auto"/>
        <w:jc w:val="both"/>
        <w:rPr>
          <w:rFonts w:ascii="Arial" w:hAnsi="Arial" w:cs="Arial"/>
        </w:rPr>
      </w:pPr>
      <w:r w:rsidRPr="002D1057">
        <w:rPr>
          <w:rFonts w:ascii="Arial" w:hAnsi="Arial" w:cs="Arial"/>
          <w:b/>
        </w:rPr>
        <w:t>2. Create new product lines</w:t>
      </w:r>
      <w:r w:rsidRPr="00657E01">
        <w:rPr>
          <w:rFonts w:ascii="Arial" w:hAnsi="Arial" w:cs="Arial"/>
        </w:rPr>
        <w:t xml:space="preserve"> that address new health trends, like plant-based, functional, and allergy-free options.</w:t>
      </w:r>
    </w:p>
    <w:p w:rsidR="00657E01" w:rsidRPr="00657E01" w:rsidRDefault="00657E01" w:rsidP="00657E01">
      <w:pPr>
        <w:spacing w:line="360" w:lineRule="auto"/>
        <w:jc w:val="both"/>
        <w:rPr>
          <w:rFonts w:ascii="Arial" w:hAnsi="Arial" w:cs="Arial"/>
        </w:rPr>
      </w:pPr>
      <w:r w:rsidRPr="002D1057">
        <w:rPr>
          <w:rFonts w:ascii="Arial" w:hAnsi="Arial" w:cs="Arial"/>
          <w:b/>
        </w:rPr>
        <w:t xml:space="preserve">3. Reduce packaging </w:t>
      </w:r>
      <w:r w:rsidRPr="002D1057">
        <w:rPr>
          <w:rFonts w:ascii="Arial" w:hAnsi="Arial" w:cs="Arial"/>
        </w:rPr>
        <w:t>waste and source</w:t>
      </w:r>
      <w:r w:rsidRPr="00657E01">
        <w:rPr>
          <w:rFonts w:ascii="Arial" w:hAnsi="Arial" w:cs="Arial"/>
        </w:rPr>
        <w:t xml:space="preserve"> from environmentally conscious vendors to improve sustainability practices (</w:t>
      </w:r>
      <w:proofErr w:type="spellStart"/>
      <w:r w:rsidRPr="00657E01">
        <w:rPr>
          <w:rFonts w:ascii="Arial" w:hAnsi="Arial" w:cs="Arial"/>
        </w:rPr>
        <w:t>Suyog</w:t>
      </w:r>
      <w:proofErr w:type="spellEnd"/>
      <w:r w:rsidRPr="00657E01">
        <w:rPr>
          <w:rFonts w:ascii="Arial" w:hAnsi="Arial" w:cs="Arial"/>
        </w:rPr>
        <w:t>, 2012).</w:t>
      </w:r>
    </w:p>
    <w:p w:rsidR="00657E01" w:rsidRPr="00657E01" w:rsidRDefault="00657E01" w:rsidP="00657E01">
      <w:pPr>
        <w:spacing w:line="360" w:lineRule="auto"/>
        <w:jc w:val="both"/>
        <w:rPr>
          <w:rFonts w:ascii="Arial" w:hAnsi="Arial" w:cs="Arial"/>
        </w:rPr>
      </w:pPr>
      <w:r w:rsidRPr="00657E01">
        <w:rPr>
          <w:rFonts w:ascii="Arial" w:hAnsi="Arial" w:cs="Arial"/>
        </w:rPr>
        <w:t>By working together, these pillars seek to establish BIO&amp;ME as a reliable industry leader in health foods.</w:t>
      </w:r>
    </w:p>
    <w:p w:rsidR="009F7140" w:rsidRPr="00292CFB" w:rsidRDefault="00D47AF4" w:rsidP="00292CFB">
      <w:pPr>
        <w:pStyle w:val="Heading2"/>
        <w:spacing w:line="360" w:lineRule="auto"/>
        <w:jc w:val="both"/>
        <w:rPr>
          <w:rFonts w:ascii="Arial" w:hAnsi="Arial" w:cs="Arial"/>
          <w:sz w:val="24"/>
          <w:szCs w:val="24"/>
        </w:rPr>
      </w:pPr>
      <w:bookmarkStart w:id="6" w:name="_Toc182435348"/>
      <w:bookmarkStart w:id="7" w:name="_Toc182476722"/>
      <w:r w:rsidRPr="00292CFB">
        <w:rPr>
          <w:rFonts w:ascii="Arial" w:hAnsi="Arial" w:cs="Arial"/>
          <w:sz w:val="24"/>
          <w:szCs w:val="24"/>
        </w:rPr>
        <w:t xml:space="preserve">Current strategy </w:t>
      </w:r>
      <w:r w:rsidR="001B39CD" w:rsidRPr="00292CFB">
        <w:rPr>
          <w:rFonts w:ascii="Arial" w:hAnsi="Arial" w:cs="Arial"/>
          <w:sz w:val="24"/>
          <w:szCs w:val="24"/>
        </w:rPr>
        <w:t>for business</w:t>
      </w:r>
      <w:bookmarkEnd w:id="6"/>
      <w:bookmarkEnd w:id="7"/>
    </w:p>
    <w:p w:rsidR="00657E01" w:rsidRDefault="000A6A63" w:rsidP="005B0106">
      <w:pPr>
        <w:spacing w:line="360" w:lineRule="auto"/>
        <w:ind w:firstLine="720"/>
        <w:jc w:val="both"/>
        <w:rPr>
          <w:rFonts w:ascii="Arial" w:hAnsi="Arial" w:cs="Arial"/>
        </w:rPr>
      </w:pPr>
      <w:r w:rsidRPr="000A6A63">
        <w:rPr>
          <w:rFonts w:ascii="Arial" w:hAnsi="Arial" w:cs="Arial"/>
        </w:rPr>
        <w:t>BIO&amp;ME is currently well-positioned to capitalize on the growing consumer demand for functional, gut-friendly foods in</w:t>
      </w:r>
      <w:r>
        <w:rPr>
          <w:rFonts w:ascii="Arial" w:hAnsi="Arial" w:cs="Arial"/>
        </w:rPr>
        <w:t xml:space="preserve"> the health and wellness sector. </w:t>
      </w:r>
      <w:r w:rsidR="005B0106" w:rsidRPr="005B0106">
        <w:rPr>
          <w:rFonts w:ascii="Arial" w:hAnsi="Arial" w:cs="Arial"/>
        </w:rPr>
        <w:t>The company's emphasis on high-fiber, scientifically supported granola that promotes digestive health sets it apart from other granola options and appeals to consumers who are health-conscious.     But like other niche health brands, BIO&amp;ME has to contend with issues like expanding its market share and competing with bigger, more well-known companies that might provide comparable health benefits at more affordable costs.</w:t>
      </w:r>
    </w:p>
    <w:p w:rsidR="00657E01" w:rsidRDefault="000A6A63" w:rsidP="000A6A63">
      <w:pPr>
        <w:spacing w:line="360" w:lineRule="auto"/>
        <w:ind w:firstLine="720"/>
        <w:jc w:val="both"/>
        <w:rPr>
          <w:rFonts w:ascii="Arial" w:hAnsi="Arial" w:cs="Arial"/>
        </w:rPr>
      </w:pPr>
      <w:r w:rsidRPr="000A6A63">
        <w:rPr>
          <w:rFonts w:ascii="Arial" w:hAnsi="Arial" w:cs="Arial"/>
        </w:rPr>
        <w:t>Furthermore, while the business excels in sustainability, as it expands, the operational costs associated with eco-friendly sourcing and packaging may impact its profitability.</w:t>
      </w:r>
      <w:r>
        <w:rPr>
          <w:rFonts w:ascii="Arial" w:hAnsi="Arial" w:cs="Arial"/>
        </w:rPr>
        <w:t xml:space="preserve"> </w:t>
      </w:r>
      <w:r w:rsidR="005B0106" w:rsidRPr="005B0106">
        <w:rPr>
          <w:rFonts w:ascii="Arial" w:hAnsi="Arial" w:cs="Arial"/>
        </w:rPr>
        <w:t>It might be necessary for BIO&amp;ME to expand its product line and raise brand awareness in order to forge a devoted clientele and preserve its high-end, health-conscious appeal (</w:t>
      </w:r>
      <w:proofErr w:type="spellStart"/>
      <w:r w:rsidR="005B0106" w:rsidRPr="005B0106">
        <w:rPr>
          <w:rFonts w:ascii="Arial" w:hAnsi="Arial" w:cs="Arial"/>
        </w:rPr>
        <w:t>Prajogo</w:t>
      </w:r>
      <w:proofErr w:type="spellEnd"/>
      <w:r w:rsidR="005B0106" w:rsidRPr="005B0106">
        <w:rPr>
          <w:rFonts w:ascii="Arial" w:hAnsi="Arial" w:cs="Arial"/>
        </w:rPr>
        <w:t>, 2016).</w:t>
      </w:r>
    </w:p>
    <w:p w:rsidR="001B39CD" w:rsidRPr="00047360" w:rsidRDefault="001B39CD" w:rsidP="00047360">
      <w:pPr>
        <w:pStyle w:val="Heading2"/>
        <w:spacing w:line="360" w:lineRule="auto"/>
        <w:jc w:val="both"/>
        <w:rPr>
          <w:rFonts w:ascii="Arial" w:hAnsi="Arial" w:cs="Arial"/>
          <w:sz w:val="24"/>
          <w:szCs w:val="24"/>
        </w:rPr>
      </w:pPr>
      <w:bookmarkStart w:id="8" w:name="_Toc182435349"/>
      <w:bookmarkStart w:id="9" w:name="_Toc182476723"/>
      <w:r w:rsidRPr="00047360">
        <w:rPr>
          <w:rFonts w:ascii="Arial" w:hAnsi="Arial" w:cs="Arial"/>
          <w:sz w:val="24"/>
          <w:szCs w:val="24"/>
        </w:rPr>
        <w:t>Porter’s five forces</w:t>
      </w:r>
      <w:bookmarkEnd w:id="8"/>
      <w:bookmarkEnd w:id="9"/>
      <w:r w:rsidRPr="00047360">
        <w:rPr>
          <w:rFonts w:ascii="Arial" w:hAnsi="Arial" w:cs="Arial"/>
          <w:sz w:val="24"/>
          <w:szCs w:val="24"/>
        </w:rPr>
        <w:t xml:space="preserve"> </w:t>
      </w:r>
    </w:p>
    <w:p w:rsidR="001B39CD" w:rsidRPr="00F10B24" w:rsidRDefault="00C43FC4" w:rsidP="00F10B24">
      <w:pPr>
        <w:spacing w:line="360" w:lineRule="auto"/>
        <w:ind w:firstLine="720"/>
        <w:jc w:val="both"/>
        <w:rPr>
          <w:rFonts w:ascii="Arial" w:hAnsi="Arial" w:cs="Arial"/>
        </w:rPr>
      </w:pPr>
      <w:r w:rsidRPr="00C43FC4">
        <w:rPr>
          <w:rFonts w:ascii="Arial" w:hAnsi="Arial" w:cs="Arial"/>
        </w:rPr>
        <w:t>The application of Porter's Five Forces to BIO&amp;ME provides insights into its competitive position within the he</w:t>
      </w:r>
      <w:r>
        <w:rPr>
          <w:rFonts w:ascii="Arial" w:hAnsi="Arial" w:cs="Arial"/>
        </w:rPr>
        <w:t>alth and wellness food industry</w:t>
      </w:r>
      <w:r w:rsidR="001B39CD" w:rsidRPr="00F10B24">
        <w:rPr>
          <w:rFonts w:ascii="Arial" w:hAnsi="Arial" w:cs="Arial"/>
        </w:rPr>
        <w:t>:</w:t>
      </w:r>
    </w:p>
    <w:p w:rsidR="00C43FC4" w:rsidRDefault="005B0106" w:rsidP="00F10B24">
      <w:pPr>
        <w:spacing w:line="360" w:lineRule="auto"/>
        <w:jc w:val="both"/>
        <w:rPr>
          <w:rFonts w:ascii="Arial" w:hAnsi="Arial" w:cs="Arial"/>
          <w:bCs/>
        </w:rPr>
      </w:pPr>
      <w:r w:rsidRPr="005B0106">
        <w:rPr>
          <w:rFonts w:ascii="Arial" w:hAnsi="Arial" w:cs="Arial"/>
          <w:b/>
          <w:bCs/>
        </w:rPr>
        <w:t>1. Threat of New Entrants:</w:t>
      </w:r>
      <w:r w:rsidRPr="005B0106">
        <w:rPr>
          <w:rFonts w:ascii="Arial" w:hAnsi="Arial" w:cs="Arial"/>
          <w:bCs/>
        </w:rPr>
        <w:t xml:space="preserve"> As health foods, particularly functional foods, gain popularity, the market becomes more appealing, which raises the possibility of new competitors. While BIO&amp;ME stands out due to its emphasis on gut health and high-quality ingredients, its popularity may draw rivals making comparable health claims. </w:t>
      </w:r>
      <w:r w:rsidR="00C43FC4" w:rsidRPr="00C43FC4">
        <w:rPr>
          <w:rFonts w:ascii="Arial" w:hAnsi="Arial" w:cs="Arial"/>
          <w:bCs/>
        </w:rPr>
        <w:t>Obstacles such as the cost of creating high-quality, scientifically supported products and building brand trust may disc</w:t>
      </w:r>
      <w:r w:rsidR="00C43FC4">
        <w:rPr>
          <w:rFonts w:ascii="Arial" w:hAnsi="Arial" w:cs="Arial"/>
          <w:bCs/>
        </w:rPr>
        <w:t>ourage some potential entrants.</w:t>
      </w:r>
    </w:p>
    <w:p w:rsidR="001B39CD" w:rsidRPr="005B0106" w:rsidRDefault="001B39CD" w:rsidP="00F10B24">
      <w:pPr>
        <w:spacing w:line="360" w:lineRule="auto"/>
        <w:jc w:val="both"/>
        <w:rPr>
          <w:rFonts w:ascii="Arial" w:hAnsi="Arial" w:cs="Arial"/>
        </w:rPr>
      </w:pPr>
      <w:r w:rsidRPr="00F10B24">
        <w:rPr>
          <w:rFonts w:ascii="Arial" w:hAnsi="Arial" w:cs="Arial"/>
          <w:b/>
          <w:bCs/>
        </w:rPr>
        <w:lastRenderedPageBreak/>
        <w:t>2</w:t>
      </w:r>
      <w:r w:rsidRPr="005B0106">
        <w:rPr>
          <w:rFonts w:ascii="Arial" w:hAnsi="Arial" w:cs="Arial"/>
          <w:b/>
          <w:bCs/>
        </w:rPr>
        <w:t xml:space="preserve">. </w:t>
      </w:r>
      <w:r w:rsidR="005B0106" w:rsidRPr="005B0106">
        <w:rPr>
          <w:rFonts w:ascii="Arial" w:hAnsi="Arial" w:cs="Arial"/>
          <w:b/>
          <w:bCs/>
        </w:rPr>
        <w:t xml:space="preserve"> Supplier Bargaining Power:</w:t>
      </w:r>
      <w:r w:rsidR="005B0106" w:rsidRPr="005B0106">
        <w:rPr>
          <w:rFonts w:ascii="Arial" w:hAnsi="Arial" w:cs="Arial"/>
          <w:bCs/>
        </w:rPr>
        <w:t xml:space="preserve"> Because BIO&amp;ME uses high-quality, sustainable ingredients, suppliers may have more negotiating power, especially since eco-friendly resources can be more costly and scarcer. Changes in the supply chain or higher costs for premium ingredients may have an impact on BIO&amp;ME's profit margins, particularly if the company aims to uphold sustainable sourcing and packaging methods (</w:t>
      </w:r>
      <w:proofErr w:type="spellStart"/>
      <w:r w:rsidR="005B0106" w:rsidRPr="005B0106">
        <w:rPr>
          <w:rFonts w:ascii="Arial" w:hAnsi="Arial" w:cs="Arial"/>
          <w:bCs/>
        </w:rPr>
        <w:t>Baburaj</w:t>
      </w:r>
      <w:proofErr w:type="spellEnd"/>
      <w:r w:rsidR="005B0106" w:rsidRPr="005B0106">
        <w:rPr>
          <w:rFonts w:ascii="Arial" w:hAnsi="Arial" w:cs="Arial"/>
          <w:bCs/>
        </w:rPr>
        <w:t xml:space="preserve"> and Narayanan, 2016).</w:t>
      </w:r>
    </w:p>
    <w:p w:rsidR="000063DE" w:rsidRPr="000063DE" w:rsidRDefault="000063DE" w:rsidP="000063DE">
      <w:pPr>
        <w:spacing w:line="360" w:lineRule="auto"/>
        <w:jc w:val="both"/>
        <w:rPr>
          <w:rFonts w:ascii="Arial" w:hAnsi="Arial" w:cs="Arial"/>
          <w:bCs/>
        </w:rPr>
      </w:pPr>
      <w:r w:rsidRPr="000063DE">
        <w:rPr>
          <w:rFonts w:ascii="Arial" w:hAnsi="Arial" w:cs="Arial"/>
          <w:b/>
          <w:bCs/>
        </w:rPr>
        <w:t>3. Buyers' Bargaining Power:</w:t>
      </w:r>
      <w:r w:rsidRPr="000063DE">
        <w:rPr>
          <w:rFonts w:ascii="Arial" w:hAnsi="Arial" w:cs="Arial"/>
          <w:bCs/>
        </w:rPr>
        <w:t xml:space="preserve"> Granola and health food consumers have many options and are well-informed, which gives them more negotiating power. BIO&amp;ME needs to consistently convey its product's distinct health advantages and dedication to sustainability and quality in order to keep customers loyal.</w:t>
      </w:r>
    </w:p>
    <w:p w:rsidR="005B0106" w:rsidRPr="005B0106" w:rsidRDefault="000063DE" w:rsidP="000063DE">
      <w:pPr>
        <w:spacing w:line="360" w:lineRule="auto"/>
        <w:jc w:val="both"/>
        <w:rPr>
          <w:rFonts w:ascii="Arial" w:hAnsi="Arial" w:cs="Arial"/>
          <w:bCs/>
        </w:rPr>
      </w:pPr>
      <w:r w:rsidRPr="000063DE">
        <w:rPr>
          <w:rFonts w:ascii="Arial" w:hAnsi="Arial" w:cs="Arial"/>
          <w:b/>
          <w:bCs/>
        </w:rPr>
        <w:t>4. Risk of Alternatives:</w:t>
      </w:r>
      <w:r w:rsidRPr="000063DE">
        <w:rPr>
          <w:rFonts w:ascii="Arial" w:hAnsi="Arial" w:cs="Arial"/>
          <w:bCs/>
        </w:rPr>
        <w:t xml:space="preserve"> Other nutritious breakfast options like protein bars, smoothies, and yogurt can be used in place of BIO&amp;ME's products. If they discover more affordable or convenient gut-health options, consumers may decide to switch.</w:t>
      </w:r>
    </w:p>
    <w:p w:rsidR="001B39CD" w:rsidRPr="000063DE" w:rsidRDefault="001B39CD" w:rsidP="00F10B24">
      <w:pPr>
        <w:spacing w:line="360" w:lineRule="auto"/>
        <w:jc w:val="both"/>
        <w:rPr>
          <w:rFonts w:ascii="Arial" w:hAnsi="Arial" w:cs="Arial"/>
        </w:rPr>
      </w:pPr>
      <w:r w:rsidRPr="00F10B24">
        <w:rPr>
          <w:rFonts w:ascii="Arial" w:hAnsi="Arial" w:cs="Arial"/>
          <w:b/>
          <w:bCs/>
        </w:rPr>
        <w:t xml:space="preserve">5. </w:t>
      </w:r>
      <w:r w:rsidR="000063DE" w:rsidRPr="000063DE">
        <w:rPr>
          <w:rFonts w:ascii="Arial" w:hAnsi="Arial" w:cs="Arial"/>
          <w:b/>
          <w:bCs/>
        </w:rPr>
        <w:t xml:space="preserve">Industry Rivalry: </w:t>
      </w:r>
      <w:r w:rsidR="000063DE" w:rsidRPr="000063DE">
        <w:rPr>
          <w:rFonts w:ascii="Arial" w:hAnsi="Arial" w:cs="Arial"/>
          <w:bCs/>
        </w:rPr>
        <w:t>Competition within the health food sector is intense, with both established brands and new players. BIO&amp;ME’s unique focus on gut health helps differentiate it, but larger brands with broader distribution networks and marketing budgets pose significant competition. To maintain a competitive edge, BIO&amp;ME will need to focus on brand differentiation and loyal customer engagement (</w:t>
      </w:r>
      <w:proofErr w:type="spellStart"/>
      <w:r w:rsidR="000063DE" w:rsidRPr="000063DE">
        <w:rPr>
          <w:rFonts w:ascii="Arial" w:hAnsi="Arial" w:cs="Arial"/>
          <w:bCs/>
        </w:rPr>
        <w:t>Baburaj</w:t>
      </w:r>
      <w:proofErr w:type="spellEnd"/>
      <w:r w:rsidR="000063DE" w:rsidRPr="000063DE">
        <w:rPr>
          <w:rFonts w:ascii="Arial" w:hAnsi="Arial" w:cs="Arial"/>
          <w:bCs/>
        </w:rPr>
        <w:t xml:space="preserve"> and Narayanan, 2016).</w:t>
      </w:r>
    </w:p>
    <w:p w:rsidR="00F9339D" w:rsidRPr="00047360" w:rsidRDefault="00F9339D" w:rsidP="003C008D">
      <w:pPr>
        <w:pStyle w:val="Heading1"/>
        <w:spacing w:line="360" w:lineRule="auto"/>
        <w:jc w:val="center"/>
        <w:rPr>
          <w:rFonts w:ascii="Arial" w:hAnsi="Arial" w:cs="Arial"/>
          <w:sz w:val="24"/>
          <w:szCs w:val="24"/>
        </w:rPr>
      </w:pPr>
      <w:bookmarkStart w:id="10" w:name="_Toc182435350"/>
      <w:bookmarkStart w:id="11" w:name="_Toc182476724"/>
      <w:r w:rsidRPr="00047360">
        <w:rPr>
          <w:rFonts w:ascii="Arial" w:hAnsi="Arial" w:cs="Arial"/>
          <w:sz w:val="24"/>
          <w:szCs w:val="24"/>
        </w:rPr>
        <w:t xml:space="preserve">Critical analysis of the </w:t>
      </w:r>
      <w:proofErr w:type="spellStart"/>
      <w:r w:rsidRPr="00047360">
        <w:rPr>
          <w:rFonts w:ascii="Arial" w:hAnsi="Arial" w:cs="Arial"/>
          <w:sz w:val="24"/>
          <w:szCs w:val="24"/>
        </w:rPr>
        <w:t>organisation’s</w:t>
      </w:r>
      <w:proofErr w:type="spellEnd"/>
      <w:r w:rsidRPr="00047360">
        <w:rPr>
          <w:rFonts w:ascii="Arial" w:hAnsi="Arial" w:cs="Arial"/>
          <w:sz w:val="24"/>
          <w:szCs w:val="24"/>
        </w:rPr>
        <w:t xml:space="preserve"> external and internal environment</w:t>
      </w:r>
      <w:bookmarkEnd w:id="10"/>
      <w:bookmarkEnd w:id="11"/>
    </w:p>
    <w:p w:rsidR="00047360" w:rsidRPr="00047360" w:rsidRDefault="00047360" w:rsidP="00047360">
      <w:pPr>
        <w:pStyle w:val="Heading2"/>
        <w:spacing w:line="360" w:lineRule="auto"/>
        <w:jc w:val="both"/>
        <w:rPr>
          <w:rFonts w:ascii="Arial" w:hAnsi="Arial" w:cs="Arial"/>
          <w:sz w:val="24"/>
          <w:szCs w:val="24"/>
        </w:rPr>
      </w:pPr>
      <w:bookmarkStart w:id="12" w:name="_Toc182435351"/>
      <w:bookmarkStart w:id="13" w:name="_Toc182476725"/>
      <w:r w:rsidRPr="00047360">
        <w:rPr>
          <w:rFonts w:ascii="Arial" w:hAnsi="Arial" w:cs="Arial"/>
          <w:sz w:val="24"/>
          <w:szCs w:val="24"/>
        </w:rPr>
        <w:t>PESTEL</w:t>
      </w:r>
      <w:bookmarkEnd w:id="12"/>
      <w:bookmarkEnd w:id="13"/>
    </w:p>
    <w:p w:rsidR="00F10B24" w:rsidRDefault="000063DE" w:rsidP="000B1A9A">
      <w:pPr>
        <w:spacing w:line="360" w:lineRule="auto"/>
        <w:ind w:firstLine="720"/>
        <w:jc w:val="both"/>
        <w:rPr>
          <w:rFonts w:ascii="Arial" w:hAnsi="Arial" w:cs="Arial"/>
        </w:rPr>
      </w:pPr>
      <w:r w:rsidRPr="000063DE">
        <w:rPr>
          <w:rFonts w:ascii="Arial" w:hAnsi="Arial" w:cs="Arial"/>
        </w:rPr>
        <w:t>A strategic tool for analyzing the external environment, the PESTEL framework looks at political, economic, social, technological, environmental, and legal aspects. It assists companies in recognizing uncontrollable opportunities and thr</w:t>
      </w:r>
      <w:r w:rsidR="00C43FC4">
        <w:rPr>
          <w:rFonts w:ascii="Arial" w:hAnsi="Arial" w:cs="Arial"/>
        </w:rPr>
        <w:t>eats, forming long-term plans,</w:t>
      </w:r>
      <w:r w:rsidRPr="000063DE">
        <w:rPr>
          <w:rFonts w:ascii="Arial" w:hAnsi="Arial" w:cs="Arial"/>
        </w:rPr>
        <w:t xml:space="preserve"> and facilitating flexibility in a changing marketplace. Businesses can predict market trends, comprehend regulatory changes, and adapt to socioeconomic shifts by methodi</w:t>
      </w:r>
      <w:r w:rsidR="00C43FC4">
        <w:rPr>
          <w:rFonts w:ascii="Arial" w:hAnsi="Arial" w:cs="Arial"/>
        </w:rPr>
        <w:t xml:space="preserve">cally examining each component. </w:t>
      </w:r>
      <w:r w:rsidR="00C43FC4" w:rsidRPr="00C43FC4">
        <w:rPr>
          <w:rFonts w:ascii="Arial" w:hAnsi="Arial" w:cs="Arial"/>
        </w:rPr>
        <w:t>In the health and wellness food sector, shifting consumer preferences, technological advancements, and regulatory requirements constantly impact product offerings and marketing strategies, making this particularly important (</w:t>
      </w:r>
      <w:proofErr w:type="spellStart"/>
      <w:r w:rsidR="00C43FC4" w:rsidRPr="00C43FC4">
        <w:rPr>
          <w:rFonts w:ascii="Arial" w:hAnsi="Arial" w:cs="Arial"/>
        </w:rPr>
        <w:t>Buye</w:t>
      </w:r>
      <w:proofErr w:type="spellEnd"/>
      <w:r w:rsidR="00C43FC4" w:rsidRPr="00C43FC4">
        <w:rPr>
          <w:rFonts w:ascii="Arial" w:hAnsi="Arial" w:cs="Arial"/>
        </w:rPr>
        <w:t>, 2021).</w:t>
      </w:r>
    </w:p>
    <w:p w:rsidR="000B1A9A" w:rsidRPr="00703EA9" w:rsidRDefault="000B1A9A" w:rsidP="000B1A9A">
      <w:pPr>
        <w:spacing w:line="360" w:lineRule="auto"/>
        <w:ind w:firstLine="720"/>
        <w:jc w:val="both"/>
        <w:rPr>
          <w:rFonts w:ascii="Arial" w:hAnsi="Arial" w:cs="Arial"/>
        </w:rPr>
      </w:pPr>
    </w:p>
    <w:p w:rsidR="001B39CD" w:rsidRPr="00703EA9" w:rsidRDefault="001B39CD" w:rsidP="00703EA9">
      <w:pPr>
        <w:pStyle w:val="Heading2"/>
        <w:spacing w:line="360" w:lineRule="auto"/>
        <w:jc w:val="both"/>
        <w:rPr>
          <w:rFonts w:ascii="Arial" w:hAnsi="Arial" w:cs="Arial"/>
          <w:sz w:val="22"/>
          <w:szCs w:val="22"/>
        </w:rPr>
      </w:pPr>
      <w:bookmarkStart w:id="14" w:name="_Toc182435352"/>
      <w:bookmarkStart w:id="15" w:name="_Toc182476726"/>
      <w:r w:rsidRPr="00703EA9">
        <w:rPr>
          <w:rFonts w:ascii="Arial" w:hAnsi="Arial" w:cs="Arial"/>
          <w:sz w:val="22"/>
          <w:szCs w:val="22"/>
        </w:rPr>
        <w:lastRenderedPageBreak/>
        <w:t>PE</w:t>
      </w:r>
      <w:r w:rsidR="00047360" w:rsidRPr="00703EA9">
        <w:rPr>
          <w:rFonts w:ascii="Arial" w:hAnsi="Arial" w:cs="Arial"/>
          <w:sz w:val="22"/>
          <w:szCs w:val="22"/>
        </w:rPr>
        <w:t>STEL Analysis for BIO&amp;ME</w:t>
      </w:r>
      <w:bookmarkEnd w:id="14"/>
      <w:bookmarkEnd w:id="15"/>
      <w:r w:rsidR="00047360" w:rsidRPr="00703EA9">
        <w:rPr>
          <w:rFonts w:ascii="Arial" w:hAnsi="Arial" w:cs="Arial"/>
          <w:sz w:val="22"/>
          <w:szCs w:val="22"/>
        </w:rPr>
        <w:t xml:space="preserve"> </w:t>
      </w:r>
    </w:p>
    <w:p w:rsidR="000063DE" w:rsidRPr="000063DE" w:rsidRDefault="000063DE" w:rsidP="00C43FC4">
      <w:pPr>
        <w:numPr>
          <w:ilvl w:val="0"/>
          <w:numId w:val="2"/>
        </w:numPr>
        <w:spacing w:line="360" w:lineRule="auto"/>
        <w:jc w:val="both"/>
        <w:rPr>
          <w:rFonts w:ascii="Arial" w:hAnsi="Arial" w:cs="Arial"/>
        </w:rPr>
      </w:pPr>
      <w:r w:rsidRPr="000063DE">
        <w:rPr>
          <w:rFonts w:ascii="Arial" w:hAnsi="Arial" w:cs="Arial"/>
          <w:b/>
        </w:rPr>
        <w:t>Political:</w:t>
      </w:r>
      <w:r w:rsidRPr="000063DE">
        <w:rPr>
          <w:rFonts w:ascii="Arial" w:hAnsi="Arial" w:cs="Arial"/>
        </w:rPr>
        <w:t xml:space="preserve"> Government programs that promote health and wellness and political stability have a favorable effect on BIO&amp;ME. In order to combat the rising costs of chronic disease-related healthcare, governments in North America and Europe are encouraging healthier lifestyles more and more. Businesses that sell health foods, like BIO&amp;ME, may benefit from such policies. </w:t>
      </w:r>
      <w:r w:rsidR="00C43FC4" w:rsidRPr="00C43FC4">
        <w:rPr>
          <w:rFonts w:ascii="Arial" w:hAnsi="Arial" w:cs="Arial"/>
        </w:rPr>
        <w:t xml:space="preserve">Trade tariffs or modifications to food labeling laws may impact sourcing and distribution, potentially </w:t>
      </w:r>
      <w:proofErr w:type="gramStart"/>
      <w:r w:rsidR="00C43FC4" w:rsidRPr="00C43FC4">
        <w:rPr>
          <w:rFonts w:ascii="Arial" w:hAnsi="Arial" w:cs="Arial"/>
        </w:rPr>
        <w:t>raising</w:t>
      </w:r>
      <w:proofErr w:type="gramEnd"/>
      <w:r w:rsidR="00C43FC4" w:rsidRPr="00C43FC4">
        <w:rPr>
          <w:rFonts w:ascii="Arial" w:hAnsi="Arial" w:cs="Arial"/>
        </w:rPr>
        <w:t xml:space="preserve"> operating expenses (</w:t>
      </w:r>
      <w:proofErr w:type="spellStart"/>
      <w:r w:rsidR="00C43FC4" w:rsidRPr="00C43FC4">
        <w:rPr>
          <w:rFonts w:ascii="Arial" w:hAnsi="Arial" w:cs="Arial"/>
        </w:rPr>
        <w:t>Rothaermel</w:t>
      </w:r>
      <w:proofErr w:type="spellEnd"/>
      <w:r w:rsidR="00C43FC4" w:rsidRPr="00C43FC4">
        <w:rPr>
          <w:rFonts w:ascii="Arial" w:hAnsi="Arial" w:cs="Arial"/>
        </w:rPr>
        <w:t>, 2021).</w:t>
      </w:r>
    </w:p>
    <w:p w:rsidR="000063DE" w:rsidRPr="000063DE" w:rsidRDefault="00C43FC4" w:rsidP="00C43FC4">
      <w:pPr>
        <w:numPr>
          <w:ilvl w:val="0"/>
          <w:numId w:val="2"/>
        </w:numPr>
        <w:spacing w:line="360" w:lineRule="auto"/>
        <w:jc w:val="both"/>
        <w:rPr>
          <w:rFonts w:ascii="Arial" w:hAnsi="Arial" w:cs="Arial"/>
        </w:rPr>
      </w:pPr>
      <w:r>
        <w:rPr>
          <w:rFonts w:ascii="Arial" w:hAnsi="Arial" w:cs="Arial"/>
          <w:b/>
        </w:rPr>
        <w:t>Economic</w:t>
      </w:r>
      <w:r>
        <w:rPr>
          <w:rFonts w:ascii="Arial" w:hAnsi="Arial" w:cs="Arial"/>
        </w:rPr>
        <w:t xml:space="preserve"> </w:t>
      </w:r>
      <w:r w:rsidRPr="00C43FC4">
        <w:rPr>
          <w:rFonts w:ascii="Arial" w:hAnsi="Arial" w:cs="Arial"/>
        </w:rPr>
        <w:t>conditions, particularly inflation and consumer purchasing power, directly influence BIO&amp;ME's pricing strategy and consumer demand. Due to their higher cost, health foods often face risk during recessions when consumers become more cost-conscious. Conversely, a stable economy with increasing disposable incomes encourages the purchase of wellness and health products, creating opportunities for BIO&amp;ME.</w:t>
      </w:r>
    </w:p>
    <w:p w:rsidR="000063DE" w:rsidRPr="000063DE" w:rsidRDefault="000063DE" w:rsidP="00C43FC4">
      <w:pPr>
        <w:numPr>
          <w:ilvl w:val="0"/>
          <w:numId w:val="2"/>
        </w:numPr>
        <w:spacing w:line="360" w:lineRule="auto"/>
        <w:jc w:val="both"/>
        <w:rPr>
          <w:rFonts w:ascii="Arial" w:hAnsi="Arial" w:cs="Arial"/>
        </w:rPr>
      </w:pPr>
      <w:r w:rsidRPr="000063DE">
        <w:rPr>
          <w:rFonts w:ascii="Arial" w:hAnsi="Arial" w:cs="Arial"/>
          <w:b/>
        </w:rPr>
        <w:t>Social:</w:t>
      </w:r>
      <w:r w:rsidR="00C43FC4" w:rsidRPr="00C43FC4">
        <w:t xml:space="preserve"> </w:t>
      </w:r>
      <w:r w:rsidR="00C43FC4" w:rsidRPr="00C43FC4">
        <w:rPr>
          <w:rFonts w:ascii="Arial" w:hAnsi="Arial" w:cs="Arial"/>
        </w:rPr>
        <w:t>The market position of BIO&amp;ME is supported by growing trends in wellness and awareness of gut health</w:t>
      </w:r>
      <w:r w:rsidRPr="00C43FC4">
        <w:rPr>
          <w:rFonts w:ascii="Arial" w:hAnsi="Arial" w:cs="Arial"/>
        </w:rPr>
        <w:t>.</w:t>
      </w:r>
      <w:r w:rsidRPr="000063DE">
        <w:rPr>
          <w:rFonts w:ascii="Arial" w:hAnsi="Arial" w:cs="Arial"/>
        </w:rPr>
        <w:t xml:space="preserve"> Functionally beneficial products, like those that promote digestive health, are becoming more and more popular. Younger, health-conscious populations that value sustainable practices and health benefits in particular present a significant market for BIO&amp;ME as a result of this cultural shift (Kotler &amp; Armstrong, 2022).</w:t>
      </w:r>
    </w:p>
    <w:p w:rsidR="000063DE" w:rsidRDefault="000063DE" w:rsidP="000063DE">
      <w:pPr>
        <w:numPr>
          <w:ilvl w:val="0"/>
          <w:numId w:val="2"/>
        </w:numPr>
        <w:spacing w:line="360" w:lineRule="auto"/>
        <w:jc w:val="both"/>
        <w:rPr>
          <w:rFonts w:ascii="Arial" w:hAnsi="Arial" w:cs="Arial"/>
        </w:rPr>
      </w:pPr>
      <w:r w:rsidRPr="000063DE">
        <w:rPr>
          <w:rFonts w:ascii="Arial" w:hAnsi="Arial" w:cs="Arial"/>
        </w:rPr>
        <w:t xml:space="preserve"> </w:t>
      </w:r>
      <w:r w:rsidRPr="000063DE">
        <w:rPr>
          <w:rFonts w:ascii="Arial" w:hAnsi="Arial" w:cs="Arial"/>
          <w:b/>
        </w:rPr>
        <w:t>Technological:</w:t>
      </w:r>
      <w:r>
        <w:rPr>
          <w:rFonts w:ascii="Arial" w:hAnsi="Arial" w:cs="Arial"/>
        </w:rPr>
        <w:t xml:space="preserve"> </w:t>
      </w:r>
      <w:r w:rsidRPr="000063DE">
        <w:rPr>
          <w:rFonts w:ascii="Arial" w:hAnsi="Arial" w:cs="Arial"/>
        </w:rPr>
        <w:t>Improvements in sustainable packaging and food production technologies are critical to BIO&amp;ME. Technological advancements like probiotics and environmentally friendly packaging make products more appealing. BIO&amp;ME can enhance its competitiveness and operational efficiency by keeping abreast of these trends (Grant, 2021).</w:t>
      </w:r>
    </w:p>
    <w:p w:rsidR="00532074" w:rsidRPr="00532074" w:rsidRDefault="00532074" w:rsidP="00C43FC4">
      <w:pPr>
        <w:numPr>
          <w:ilvl w:val="0"/>
          <w:numId w:val="2"/>
        </w:numPr>
        <w:spacing w:line="360" w:lineRule="auto"/>
        <w:jc w:val="both"/>
        <w:rPr>
          <w:rFonts w:ascii="Arial" w:hAnsi="Arial" w:cs="Arial"/>
        </w:rPr>
      </w:pPr>
      <w:r w:rsidRPr="00532074">
        <w:rPr>
          <w:rFonts w:ascii="Arial" w:hAnsi="Arial" w:cs="Arial"/>
          <w:b/>
        </w:rPr>
        <w:t>Environmental:</w:t>
      </w:r>
      <w:r w:rsidRPr="00532074">
        <w:rPr>
          <w:rFonts w:ascii="Arial" w:hAnsi="Arial" w:cs="Arial"/>
        </w:rPr>
        <w:t xml:space="preserve"> In the environmentally conscious food sector, sustainable sourcing and packaging are essential.</w:t>
      </w:r>
      <w:r w:rsidR="00C43FC4" w:rsidRPr="00C43FC4">
        <w:t xml:space="preserve"> </w:t>
      </w:r>
      <w:r w:rsidR="00C43FC4" w:rsidRPr="00C43FC4">
        <w:rPr>
          <w:rFonts w:ascii="Arial" w:hAnsi="Arial" w:cs="Arial"/>
        </w:rPr>
        <w:t>As consumers demand eco-friendly practices, BIO&amp;ME's dedication to sustai</w:t>
      </w:r>
      <w:r w:rsidR="00C43FC4">
        <w:rPr>
          <w:rFonts w:ascii="Arial" w:hAnsi="Arial" w:cs="Arial"/>
        </w:rPr>
        <w:t>nability strengthens the brand.</w:t>
      </w:r>
      <w:r w:rsidRPr="00532074">
        <w:rPr>
          <w:rFonts w:ascii="Arial" w:hAnsi="Arial" w:cs="Arial"/>
        </w:rPr>
        <w:t xml:space="preserve"> However, following eco-friendly procedures might make things more expensive, which would affect pricing and profitability (</w:t>
      </w:r>
      <w:proofErr w:type="spellStart"/>
      <w:r w:rsidRPr="00532074">
        <w:rPr>
          <w:rFonts w:ascii="Arial" w:hAnsi="Arial" w:cs="Arial"/>
        </w:rPr>
        <w:t>Rothaermel</w:t>
      </w:r>
      <w:proofErr w:type="spellEnd"/>
      <w:r w:rsidRPr="00532074">
        <w:rPr>
          <w:rFonts w:ascii="Arial" w:hAnsi="Arial" w:cs="Arial"/>
        </w:rPr>
        <w:t>, 2021).</w:t>
      </w:r>
    </w:p>
    <w:p w:rsidR="00C43FC4" w:rsidRDefault="00532074" w:rsidP="00C43FC4">
      <w:pPr>
        <w:numPr>
          <w:ilvl w:val="0"/>
          <w:numId w:val="2"/>
        </w:numPr>
        <w:spacing w:line="360" w:lineRule="auto"/>
        <w:jc w:val="both"/>
        <w:rPr>
          <w:rFonts w:ascii="Arial" w:hAnsi="Arial" w:cs="Arial"/>
        </w:rPr>
      </w:pPr>
      <w:r w:rsidRPr="00532074">
        <w:rPr>
          <w:rFonts w:ascii="Arial" w:hAnsi="Arial" w:cs="Arial"/>
          <w:b/>
        </w:rPr>
        <w:t>Legal:</w:t>
      </w:r>
      <w:r w:rsidRPr="00532074">
        <w:rPr>
          <w:rFonts w:ascii="Arial" w:hAnsi="Arial" w:cs="Arial"/>
        </w:rPr>
        <w:t xml:space="preserve"> Regulations pertaining to food safety and labeling are important legal considerations. The legitimacy of BIO&amp;ME's brand depends on adherence to nutritional </w:t>
      </w:r>
      <w:r w:rsidRPr="00532074">
        <w:rPr>
          <w:rFonts w:ascii="Arial" w:hAnsi="Arial" w:cs="Arial"/>
        </w:rPr>
        <w:lastRenderedPageBreak/>
        <w:t xml:space="preserve">guidelines, health claims, and clear labeling. </w:t>
      </w:r>
      <w:r w:rsidR="00C43FC4" w:rsidRPr="00C43FC4">
        <w:rPr>
          <w:rFonts w:ascii="Arial" w:hAnsi="Arial" w:cs="Arial"/>
        </w:rPr>
        <w:t>Changes to laws governing health claims or ingredient disclosures may impact the company's marketing plan and production procedures (Johnson et al., 2020).</w:t>
      </w:r>
    </w:p>
    <w:p w:rsidR="001B39CD" w:rsidRPr="00703EA9" w:rsidRDefault="001B39CD" w:rsidP="00703EA9">
      <w:pPr>
        <w:pStyle w:val="Heading2"/>
        <w:spacing w:line="360" w:lineRule="auto"/>
        <w:jc w:val="both"/>
        <w:rPr>
          <w:rFonts w:ascii="Arial" w:hAnsi="Arial" w:cs="Arial"/>
          <w:sz w:val="22"/>
          <w:szCs w:val="22"/>
        </w:rPr>
      </w:pPr>
      <w:bookmarkStart w:id="16" w:name="_Toc182435353"/>
      <w:bookmarkStart w:id="17" w:name="_Toc182476727"/>
      <w:r w:rsidRPr="00703EA9">
        <w:rPr>
          <w:rFonts w:ascii="Arial" w:hAnsi="Arial" w:cs="Arial"/>
          <w:sz w:val="22"/>
          <w:szCs w:val="22"/>
        </w:rPr>
        <w:t>SWOT</w:t>
      </w:r>
      <w:bookmarkEnd w:id="16"/>
      <w:bookmarkEnd w:id="17"/>
    </w:p>
    <w:p w:rsidR="0049310B" w:rsidRDefault="0049310B" w:rsidP="00532074">
      <w:pPr>
        <w:spacing w:line="360" w:lineRule="auto"/>
        <w:ind w:firstLine="720"/>
        <w:jc w:val="both"/>
        <w:rPr>
          <w:rFonts w:ascii="Arial" w:hAnsi="Arial" w:cs="Arial"/>
        </w:rPr>
      </w:pPr>
      <w:r w:rsidRPr="0049310B">
        <w:rPr>
          <w:rFonts w:ascii="Arial" w:hAnsi="Arial" w:cs="Arial"/>
        </w:rPr>
        <w:t>The SWOT framework serves as a strategic tool for assessing a business's internal environment by analyzing its strengths, weaknesses, opportunities, and threats.</w:t>
      </w:r>
    </w:p>
    <w:p w:rsidR="00532074" w:rsidRPr="00532074" w:rsidRDefault="00532074" w:rsidP="00532074">
      <w:pPr>
        <w:spacing w:line="360" w:lineRule="auto"/>
        <w:ind w:firstLine="720"/>
        <w:jc w:val="both"/>
        <w:rPr>
          <w:rFonts w:ascii="Arial" w:hAnsi="Arial" w:cs="Arial"/>
        </w:rPr>
      </w:pPr>
      <w:r w:rsidRPr="00532074">
        <w:rPr>
          <w:rFonts w:ascii="Arial" w:hAnsi="Arial" w:cs="Arial"/>
        </w:rPr>
        <w:t xml:space="preserve">It enables firms to utilize their strengths to seize opportunities, rectify deficiencies, and alleviate external dangers. SWOT analysis provides firms with insights into internal strengths and weaknesses, while matching them with external elements found in the PESTEL research. </w:t>
      </w:r>
    </w:p>
    <w:p w:rsidR="00047360" w:rsidRPr="00047360" w:rsidRDefault="00532074" w:rsidP="000B1A9A">
      <w:pPr>
        <w:spacing w:line="360" w:lineRule="auto"/>
        <w:ind w:firstLine="720"/>
        <w:jc w:val="both"/>
        <w:rPr>
          <w:rFonts w:ascii="Arial" w:hAnsi="Arial" w:cs="Arial"/>
        </w:rPr>
      </w:pPr>
      <w:r w:rsidRPr="00532074">
        <w:rPr>
          <w:rFonts w:ascii="Arial" w:hAnsi="Arial" w:cs="Arial"/>
        </w:rPr>
        <w:t>In the case of BIO&amp;ME, SWOT analysis enables the company to strategically position itself within the competitive health food market by aligning its internal strengths with market demands and adapting to evolving external pressures (</w:t>
      </w:r>
      <w:proofErr w:type="spellStart"/>
      <w:r w:rsidRPr="00532074">
        <w:rPr>
          <w:rFonts w:ascii="Arial" w:hAnsi="Arial" w:cs="Arial"/>
        </w:rPr>
        <w:t>Puyt</w:t>
      </w:r>
      <w:proofErr w:type="spellEnd"/>
      <w:r w:rsidRPr="00532074">
        <w:rPr>
          <w:rFonts w:ascii="Arial" w:hAnsi="Arial" w:cs="Arial"/>
        </w:rPr>
        <w:t xml:space="preserve"> et al., 2023).</w:t>
      </w:r>
      <w:r w:rsidR="00584CBE" w:rsidRPr="00703EA9">
        <w:rPr>
          <w:rFonts w:ascii="Arial" w:hAnsi="Arial" w:cs="Arial"/>
        </w:rPr>
        <w:t xml:space="preserve"> </w:t>
      </w:r>
    </w:p>
    <w:p w:rsidR="001B39CD" w:rsidRPr="00047360" w:rsidRDefault="00047360" w:rsidP="00047360">
      <w:pPr>
        <w:pStyle w:val="Heading2"/>
        <w:spacing w:line="360" w:lineRule="auto"/>
        <w:jc w:val="both"/>
        <w:rPr>
          <w:rFonts w:ascii="Arial" w:hAnsi="Arial" w:cs="Arial"/>
          <w:sz w:val="24"/>
          <w:szCs w:val="24"/>
        </w:rPr>
      </w:pPr>
      <w:bookmarkStart w:id="18" w:name="_Toc182435354"/>
      <w:bookmarkStart w:id="19" w:name="_Toc182476728"/>
      <w:r>
        <w:rPr>
          <w:rFonts w:ascii="Arial" w:hAnsi="Arial" w:cs="Arial"/>
          <w:sz w:val="24"/>
          <w:szCs w:val="24"/>
        </w:rPr>
        <w:t xml:space="preserve">SWOT Analysis for BIO&amp;ME </w:t>
      </w:r>
      <w:proofErr w:type="gramStart"/>
      <w:r>
        <w:rPr>
          <w:rFonts w:ascii="Arial" w:hAnsi="Arial" w:cs="Arial"/>
          <w:sz w:val="24"/>
          <w:szCs w:val="24"/>
        </w:rPr>
        <w:t>company</w:t>
      </w:r>
      <w:bookmarkEnd w:id="18"/>
      <w:bookmarkEnd w:id="19"/>
      <w:proofErr w:type="gramEnd"/>
    </w:p>
    <w:p w:rsidR="00CE4F2C" w:rsidRPr="0049310B" w:rsidRDefault="00CE4F2C" w:rsidP="0049310B">
      <w:pPr>
        <w:numPr>
          <w:ilvl w:val="0"/>
          <w:numId w:val="4"/>
        </w:numPr>
        <w:spacing w:line="360" w:lineRule="auto"/>
        <w:jc w:val="both"/>
        <w:rPr>
          <w:rFonts w:ascii="Arial" w:hAnsi="Arial" w:cs="Arial"/>
        </w:rPr>
      </w:pPr>
      <w:r w:rsidRPr="00CE4F2C">
        <w:rPr>
          <w:rFonts w:ascii="Arial" w:hAnsi="Arial" w:cs="Arial"/>
          <w:b/>
        </w:rPr>
        <w:t>Strengths:</w:t>
      </w:r>
      <w:r w:rsidRPr="00CE4F2C">
        <w:rPr>
          <w:rFonts w:ascii="Arial" w:hAnsi="Arial" w:cs="Arial"/>
        </w:rPr>
        <w:t xml:space="preserve"> </w:t>
      </w:r>
      <w:r w:rsidR="0049310B" w:rsidRPr="0049310B">
        <w:rPr>
          <w:rFonts w:ascii="Arial" w:hAnsi="Arial" w:cs="Arial"/>
        </w:rPr>
        <w:t>BIO&amp;ME's commitment to gut health and achieving product excellence is a key strength. Its scientifically supported formulas and emphasis on fiber-dense components appeal to health-conscious consumers. Moreover, its sustainable sourcing and environmentally friendly packaging correspond with growing environmental consciousness, augmenting its brand reputation and consumer confidence (Kotler &amp; Armstrong, 2022).</w:t>
      </w:r>
      <w:r w:rsidR="0049310B">
        <w:rPr>
          <w:rFonts w:ascii="Arial" w:hAnsi="Arial" w:cs="Arial"/>
        </w:rPr>
        <w:t xml:space="preserve"> </w:t>
      </w:r>
      <w:r w:rsidRPr="0049310B">
        <w:rPr>
          <w:rFonts w:ascii="Arial" w:hAnsi="Arial" w:cs="Arial"/>
        </w:rPr>
        <w:t>These characteristics enable BIO&amp;ME to leverage the increasing demand for functional foods and differentiate itself from competitors, thereby alleviating the effects of fierce industry competition and changes in customer preferences shown in the PESTEL research.</w:t>
      </w:r>
    </w:p>
    <w:p w:rsidR="001B39CD" w:rsidRPr="00047360" w:rsidRDefault="00CE4F2C" w:rsidP="0049310B">
      <w:pPr>
        <w:numPr>
          <w:ilvl w:val="0"/>
          <w:numId w:val="4"/>
        </w:numPr>
        <w:spacing w:line="360" w:lineRule="auto"/>
        <w:jc w:val="both"/>
        <w:rPr>
          <w:rFonts w:ascii="Arial" w:hAnsi="Arial" w:cs="Arial"/>
        </w:rPr>
      </w:pPr>
      <w:r w:rsidRPr="00CE4F2C">
        <w:rPr>
          <w:rFonts w:ascii="Arial" w:hAnsi="Arial" w:cs="Arial"/>
          <w:b/>
        </w:rPr>
        <w:t xml:space="preserve">Weaknesses: </w:t>
      </w:r>
      <w:r w:rsidR="0049310B" w:rsidRPr="0049310B">
        <w:rPr>
          <w:rFonts w:ascii="Arial" w:hAnsi="Arial" w:cs="Arial"/>
        </w:rPr>
        <w:t xml:space="preserve">One significant issue is BIO&amp;ME's reliance on premium, environmentally sustainable ingredients, which leads to elevated production costs. </w:t>
      </w:r>
      <w:r w:rsidRPr="00CE4F2C">
        <w:rPr>
          <w:rFonts w:ascii="Arial" w:hAnsi="Arial" w:cs="Arial"/>
        </w:rPr>
        <w:t xml:space="preserve">This pricing dilemma may restrict the brand's accessibility, particularly during economic recessions when </w:t>
      </w:r>
      <w:proofErr w:type="gramStart"/>
      <w:r w:rsidRPr="00CE4F2C">
        <w:rPr>
          <w:rFonts w:ascii="Arial" w:hAnsi="Arial" w:cs="Arial"/>
        </w:rPr>
        <w:t>buyers</w:t>
      </w:r>
      <w:proofErr w:type="gramEnd"/>
      <w:r w:rsidRPr="00CE4F2C">
        <w:rPr>
          <w:rFonts w:ascii="Arial" w:hAnsi="Arial" w:cs="Arial"/>
        </w:rPr>
        <w:t xml:space="preserve"> exhibit heightened price sensitivity. By investigating cost-effective production techniques or offering more affordable alternatives, BIO&amp;ME can enhance its resilience to economic volatility and expand its market reach (Grant, 2012).</w:t>
      </w:r>
    </w:p>
    <w:p w:rsidR="001B39CD" w:rsidRPr="00047360" w:rsidRDefault="001B39CD" w:rsidP="00CE4F2C">
      <w:pPr>
        <w:numPr>
          <w:ilvl w:val="0"/>
          <w:numId w:val="4"/>
        </w:numPr>
        <w:spacing w:line="360" w:lineRule="auto"/>
        <w:jc w:val="both"/>
        <w:rPr>
          <w:rFonts w:ascii="Arial" w:hAnsi="Arial" w:cs="Arial"/>
        </w:rPr>
      </w:pPr>
      <w:r w:rsidRPr="00047360">
        <w:rPr>
          <w:rFonts w:ascii="Arial" w:hAnsi="Arial" w:cs="Arial"/>
          <w:b/>
          <w:bCs/>
        </w:rPr>
        <w:t>Opportunities</w:t>
      </w:r>
      <w:r w:rsidRPr="00047360">
        <w:rPr>
          <w:rFonts w:ascii="Arial" w:hAnsi="Arial" w:cs="Arial"/>
        </w:rPr>
        <w:t xml:space="preserve">: </w:t>
      </w:r>
      <w:r w:rsidR="00CE4F2C" w:rsidRPr="00CE4F2C">
        <w:rPr>
          <w:rFonts w:ascii="Arial" w:hAnsi="Arial" w:cs="Arial"/>
        </w:rPr>
        <w:t>The increasing consumer focus on wellness and digestive health offers significant development prospects for BIO&amp;ME. Broadening its product range to encompass supplementary functional food items, such as snack bars or probiotic-</w:t>
      </w:r>
      <w:r w:rsidR="00CE4F2C" w:rsidRPr="00CE4F2C">
        <w:rPr>
          <w:rFonts w:ascii="Arial" w:hAnsi="Arial" w:cs="Arial"/>
        </w:rPr>
        <w:lastRenderedPageBreak/>
        <w:t>enriched granola, may appeal to a broader clientele. Moreover, entering new areas or establishing alliances with health-oriented shops may enhance brand visibility. Utilizing these opportunities allows BIO&amp;ME to proactively adjust to social and technological transformations, facilitating its growth and expansion within the dynamic health sector.</w:t>
      </w:r>
    </w:p>
    <w:p w:rsidR="00C64D93" w:rsidRPr="000B1A9A" w:rsidRDefault="001B39CD" w:rsidP="0049310B">
      <w:pPr>
        <w:numPr>
          <w:ilvl w:val="0"/>
          <w:numId w:val="4"/>
        </w:numPr>
        <w:spacing w:line="360" w:lineRule="auto"/>
        <w:jc w:val="both"/>
        <w:rPr>
          <w:rFonts w:ascii="Arial" w:hAnsi="Arial" w:cs="Arial"/>
        </w:rPr>
      </w:pPr>
      <w:r w:rsidRPr="00047360">
        <w:rPr>
          <w:rFonts w:ascii="Arial" w:hAnsi="Arial" w:cs="Arial"/>
          <w:b/>
          <w:bCs/>
        </w:rPr>
        <w:t>Threats</w:t>
      </w:r>
      <w:r w:rsidRPr="00047360">
        <w:rPr>
          <w:rFonts w:ascii="Arial" w:hAnsi="Arial" w:cs="Arial"/>
        </w:rPr>
        <w:t xml:space="preserve">: </w:t>
      </w:r>
      <w:r w:rsidR="0049310B" w:rsidRPr="0049310B">
        <w:rPr>
          <w:rFonts w:ascii="Arial" w:hAnsi="Arial" w:cs="Arial"/>
        </w:rPr>
        <w:t>Intense competition and the potential for replication by larger busin</w:t>
      </w:r>
      <w:r w:rsidR="0049310B">
        <w:rPr>
          <w:rFonts w:ascii="Arial" w:hAnsi="Arial" w:cs="Arial"/>
        </w:rPr>
        <w:t xml:space="preserve">esses present significant risks. </w:t>
      </w:r>
      <w:r w:rsidR="00CE4F2C" w:rsidRPr="00CE4F2C">
        <w:rPr>
          <w:rFonts w:ascii="Arial" w:hAnsi="Arial" w:cs="Arial"/>
        </w:rPr>
        <w:t>Furthermore, economic volatility or alterations in rules concerning health claims may affect BIO&amp;ME’s pricing and marketing tactics. BIO&amp;ME can distinguish itself from competitors by highlighting its distinctive emphasis on gut health, environmentally sustainable processes, and scientifically validated products, thereby mitigating the effects of external competitive challenges (</w:t>
      </w:r>
      <w:proofErr w:type="spellStart"/>
      <w:r w:rsidR="00CE4F2C" w:rsidRPr="00CE4F2C">
        <w:rPr>
          <w:rFonts w:ascii="Arial" w:hAnsi="Arial" w:cs="Arial"/>
        </w:rPr>
        <w:t>Rothaermel</w:t>
      </w:r>
      <w:proofErr w:type="spellEnd"/>
      <w:r w:rsidR="00CE4F2C" w:rsidRPr="00CE4F2C">
        <w:rPr>
          <w:rFonts w:ascii="Arial" w:hAnsi="Arial" w:cs="Arial"/>
        </w:rPr>
        <w:t>, 2021).</w:t>
      </w:r>
    </w:p>
    <w:p w:rsidR="000B1A9A" w:rsidRDefault="000B1A9A" w:rsidP="000B1A9A">
      <w:pPr>
        <w:pStyle w:val="Heading1"/>
        <w:jc w:val="center"/>
        <w:rPr>
          <w:rFonts w:ascii="Arial" w:hAnsi="Arial" w:cs="Arial"/>
          <w:sz w:val="24"/>
          <w:szCs w:val="24"/>
        </w:rPr>
      </w:pPr>
      <w:r>
        <w:rPr>
          <w:rFonts w:ascii="Arial" w:hAnsi="Arial" w:cs="Arial"/>
          <w:sz w:val="24"/>
          <w:szCs w:val="24"/>
        </w:rPr>
        <w:t xml:space="preserve">  </w:t>
      </w:r>
      <w:bookmarkStart w:id="20" w:name="_Toc182476729"/>
      <w:r w:rsidRPr="00047360">
        <w:rPr>
          <w:rFonts w:ascii="Arial" w:hAnsi="Arial" w:cs="Arial"/>
          <w:sz w:val="24"/>
          <w:szCs w:val="24"/>
        </w:rPr>
        <w:t>Stakeholders analysis</w:t>
      </w:r>
      <w:bookmarkEnd w:id="20"/>
    </w:p>
    <w:p w:rsidR="000B1A9A" w:rsidRDefault="000B1A9A" w:rsidP="002C0CBF">
      <w:pPr>
        <w:spacing w:line="360" w:lineRule="auto"/>
        <w:ind w:firstLine="720"/>
        <w:jc w:val="both"/>
        <w:rPr>
          <w:rFonts w:ascii="Arial" w:hAnsi="Arial" w:cs="Arial"/>
        </w:rPr>
      </w:pPr>
    </w:p>
    <w:p w:rsidR="002C0CBF" w:rsidRDefault="002C0CBF" w:rsidP="002C0CBF">
      <w:pPr>
        <w:spacing w:line="360" w:lineRule="auto"/>
        <w:ind w:firstLine="720"/>
        <w:jc w:val="both"/>
        <w:rPr>
          <w:rFonts w:ascii="Arial" w:hAnsi="Arial" w:cs="Arial"/>
        </w:rPr>
      </w:pPr>
      <w:r w:rsidRPr="002C0CBF">
        <w:rPr>
          <w:rFonts w:ascii="Arial" w:hAnsi="Arial" w:cs="Arial"/>
        </w:rPr>
        <w:t xml:space="preserve">People, organizations, or other entities that are interested in or have control over a company's operations, goals, and results are known as stakeholders. Their level of influence varies based on their involvement in or control over the business's operations. Organizations may align their plans to meet the needs of individuals with substantial influence or impact by identifying and understanding stakeholders. This helps to create a harmonious balance between operational goals and stakeholder expectations. </w:t>
      </w:r>
      <w:r w:rsidR="0049310B" w:rsidRPr="0049310B">
        <w:rPr>
          <w:rFonts w:ascii="Arial" w:hAnsi="Arial" w:cs="Arial"/>
        </w:rPr>
        <w:t>Effective stakeholder management strengthens a company's market position, cultivates relationships, reduces risks, and creates an ideal environment for innovation and growth (Freeman, 1984).</w:t>
      </w:r>
    </w:p>
    <w:p w:rsidR="00660EF3" w:rsidRDefault="002C0CBF" w:rsidP="000B1A9A">
      <w:pPr>
        <w:spacing w:line="360" w:lineRule="auto"/>
        <w:ind w:firstLine="720"/>
        <w:jc w:val="both"/>
        <w:rPr>
          <w:rFonts w:ascii="Arial" w:hAnsi="Arial" w:cs="Arial"/>
        </w:rPr>
      </w:pPr>
      <w:r w:rsidRPr="002C0CBF">
        <w:rPr>
          <w:rFonts w:ascii="Arial" w:hAnsi="Arial" w:cs="Arial"/>
        </w:rPr>
        <w:t>As a health-conscious company with a sustainable and practical approach, BIO&amp;ME's main stakeholders include consumers, staff, suppliers, investors, regulators, health authorities, and environmental and community organizations (Eastham et al., 2007).</w:t>
      </w:r>
    </w:p>
    <w:p w:rsidR="000B1A9A" w:rsidRDefault="000B1A9A" w:rsidP="000B1A9A">
      <w:pPr>
        <w:spacing w:line="360" w:lineRule="auto"/>
        <w:ind w:firstLine="720"/>
        <w:jc w:val="both"/>
        <w:rPr>
          <w:rFonts w:ascii="Arial" w:hAnsi="Arial" w:cs="Arial"/>
        </w:rPr>
      </w:pPr>
    </w:p>
    <w:p w:rsidR="000B1A9A" w:rsidRDefault="000B1A9A" w:rsidP="000B1A9A">
      <w:pPr>
        <w:spacing w:line="360" w:lineRule="auto"/>
        <w:ind w:firstLine="720"/>
        <w:jc w:val="both"/>
        <w:rPr>
          <w:rFonts w:ascii="Arial" w:hAnsi="Arial" w:cs="Arial"/>
        </w:rPr>
      </w:pPr>
    </w:p>
    <w:p w:rsidR="000B1A9A" w:rsidRDefault="000B1A9A" w:rsidP="000B1A9A">
      <w:pPr>
        <w:spacing w:line="360" w:lineRule="auto"/>
        <w:ind w:firstLine="720"/>
        <w:jc w:val="both"/>
        <w:rPr>
          <w:rFonts w:ascii="Arial" w:hAnsi="Arial" w:cs="Arial"/>
        </w:rPr>
      </w:pPr>
    </w:p>
    <w:p w:rsidR="000B1A9A" w:rsidRDefault="000B1A9A" w:rsidP="000B1A9A">
      <w:pPr>
        <w:spacing w:line="360" w:lineRule="auto"/>
        <w:ind w:firstLine="720"/>
        <w:jc w:val="both"/>
        <w:rPr>
          <w:rFonts w:ascii="Arial" w:hAnsi="Arial" w:cs="Arial"/>
        </w:rPr>
      </w:pPr>
    </w:p>
    <w:p w:rsidR="000B1A9A" w:rsidRPr="000B1A9A" w:rsidRDefault="000B1A9A" w:rsidP="000B1A9A">
      <w:pPr>
        <w:spacing w:line="360" w:lineRule="auto"/>
        <w:ind w:firstLine="720"/>
        <w:jc w:val="both"/>
        <w:rPr>
          <w:rFonts w:ascii="Arial" w:hAnsi="Arial" w:cs="Arial"/>
        </w:rPr>
      </w:pPr>
    </w:p>
    <w:tbl>
      <w:tblPr>
        <w:tblStyle w:val="TableGrid"/>
        <w:tblW w:w="0" w:type="auto"/>
        <w:tblLook w:val="04A0" w:firstRow="1" w:lastRow="0" w:firstColumn="1" w:lastColumn="0" w:noHBand="0" w:noVBand="1"/>
      </w:tblPr>
      <w:tblGrid>
        <w:gridCol w:w="4788"/>
        <w:gridCol w:w="4788"/>
      </w:tblGrid>
      <w:tr w:rsidR="00660EF3" w:rsidTr="00660EF3">
        <w:tc>
          <w:tcPr>
            <w:tcW w:w="4788" w:type="dxa"/>
            <w:tcBorders>
              <w:right w:val="nil"/>
            </w:tcBorders>
          </w:tcPr>
          <w:p w:rsidR="00660EF3" w:rsidRPr="002C0CBF" w:rsidRDefault="00660EF3" w:rsidP="002C0CBF">
            <w:pPr>
              <w:spacing w:line="360" w:lineRule="auto"/>
              <w:jc w:val="center"/>
              <w:rPr>
                <w:rFonts w:ascii="Arial" w:hAnsi="Arial" w:cs="Arial"/>
              </w:rPr>
            </w:pPr>
            <w:r w:rsidRPr="002C0CBF">
              <w:rPr>
                <w:rFonts w:ascii="Arial" w:hAnsi="Arial" w:cs="Arial"/>
              </w:rPr>
              <w:lastRenderedPageBreak/>
              <w:t xml:space="preserve">Key </w:t>
            </w:r>
            <w:r w:rsidR="002C0CBF" w:rsidRPr="002C0CBF">
              <w:rPr>
                <w:rFonts w:ascii="Arial" w:hAnsi="Arial" w:cs="Arial"/>
              </w:rPr>
              <w:t>stakeholders  for BIO&amp;ME</w:t>
            </w:r>
          </w:p>
        </w:tc>
        <w:tc>
          <w:tcPr>
            <w:tcW w:w="4788" w:type="dxa"/>
            <w:tcBorders>
              <w:left w:val="nil"/>
            </w:tcBorders>
          </w:tcPr>
          <w:p w:rsidR="00660EF3" w:rsidRPr="002C0CBF" w:rsidRDefault="00660EF3" w:rsidP="002C0CBF">
            <w:pPr>
              <w:spacing w:line="360" w:lineRule="auto"/>
              <w:jc w:val="center"/>
              <w:rPr>
                <w:rFonts w:ascii="Arial" w:hAnsi="Arial" w:cs="Arial"/>
              </w:rPr>
            </w:pPr>
          </w:p>
        </w:tc>
      </w:tr>
      <w:tr w:rsidR="00660EF3" w:rsidTr="00660EF3">
        <w:tc>
          <w:tcPr>
            <w:tcW w:w="4788" w:type="dxa"/>
          </w:tcPr>
          <w:p w:rsidR="00660EF3" w:rsidRPr="002C0CBF" w:rsidRDefault="00660EF3" w:rsidP="002C0CBF">
            <w:pPr>
              <w:spacing w:line="360" w:lineRule="auto"/>
              <w:rPr>
                <w:rFonts w:ascii="Arial" w:hAnsi="Arial" w:cs="Arial"/>
              </w:rPr>
            </w:pPr>
            <w:r w:rsidRPr="002C0CBF">
              <w:rPr>
                <w:rFonts w:ascii="Arial" w:hAnsi="Arial" w:cs="Arial"/>
              </w:rPr>
              <w:t>Customers</w:t>
            </w:r>
          </w:p>
        </w:tc>
        <w:tc>
          <w:tcPr>
            <w:tcW w:w="4788" w:type="dxa"/>
          </w:tcPr>
          <w:p w:rsidR="00660EF3" w:rsidRPr="002C0CBF" w:rsidRDefault="002C0CBF" w:rsidP="002C0CBF">
            <w:pPr>
              <w:spacing w:line="360" w:lineRule="auto"/>
              <w:rPr>
                <w:rFonts w:ascii="Arial" w:hAnsi="Arial" w:cs="Arial"/>
              </w:rPr>
            </w:pPr>
            <w:r w:rsidRPr="002C0CBF">
              <w:rPr>
                <w:rFonts w:ascii="Arial" w:hAnsi="Arial" w:cs="Arial"/>
              </w:rPr>
              <w:t>Customers who are concerned about their health and are looking for sustainable, wholesome food options.</w:t>
            </w:r>
          </w:p>
        </w:tc>
      </w:tr>
      <w:tr w:rsidR="00660EF3" w:rsidTr="00660EF3">
        <w:tc>
          <w:tcPr>
            <w:tcW w:w="4788" w:type="dxa"/>
          </w:tcPr>
          <w:p w:rsidR="00660EF3" w:rsidRPr="002C0CBF" w:rsidRDefault="00660EF3" w:rsidP="002C0CBF">
            <w:pPr>
              <w:spacing w:line="360" w:lineRule="auto"/>
              <w:rPr>
                <w:rFonts w:ascii="Arial" w:hAnsi="Arial" w:cs="Arial"/>
              </w:rPr>
            </w:pPr>
            <w:r w:rsidRPr="002C0CBF">
              <w:rPr>
                <w:rFonts w:ascii="Arial" w:hAnsi="Arial" w:cs="Arial"/>
              </w:rPr>
              <w:t>Employees</w:t>
            </w:r>
          </w:p>
        </w:tc>
        <w:tc>
          <w:tcPr>
            <w:tcW w:w="4788" w:type="dxa"/>
          </w:tcPr>
          <w:p w:rsidR="00660EF3" w:rsidRPr="002C0CBF" w:rsidRDefault="002C0CBF" w:rsidP="002C0CBF">
            <w:pPr>
              <w:spacing w:line="360" w:lineRule="auto"/>
              <w:rPr>
                <w:rFonts w:ascii="Arial" w:hAnsi="Arial" w:cs="Arial"/>
              </w:rPr>
            </w:pPr>
            <w:r w:rsidRPr="002C0CBF">
              <w:rPr>
                <w:rFonts w:ascii="Arial" w:hAnsi="Arial" w:cs="Arial"/>
              </w:rPr>
              <w:t xml:space="preserve">Product developers, marketers, and support personnel who help the business grow, engage customers, and </w:t>
            </w:r>
            <w:proofErr w:type="gramStart"/>
            <w:r w:rsidRPr="002C0CBF">
              <w:rPr>
                <w:rFonts w:ascii="Arial" w:hAnsi="Arial" w:cs="Arial"/>
              </w:rPr>
              <w:t>innovate</w:t>
            </w:r>
            <w:proofErr w:type="gramEnd"/>
            <w:r w:rsidRPr="002C0CBF">
              <w:rPr>
                <w:rFonts w:ascii="Arial" w:hAnsi="Arial" w:cs="Arial"/>
              </w:rPr>
              <w:t xml:space="preserve"> new products.</w:t>
            </w:r>
          </w:p>
        </w:tc>
      </w:tr>
      <w:tr w:rsidR="00660EF3" w:rsidTr="00660EF3">
        <w:tc>
          <w:tcPr>
            <w:tcW w:w="4788" w:type="dxa"/>
          </w:tcPr>
          <w:p w:rsidR="00660EF3" w:rsidRPr="002C0CBF" w:rsidRDefault="00660EF3" w:rsidP="002C0CBF">
            <w:pPr>
              <w:spacing w:line="360" w:lineRule="auto"/>
              <w:rPr>
                <w:rFonts w:ascii="Arial" w:hAnsi="Arial" w:cs="Arial"/>
              </w:rPr>
            </w:pPr>
            <w:r w:rsidRPr="002C0CBF">
              <w:rPr>
                <w:rFonts w:ascii="Arial" w:hAnsi="Arial" w:cs="Arial"/>
              </w:rPr>
              <w:t>Suppliers</w:t>
            </w:r>
          </w:p>
        </w:tc>
        <w:tc>
          <w:tcPr>
            <w:tcW w:w="4788" w:type="dxa"/>
          </w:tcPr>
          <w:p w:rsidR="00660EF3" w:rsidRPr="002C0CBF" w:rsidRDefault="00FD0E81" w:rsidP="002C0CBF">
            <w:pPr>
              <w:spacing w:line="360" w:lineRule="auto"/>
              <w:rPr>
                <w:rFonts w:ascii="Arial" w:hAnsi="Arial" w:cs="Arial"/>
              </w:rPr>
            </w:pPr>
            <w:r w:rsidRPr="00FD0E81">
              <w:rPr>
                <w:rFonts w:ascii="Arial" w:hAnsi="Arial" w:cs="Arial"/>
              </w:rPr>
              <w:t>Eco-friendly suppliers of ingredients are essential to upholding BIO&amp;ME's dedication to producing sustainable, high-quality goods.</w:t>
            </w:r>
          </w:p>
        </w:tc>
      </w:tr>
      <w:tr w:rsidR="00660EF3" w:rsidTr="00660EF3">
        <w:tc>
          <w:tcPr>
            <w:tcW w:w="4788" w:type="dxa"/>
          </w:tcPr>
          <w:p w:rsidR="00660EF3" w:rsidRPr="002C0CBF" w:rsidRDefault="00660EF3" w:rsidP="002C0CBF">
            <w:pPr>
              <w:spacing w:line="360" w:lineRule="auto"/>
              <w:rPr>
                <w:rFonts w:ascii="Arial" w:hAnsi="Arial" w:cs="Arial"/>
              </w:rPr>
            </w:pPr>
            <w:r w:rsidRPr="002C0CBF">
              <w:rPr>
                <w:rFonts w:ascii="Arial" w:hAnsi="Arial" w:cs="Arial"/>
              </w:rPr>
              <w:t>Investors</w:t>
            </w:r>
          </w:p>
        </w:tc>
        <w:tc>
          <w:tcPr>
            <w:tcW w:w="4788" w:type="dxa"/>
          </w:tcPr>
          <w:p w:rsidR="00660EF3" w:rsidRPr="002C0CBF" w:rsidRDefault="00FD0E81" w:rsidP="002C0CBF">
            <w:pPr>
              <w:spacing w:line="360" w:lineRule="auto"/>
              <w:rPr>
                <w:rFonts w:ascii="Arial" w:hAnsi="Arial" w:cs="Arial"/>
              </w:rPr>
            </w:pPr>
            <w:r>
              <w:rPr>
                <w:rFonts w:ascii="Arial" w:hAnsi="Arial" w:cs="Arial"/>
              </w:rPr>
              <w:t>P</w:t>
            </w:r>
            <w:r w:rsidRPr="00FD0E81">
              <w:rPr>
                <w:rFonts w:ascii="Arial" w:hAnsi="Arial" w:cs="Arial"/>
              </w:rPr>
              <w:t>ersons or organizations with a monetary interest in the expansion and prosperity of BIO&amp;ME.</w:t>
            </w:r>
          </w:p>
        </w:tc>
      </w:tr>
      <w:tr w:rsidR="00660EF3" w:rsidTr="00660EF3">
        <w:tc>
          <w:tcPr>
            <w:tcW w:w="4788" w:type="dxa"/>
          </w:tcPr>
          <w:p w:rsidR="00660EF3" w:rsidRPr="002C0CBF" w:rsidRDefault="00660EF3" w:rsidP="002C0CBF">
            <w:pPr>
              <w:spacing w:line="360" w:lineRule="auto"/>
              <w:rPr>
                <w:rFonts w:ascii="Arial" w:hAnsi="Arial" w:cs="Arial"/>
              </w:rPr>
            </w:pPr>
            <w:r w:rsidRPr="002C0CBF">
              <w:rPr>
                <w:rFonts w:ascii="Arial" w:hAnsi="Arial" w:cs="Arial"/>
              </w:rPr>
              <w:t>Regulators and Health Authorities</w:t>
            </w:r>
          </w:p>
        </w:tc>
        <w:tc>
          <w:tcPr>
            <w:tcW w:w="4788" w:type="dxa"/>
          </w:tcPr>
          <w:p w:rsidR="00660EF3" w:rsidRPr="002C0CBF" w:rsidRDefault="00FD0E81" w:rsidP="002C0CBF">
            <w:pPr>
              <w:spacing w:line="360" w:lineRule="auto"/>
              <w:rPr>
                <w:rFonts w:ascii="Arial" w:hAnsi="Arial" w:cs="Arial"/>
              </w:rPr>
            </w:pPr>
            <w:r>
              <w:rPr>
                <w:rFonts w:ascii="Arial" w:hAnsi="Arial" w:cs="Arial"/>
              </w:rPr>
              <w:t>A</w:t>
            </w:r>
            <w:r w:rsidRPr="00FD0E81">
              <w:rPr>
                <w:rFonts w:ascii="Arial" w:hAnsi="Arial" w:cs="Arial"/>
              </w:rPr>
              <w:t>gencies of the government that regulate sustainability standards, health claims, and food safety.</w:t>
            </w:r>
          </w:p>
        </w:tc>
      </w:tr>
      <w:tr w:rsidR="00660EF3" w:rsidTr="00660EF3">
        <w:tc>
          <w:tcPr>
            <w:tcW w:w="4788" w:type="dxa"/>
          </w:tcPr>
          <w:p w:rsidR="00660EF3" w:rsidRPr="002C0CBF" w:rsidRDefault="00660EF3" w:rsidP="002C0CBF">
            <w:pPr>
              <w:spacing w:line="360" w:lineRule="auto"/>
              <w:rPr>
                <w:rFonts w:ascii="Arial" w:hAnsi="Arial" w:cs="Arial"/>
              </w:rPr>
            </w:pPr>
            <w:r w:rsidRPr="002C0CBF">
              <w:rPr>
                <w:rFonts w:ascii="Arial" w:hAnsi="Arial" w:cs="Arial"/>
              </w:rPr>
              <w:t>Community and Environmental Groups</w:t>
            </w:r>
          </w:p>
        </w:tc>
        <w:tc>
          <w:tcPr>
            <w:tcW w:w="4788" w:type="dxa"/>
          </w:tcPr>
          <w:p w:rsidR="00660EF3" w:rsidRPr="002C0CBF" w:rsidRDefault="00FD0E81" w:rsidP="002C0CBF">
            <w:pPr>
              <w:spacing w:line="360" w:lineRule="auto"/>
              <w:rPr>
                <w:rFonts w:ascii="Arial" w:hAnsi="Arial" w:cs="Arial"/>
              </w:rPr>
            </w:pPr>
            <w:r w:rsidRPr="00FD0E81">
              <w:rPr>
                <w:rFonts w:ascii="Arial" w:hAnsi="Arial" w:cs="Arial"/>
              </w:rPr>
              <w:t>International and local groups concerned with the social responsibility and environmental impact of BIO&amp;ME.</w:t>
            </w:r>
          </w:p>
        </w:tc>
      </w:tr>
    </w:tbl>
    <w:p w:rsidR="00660EF3" w:rsidRPr="00FD0E81" w:rsidRDefault="00703EA9" w:rsidP="00703EA9">
      <w:pPr>
        <w:tabs>
          <w:tab w:val="left" w:pos="5276"/>
        </w:tabs>
        <w:jc w:val="right"/>
        <w:rPr>
          <w:rFonts w:ascii="Arial" w:hAnsi="Arial" w:cs="Arial"/>
        </w:rPr>
      </w:pPr>
      <w:r>
        <w:rPr>
          <w:rFonts w:ascii="Times New Roman" w:hAnsi="Times New Roman" w:cs="Times New Roman"/>
          <w:sz w:val="24"/>
          <w:szCs w:val="24"/>
        </w:rPr>
        <w:tab/>
      </w:r>
      <w:r w:rsidRPr="00FD0E81">
        <w:rPr>
          <w:rFonts w:ascii="Arial" w:hAnsi="Arial" w:cs="Arial"/>
        </w:rPr>
        <w:t>Table no 1:</w:t>
      </w:r>
      <w:r w:rsidR="00C64D93" w:rsidRPr="00FD0E81">
        <w:rPr>
          <w:rFonts w:ascii="Arial" w:hAnsi="Arial" w:cs="Arial"/>
        </w:rPr>
        <w:t xml:space="preserve"> </w:t>
      </w:r>
      <w:r w:rsidR="00FD0E81" w:rsidRPr="00FD0E81">
        <w:rPr>
          <w:rFonts w:ascii="Arial" w:hAnsi="Arial" w:cs="Arial"/>
        </w:rPr>
        <w:t>Stakeholders for BIO&amp;ME</w:t>
      </w:r>
    </w:p>
    <w:p w:rsidR="00A145D3" w:rsidRDefault="00A145D3" w:rsidP="005C6BE1">
      <w:pPr>
        <w:rPr>
          <w:rFonts w:ascii="Times New Roman" w:hAnsi="Times New Roman" w:cs="Times New Roman"/>
          <w:b/>
          <w:sz w:val="24"/>
          <w:szCs w:val="24"/>
        </w:rPr>
      </w:pPr>
    </w:p>
    <w:p w:rsidR="00A145D3" w:rsidRDefault="00A145D3" w:rsidP="005C6BE1">
      <w:pPr>
        <w:rPr>
          <w:rFonts w:ascii="Times New Roman" w:hAnsi="Times New Roman" w:cs="Times New Roman"/>
          <w:b/>
          <w:sz w:val="24"/>
          <w:szCs w:val="24"/>
        </w:rPr>
      </w:pPr>
    </w:p>
    <w:p w:rsidR="00703EA9" w:rsidRDefault="00703EA9" w:rsidP="005C6BE1">
      <w:pPr>
        <w:rPr>
          <w:rFonts w:ascii="Times New Roman" w:hAnsi="Times New Roman" w:cs="Times New Roman"/>
          <w:b/>
          <w:sz w:val="24"/>
          <w:szCs w:val="24"/>
        </w:rPr>
      </w:pPr>
    </w:p>
    <w:p w:rsidR="00F10B24" w:rsidRDefault="00F10B24" w:rsidP="005C6BE1">
      <w:pPr>
        <w:rPr>
          <w:rFonts w:ascii="Times New Roman" w:hAnsi="Times New Roman" w:cs="Times New Roman"/>
          <w:b/>
          <w:sz w:val="24"/>
          <w:szCs w:val="24"/>
        </w:rPr>
      </w:pPr>
    </w:p>
    <w:p w:rsidR="00F10B24" w:rsidRDefault="00F10B24" w:rsidP="005C6BE1">
      <w:pPr>
        <w:rPr>
          <w:rFonts w:ascii="Times New Roman" w:hAnsi="Times New Roman" w:cs="Times New Roman"/>
          <w:b/>
          <w:sz w:val="24"/>
          <w:szCs w:val="24"/>
        </w:rPr>
      </w:pPr>
    </w:p>
    <w:p w:rsidR="00F10B24" w:rsidRDefault="00F10B24" w:rsidP="005C6BE1">
      <w:pPr>
        <w:rPr>
          <w:rFonts w:ascii="Times New Roman" w:hAnsi="Times New Roman" w:cs="Times New Roman"/>
          <w:b/>
          <w:sz w:val="24"/>
          <w:szCs w:val="24"/>
        </w:rPr>
      </w:pPr>
    </w:p>
    <w:p w:rsidR="00F10B24" w:rsidRDefault="00F10B24" w:rsidP="005C6BE1">
      <w:pPr>
        <w:rPr>
          <w:rFonts w:ascii="Times New Roman" w:hAnsi="Times New Roman" w:cs="Times New Roman"/>
          <w:b/>
          <w:sz w:val="24"/>
          <w:szCs w:val="24"/>
        </w:rPr>
      </w:pPr>
    </w:p>
    <w:p w:rsidR="00703EA9" w:rsidRDefault="00703EA9" w:rsidP="005C6BE1">
      <w:pPr>
        <w:rPr>
          <w:rFonts w:ascii="Times New Roman" w:hAnsi="Times New Roman" w:cs="Times New Roman"/>
          <w:b/>
          <w:sz w:val="24"/>
          <w:szCs w:val="24"/>
        </w:rPr>
      </w:pPr>
    </w:p>
    <w:p w:rsidR="00FD0E81" w:rsidRDefault="00FD0E81" w:rsidP="005C6BE1">
      <w:pPr>
        <w:rPr>
          <w:rFonts w:ascii="Times New Roman" w:hAnsi="Times New Roman" w:cs="Times New Roman"/>
          <w:b/>
          <w:sz w:val="24"/>
          <w:szCs w:val="24"/>
        </w:rPr>
      </w:pPr>
    </w:p>
    <w:p w:rsidR="005C6BE1" w:rsidRPr="00FD0E81" w:rsidRDefault="00D95012" w:rsidP="00FD0E81">
      <w:pPr>
        <w:spacing w:line="360" w:lineRule="auto"/>
        <w:jc w:val="both"/>
        <w:rPr>
          <w:rFonts w:ascii="Arial" w:hAnsi="Arial" w:cs="Arial"/>
          <w:b/>
        </w:rPr>
      </w:pPr>
      <w:r w:rsidRPr="00FD0E81">
        <w:rPr>
          <w:rFonts w:ascii="Arial" w:hAnsi="Arial" w:cs="Arial"/>
          <w:b/>
        </w:rPr>
        <w:lastRenderedPageBreak/>
        <w:t>Power/Interest</w:t>
      </w:r>
      <w:r w:rsidR="005C6BE1" w:rsidRPr="00FD0E81">
        <w:rPr>
          <w:rFonts w:ascii="Arial" w:hAnsi="Arial" w:cs="Arial"/>
          <w:b/>
        </w:rPr>
        <w:t xml:space="preserve"> Grid for BIO</w:t>
      </w:r>
      <w:r w:rsidR="00AC78B0" w:rsidRPr="00FD0E81">
        <w:rPr>
          <w:rFonts w:ascii="Arial" w:hAnsi="Arial" w:cs="Arial"/>
          <w:b/>
        </w:rPr>
        <w:t>&amp;ME Granola</w:t>
      </w:r>
    </w:p>
    <w:p w:rsidR="005C6BE1" w:rsidRPr="00FD0E81" w:rsidRDefault="00D95012" w:rsidP="00FD0E81">
      <w:pPr>
        <w:spacing w:line="360" w:lineRule="auto"/>
        <w:jc w:val="both"/>
        <w:rPr>
          <w:rFonts w:ascii="Arial" w:hAnsi="Arial" w:cs="Arial"/>
        </w:rPr>
      </w:pPr>
      <w:r w:rsidRPr="00FD0E81">
        <w:rPr>
          <w:rFonts w:ascii="Arial" w:hAnsi="Arial" w:cs="Arial"/>
        </w:rPr>
        <w:t xml:space="preserve">Power/Interest Grid </w:t>
      </w:r>
      <w:r w:rsidR="005C6BE1" w:rsidRPr="00FD0E81">
        <w:rPr>
          <w:rFonts w:ascii="Arial" w:hAnsi="Arial" w:cs="Arial"/>
        </w:rPr>
        <w:t>categorizes sta</w:t>
      </w:r>
      <w:r w:rsidRPr="00FD0E81">
        <w:rPr>
          <w:rFonts w:ascii="Arial" w:hAnsi="Arial" w:cs="Arial"/>
        </w:rPr>
        <w:t xml:space="preserve">keholders based on their power, </w:t>
      </w:r>
      <w:r w:rsidR="005C6BE1" w:rsidRPr="00FD0E81">
        <w:rPr>
          <w:rFonts w:ascii="Arial" w:hAnsi="Arial" w:cs="Arial"/>
        </w:rPr>
        <w:t>a</w:t>
      </w:r>
      <w:r w:rsidRPr="00FD0E81">
        <w:rPr>
          <w:rFonts w:ascii="Arial" w:hAnsi="Arial" w:cs="Arial"/>
        </w:rPr>
        <w:t xml:space="preserve">bility to influence the company and interest, </w:t>
      </w:r>
      <w:r w:rsidR="005C6BE1" w:rsidRPr="00FD0E81">
        <w:rPr>
          <w:rFonts w:ascii="Arial" w:hAnsi="Arial" w:cs="Arial"/>
        </w:rPr>
        <w:t>degree to which they c</w:t>
      </w:r>
      <w:r w:rsidRPr="00FD0E81">
        <w:rPr>
          <w:rFonts w:ascii="Arial" w:hAnsi="Arial" w:cs="Arial"/>
        </w:rPr>
        <w:t>are about the company’s actions</w:t>
      </w:r>
      <w:r w:rsidR="005C6BE1" w:rsidRPr="00FD0E81">
        <w:rPr>
          <w:rFonts w:ascii="Arial" w:hAnsi="Arial" w:cs="Arial"/>
        </w:rPr>
        <w:t>. The four categories ar</w:t>
      </w:r>
      <w:r w:rsidR="00AC78B0" w:rsidRPr="00FD0E81">
        <w:rPr>
          <w:rFonts w:ascii="Arial" w:hAnsi="Arial" w:cs="Arial"/>
        </w:rPr>
        <w:t>e:</w:t>
      </w:r>
    </w:p>
    <w:p w:rsidR="00DC5B8C" w:rsidRPr="005C6BE1" w:rsidRDefault="00DC5B8C" w:rsidP="005C6BE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3AACF5" wp14:editId="6A0A18E7">
            <wp:extent cx="6283831" cy="3534655"/>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PHOTO-2024-11-03-10-48-3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85185" cy="3535416"/>
                    </a:xfrm>
                    <a:prstGeom prst="rect">
                      <a:avLst/>
                    </a:prstGeom>
                  </pic:spPr>
                </pic:pic>
              </a:graphicData>
            </a:graphic>
          </wp:inline>
        </w:drawing>
      </w:r>
    </w:p>
    <w:p w:rsidR="00D95012" w:rsidRPr="00FD0E81" w:rsidRDefault="00703EA9" w:rsidP="00FD0E81">
      <w:pPr>
        <w:jc w:val="right"/>
        <w:rPr>
          <w:rFonts w:ascii="Arial" w:hAnsi="Arial" w:cs="Arial"/>
        </w:rPr>
      </w:pPr>
      <w:r w:rsidRPr="00FD0E81">
        <w:rPr>
          <w:rFonts w:ascii="Arial" w:hAnsi="Arial" w:cs="Arial"/>
        </w:rPr>
        <w:t>Figure 1: Power/Interest Grid</w:t>
      </w:r>
    </w:p>
    <w:p w:rsidR="005C6BE1" w:rsidRPr="00A145D3" w:rsidRDefault="005C6BE1" w:rsidP="00A145D3">
      <w:pPr>
        <w:spacing w:line="360" w:lineRule="auto"/>
        <w:jc w:val="both"/>
        <w:rPr>
          <w:rFonts w:ascii="Arial" w:hAnsi="Arial" w:cs="Arial"/>
        </w:rPr>
      </w:pPr>
      <w:r w:rsidRPr="005C6BE1">
        <w:rPr>
          <w:rFonts w:ascii="Times New Roman" w:hAnsi="Times New Roman" w:cs="Times New Roman"/>
          <w:sz w:val="24"/>
          <w:szCs w:val="24"/>
        </w:rPr>
        <w:t>1</w:t>
      </w:r>
      <w:r w:rsidR="0049310B">
        <w:rPr>
          <w:rFonts w:ascii="Arial" w:hAnsi="Arial" w:cs="Arial"/>
        </w:rPr>
        <w:t>. High power, high interest: manage c</w:t>
      </w:r>
      <w:r w:rsidRPr="00A145D3">
        <w:rPr>
          <w:rFonts w:ascii="Arial" w:hAnsi="Arial" w:cs="Arial"/>
        </w:rPr>
        <w:t>losely</w:t>
      </w:r>
    </w:p>
    <w:p w:rsidR="00FD0E81" w:rsidRDefault="0049310B" w:rsidP="00FD0E81">
      <w:pPr>
        <w:spacing w:line="360" w:lineRule="auto"/>
        <w:ind w:firstLine="720"/>
        <w:jc w:val="both"/>
        <w:rPr>
          <w:rFonts w:ascii="Arial" w:hAnsi="Arial" w:cs="Arial"/>
        </w:rPr>
      </w:pPr>
      <w:r>
        <w:rPr>
          <w:rFonts w:ascii="Arial" w:hAnsi="Arial" w:cs="Arial"/>
        </w:rPr>
        <w:t xml:space="preserve">Shareholders and Investors: </w:t>
      </w:r>
      <w:r w:rsidR="00FD0E81" w:rsidRPr="00FD0E81">
        <w:rPr>
          <w:rFonts w:ascii="Arial" w:hAnsi="Arial" w:cs="Arial"/>
        </w:rPr>
        <w:t>Investors, as pri</w:t>
      </w:r>
      <w:r>
        <w:rPr>
          <w:rFonts w:ascii="Arial" w:hAnsi="Arial" w:cs="Arial"/>
        </w:rPr>
        <w:t>ncipal financial supporters, have</w:t>
      </w:r>
      <w:r w:rsidR="00FD0E81" w:rsidRPr="00FD0E81">
        <w:rPr>
          <w:rFonts w:ascii="Arial" w:hAnsi="Arial" w:cs="Arial"/>
        </w:rPr>
        <w:t xml:space="preserve"> significant power and interest in the functioning of BIO&amp;ME. </w:t>
      </w:r>
      <w:r w:rsidRPr="0049310B">
        <w:rPr>
          <w:rFonts w:ascii="Arial" w:hAnsi="Arial" w:cs="Arial"/>
        </w:rPr>
        <w:t>Investors expect lucrative expansion, strategic brand positioning, and competitive durabilit</w:t>
      </w:r>
      <w:r>
        <w:rPr>
          <w:rFonts w:ascii="Arial" w:hAnsi="Arial" w:cs="Arial"/>
        </w:rPr>
        <w:t xml:space="preserve">y. </w:t>
      </w:r>
      <w:r w:rsidR="00FD0E81" w:rsidRPr="00FD0E81">
        <w:rPr>
          <w:rFonts w:ascii="Arial" w:hAnsi="Arial" w:cs="Arial"/>
        </w:rPr>
        <w:t>Consequently, BIO&amp;ME need</w:t>
      </w:r>
      <w:r>
        <w:rPr>
          <w:rFonts w:ascii="Arial" w:hAnsi="Arial" w:cs="Arial"/>
        </w:rPr>
        <w:t>s</w:t>
      </w:r>
      <w:r w:rsidR="00FD0E81" w:rsidRPr="00FD0E81">
        <w:rPr>
          <w:rFonts w:ascii="Arial" w:hAnsi="Arial" w:cs="Arial"/>
        </w:rPr>
        <w:t xml:space="preserve"> to proactively communicate with shareholders by consistently informing them on financial performance, strategic growth plans, and sustainability endeavors. Clear communication and data-informed initiatives can sustain investor confidence and ensure future funding for expansion (Freeman, 1984).</w:t>
      </w:r>
    </w:p>
    <w:p w:rsidR="00FD0E81" w:rsidRDefault="00FD0E81" w:rsidP="00FD0E81">
      <w:pPr>
        <w:spacing w:line="360" w:lineRule="auto"/>
        <w:ind w:firstLine="720"/>
        <w:jc w:val="both"/>
        <w:rPr>
          <w:rFonts w:ascii="Arial" w:hAnsi="Arial" w:cs="Arial"/>
        </w:rPr>
      </w:pPr>
      <w:r>
        <w:rPr>
          <w:rFonts w:ascii="Arial" w:hAnsi="Arial" w:cs="Arial"/>
        </w:rPr>
        <w:t>Regulatory</w:t>
      </w:r>
      <w:r w:rsidR="0049310B">
        <w:rPr>
          <w:rFonts w:ascii="Arial" w:hAnsi="Arial" w:cs="Arial"/>
        </w:rPr>
        <w:t xml:space="preserve"> and Health Authorities:</w:t>
      </w:r>
      <w:r w:rsidRPr="00FD0E81">
        <w:rPr>
          <w:rFonts w:ascii="Arial" w:hAnsi="Arial" w:cs="Arial"/>
        </w:rPr>
        <w:t xml:space="preserve"> Government agencies exercise considerable authority by enforcing regulations and establishing standards for health, safety, and sustainability assertions. Their focus is on public health and corporate compliance. BIO&amp;ME </w:t>
      </w:r>
      <w:r w:rsidRPr="00FD0E81">
        <w:rPr>
          <w:rFonts w:ascii="Arial" w:hAnsi="Arial" w:cs="Arial"/>
        </w:rPr>
        <w:lastRenderedPageBreak/>
        <w:t>must implement proactive compliance methods, encompassing routine audits and strict adherence to labeling and ingredient laws. This may entail collaborations with regulatory agencies or health organizations to guarantee that product claims are substantiated by evidence and adhere to prevailing norms (Google Books, 2024).</w:t>
      </w:r>
    </w:p>
    <w:p w:rsidR="005C6BE1" w:rsidRPr="00A145D3" w:rsidRDefault="0049310B" w:rsidP="00A145D3">
      <w:pPr>
        <w:spacing w:line="360" w:lineRule="auto"/>
        <w:jc w:val="both"/>
        <w:rPr>
          <w:rFonts w:ascii="Arial" w:hAnsi="Arial" w:cs="Arial"/>
        </w:rPr>
      </w:pPr>
      <w:r>
        <w:rPr>
          <w:rFonts w:ascii="Arial" w:hAnsi="Arial" w:cs="Arial"/>
        </w:rPr>
        <w:t>2. High power, low interest: stay s</w:t>
      </w:r>
      <w:r w:rsidR="005C6BE1" w:rsidRPr="00A145D3">
        <w:rPr>
          <w:rFonts w:ascii="Arial" w:hAnsi="Arial" w:cs="Arial"/>
        </w:rPr>
        <w:t>atisfied</w:t>
      </w:r>
    </w:p>
    <w:p w:rsidR="00FD0E81" w:rsidRDefault="00FD0E81" w:rsidP="00FD0E81">
      <w:pPr>
        <w:spacing w:line="360" w:lineRule="auto"/>
        <w:ind w:firstLine="720"/>
        <w:jc w:val="both"/>
        <w:rPr>
          <w:rFonts w:ascii="Arial" w:hAnsi="Arial" w:cs="Arial"/>
        </w:rPr>
      </w:pPr>
      <w:r w:rsidRPr="00FD0E81">
        <w:rPr>
          <w:rFonts w:ascii="Arial" w:hAnsi="Arial" w:cs="Arial"/>
        </w:rPr>
        <w:t xml:space="preserve">Suppliers possess significant leverage owing to their control over vital, sustainable </w:t>
      </w:r>
      <w:proofErr w:type="gramStart"/>
      <w:r w:rsidRPr="00FD0E81">
        <w:rPr>
          <w:rFonts w:ascii="Arial" w:hAnsi="Arial" w:cs="Arial"/>
        </w:rPr>
        <w:t>ingredients,</w:t>
      </w:r>
      <w:proofErr w:type="gramEnd"/>
      <w:r w:rsidRPr="00FD0E81">
        <w:rPr>
          <w:rFonts w:ascii="Arial" w:hAnsi="Arial" w:cs="Arial"/>
        </w:rPr>
        <w:t xml:space="preserve"> however</w:t>
      </w:r>
      <w:r w:rsidR="0049310B">
        <w:rPr>
          <w:rFonts w:ascii="Arial" w:hAnsi="Arial" w:cs="Arial"/>
        </w:rPr>
        <w:t>,</w:t>
      </w:r>
      <w:r w:rsidRPr="00FD0E81">
        <w:rPr>
          <w:rFonts w:ascii="Arial" w:hAnsi="Arial" w:cs="Arial"/>
        </w:rPr>
        <w:t xml:space="preserve"> they may not be deeply committed to BIO&amp;ME's overall success. Ensuring supplier satisfaction through equitable contracts, prompt payments, and enduring relationships enables BIO&amp;ME to uphold product quality and supply chain integrity. Establishing robust, cooperative partnerships with essential suppliers and pursuing shared sustainability objectives may enhance mutual commitment and mitigate disruptions (</w:t>
      </w:r>
      <w:proofErr w:type="spellStart"/>
      <w:r w:rsidRPr="00FD0E81">
        <w:rPr>
          <w:rFonts w:ascii="Arial" w:hAnsi="Arial" w:cs="Arial"/>
        </w:rPr>
        <w:t>Touboulic</w:t>
      </w:r>
      <w:proofErr w:type="spellEnd"/>
      <w:r w:rsidRPr="00FD0E81">
        <w:rPr>
          <w:rFonts w:ascii="Arial" w:hAnsi="Arial" w:cs="Arial"/>
        </w:rPr>
        <w:t xml:space="preserve"> et al., 2014).</w:t>
      </w:r>
    </w:p>
    <w:p w:rsidR="005C6BE1" w:rsidRPr="00A145D3" w:rsidRDefault="0049310B" w:rsidP="00A145D3">
      <w:pPr>
        <w:spacing w:line="360" w:lineRule="auto"/>
        <w:jc w:val="both"/>
        <w:rPr>
          <w:rFonts w:ascii="Arial" w:hAnsi="Arial" w:cs="Arial"/>
        </w:rPr>
      </w:pPr>
      <w:r>
        <w:rPr>
          <w:rFonts w:ascii="Arial" w:hAnsi="Arial" w:cs="Arial"/>
        </w:rPr>
        <w:t>3. Low power, high interest: keep i</w:t>
      </w:r>
      <w:r w:rsidR="005C6BE1" w:rsidRPr="00A145D3">
        <w:rPr>
          <w:rFonts w:ascii="Arial" w:hAnsi="Arial" w:cs="Arial"/>
        </w:rPr>
        <w:t>nformed</w:t>
      </w:r>
    </w:p>
    <w:p w:rsidR="00FD0E81" w:rsidRPr="00FD0E81" w:rsidRDefault="00FD0E81" w:rsidP="00FD0E81">
      <w:pPr>
        <w:spacing w:line="360" w:lineRule="auto"/>
        <w:ind w:firstLine="720"/>
        <w:jc w:val="both"/>
        <w:rPr>
          <w:rFonts w:ascii="Arial" w:hAnsi="Arial" w:cs="Arial"/>
        </w:rPr>
      </w:pPr>
      <w:r w:rsidRPr="00FD0E81">
        <w:rPr>
          <w:rFonts w:ascii="Arial" w:hAnsi="Arial" w:cs="Arial"/>
        </w:rPr>
        <w:t>Customers, especially those who are health-conscious and environmentally aware, are essential for BIO&amp;ME's market expansion. Although they may not possess direct authority over operations, their concern for the product's health advantages and sustainability standards is significant. BIO&amp;ME can inform customers by providing transparent information regarding product ingredients, health assertions, and environmental effects. This may entail compelling content on social media, transparent package labeling, and loyalty initiatives that reinforce brand principles. Ongoing feedback mechanisms, such as consumer surveys, can enhance trust and foster brand loyalty (Mueller, 1983).</w:t>
      </w:r>
    </w:p>
    <w:p w:rsidR="00FD0E81" w:rsidRDefault="00FD0E81" w:rsidP="00FD0E81">
      <w:pPr>
        <w:spacing w:line="360" w:lineRule="auto"/>
        <w:ind w:firstLine="720"/>
        <w:jc w:val="both"/>
        <w:rPr>
          <w:rFonts w:ascii="Arial" w:hAnsi="Arial" w:cs="Arial"/>
        </w:rPr>
      </w:pPr>
      <w:r w:rsidRPr="00FD0E81">
        <w:rPr>
          <w:rFonts w:ascii="Arial" w:hAnsi="Arial" w:cs="Arial"/>
        </w:rPr>
        <w:t>Community an</w:t>
      </w:r>
      <w:r w:rsidR="0049310B">
        <w:rPr>
          <w:rFonts w:ascii="Arial" w:hAnsi="Arial" w:cs="Arial"/>
        </w:rPr>
        <w:t xml:space="preserve">d Environmental Organizations: </w:t>
      </w:r>
      <w:r w:rsidRPr="00FD0E81">
        <w:rPr>
          <w:rFonts w:ascii="Arial" w:hAnsi="Arial" w:cs="Arial"/>
        </w:rPr>
        <w:t>Local and global environmental organizations are invested in BIO&amp;ME’s sustainability policies but generally lack operational authority. By fostering open communication with these entities and matching business practices with environmental norms, BIO&amp;ME can strengthen its dedication to social responsibility. Engaging in environmentally sustainable efforts, such as recycling programs or community support, can improve BIO&amp;ME’s reputation and meet societal expectations (Connelly et al., 2011).</w:t>
      </w:r>
    </w:p>
    <w:p w:rsidR="003C008D" w:rsidRDefault="003C008D" w:rsidP="00FD0E81">
      <w:pPr>
        <w:spacing w:line="360" w:lineRule="auto"/>
        <w:ind w:firstLine="720"/>
        <w:jc w:val="both"/>
        <w:rPr>
          <w:rFonts w:ascii="Arial" w:hAnsi="Arial" w:cs="Arial"/>
        </w:rPr>
      </w:pPr>
    </w:p>
    <w:p w:rsidR="003C008D" w:rsidRDefault="003C008D" w:rsidP="00FD0E81">
      <w:pPr>
        <w:spacing w:line="360" w:lineRule="auto"/>
        <w:ind w:firstLine="720"/>
        <w:jc w:val="both"/>
        <w:rPr>
          <w:rFonts w:ascii="Arial" w:hAnsi="Arial" w:cs="Arial"/>
        </w:rPr>
      </w:pPr>
    </w:p>
    <w:p w:rsidR="003C008D" w:rsidRDefault="003C008D" w:rsidP="00FD0E81">
      <w:pPr>
        <w:spacing w:line="360" w:lineRule="auto"/>
        <w:ind w:firstLine="720"/>
        <w:jc w:val="both"/>
        <w:rPr>
          <w:rFonts w:ascii="Arial" w:hAnsi="Arial" w:cs="Arial"/>
        </w:rPr>
      </w:pPr>
    </w:p>
    <w:p w:rsidR="005C6BE1" w:rsidRPr="00F54746" w:rsidRDefault="0049310B" w:rsidP="00F54746">
      <w:pPr>
        <w:pStyle w:val="ListParagraph"/>
        <w:numPr>
          <w:ilvl w:val="0"/>
          <w:numId w:val="7"/>
        </w:numPr>
        <w:spacing w:line="360" w:lineRule="auto"/>
        <w:jc w:val="both"/>
        <w:rPr>
          <w:rFonts w:ascii="Arial" w:hAnsi="Arial" w:cs="Arial"/>
        </w:rPr>
      </w:pPr>
      <w:r>
        <w:rPr>
          <w:rFonts w:ascii="Arial" w:hAnsi="Arial" w:cs="Arial"/>
        </w:rPr>
        <w:lastRenderedPageBreak/>
        <w:t>Low power, low interest: m</w:t>
      </w:r>
      <w:r w:rsidR="005C6BE1" w:rsidRPr="00F54746">
        <w:rPr>
          <w:rFonts w:ascii="Arial" w:hAnsi="Arial" w:cs="Arial"/>
        </w:rPr>
        <w:t>onitor</w:t>
      </w:r>
    </w:p>
    <w:p w:rsidR="00F54746" w:rsidRPr="00F54746" w:rsidRDefault="00F54746" w:rsidP="00F54746">
      <w:pPr>
        <w:spacing w:line="360" w:lineRule="auto"/>
        <w:ind w:left="360" w:firstLine="360"/>
        <w:jc w:val="both"/>
        <w:rPr>
          <w:rFonts w:ascii="Arial" w:hAnsi="Arial" w:cs="Arial"/>
        </w:rPr>
      </w:pPr>
      <w:r w:rsidRPr="00F54746">
        <w:rPr>
          <w:rFonts w:ascii="Arial" w:hAnsi="Arial" w:cs="Arial"/>
        </w:rPr>
        <w:t>Employees – Although employees are integral to BIO&amp;ME's everyday operations, their influence on strategic decisions may be constrained, and their interests may differ. A knowledgeable and driven workforce is crucial for quality assurance and brand reputation. To promote positive engagement, BIO&amp;ME should consistently evaluate employee happiness, offer career advancement possibilities, and uphold transparent communication regarding business objectives and expectations. This fosters a supportive work culture that can result in increased productivity and reduced turnover rates (</w:t>
      </w:r>
      <w:proofErr w:type="spellStart"/>
      <w:r w:rsidRPr="00F54746">
        <w:rPr>
          <w:rFonts w:ascii="Arial" w:hAnsi="Arial" w:cs="Arial"/>
        </w:rPr>
        <w:t>Kihlström</w:t>
      </w:r>
      <w:proofErr w:type="spellEnd"/>
      <w:r w:rsidRPr="00F54746">
        <w:rPr>
          <w:rFonts w:ascii="Arial" w:hAnsi="Arial" w:cs="Arial"/>
        </w:rPr>
        <w:t>, 2018).</w:t>
      </w:r>
    </w:p>
    <w:p w:rsidR="00A145D3" w:rsidRDefault="00AC78B0" w:rsidP="003C008D">
      <w:pPr>
        <w:pStyle w:val="Heading1"/>
        <w:jc w:val="center"/>
        <w:rPr>
          <w:rFonts w:ascii="Arial" w:hAnsi="Arial" w:cs="Arial"/>
          <w:sz w:val="24"/>
          <w:szCs w:val="24"/>
        </w:rPr>
      </w:pPr>
      <w:bookmarkStart w:id="21" w:name="_Toc182435356"/>
      <w:bookmarkStart w:id="22" w:name="_Toc182476730"/>
      <w:r w:rsidRPr="00A145D3">
        <w:rPr>
          <w:rFonts w:ascii="Arial" w:hAnsi="Arial" w:cs="Arial"/>
          <w:sz w:val="24"/>
          <w:szCs w:val="24"/>
        </w:rPr>
        <w:t>Stra</w:t>
      </w:r>
      <w:r w:rsidR="00A145D3" w:rsidRPr="00A145D3">
        <w:rPr>
          <w:rFonts w:ascii="Arial" w:hAnsi="Arial" w:cs="Arial"/>
          <w:sz w:val="24"/>
          <w:szCs w:val="24"/>
        </w:rPr>
        <w:t xml:space="preserve">tegic Options for BIO&amp;ME </w:t>
      </w:r>
      <w:proofErr w:type="gramStart"/>
      <w:r w:rsidR="00A145D3" w:rsidRPr="00A145D3">
        <w:rPr>
          <w:rFonts w:ascii="Arial" w:hAnsi="Arial" w:cs="Arial"/>
          <w:sz w:val="24"/>
          <w:szCs w:val="24"/>
        </w:rPr>
        <w:t>company</w:t>
      </w:r>
      <w:proofErr w:type="gramEnd"/>
      <w:r w:rsidR="00A145D3" w:rsidRPr="00A145D3">
        <w:rPr>
          <w:rFonts w:ascii="Arial" w:hAnsi="Arial" w:cs="Arial"/>
          <w:sz w:val="24"/>
          <w:szCs w:val="24"/>
        </w:rPr>
        <w:t xml:space="preserve"> u</w:t>
      </w:r>
      <w:r w:rsidRPr="00A145D3">
        <w:rPr>
          <w:rFonts w:ascii="Arial" w:hAnsi="Arial" w:cs="Arial"/>
          <w:sz w:val="24"/>
          <w:szCs w:val="24"/>
        </w:rPr>
        <w:t>sing the</w:t>
      </w:r>
      <w:r w:rsidR="00A145D3" w:rsidRPr="00A145D3">
        <w:rPr>
          <w:rFonts w:ascii="Arial" w:hAnsi="Arial" w:cs="Arial"/>
          <w:sz w:val="24"/>
          <w:szCs w:val="24"/>
        </w:rPr>
        <w:t xml:space="preserve"> model VMOST</w:t>
      </w:r>
      <w:bookmarkEnd w:id="21"/>
      <w:bookmarkEnd w:id="22"/>
    </w:p>
    <w:p w:rsidR="00C64D93" w:rsidRDefault="00C64D93" w:rsidP="00C64D93"/>
    <w:p w:rsidR="004725D7" w:rsidRPr="004725D7" w:rsidRDefault="004725D7" w:rsidP="004725D7">
      <w:pPr>
        <w:spacing w:line="360" w:lineRule="auto"/>
        <w:rPr>
          <w:rFonts w:ascii="Arial" w:hAnsi="Arial" w:cs="Arial"/>
        </w:rPr>
      </w:pPr>
      <w:r w:rsidRPr="004725D7">
        <w:rPr>
          <w:rFonts w:ascii="Arial" w:hAnsi="Arial" w:cs="Arial"/>
        </w:rPr>
        <w:t>The VMOST model, which includes vision, purpose, goals, strategy, and tactics, gives BIO&amp;ME a structured way to come up with strategic options by using information from previous assessments of the internal and external environments.</w:t>
      </w:r>
    </w:p>
    <w:p w:rsidR="00AC78B0" w:rsidRPr="00A145D3" w:rsidRDefault="00AC78B0" w:rsidP="00A145D3">
      <w:pPr>
        <w:pStyle w:val="Heading2"/>
        <w:spacing w:line="360" w:lineRule="auto"/>
        <w:jc w:val="both"/>
        <w:rPr>
          <w:rFonts w:ascii="Arial" w:hAnsi="Arial" w:cs="Arial"/>
          <w:sz w:val="24"/>
          <w:szCs w:val="24"/>
        </w:rPr>
      </w:pPr>
      <w:bookmarkStart w:id="23" w:name="_Toc182435357"/>
      <w:bookmarkStart w:id="24" w:name="_Toc182476731"/>
      <w:r w:rsidRPr="00A145D3">
        <w:rPr>
          <w:rFonts w:ascii="Arial" w:hAnsi="Arial" w:cs="Arial"/>
          <w:sz w:val="24"/>
          <w:szCs w:val="24"/>
        </w:rPr>
        <w:t>Objectives:</w:t>
      </w:r>
      <w:bookmarkEnd w:id="23"/>
      <w:bookmarkEnd w:id="24"/>
    </w:p>
    <w:p w:rsidR="00F54746" w:rsidRDefault="00F54746" w:rsidP="00F54746">
      <w:pPr>
        <w:numPr>
          <w:ilvl w:val="0"/>
          <w:numId w:val="5"/>
        </w:numPr>
        <w:spacing w:line="360" w:lineRule="auto"/>
        <w:jc w:val="both"/>
        <w:rPr>
          <w:rFonts w:ascii="Arial" w:hAnsi="Arial" w:cs="Arial"/>
        </w:rPr>
      </w:pPr>
      <w:r w:rsidRPr="00F54746">
        <w:rPr>
          <w:rFonts w:ascii="Arial" w:hAnsi="Arial" w:cs="Arial"/>
          <w:b/>
        </w:rPr>
        <w:t>Achieve a 15% increase in market share</w:t>
      </w:r>
      <w:r w:rsidRPr="00F54746">
        <w:rPr>
          <w:rFonts w:ascii="Arial" w:hAnsi="Arial" w:cs="Arial"/>
        </w:rPr>
        <w:t xml:space="preserve"> within the health-conscious category over </w:t>
      </w:r>
      <w:r>
        <w:rPr>
          <w:rFonts w:ascii="Arial" w:hAnsi="Arial" w:cs="Arial"/>
        </w:rPr>
        <w:t xml:space="preserve">the next three years. </w:t>
      </w:r>
    </w:p>
    <w:p w:rsidR="00F54746" w:rsidRPr="00F54746" w:rsidRDefault="00F54746" w:rsidP="00F54746">
      <w:pPr>
        <w:numPr>
          <w:ilvl w:val="0"/>
          <w:numId w:val="5"/>
        </w:numPr>
        <w:spacing w:line="360" w:lineRule="auto"/>
        <w:jc w:val="both"/>
        <w:rPr>
          <w:rFonts w:ascii="Arial" w:hAnsi="Arial" w:cs="Arial"/>
        </w:rPr>
      </w:pPr>
      <w:r w:rsidRPr="00F54746">
        <w:rPr>
          <w:rFonts w:ascii="Arial" w:hAnsi="Arial" w:cs="Arial"/>
          <w:b/>
        </w:rPr>
        <w:t>Introduce two new product lines</w:t>
      </w:r>
      <w:r w:rsidRPr="00F54746">
        <w:rPr>
          <w:rFonts w:ascii="Arial" w:hAnsi="Arial" w:cs="Arial"/>
        </w:rPr>
        <w:t xml:space="preserve"> centered on plant-based and allergen-free granola options within 18 months.</w:t>
      </w:r>
    </w:p>
    <w:p w:rsidR="00AC78B0" w:rsidRPr="00F10B24" w:rsidRDefault="00F54746" w:rsidP="00F54746">
      <w:pPr>
        <w:numPr>
          <w:ilvl w:val="0"/>
          <w:numId w:val="5"/>
        </w:numPr>
        <w:spacing w:line="360" w:lineRule="auto"/>
        <w:jc w:val="both"/>
        <w:rPr>
          <w:rFonts w:ascii="Arial" w:hAnsi="Arial" w:cs="Arial"/>
        </w:rPr>
      </w:pPr>
      <w:r w:rsidRPr="00F54746">
        <w:rPr>
          <w:rFonts w:ascii="Arial" w:hAnsi="Arial" w:cs="Arial"/>
          <w:b/>
        </w:rPr>
        <w:t>Acquire a 30% decrease in packaging waste</w:t>
      </w:r>
      <w:r w:rsidRPr="00F54746">
        <w:rPr>
          <w:rFonts w:ascii="Arial" w:hAnsi="Arial" w:cs="Arial"/>
        </w:rPr>
        <w:t xml:space="preserve"> by 2025 via sustainable sourcing and packaging technologies.</w:t>
      </w:r>
    </w:p>
    <w:p w:rsidR="00AC78B0" w:rsidRPr="00A145D3" w:rsidRDefault="00AC78B0" w:rsidP="00A145D3">
      <w:pPr>
        <w:pStyle w:val="Heading2"/>
        <w:rPr>
          <w:rFonts w:ascii="Arial" w:hAnsi="Arial" w:cs="Arial"/>
          <w:sz w:val="24"/>
          <w:szCs w:val="24"/>
        </w:rPr>
      </w:pPr>
      <w:bookmarkStart w:id="25" w:name="_Toc182435358"/>
      <w:bookmarkStart w:id="26" w:name="_Toc182476732"/>
      <w:r w:rsidRPr="00A145D3">
        <w:rPr>
          <w:rFonts w:ascii="Arial" w:hAnsi="Arial" w:cs="Arial"/>
          <w:sz w:val="24"/>
          <w:szCs w:val="24"/>
        </w:rPr>
        <w:t>Strategies:</w:t>
      </w:r>
      <w:bookmarkEnd w:id="25"/>
      <w:bookmarkEnd w:id="26"/>
    </w:p>
    <w:p w:rsidR="00F54746" w:rsidRPr="00F54746" w:rsidRDefault="00F54746" w:rsidP="00F54746">
      <w:pPr>
        <w:spacing w:line="360" w:lineRule="auto"/>
        <w:jc w:val="both"/>
        <w:rPr>
          <w:rFonts w:ascii="Arial" w:hAnsi="Arial" w:cs="Arial"/>
        </w:rPr>
      </w:pPr>
      <w:r w:rsidRPr="00F54746">
        <w:rPr>
          <w:rFonts w:ascii="Arial" w:hAnsi="Arial" w:cs="Arial"/>
        </w:rPr>
        <w:t>1</w:t>
      </w:r>
      <w:r w:rsidRPr="00EA50DA">
        <w:rPr>
          <w:rFonts w:ascii="Arial" w:hAnsi="Arial" w:cs="Arial"/>
          <w:b/>
        </w:rPr>
        <w:t>. Diversification of Products:</w:t>
      </w:r>
      <w:r w:rsidRPr="00F54746">
        <w:rPr>
          <w:rFonts w:ascii="Arial" w:hAnsi="Arial" w:cs="Arial"/>
        </w:rPr>
        <w:t xml:space="preserve"> BIO&amp;ME can increase the range of products it offers by adding plant-based granola bars and allergen-free alternatives. This corresponds with the increasing consumer demand for varied health goods and overcomes deficiencies noted in the PESTEL analysis about health trends and regulatory oversight (Johnson et al., 2020).</w:t>
      </w:r>
    </w:p>
    <w:p w:rsidR="004725D7" w:rsidRDefault="00F54746" w:rsidP="00F54746">
      <w:pPr>
        <w:spacing w:line="360" w:lineRule="auto"/>
        <w:jc w:val="both"/>
        <w:rPr>
          <w:rFonts w:ascii="Arial" w:hAnsi="Arial" w:cs="Arial"/>
          <w:b/>
        </w:rPr>
      </w:pPr>
      <w:r w:rsidRPr="00F54746">
        <w:rPr>
          <w:rFonts w:ascii="Arial" w:hAnsi="Arial" w:cs="Arial"/>
        </w:rPr>
        <w:t xml:space="preserve">2. </w:t>
      </w:r>
      <w:r w:rsidR="004725D7" w:rsidRPr="004725D7">
        <w:rPr>
          <w:rFonts w:ascii="Arial" w:hAnsi="Arial" w:cs="Arial"/>
          <w:b/>
        </w:rPr>
        <w:t>Enhancement of Sustainable Practices:</w:t>
      </w:r>
      <w:r w:rsidR="004725D7" w:rsidRPr="004725D7">
        <w:rPr>
          <w:rFonts w:ascii="Arial" w:hAnsi="Arial" w:cs="Arial"/>
        </w:rPr>
        <w:t xml:space="preserve"> By enhancing sustainability initiatives, BIO&amp;ME will demonstrate its commitment to eco-friendly practices and attract environmentally conscious consumers.</w:t>
      </w:r>
    </w:p>
    <w:p w:rsidR="00F54746" w:rsidRPr="00F54746" w:rsidRDefault="00F54746" w:rsidP="00F54746">
      <w:pPr>
        <w:spacing w:line="360" w:lineRule="auto"/>
        <w:jc w:val="both"/>
        <w:rPr>
          <w:rFonts w:ascii="Arial" w:hAnsi="Arial" w:cs="Arial"/>
        </w:rPr>
      </w:pPr>
      <w:r w:rsidRPr="00F54746">
        <w:rPr>
          <w:rFonts w:ascii="Arial" w:hAnsi="Arial" w:cs="Arial"/>
        </w:rPr>
        <w:lastRenderedPageBreak/>
        <w:t>This tactic lowers operational risks and improves brand credibility by implementing more environmentally friendly packaging options and obtaining components from approved sustainable vendors (</w:t>
      </w:r>
      <w:proofErr w:type="spellStart"/>
      <w:r w:rsidRPr="00F54746">
        <w:rPr>
          <w:rFonts w:ascii="Arial" w:hAnsi="Arial" w:cs="Arial"/>
        </w:rPr>
        <w:t>Rothaermel</w:t>
      </w:r>
      <w:proofErr w:type="spellEnd"/>
      <w:r w:rsidRPr="00F54746">
        <w:rPr>
          <w:rFonts w:ascii="Arial" w:hAnsi="Arial" w:cs="Arial"/>
        </w:rPr>
        <w:t>, 2021).</w:t>
      </w:r>
    </w:p>
    <w:p w:rsidR="00A145D3" w:rsidRPr="00F54746" w:rsidRDefault="00F54746" w:rsidP="00F54746">
      <w:pPr>
        <w:spacing w:line="360" w:lineRule="auto"/>
        <w:jc w:val="both"/>
        <w:rPr>
          <w:rFonts w:ascii="Arial" w:hAnsi="Arial" w:cs="Arial"/>
        </w:rPr>
      </w:pPr>
      <w:r w:rsidRPr="00F54746">
        <w:rPr>
          <w:rFonts w:ascii="Arial" w:hAnsi="Arial" w:cs="Arial"/>
        </w:rPr>
        <w:t xml:space="preserve">3. </w:t>
      </w:r>
      <w:r w:rsidRPr="00EA50DA">
        <w:rPr>
          <w:rFonts w:ascii="Arial" w:hAnsi="Arial" w:cs="Arial"/>
          <w:b/>
        </w:rPr>
        <w:t>Strategic Alliances and Partnerships:</w:t>
      </w:r>
      <w:r w:rsidRPr="00F54746">
        <w:rPr>
          <w:rFonts w:ascii="Arial" w:hAnsi="Arial" w:cs="Arial"/>
        </w:rPr>
        <w:t xml:space="preserve"> BIO&amp;ME can increase its market presence and awareness by establishing alliances with online platforms and retailers that specialize in health. Partnerships with dietitians and wellness influencers can enhance credibility and elevate customer engagement. This approach responds to the external competition forces indicated in the PESTEL analysis, allowing BIO&amp;ME to increase its market share (Freeman, 1984).</w:t>
      </w:r>
    </w:p>
    <w:p w:rsidR="00AC78B0" w:rsidRDefault="00AC78B0" w:rsidP="00A145D3">
      <w:pPr>
        <w:pStyle w:val="Heading2"/>
        <w:rPr>
          <w:rFonts w:ascii="Arial" w:hAnsi="Arial" w:cs="Arial"/>
          <w:sz w:val="24"/>
          <w:szCs w:val="24"/>
        </w:rPr>
      </w:pPr>
      <w:bookmarkStart w:id="27" w:name="_Toc182435359"/>
      <w:bookmarkStart w:id="28" w:name="_Toc182476733"/>
      <w:r w:rsidRPr="00A145D3">
        <w:rPr>
          <w:rFonts w:ascii="Arial" w:hAnsi="Arial" w:cs="Arial"/>
          <w:sz w:val="24"/>
          <w:szCs w:val="24"/>
        </w:rPr>
        <w:t>Long-Term Sustainability of the Business</w:t>
      </w:r>
      <w:bookmarkEnd w:id="27"/>
      <w:bookmarkEnd w:id="28"/>
    </w:p>
    <w:p w:rsidR="00C64D93" w:rsidRPr="00C64D93" w:rsidRDefault="00C64D93" w:rsidP="00C64D93"/>
    <w:p w:rsidR="00EA50DA" w:rsidRPr="00EA50DA" w:rsidRDefault="00EA50DA" w:rsidP="00EA50DA">
      <w:pPr>
        <w:spacing w:line="360" w:lineRule="auto"/>
        <w:ind w:firstLine="720"/>
        <w:jc w:val="both"/>
        <w:rPr>
          <w:rFonts w:ascii="Arial" w:hAnsi="Arial" w:cs="Arial"/>
          <w:bCs/>
        </w:rPr>
      </w:pPr>
      <w:r w:rsidRPr="00EA50DA">
        <w:rPr>
          <w:rFonts w:ascii="Arial" w:hAnsi="Arial" w:cs="Arial"/>
          <w:bCs/>
        </w:rPr>
        <w:t>In a competitive and quickly ch</w:t>
      </w:r>
      <w:r>
        <w:rPr>
          <w:rFonts w:ascii="Arial" w:hAnsi="Arial" w:cs="Arial"/>
          <w:bCs/>
        </w:rPr>
        <w:t>anging health food business, BIO&amp;ME</w:t>
      </w:r>
      <w:r w:rsidRPr="00EA50DA">
        <w:rPr>
          <w:rFonts w:ascii="Arial" w:hAnsi="Arial" w:cs="Arial"/>
          <w:bCs/>
        </w:rPr>
        <w:t>'s long-term viability depen</w:t>
      </w:r>
      <w:r>
        <w:rPr>
          <w:rFonts w:ascii="Arial" w:hAnsi="Arial" w:cs="Arial"/>
          <w:bCs/>
        </w:rPr>
        <w:t>ds on its strategic alliances and partnerships</w:t>
      </w:r>
      <w:r w:rsidRPr="00EA50DA">
        <w:rPr>
          <w:rFonts w:ascii="Arial" w:hAnsi="Arial" w:cs="Arial"/>
          <w:bCs/>
        </w:rPr>
        <w:t xml:space="preserve">. By cultivating alliances </w:t>
      </w:r>
      <w:r>
        <w:rPr>
          <w:rFonts w:ascii="Arial" w:hAnsi="Arial" w:cs="Arial"/>
          <w:bCs/>
        </w:rPr>
        <w:t>with essential stakeholders, BIO&amp;ME</w:t>
      </w:r>
      <w:r w:rsidRPr="00EA50DA">
        <w:rPr>
          <w:rFonts w:ascii="Arial" w:hAnsi="Arial" w:cs="Arial"/>
          <w:bCs/>
        </w:rPr>
        <w:t xml:space="preserve"> may utilize external knowledge, broaden its influence, and strengthen its operational resilience, all of which are vital for attaining sustainable growth (Freeman, 1984).</w:t>
      </w:r>
    </w:p>
    <w:p w:rsidR="00EA50DA" w:rsidRPr="00EA50DA" w:rsidRDefault="00EA50DA" w:rsidP="00EA50DA">
      <w:pPr>
        <w:spacing w:line="360" w:lineRule="auto"/>
        <w:ind w:firstLine="720"/>
        <w:jc w:val="both"/>
        <w:rPr>
          <w:rFonts w:ascii="Arial" w:hAnsi="Arial" w:cs="Arial"/>
          <w:bCs/>
        </w:rPr>
      </w:pPr>
      <w:r w:rsidRPr="00EA50DA">
        <w:rPr>
          <w:rFonts w:ascii="Arial" w:hAnsi="Arial" w:cs="Arial"/>
          <w:bCs/>
        </w:rPr>
        <w:t>Initially, collaborations with specialists in</w:t>
      </w:r>
      <w:r>
        <w:rPr>
          <w:rFonts w:ascii="Arial" w:hAnsi="Arial" w:cs="Arial"/>
          <w:bCs/>
        </w:rPr>
        <w:t xml:space="preserve"> health and nutrition enable BIO&amp;ME</w:t>
      </w:r>
      <w:r w:rsidRPr="00EA50DA">
        <w:rPr>
          <w:rFonts w:ascii="Arial" w:hAnsi="Arial" w:cs="Arial"/>
          <w:bCs/>
        </w:rPr>
        <w:t xml:space="preserve"> to enhance its authority and credibility within the niche of gut health-oriented meals. Partnering with prominent nutritionists, health professionals, and researchers not only bolsters the scientific foundation</w:t>
      </w:r>
      <w:r>
        <w:rPr>
          <w:rFonts w:ascii="Arial" w:hAnsi="Arial" w:cs="Arial"/>
          <w:bCs/>
        </w:rPr>
        <w:t xml:space="preserve"> of BIO&amp;ME</w:t>
      </w:r>
      <w:r w:rsidRPr="00EA50DA">
        <w:rPr>
          <w:rFonts w:ascii="Arial" w:hAnsi="Arial" w:cs="Arial"/>
          <w:bCs/>
        </w:rPr>
        <w:t>’s products but also reinforces customer confidence. This is especially significant due to the increasing consumer demand for reliable, research-supported heal</w:t>
      </w:r>
      <w:r>
        <w:rPr>
          <w:rFonts w:ascii="Arial" w:hAnsi="Arial" w:cs="Arial"/>
          <w:bCs/>
        </w:rPr>
        <w:t>th products. By establishing BIO&amp;ME</w:t>
      </w:r>
      <w:r w:rsidRPr="00EA50DA">
        <w:rPr>
          <w:rFonts w:ascii="Arial" w:hAnsi="Arial" w:cs="Arial"/>
          <w:bCs/>
        </w:rPr>
        <w:t xml:space="preserve"> as a pioneer in functional, prebiotic-rich meals and validating its health claims, these collaborations help the company stand out in a congested industry and cultivate a devoted following of customers (Google Books, 2024).</w:t>
      </w:r>
    </w:p>
    <w:p w:rsidR="004725D7" w:rsidRDefault="00EA50DA" w:rsidP="00EA50DA">
      <w:pPr>
        <w:spacing w:line="360" w:lineRule="auto"/>
        <w:ind w:firstLine="720"/>
        <w:jc w:val="both"/>
        <w:rPr>
          <w:rFonts w:ascii="Arial" w:hAnsi="Arial" w:cs="Arial"/>
          <w:bCs/>
        </w:rPr>
      </w:pPr>
      <w:r w:rsidRPr="00EA50DA">
        <w:rPr>
          <w:rFonts w:ascii="Arial" w:hAnsi="Arial" w:cs="Arial"/>
          <w:bCs/>
        </w:rPr>
        <w:t>Moreover, supply chain collaborations are essential for achieving long-term sustainability through the procurement of dependable, ethically produced commodities. Collaborating with sustainable farms and ecologically r</w:t>
      </w:r>
      <w:r>
        <w:rPr>
          <w:rFonts w:ascii="Arial" w:hAnsi="Arial" w:cs="Arial"/>
          <w:bCs/>
        </w:rPr>
        <w:t>esponsible suppliers enables BIO&amp;ME</w:t>
      </w:r>
      <w:r w:rsidRPr="00EA50DA">
        <w:rPr>
          <w:rFonts w:ascii="Arial" w:hAnsi="Arial" w:cs="Arial"/>
          <w:bCs/>
        </w:rPr>
        <w:t xml:space="preserve"> to continually fulfill consumer demand for natural and eco-friendly products. </w:t>
      </w:r>
      <w:r w:rsidR="004725D7" w:rsidRPr="004725D7">
        <w:rPr>
          <w:rFonts w:ascii="Arial" w:hAnsi="Arial" w:cs="Arial"/>
          <w:bCs/>
        </w:rPr>
        <w:t>As environmental issues escalate, consumers are increasingly inclined toward businesses that demonstrate transparent and sustainable sourcing procedures (Connelly et al., 2011).</w:t>
      </w:r>
    </w:p>
    <w:p w:rsidR="00EA50DA" w:rsidRPr="00EA50DA" w:rsidRDefault="00EA50DA" w:rsidP="00EA50DA">
      <w:pPr>
        <w:spacing w:line="360" w:lineRule="auto"/>
        <w:ind w:firstLine="720"/>
        <w:jc w:val="both"/>
        <w:rPr>
          <w:rFonts w:ascii="Arial" w:hAnsi="Arial" w:cs="Arial"/>
          <w:bCs/>
        </w:rPr>
      </w:pPr>
      <w:r w:rsidRPr="00EA50DA">
        <w:rPr>
          <w:rFonts w:ascii="Arial" w:hAnsi="Arial" w:cs="Arial"/>
          <w:bCs/>
        </w:rPr>
        <w:t xml:space="preserve">By partnering with suppliers who share these principles, BIO&amp;ME not only bolsters its brand name but also reduces risks linked to supply chain interruptions or ingredient shortages. The resilience in sourcing is essential for sustaining product quality and operational stability </w:t>
      </w:r>
      <w:r w:rsidRPr="00EA50DA">
        <w:rPr>
          <w:rFonts w:ascii="Arial" w:hAnsi="Arial" w:cs="Arial"/>
          <w:bCs/>
        </w:rPr>
        <w:lastRenderedPageBreak/>
        <w:t>over time, particularly in a market that requires consistent, high-quality ingredients (</w:t>
      </w:r>
      <w:proofErr w:type="spellStart"/>
      <w:r w:rsidRPr="00EA50DA">
        <w:rPr>
          <w:rFonts w:ascii="Arial" w:hAnsi="Arial" w:cs="Arial"/>
          <w:bCs/>
        </w:rPr>
        <w:t>Touboulic</w:t>
      </w:r>
      <w:proofErr w:type="spellEnd"/>
      <w:r w:rsidRPr="00EA50DA">
        <w:rPr>
          <w:rFonts w:ascii="Arial" w:hAnsi="Arial" w:cs="Arial"/>
          <w:bCs/>
        </w:rPr>
        <w:t xml:space="preserve"> et al., 2014).</w:t>
      </w:r>
    </w:p>
    <w:p w:rsidR="00EA50DA" w:rsidRPr="00EA50DA" w:rsidRDefault="00EA50DA" w:rsidP="00EA50DA">
      <w:pPr>
        <w:spacing w:line="360" w:lineRule="auto"/>
        <w:ind w:firstLine="720"/>
        <w:jc w:val="both"/>
        <w:rPr>
          <w:rFonts w:ascii="Arial" w:hAnsi="Arial" w:cs="Arial"/>
          <w:bCs/>
        </w:rPr>
      </w:pPr>
      <w:r w:rsidRPr="00EA50DA">
        <w:rPr>
          <w:rFonts w:ascii="Arial" w:hAnsi="Arial" w:cs="Arial"/>
          <w:bCs/>
        </w:rPr>
        <w:t>Retail and distribution alliances are crucial for enhancing BIO&amp;ME's market presence while avoiding the substantial expenses associated with independent distribution. Partnering with both digital and phys</w:t>
      </w:r>
      <w:r>
        <w:rPr>
          <w:rFonts w:ascii="Arial" w:hAnsi="Arial" w:cs="Arial"/>
          <w:bCs/>
        </w:rPr>
        <w:t>ical retail entities enables BIO&amp;ME</w:t>
      </w:r>
      <w:r w:rsidRPr="00EA50DA">
        <w:rPr>
          <w:rFonts w:ascii="Arial" w:hAnsi="Arial" w:cs="Arial"/>
          <w:bCs/>
        </w:rPr>
        <w:t xml:space="preserve"> to expand its reach effectively, leveraging established networks to access a wider client demographic. E-commerce collaborations enable </w:t>
      </w:r>
      <w:r>
        <w:rPr>
          <w:rFonts w:ascii="Arial" w:hAnsi="Arial" w:cs="Arial"/>
          <w:bCs/>
        </w:rPr>
        <w:t>BIO&amp;ME</w:t>
      </w:r>
      <w:r w:rsidRPr="00EA50DA">
        <w:rPr>
          <w:rFonts w:ascii="Arial" w:hAnsi="Arial" w:cs="Arial"/>
          <w:bCs/>
        </w:rPr>
        <w:t xml:space="preserve"> to leverage the increasing trend of online health food buying, targeting consumers who value convenience. Collaborations with health-oriented or upscale supermarket chains augment brand exposure among target consumers and confer higher credibility t</w:t>
      </w:r>
      <w:r>
        <w:rPr>
          <w:rFonts w:ascii="Arial" w:hAnsi="Arial" w:cs="Arial"/>
          <w:bCs/>
        </w:rPr>
        <w:t>o BIO&amp;ME</w:t>
      </w:r>
      <w:r w:rsidRPr="00EA50DA">
        <w:rPr>
          <w:rFonts w:ascii="Arial" w:hAnsi="Arial" w:cs="Arial"/>
          <w:bCs/>
        </w:rPr>
        <w:t xml:space="preserve"> through affiliation with reputable merchants (</w:t>
      </w:r>
      <w:proofErr w:type="spellStart"/>
      <w:r w:rsidRPr="00EA50DA">
        <w:rPr>
          <w:rFonts w:ascii="Arial" w:hAnsi="Arial" w:cs="Arial"/>
          <w:bCs/>
        </w:rPr>
        <w:t>Riandita</w:t>
      </w:r>
      <w:proofErr w:type="spellEnd"/>
      <w:r w:rsidRPr="00EA50DA">
        <w:rPr>
          <w:rFonts w:ascii="Arial" w:hAnsi="Arial" w:cs="Arial"/>
          <w:bCs/>
        </w:rPr>
        <w:t>, 2022).</w:t>
      </w:r>
    </w:p>
    <w:p w:rsidR="00EA50DA" w:rsidRPr="00EA50DA" w:rsidRDefault="00EA50DA" w:rsidP="00EA50DA">
      <w:pPr>
        <w:spacing w:line="360" w:lineRule="auto"/>
        <w:ind w:firstLine="720"/>
        <w:jc w:val="both"/>
        <w:rPr>
          <w:rFonts w:ascii="Arial" w:hAnsi="Arial" w:cs="Arial"/>
          <w:bCs/>
        </w:rPr>
      </w:pPr>
      <w:r w:rsidRPr="00EA50DA">
        <w:rPr>
          <w:rFonts w:ascii="Arial" w:hAnsi="Arial" w:cs="Arial"/>
          <w:bCs/>
        </w:rPr>
        <w:t>Moreover, collaborations wi</w:t>
      </w:r>
      <w:r>
        <w:rPr>
          <w:rFonts w:ascii="Arial" w:hAnsi="Arial" w:cs="Arial"/>
          <w:bCs/>
        </w:rPr>
        <w:t>th packaging inventors allow BIO&amp;ME</w:t>
      </w:r>
      <w:r w:rsidRPr="00EA50DA">
        <w:rPr>
          <w:rFonts w:ascii="Arial" w:hAnsi="Arial" w:cs="Arial"/>
          <w:bCs/>
        </w:rPr>
        <w:t xml:space="preserve"> to implement sustainable packaging solutions, fulfilling customer demands for sustainability and complying with environmental standards. Through enga</w:t>
      </w:r>
      <w:r>
        <w:rPr>
          <w:rFonts w:ascii="Arial" w:hAnsi="Arial" w:cs="Arial"/>
          <w:bCs/>
        </w:rPr>
        <w:t xml:space="preserve">ging in these relationships, BIO&amp;ME </w:t>
      </w:r>
      <w:r w:rsidRPr="00EA50DA">
        <w:rPr>
          <w:rFonts w:ascii="Arial" w:hAnsi="Arial" w:cs="Arial"/>
          <w:bCs/>
        </w:rPr>
        <w:t>may obtain more sustainable and cost-efficient packaging solutions that minimize waste and advance its environmental objectives (</w:t>
      </w:r>
      <w:proofErr w:type="spellStart"/>
      <w:r w:rsidRPr="00EA50DA">
        <w:rPr>
          <w:rFonts w:ascii="Arial" w:hAnsi="Arial" w:cs="Arial"/>
          <w:bCs/>
        </w:rPr>
        <w:t>Suyog</w:t>
      </w:r>
      <w:proofErr w:type="spellEnd"/>
      <w:r w:rsidRPr="00EA50DA">
        <w:rPr>
          <w:rFonts w:ascii="Arial" w:hAnsi="Arial" w:cs="Arial"/>
          <w:bCs/>
        </w:rPr>
        <w:t>, 2012).</w:t>
      </w:r>
    </w:p>
    <w:p w:rsidR="003C008D" w:rsidRDefault="004725D7" w:rsidP="00EA50DA">
      <w:pPr>
        <w:spacing w:line="360" w:lineRule="auto"/>
        <w:ind w:firstLine="720"/>
        <w:jc w:val="both"/>
        <w:rPr>
          <w:rFonts w:ascii="Arial" w:hAnsi="Arial" w:cs="Arial"/>
          <w:bCs/>
        </w:rPr>
      </w:pPr>
      <w:r w:rsidRPr="004725D7">
        <w:rPr>
          <w:rFonts w:ascii="Arial" w:hAnsi="Arial" w:cs="Arial"/>
          <w:bCs/>
        </w:rPr>
        <w:t>In conclusion, the VMOST model shows strategic options that are compatible with BIO&amp;ME's internal strengths and the outside world. This builds a base for long-term growth and resilience in a tough environment. By consistently adjusting to market developments and emphasizing sustainability, BIO&amp;ME can secure its enduring success and positively influence consumer health and the environment.</w:t>
      </w:r>
    </w:p>
    <w:p w:rsidR="003C008D" w:rsidRDefault="003C008D" w:rsidP="00EA50DA">
      <w:pPr>
        <w:spacing w:line="360" w:lineRule="auto"/>
        <w:ind w:firstLine="720"/>
        <w:jc w:val="both"/>
        <w:rPr>
          <w:rFonts w:ascii="Arial" w:hAnsi="Arial" w:cs="Arial"/>
          <w:bCs/>
        </w:rPr>
      </w:pPr>
    </w:p>
    <w:p w:rsidR="003C008D" w:rsidRDefault="003C008D" w:rsidP="00EA50DA">
      <w:pPr>
        <w:spacing w:line="360" w:lineRule="auto"/>
        <w:ind w:firstLine="720"/>
        <w:jc w:val="both"/>
        <w:rPr>
          <w:rFonts w:ascii="Arial" w:hAnsi="Arial" w:cs="Arial"/>
          <w:bCs/>
        </w:rPr>
      </w:pPr>
    </w:p>
    <w:p w:rsidR="003C008D" w:rsidRDefault="003C008D" w:rsidP="00EA50DA">
      <w:pPr>
        <w:spacing w:line="360" w:lineRule="auto"/>
        <w:ind w:firstLine="720"/>
        <w:jc w:val="both"/>
        <w:rPr>
          <w:rFonts w:ascii="Arial" w:hAnsi="Arial" w:cs="Arial"/>
          <w:bCs/>
        </w:rPr>
      </w:pPr>
    </w:p>
    <w:p w:rsidR="003C008D" w:rsidRDefault="003C008D" w:rsidP="00EA50DA">
      <w:pPr>
        <w:spacing w:line="360" w:lineRule="auto"/>
        <w:ind w:firstLine="720"/>
        <w:jc w:val="both"/>
        <w:rPr>
          <w:rFonts w:ascii="Arial" w:hAnsi="Arial" w:cs="Arial"/>
          <w:bCs/>
        </w:rPr>
      </w:pPr>
    </w:p>
    <w:p w:rsidR="008315E1" w:rsidRDefault="008315E1" w:rsidP="00EA50DA">
      <w:pPr>
        <w:spacing w:line="360" w:lineRule="auto"/>
        <w:ind w:firstLine="720"/>
        <w:jc w:val="both"/>
        <w:rPr>
          <w:rFonts w:ascii="Arial" w:hAnsi="Arial" w:cs="Arial"/>
          <w:bCs/>
        </w:rPr>
      </w:pPr>
    </w:p>
    <w:p w:rsidR="003C008D" w:rsidRDefault="003C008D" w:rsidP="00EA50DA">
      <w:pPr>
        <w:spacing w:line="360" w:lineRule="auto"/>
        <w:ind w:firstLine="720"/>
        <w:jc w:val="both"/>
        <w:rPr>
          <w:rFonts w:ascii="Arial" w:hAnsi="Arial" w:cs="Arial"/>
          <w:bCs/>
        </w:rPr>
      </w:pPr>
    </w:p>
    <w:p w:rsidR="003C008D" w:rsidRPr="00A145D3" w:rsidRDefault="003C008D" w:rsidP="00EA50DA">
      <w:pPr>
        <w:spacing w:line="360" w:lineRule="auto"/>
        <w:ind w:firstLine="720"/>
        <w:jc w:val="both"/>
        <w:rPr>
          <w:rFonts w:ascii="Arial" w:hAnsi="Arial" w:cs="Arial"/>
          <w:bCs/>
        </w:rPr>
      </w:pPr>
    </w:p>
    <w:p w:rsidR="00995C25" w:rsidRDefault="00995C25" w:rsidP="003C008D">
      <w:pPr>
        <w:pStyle w:val="Heading1"/>
        <w:jc w:val="center"/>
        <w:rPr>
          <w:rFonts w:ascii="Arial" w:hAnsi="Arial" w:cs="Arial"/>
          <w:sz w:val="24"/>
          <w:szCs w:val="24"/>
        </w:rPr>
      </w:pPr>
      <w:bookmarkStart w:id="29" w:name="_Toc182435360"/>
      <w:bookmarkStart w:id="30" w:name="_Toc182476734"/>
      <w:r w:rsidRPr="00A145D3">
        <w:rPr>
          <w:rFonts w:ascii="Arial" w:hAnsi="Arial" w:cs="Arial"/>
          <w:sz w:val="24"/>
          <w:szCs w:val="24"/>
        </w:rPr>
        <w:lastRenderedPageBreak/>
        <w:t>K</w:t>
      </w:r>
      <w:r w:rsidR="00584CBE" w:rsidRPr="00A145D3">
        <w:rPr>
          <w:rFonts w:ascii="Arial" w:hAnsi="Arial" w:cs="Arial"/>
          <w:sz w:val="24"/>
          <w:szCs w:val="24"/>
        </w:rPr>
        <w:t>ey strategic recommendations</w:t>
      </w:r>
      <w:r w:rsidR="00447E2A">
        <w:rPr>
          <w:rFonts w:ascii="Arial" w:hAnsi="Arial" w:cs="Arial"/>
          <w:sz w:val="24"/>
          <w:szCs w:val="24"/>
        </w:rPr>
        <w:t xml:space="preserve"> using</w:t>
      </w:r>
      <w:r w:rsidR="00584CBE" w:rsidRPr="00A145D3">
        <w:rPr>
          <w:rFonts w:ascii="Arial" w:hAnsi="Arial" w:cs="Arial"/>
          <w:sz w:val="24"/>
          <w:szCs w:val="24"/>
        </w:rPr>
        <w:t xml:space="preserve"> </w:t>
      </w:r>
      <w:r w:rsidR="00A145D3" w:rsidRPr="00A145D3">
        <w:rPr>
          <w:rFonts w:ascii="Arial" w:hAnsi="Arial" w:cs="Arial"/>
          <w:sz w:val="24"/>
          <w:szCs w:val="24"/>
        </w:rPr>
        <w:t>Kurt Lewin's change model</w:t>
      </w:r>
      <w:bookmarkEnd w:id="29"/>
      <w:bookmarkEnd w:id="30"/>
    </w:p>
    <w:p w:rsidR="00447E2A" w:rsidRPr="00447E2A" w:rsidRDefault="00447E2A" w:rsidP="00447E2A"/>
    <w:p w:rsidR="00447E2A" w:rsidRPr="00447E2A" w:rsidRDefault="00447E2A" w:rsidP="00447E2A">
      <w:pPr>
        <w:spacing w:line="360" w:lineRule="auto"/>
        <w:ind w:firstLine="720"/>
        <w:jc w:val="both"/>
        <w:rPr>
          <w:rFonts w:ascii="Arial" w:hAnsi="Arial" w:cs="Arial"/>
        </w:rPr>
      </w:pPr>
      <w:r w:rsidRPr="00447E2A">
        <w:rPr>
          <w:rFonts w:ascii="Arial" w:hAnsi="Arial" w:cs="Arial"/>
        </w:rPr>
        <w:t>Expanding and strengthening targeted relationships that improve BIO&amp;ME's credibility, market reach, and operational sustainability is the main strategic recommendation. Furthermore, prioritize sustainable supplier connections to obtain high-qual</w:t>
      </w:r>
      <w:r w:rsidR="004725D7">
        <w:rPr>
          <w:rFonts w:ascii="Arial" w:hAnsi="Arial" w:cs="Arial"/>
        </w:rPr>
        <w:t>ity, eco-friendly ingredients, en</w:t>
      </w:r>
      <w:r w:rsidRPr="00447E2A">
        <w:rPr>
          <w:rFonts w:ascii="Arial" w:hAnsi="Arial" w:cs="Arial"/>
        </w:rPr>
        <w:t>suring compliance with ethical customer expectations and environmental norms (</w:t>
      </w:r>
      <w:proofErr w:type="spellStart"/>
      <w:r w:rsidRPr="00447E2A">
        <w:rPr>
          <w:rFonts w:ascii="Arial" w:hAnsi="Arial" w:cs="Arial"/>
        </w:rPr>
        <w:t>Riandita</w:t>
      </w:r>
      <w:proofErr w:type="spellEnd"/>
      <w:r w:rsidRPr="00447E2A">
        <w:rPr>
          <w:rFonts w:ascii="Arial" w:hAnsi="Arial" w:cs="Arial"/>
        </w:rPr>
        <w:t>, 2022).</w:t>
      </w:r>
    </w:p>
    <w:p w:rsidR="00447E2A" w:rsidRPr="00447E2A" w:rsidRDefault="004725D7" w:rsidP="00447E2A">
      <w:pPr>
        <w:spacing w:line="360" w:lineRule="auto"/>
        <w:jc w:val="both"/>
        <w:rPr>
          <w:rFonts w:ascii="Arial" w:hAnsi="Arial" w:cs="Arial"/>
        </w:rPr>
      </w:pPr>
      <w:r>
        <w:rPr>
          <w:rFonts w:ascii="Arial" w:hAnsi="Arial" w:cs="Arial"/>
        </w:rPr>
        <w:t>The model has three stages: t</w:t>
      </w:r>
      <w:r w:rsidR="00447E2A" w:rsidRPr="00447E2A">
        <w:rPr>
          <w:rFonts w:ascii="Arial" w:hAnsi="Arial" w:cs="Arial"/>
        </w:rPr>
        <w:t>he Unfreeze, Change, and Refreeze framework assists BIO&amp;ME in enhancing market resilience and facilitating expansion.</w:t>
      </w:r>
    </w:p>
    <w:p w:rsidR="00447E2A" w:rsidRPr="00447E2A" w:rsidRDefault="00447E2A" w:rsidP="00447E2A">
      <w:pPr>
        <w:spacing w:line="360" w:lineRule="auto"/>
        <w:ind w:firstLine="720"/>
        <w:jc w:val="both"/>
        <w:rPr>
          <w:rFonts w:ascii="Arial" w:hAnsi="Arial" w:cs="Arial"/>
        </w:rPr>
      </w:pPr>
      <w:r w:rsidRPr="00447E2A">
        <w:rPr>
          <w:rFonts w:ascii="Arial" w:hAnsi="Arial" w:cs="Arial"/>
        </w:rPr>
        <w:t>Unfreeze: BIO&amp;ME initiates the process of transformation by fostering internal knowledge of the significance of partnerships for brand expansion, sustainability, and competitive distinction. This may entail internal deliberations regarding the advantages of partnering with environmentally sustainable suppliers, health professionals, and retail networks (</w:t>
      </w:r>
      <w:proofErr w:type="spellStart"/>
      <w:r w:rsidRPr="00447E2A">
        <w:rPr>
          <w:rFonts w:ascii="Arial" w:hAnsi="Arial" w:cs="Arial"/>
        </w:rPr>
        <w:t>Sarayreh</w:t>
      </w:r>
      <w:proofErr w:type="spellEnd"/>
      <w:r w:rsidRPr="00447E2A">
        <w:rPr>
          <w:rFonts w:ascii="Arial" w:hAnsi="Arial" w:cs="Arial"/>
        </w:rPr>
        <w:t xml:space="preserve"> et al., 2013).</w:t>
      </w:r>
    </w:p>
    <w:p w:rsidR="00447E2A" w:rsidRPr="00447E2A" w:rsidRDefault="00447E2A" w:rsidP="003C008D">
      <w:pPr>
        <w:spacing w:line="360" w:lineRule="auto"/>
        <w:ind w:firstLine="720"/>
        <w:jc w:val="both"/>
        <w:rPr>
          <w:rFonts w:ascii="Arial" w:hAnsi="Arial" w:cs="Arial"/>
        </w:rPr>
      </w:pPr>
      <w:r>
        <w:rPr>
          <w:rFonts w:ascii="Arial" w:hAnsi="Arial" w:cs="Arial"/>
        </w:rPr>
        <w:t>Change: BIO&amp;ME</w:t>
      </w:r>
      <w:r w:rsidRPr="00447E2A">
        <w:rPr>
          <w:rFonts w:ascii="Arial" w:hAnsi="Arial" w:cs="Arial"/>
        </w:rPr>
        <w:t xml:space="preserve"> establishes collaborations, such as engaging with health influencers to enhance brand credibility or with sustainable ingredient suppliers to address increasing consumer demands for transparency. By collaborating with respectable merchants, the business might additionally increase distribution, boosting accessibility and brand awareness (</w:t>
      </w:r>
      <w:proofErr w:type="spellStart"/>
      <w:r w:rsidRPr="00447E2A">
        <w:rPr>
          <w:rFonts w:ascii="Arial" w:hAnsi="Arial" w:cs="Arial"/>
        </w:rPr>
        <w:t>Sarayreh</w:t>
      </w:r>
      <w:proofErr w:type="spellEnd"/>
      <w:r w:rsidRPr="00447E2A">
        <w:rPr>
          <w:rFonts w:ascii="Arial" w:hAnsi="Arial" w:cs="Arial"/>
        </w:rPr>
        <w:t xml:space="preserve"> et al., 2013).</w:t>
      </w:r>
    </w:p>
    <w:p w:rsidR="00447E2A" w:rsidRPr="00447E2A" w:rsidRDefault="00447E2A" w:rsidP="003C008D">
      <w:pPr>
        <w:spacing w:line="360" w:lineRule="auto"/>
        <w:ind w:firstLine="720"/>
        <w:jc w:val="both"/>
        <w:rPr>
          <w:rFonts w:ascii="Arial" w:hAnsi="Arial" w:cs="Arial"/>
        </w:rPr>
      </w:pPr>
      <w:r>
        <w:rPr>
          <w:rFonts w:ascii="Arial" w:hAnsi="Arial" w:cs="Arial"/>
        </w:rPr>
        <w:t xml:space="preserve">Refreeze: </w:t>
      </w:r>
      <w:r w:rsidRPr="00447E2A">
        <w:rPr>
          <w:rFonts w:ascii="Arial" w:hAnsi="Arial" w:cs="Arial"/>
        </w:rPr>
        <w:t>To con</w:t>
      </w:r>
      <w:r>
        <w:rPr>
          <w:rFonts w:ascii="Arial" w:hAnsi="Arial" w:cs="Arial"/>
        </w:rPr>
        <w:t>solidate these improvements, BIO&amp;ME</w:t>
      </w:r>
      <w:r w:rsidRPr="00447E2A">
        <w:rPr>
          <w:rFonts w:ascii="Arial" w:hAnsi="Arial" w:cs="Arial"/>
        </w:rPr>
        <w:t xml:space="preserve"> may</w:t>
      </w:r>
      <w:r w:rsidR="004725D7">
        <w:rPr>
          <w:rFonts w:ascii="Arial" w:hAnsi="Arial" w:cs="Arial"/>
        </w:rPr>
        <w:t xml:space="preserve"> include these partnerships in</w:t>
      </w:r>
      <w:r w:rsidRPr="00447E2A">
        <w:rPr>
          <w:rFonts w:ascii="Arial" w:hAnsi="Arial" w:cs="Arial"/>
        </w:rPr>
        <w:t xml:space="preserve"> its operational procedures and brand ethos, implementing consistent protocols and performance evaluations to uphold coll</w:t>
      </w:r>
      <w:r w:rsidR="004725D7">
        <w:rPr>
          <w:rFonts w:ascii="Arial" w:hAnsi="Arial" w:cs="Arial"/>
        </w:rPr>
        <w:t>aborative excellence (</w:t>
      </w:r>
      <w:proofErr w:type="spellStart"/>
      <w:r w:rsidR="004725D7">
        <w:rPr>
          <w:rFonts w:ascii="Arial" w:hAnsi="Arial" w:cs="Arial"/>
        </w:rPr>
        <w:t>Sarayreh</w:t>
      </w:r>
      <w:proofErr w:type="spellEnd"/>
      <w:r w:rsidR="004725D7">
        <w:rPr>
          <w:rFonts w:ascii="Arial" w:hAnsi="Arial" w:cs="Arial"/>
        </w:rPr>
        <w:t xml:space="preserve"> </w:t>
      </w:r>
      <w:r w:rsidRPr="00447E2A">
        <w:rPr>
          <w:rFonts w:ascii="Arial" w:hAnsi="Arial" w:cs="Arial"/>
        </w:rPr>
        <w:t>et al., 2013).</w:t>
      </w:r>
    </w:p>
    <w:p w:rsidR="00C64D93" w:rsidRDefault="00447E2A" w:rsidP="00447E2A">
      <w:pPr>
        <w:spacing w:line="360" w:lineRule="auto"/>
        <w:jc w:val="both"/>
        <w:rPr>
          <w:rFonts w:ascii="Arial" w:hAnsi="Arial" w:cs="Arial"/>
        </w:rPr>
      </w:pPr>
      <w:r w:rsidRPr="00447E2A">
        <w:rPr>
          <w:rFonts w:ascii="Arial" w:hAnsi="Arial" w:cs="Arial"/>
        </w:rPr>
        <w:t>By adhering</w:t>
      </w:r>
      <w:r>
        <w:rPr>
          <w:rFonts w:ascii="Arial" w:hAnsi="Arial" w:cs="Arial"/>
        </w:rPr>
        <w:t xml:space="preserve"> to this methodology, BIO&amp;ME</w:t>
      </w:r>
      <w:r w:rsidRPr="00447E2A">
        <w:rPr>
          <w:rFonts w:ascii="Arial" w:hAnsi="Arial" w:cs="Arial"/>
        </w:rPr>
        <w:t xml:space="preserve"> cultivates a robust brand identity that aligns</w:t>
      </w:r>
      <w:r w:rsidR="004725D7">
        <w:rPr>
          <w:rFonts w:ascii="Arial" w:hAnsi="Arial" w:cs="Arial"/>
        </w:rPr>
        <w:t xml:space="preserve"> with consumer expectations, </w:t>
      </w:r>
      <w:r w:rsidRPr="00447E2A">
        <w:rPr>
          <w:rFonts w:ascii="Arial" w:hAnsi="Arial" w:cs="Arial"/>
        </w:rPr>
        <w:t>ensuring sustained stability and growth.</w:t>
      </w:r>
    </w:p>
    <w:p w:rsidR="003C008D" w:rsidRDefault="003C008D" w:rsidP="00447E2A">
      <w:pPr>
        <w:spacing w:line="360" w:lineRule="auto"/>
        <w:jc w:val="both"/>
        <w:rPr>
          <w:rFonts w:ascii="Arial" w:hAnsi="Arial" w:cs="Arial"/>
        </w:rPr>
      </w:pPr>
    </w:p>
    <w:p w:rsidR="003C008D" w:rsidRPr="00447E2A" w:rsidRDefault="003C008D" w:rsidP="00447E2A">
      <w:pPr>
        <w:spacing w:line="360" w:lineRule="auto"/>
        <w:jc w:val="both"/>
        <w:rPr>
          <w:rFonts w:ascii="Arial" w:hAnsi="Arial" w:cs="Arial"/>
        </w:rPr>
      </w:pPr>
    </w:p>
    <w:p w:rsidR="005C6BE1" w:rsidRPr="00703EA9" w:rsidRDefault="00703EA9" w:rsidP="003C008D">
      <w:pPr>
        <w:pStyle w:val="Heading1"/>
        <w:spacing w:line="360" w:lineRule="auto"/>
        <w:ind w:firstLine="720"/>
        <w:jc w:val="center"/>
        <w:rPr>
          <w:rFonts w:ascii="Arial" w:hAnsi="Arial" w:cs="Arial"/>
          <w:sz w:val="24"/>
          <w:szCs w:val="24"/>
        </w:rPr>
      </w:pPr>
      <w:bookmarkStart w:id="31" w:name="_Toc182435361"/>
      <w:bookmarkStart w:id="32" w:name="_Toc182476735"/>
      <w:r w:rsidRPr="00703EA9">
        <w:rPr>
          <w:rFonts w:ascii="Arial" w:hAnsi="Arial" w:cs="Arial"/>
          <w:sz w:val="24"/>
          <w:szCs w:val="24"/>
        </w:rPr>
        <w:lastRenderedPageBreak/>
        <w:t>Competitors reaction</w:t>
      </w:r>
      <w:bookmarkEnd w:id="31"/>
      <w:bookmarkEnd w:id="32"/>
    </w:p>
    <w:p w:rsidR="00582160" w:rsidRPr="00582160" w:rsidRDefault="00582160" w:rsidP="00582160">
      <w:pPr>
        <w:pStyle w:val="NormalWeb"/>
        <w:spacing w:line="360" w:lineRule="auto"/>
        <w:ind w:firstLine="720"/>
        <w:jc w:val="both"/>
        <w:rPr>
          <w:rFonts w:ascii="Arial" w:hAnsi="Arial" w:cs="Arial"/>
          <w:sz w:val="22"/>
          <w:szCs w:val="22"/>
        </w:rPr>
      </w:pPr>
      <w:r w:rsidRPr="00582160">
        <w:rPr>
          <w:rFonts w:ascii="Arial" w:hAnsi="Arial" w:cs="Arial"/>
          <w:sz w:val="22"/>
          <w:szCs w:val="22"/>
        </w:rPr>
        <w:t>In addition to BIO&amp;ME’s strategic objectives, significant competitors such as Kind Snacks, Purely Elizabeth, and Nature’s Path are expected to respond to safeguard their market position in the health and wellness industry.</w:t>
      </w:r>
    </w:p>
    <w:p w:rsidR="00582160" w:rsidRPr="00582160" w:rsidRDefault="00582160" w:rsidP="00582160">
      <w:pPr>
        <w:pStyle w:val="NormalWeb"/>
        <w:spacing w:line="360" w:lineRule="auto"/>
        <w:ind w:firstLine="720"/>
        <w:jc w:val="both"/>
        <w:rPr>
          <w:rFonts w:ascii="Arial" w:hAnsi="Arial" w:cs="Arial"/>
          <w:sz w:val="22"/>
          <w:szCs w:val="22"/>
        </w:rPr>
      </w:pPr>
      <w:r w:rsidRPr="00582160">
        <w:rPr>
          <w:rFonts w:ascii="Arial" w:hAnsi="Arial" w:cs="Arial"/>
          <w:sz w:val="22"/>
          <w:szCs w:val="22"/>
        </w:rPr>
        <w:t xml:space="preserve">Since BIO&amp;ME has expanded its product line to include plant-based and allergy-free options, these rivals may rapidly adjust by launching comparable dietary-needs-based solutions, possibly with extensive marketing efforts to highlight the advantages of their own products. To maintain competitiveness, BIO&amp;ME might capitalize on its distinctive emphasis on gut health and scientific validation in its communications, targeting consumers who value digestive health advantages. </w:t>
      </w:r>
      <w:proofErr w:type="spellStart"/>
      <w:r w:rsidRPr="00582160">
        <w:rPr>
          <w:rFonts w:ascii="Arial" w:hAnsi="Arial" w:cs="Arial"/>
          <w:sz w:val="22"/>
          <w:szCs w:val="22"/>
        </w:rPr>
        <w:t>Jeske</w:t>
      </w:r>
      <w:proofErr w:type="spellEnd"/>
      <w:r w:rsidRPr="00582160">
        <w:rPr>
          <w:rFonts w:ascii="Arial" w:hAnsi="Arial" w:cs="Arial"/>
          <w:sz w:val="22"/>
          <w:szCs w:val="22"/>
        </w:rPr>
        <w:t xml:space="preserve"> et al. (2018)</w:t>
      </w:r>
    </w:p>
    <w:p w:rsidR="00582160" w:rsidRPr="00582160" w:rsidRDefault="00582160" w:rsidP="00582160">
      <w:pPr>
        <w:pStyle w:val="NormalWeb"/>
        <w:spacing w:line="360" w:lineRule="auto"/>
        <w:ind w:firstLine="720"/>
        <w:jc w:val="both"/>
        <w:rPr>
          <w:rFonts w:ascii="Arial" w:hAnsi="Arial" w:cs="Arial"/>
          <w:sz w:val="22"/>
          <w:szCs w:val="22"/>
        </w:rPr>
      </w:pPr>
      <w:r w:rsidRPr="00582160">
        <w:rPr>
          <w:rFonts w:ascii="Arial" w:hAnsi="Arial" w:cs="Arial"/>
          <w:sz w:val="22"/>
          <w:szCs w:val="22"/>
        </w:rPr>
        <w:t>In response to sustainability improvements, competitors may expedite their own eco-friendly activities, such as sustainable packaging or carbon-neutral pledges, to attract environmentally sensitive consumers. BIO&amp;ME can highlight transparency and impact data, demonstrating how its sustainable sourcing and packaging initiatives effectively mitigate environmental impact (Freeman, 1984).</w:t>
      </w:r>
    </w:p>
    <w:p w:rsidR="00C901CD" w:rsidRPr="00703EA9" w:rsidRDefault="00582160" w:rsidP="00582160">
      <w:pPr>
        <w:pStyle w:val="NormalWeb"/>
        <w:spacing w:line="360" w:lineRule="auto"/>
        <w:ind w:firstLine="720"/>
        <w:jc w:val="both"/>
        <w:rPr>
          <w:rFonts w:ascii="Arial" w:hAnsi="Arial" w:cs="Arial"/>
          <w:sz w:val="22"/>
          <w:szCs w:val="22"/>
        </w:rPr>
      </w:pPr>
      <w:r w:rsidRPr="00582160">
        <w:rPr>
          <w:rFonts w:ascii="Arial" w:hAnsi="Arial" w:cs="Arial"/>
          <w:sz w:val="22"/>
          <w:szCs w:val="22"/>
        </w:rPr>
        <w:t>Ultimately, BIO&amp;ME's strategic collaborations with health-focused shops and wellness influencers may prompt competitors to seek analogous relationships, particularly those with significant consumer outreach. BIO&amp;ME could establish exclusive partnerships with influential figures and health-oriented shops, emphasizing the creation of distinctive, loyalty-based consumer relationships that are difficult for competitors to imitate. In a market that is becoming more and more saturated, BIO&amp;ME may preserve its competitive edge by differentiating through brand values and special partnerships.</w:t>
      </w:r>
    </w:p>
    <w:p w:rsidR="003C008D" w:rsidRDefault="003C008D" w:rsidP="003C008D">
      <w:pPr>
        <w:pStyle w:val="Heading1"/>
        <w:spacing w:line="360" w:lineRule="auto"/>
        <w:ind w:firstLine="720"/>
        <w:jc w:val="center"/>
        <w:rPr>
          <w:rFonts w:ascii="Arial" w:hAnsi="Arial" w:cs="Arial"/>
          <w:sz w:val="24"/>
          <w:szCs w:val="24"/>
        </w:rPr>
      </w:pPr>
    </w:p>
    <w:p w:rsidR="003C008D" w:rsidRDefault="003C008D" w:rsidP="003C008D">
      <w:pPr>
        <w:pStyle w:val="Heading1"/>
        <w:spacing w:line="360" w:lineRule="auto"/>
        <w:ind w:firstLine="720"/>
        <w:jc w:val="center"/>
        <w:rPr>
          <w:rFonts w:ascii="Arial" w:hAnsi="Arial" w:cs="Arial"/>
          <w:sz w:val="24"/>
          <w:szCs w:val="24"/>
        </w:rPr>
      </w:pPr>
    </w:p>
    <w:p w:rsidR="003C008D" w:rsidRPr="003C008D" w:rsidRDefault="003C008D" w:rsidP="003C008D"/>
    <w:p w:rsidR="003C008D" w:rsidRPr="00703EA9" w:rsidRDefault="003C008D" w:rsidP="003C008D">
      <w:pPr>
        <w:pStyle w:val="Heading1"/>
        <w:spacing w:line="360" w:lineRule="auto"/>
        <w:ind w:firstLine="720"/>
        <w:jc w:val="center"/>
        <w:rPr>
          <w:rFonts w:ascii="Arial" w:hAnsi="Arial" w:cs="Arial"/>
          <w:sz w:val="24"/>
          <w:szCs w:val="24"/>
        </w:rPr>
      </w:pPr>
      <w:bookmarkStart w:id="33" w:name="_Toc182435362"/>
      <w:bookmarkStart w:id="34" w:name="_Toc182476736"/>
      <w:r w:rsidRPr="00703EA9">
        <w:rPr>
          <w:rFonts w:ascii="Arial" w:hAnsi="Arial" w:cs="Arial"/>
          <w:sz w:val="24"/>
          <w:szCs w:val="24"/>
        </w:rPr>
        <w:lastRenderedPageBreak/>
        <w:t>Conclusion</w:t>
      </w:r>
      <w:bookmarkEnd w:id="33"/>
      <w:bookmarkEnd w:id="34"/>
    </w:p>
    <w:p w:rsidR="00582160" w:rsidRDefault="003C008D" w:rsidP="003C008D">
      <w:pPr>
        <w:spacing w:line="360" w:lineRule="auto"/>
        <w:ind w:firstLine="720"/>
        <w:jc w:val="both"/>
        <w:rPr>
          <w:rFonts w:ascii="Arial" w:hAnsi="Arial" w:cs="Arial"/>
        </w:rPr>
      </w:pPr>
      <w:r w:rsidRPr="00582160">
        <w:rPr>
          <w:rFonts w:ascii="Arial" w:hAnsi="Arial" w:cs="Arial"/>
        </w:rPr>
        <w:t xml:space="preserve">In conclusion, BIO&amp;ME can achieve sustained growth by emphasizing product diversity, sustainability efforts, and strategic alliances, which are consistent with the company's purpose </w:t>
      </w:r>
      <w:r w:rsidR="00582160" w:rsidRPr="00582160">
        <w:rPr>
          <w:rFonts w:ascii="Arial" w:hAnsi="Arial" w:cs="Arial"/>
        </w:rPr>
        <w:t>to advance health and en</w:t>
      </w:r>
      <w:r w:rsidR="004725D7">
        <w:rPr>
          <w:rFonts w:ascii="Arial" w:hAnsi="Arial" w:cs="Arial"/>
        </w:rPr>
        <w:t>vironmental responsibility. E</w:t>
      </w:r>
      <w:r w:rsidR="00582160" w:rsidRPr="00582160">
        <w:rPr>
          <w:rFonts w:ascii="Arial" w:hAnsi="Arial" w:cs="Arial"/>
        </w:rPr>
        <w:t>xhaustive internal and external research reveals that these tactics will meet customer desires for dietary inclusivity, environmentally sustainable products, and collaborations that improve market exposure.</w:t>
      </w:r>
    </w:p>
    <w:p w:rsidR="001B39CD" w:rsidRPr="00582160" w:rsidRDefault="00582160" w:rsidP="00582160">
      <w:pPr>
        <w:spacing w:line="360" w:lineRule="auto"/>
        <w:ind w:firstLine="720"/>
        <w:jc w:val="both"/>
        <w:rPr>
          <w:rFonts w:ascii="Arial" w:hAnsi="Arial" w:cs="Arial"/>
        </w:rPr>
      </w:pPr>
      <w:r w:rsidRPr="00582160">
        <w:rPr>
          <w:rFonts w:ascii="Arial" w:hAnsi="Arial" w:cs="Arial"/>
        </w:rPr>
        <w:t xml:space="preserve"> The VMOST framework facilitates organized implementation and change management, guaranteeing the effective integration of these efforts throughout operations. By focusing on these aspects, BIO&amp;ME can enhance its competitive stance, cultivate a devoted client base, and attain enduring success in the expanding health food sector.</w:t>
      </w:r>
      <w:r w:rsidR="001B39CD" w:rsidRPr="00582160">
        <w:rPr>
          <w:rFonts w:ascii="Arial" w:hAnsi="Arial" w:cs="Arial"/>
        </w:rPr>
        <w:br w:type="page"/>
      </w:r>
    </w:p>
    <w:p w:rsidR="00D87D64" w:rsidRPr="00F10B24" w:rsidRDefault="001B39CD" w:rsidP="000B1A9A">
      <w:pPr>
        <w:pStyle w:val="Heading1"/>
        <w:spacing w:line="360" w:lineRule="auto"/>
        <w:jc w:val="center"/>
        <w:rPr>
          <w:rFonts w:ascii="Arial" w:hAnsi="Arial" w:cs="Arial"/>
          <w:sz w:val="24"/>
          <w:szCs w:val="24"/>
        </w:rPr>
      </w:pPr>
      <w:bookmarkStart w:id="35" w:name="_Toc182435363"/>
      <w:bookmarkStart w:id="36" w:name="_Toc182476737"/>
      <w:r w:rsidRPr="00F10B24">
        <w:rPr>
          <w:rFonts w:ascii="Arial" w:hAnsi="Arial" w:cs="Arial"/>
          <w:sz w:val="24"/>
          <w:szCs w:val="24"/>
        </w:rPr>
        <w:lastRenderedPageBreak/>
        <w:t>References</w:t>
      </w:r>
      <w:bookmarkEnd w:id="35"/>
      <w:bookmarkEnd w:id="36"/>
    </w:p>
    <w:p w:rsidR="00D87D64" w:rsidRDefault="00D87D64" w:rsidP="00D87D64">
      <w:pPr>
        <w:spacing w:after="0" w:line="240" w:lineRule="auto"/>
        <w:rPr>
          <w:rFonts w:ascii="Times New Roman" w:eastAsia="Times New Roman" w:hAnsi="Symbol" w:cs="Times New Roman"/>
          <w:sz w:val="24"/>
          <w:szCs w:val="24"/>
        </w:rPr>
      </w:pPr>
    </w:p>
    <w:p w:rsidR="00582160" w:rsidRPr="00582160" w:rsidRDefault="00582160" w:rsidP="00582160">
      <w:pPr>
        <w:pStyle w:val="ListParagraph"/>
        <w:numPr>
          <w:ilvl w:val="0"/>
          <w:numId w:val="8"/>
        </w:numPr>
        <w:spacing w:line="360" w:lineRule="auto"/>
        <w:jc w:val="both"/>
        <w:rPr>
          <w:rFonts w:ascii="Arial" w:hAnsi="Arial" w:cs="Arial"/>
        </w:rPr>
      </w:pPr>
      <w:proofErr w:type="spellStart"/>
      <w:r w:rsidRPr="00582160">
        <w:rPr>
          <w:rFonts w:ascii="Arial" w:eastAsia="Times New Roman" w:hAnsi="Arial" w:cs="Arial"/>
        </w:rPr>
        <w:t>Ansoff</w:t>
      </w:r>
      <w:proofErr w:type="spellEnd"/>
      <w:r w:rsidRPr="00582160">
        <w:rPr>
          <w:rFonts w:ascii="Arial" w:eastAsia="Times New Roman" w:hAnsi="Arial" w:cs="Arial"/>
        </w:rPr>
        <w:t xml:space="preserve">, H. I. (1991). </w:t>
      </w:r>
      <w:r w:rsidRPr="00582160">
        <w:rPr>
          <w:rFonts w:ascii="Arial" w:eastAsia="Times New Roman" w:hAnsi="Arial" w:cs="Arial"/>
          <w:i/>
          <w:iCs/>
        </w:rPr>
        <w:t xml:space="preserve">Critique of Henry </w:t>
      </w:r>
      <w:proofErr w:type="spellStart"/>
      <w:r w:rsidRPr="00582160">
        <w:rPr>
          <w:rFonts w:ascii="Arial" w:eastAsia="Times New Roman" w:hAnsi="Arial" w:cs="Arial"/>
          <w:i/>
          <w:iCs/>
        </w:rPr>
        <w:t>Mintzberg's</w:t>
      </w:r>
      <w:proofErr w:type="spellEnd"/>
      <w:r w:rsidRPr="00582160">
        <w:rPr>
          <w:rFonts w:ascii="Arial" w:eastAsia="Times New Roman" w:hAnsi="Arial" w:cs="Arial"/>
          <w:i/>
          <w:iCs/>
        </w:rPr>
        <w:t xml:space="preserve"> 'The Design School: Reconsidering the basic premises of strategic management'</w:t>
      </w:r>
      <w:r w:rsidRPr="00582160">
        <w:rPr>
          <w:rFonts w:ascii="Arial" w:eastAsia="Times New Roman" w:hAnsi="Arial" w:cs="Arial"/>
        </w:rPr>
        <w:t>. Strategic Management Journal, 12(6), 449-461.</w:t>
      </w:r>
    </w:p>
    <w:p w:rsidR="00582160" w:rsidRPr="00582160" w:rsidRDefault="00582160" w:rsidP="00582160">
      <w:pPr>
        <w:pStyle w:val="ListParagraph"/>
        <w:numPr>
          <w:ilvl w:val="0"/>
          <w:numId w:val="8"/>
        </w:numPr>
        <w:spacing w:line="360" w:lineRule="auto"/>
        <w:jc w:val="both"/>
        <w:rPr>
          <w:rFonts w:ascii="Arial" w:hAnsi="Arial" w:cs="Arial"/>
        </w:rPr>
      </w:pPr>
      <w:proofErr w:type="spellStart"/>
      <w:r w:rsidRPr="00582160">
        <w:rPr>
          <w:rFonts w:ascii="Arial" w:hAnsi="Arial" w:cs="Arial"/>
        </w:rPr>
        <w:t>Baburaj</w:t>
      </w:r>
      <w:proofErr w:type="spellEnd"/>
      <w:r w:rsidRPr="00582160">
        <w:rPr>
          <w:rFonts w:ascii="Arial" w:hAnsi="Arial" w:cs="Arial"/>
        </w:rPr>
        <w:t>, Y. and Narayanan, V.K. (2016). Five Forces Framework. </w:t>
      </w:r>
      <w:r w:rsidRPr="00582160">
        <w:rPr>
          <w:rFonts w:ascii="Arial" w:hAnsi="Arial" w:cs="Arial"/>
          <w:i/>
          <w:iCs/>
        </w:rPr>
        <w:t>The Palgrave Encyclopedia of Strategic Management</w:t>
      </w:r>
      <w:r w:rsidR="003C008D">
        <w:rPr>
          <w:rFonts w:ascii="Arial" w:hAnsi="Arial" w:cs="Arial"/>
        </w:rPr>
        <w:t>, [online] pp.1–7. Available at:</w:t>
      </w:r>
      <w:r w:rsidRPr="00582160">
        <w:rPr>
          <w:rFonts w:ascii="Arial" w:hAnsi="Arial" w:cs="Arial"/>
        </w:rPr>
        <w:t xml:space="preserve">: </w:t>
      </w:r>
      <w:hyperlink r:id="rId10" w:history="1">
        <w:r w:rsidRPr="00582160">
          <w:rPr>
            <w:rStyle w:val="Hyperlink"/>
            <w:rFonts w:ascii="Arial" w:hAnsi="Arial" w:cs="Arial"/>
          </w:rPr>
          <w:t>https://doi.org/10.1057/978-1-349-94848-2_632-1</w:t>
        </w:r>
      </w:hyperlink>
      <w:r w:rsidRPr="00582160">
        <w:rPr>
          <w:rFonts w:ascii="Arial" w:hAnsi="Arial" w:cs="Arial"/>
        </w:rPr>
        <w:t xml:space="preserve"> </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Barney, J. B., &amp; </w:t>
      </w:r>
      <w:proofErr w:type="spellStart"/>
      <w:r w:rsidRPr="00582160">
        <w:rPr>
          <w:rFonts w:ascii="Arial" w:hAnsi="Arial" w:cs="Arial"/>
        </w:rPr>
        <w:t>Hesterly</w:t>
      </w:r>
      <w:proofErr w:type="spellEnd"/>
      <w:r w:rsidRPr="00582160">
        <w:rPr>
          <w:rFonts w:ascii="Arial" w:hAnsi="Arial" w:cs="Arial"/>
        </w:rPr>
        <w:t xml:space="preserve">, W. S. (2019). Strategic Management and Competitive Advantage: Concepts and Cases (6th </w:t>
      </w:r>
      <w:proofErr w:type="gramStart"/>
      <w:r w:rsidRPr="00582160">
        <w:rPr>
          <w:rFonts w:ascii="Arial" w:hAnsi="Arial" w:cs="Arial"/>
        </w:rPr>
        <w:t>ed</w:t>
      </w:r>
      <w:proofErr w:type="gramEnd"/>
      <w:r w:rsidRPr="00582160">
        <w:rPr>
          <w:rFonts w:ascii="Arial" w:hAnsi="Arial" w:cs="Arial"/>
        </w:rPr>
        <w:t>.). Pearson.</w:t>
      </w:r>
    </w:p>
    <w:p w:rsidR="00E72D22" w:rsidRDefault="00582160" w:rsidP="00E72D22">
      <w:pPr>
        <w:pStyle w:val="ListParagraph"/>
        <w:numPr>
          <w:ilvl w:val="0"/>
          <w:numId w:val="8"/>
        </w:numPr>
        <w:spacing w:line="360" w:lineRule="auto"/>
        <w:jc w:val="both"/>
        <w:rPr>
          <w:rFonts w:ascii="Arial" w:hAnsi="Arial" w:cs="Arial"/>
        </w:rPr>
      </w:pPr>
      <w:proofErr w:type="spellStart"/>
      <w:r w:rsidRPr="00E72D22">
        <w:rPr>
          <w:rFonts w:ascii="Arial" w:hAnsi="Arial" w:cs="Arial"/>
        </w:rPr>
        <w:t>Bio&amp;Me</w:t>
      </w:r>
      <w:proofErr w:type="spellEnd"/>
      <w:r w:rsidRPr="00E72D22">
        <w:rPr>
          <w:rFonts w:ascii="Arial" w:hAnsi="Arial" w:cs="Arial"/>
        </w:rPr>
        <w:t xml:space="preserve">. (2023). </w:t>
      </w:r>
      <w:r w:rsidR="00E72D22" w:rsidRPr="00E72D22">
        <w:rPr>
          <w:rFonts w:ascii="Arial" w:hAnsi="Arial" w:cs="Arial"/>
          <w:i/>
          <w:iCs/>
        </w:rPr>
        <w:t>Our Story</w:t>
      </w:r>
      <w:r w:rsidR="00E72D22" w:rsidRPr="00E72D22">
        <w:rPr>
          <w:rFonts w:ascii="Arial" w:hAnsi="Arial" w:cs="Arial"/>
        </w:rPr>
        <w:t xml:space="preserve">. [online] Available at: </w:t>
      </w:r>
      <w:hyperlink r:id="rId11" w:history="1">
        <w:r w:rsidR="00E72D22" w:rsidRPr="00801EC8">
          <w:rPr>
            <w:rStyle w:val="Hyperlink"/>
            <w:rFonts w:ascii="Arial" w:hAnsi="Arial" w:cs="Arial"/>
          </w:rPr>
          <w:t>https://bioandme.co.uk/pages/our-story</w:t>
        </w:r>
      </w:hyperlink>
      <w:r w:rsidR="00E72D22">
        <w:rPr>
          <w:rFonts w:ascii="Arial" w:hAnsi="Arial" w:cs="Arial"/>
        </w:rPr>
        <w:t xml:space="preserve"> </w:t>
      </w:r>
      <w:r w:rsidR="00E72D22" w:rsidRPr="00E72D22">
        <w:rPr>
          <w:rFonts w:ascii="Arial" w:hAnsi="Arial" w:cs="Arial"/>
        </w:rPr>
        <w:t>[Accessed 7 Nov. 2024].</w:t>
      </w:r>
    </w:p>
    <w:p w:rsidR="00AE6E9A" w:rsidRDefault="00AE6E9A" w:rsidP="00E72D22">
      <w:pPr>
        <w:pStyle w:val="ListParagraph"/>
        <w:numPr>
          <w:ilvl w:val="0"/>
          <w:numId w:val="8"/>
        </w:numPr>
        <w:spacing w:line="360" w:lineRule="auto"/>
        <w:jc w:val="both"/>
        <w:rPr>
          <w:rFonts w:ascii="Arial" w:hAnsi="Arial" w:cs="Arial"/>
        </w:rPr>
      </w:pPr>
    </w:p>
    <w:p w:rsidR="00582160" w:rsidRPr="00E72D22" w:rsidRDefault="00582160" w:rsidP="00582160">
      <w:pPr>
        <w:pStyle w:val="ListParagraph"/>
        <w:numPr>
          <w:ilvl w:val="0"/>
          <w:numId w:val="8"/>
        </w:numPr>
        <w:spacing w:line="360" w:lineRule="auto"/>
        <w:jc w:val="both"/>
        <w:rPr>
          <w:rFonts w:ascii="Arial" w:hAnsi="Arial" w:cs="Arial"/>
        </w:rPr>
      </w:pPr>
      <w:proofErr w:type="spellStart"/>
      <w:r w:rsidRPr="00E72D22">
        <w:rPr>
          <w:rFonts w:ascii="Arial" w:hAnsi="Arial" w:cs="Arial"/>
        </w:rPr>
        <w:t>Buye</w:t>
      </w:r>
      <w:proofErr w:type="spellEnd"/>
      <w:r w:rsidRPr="00E72D22">
        <w:rPr>
          <w:rFonts w:ascii="Arial" w:hAnsi="Arial" w:cs="Arial"/>
        </w:rPr>
        <w:t>, R. (2021). Critical examination of the PESTEL Analysi</w:t>
      </w:r>
      <w:r w:rsidR="003C008D" w:rsidRPr="00E72D22">
        <w:rPr>
          <w:rFonts w:ascii="Arial" w:hAnsi="Arial" w:cs="Arial"/>
        </w:rPr>
        <w:t xml:space="preserve">s Model. [online] </w:t>
      </w:r>
      <w:proofErr w:type="spellStart"/>
      <w:r w:rsidR="003C008D" w:rsidRPr="00E72D22">
        <w:rPr>
          <w:rFonts w:ascii="Arial" w:hAnsi="Arial" w:cs="Arial"/>
        </w:rPr>
        <w:t>ResearchGate</w:t>
      </w:r>
      <w:proofErr w:type="spellEnd"/>
      <w:r w:rsidR="003C008D" w:rsidRPr="00E72D22">
        <w:rPr>
          <w:rFonts w:ascii="Arial" w:hAnsi="Arial" w:cs="Arial"/>
        </w:rPr>
        <w:t xml:space="preserve">. </w:t>
      </w:r>
      <w:r w:rsidRPr="00E72D22">
        <w:rPr>
          <w:rFonts w:ascii="Arial" w:hAnsi="Arial" w:cs="Arial"/>
        </w:rPr>
        <w:t xml:space="preserve">Available at: </w:t>
      </w:r>
      <w:hyperlink r:id="rId12" w:history="1">
        <w:r w:rsidRPr="00E72D22">
          <w:rPr>
            <w:rStyle w:val="Hyperlink"/>
            <w:rFonts w:ascii="Arial" w:hAnsi="Arial" w:cs="Arial"/>
          </w:rPr>
          <w:t>https://www.researchgate.net/publication/349506325_Critical_examination_of_the_PESTEL_Analysis_Model</w:t>
        </w:r>
      </w:hyperlink>
      <w:r w:rsidRPr="00E72D22">
        <w:rPr>
          <w:rFonts w:ascii="Arial" w:hAnsi="Arial" w:cs="Arial"/>
        </w:rPr>
        <w:t xml:space="preserve"> </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Eastham, J., </w:t>
      </w:r>
      <w:proofErr w:type="spellStart"/>
      <w:r w:rsidRPr="00582160">
        <w:rPr>
          <w:rFonts w:ascii="Arial" w:hAnsi="Arial" w:cs="Arial"/>
        </w:rPr>
        <w:t>Sharples</w:t>
      </w:r>
      <w:proofErr w:type="spellEnd"/>
      <w:r w:rsidRPr="00582160">
        <w:rPr>
          <w:rFonts w:ascii="Arial" w:hAnsi="Arial" w:cs="Arial"/>
        </w:rPr>
        <w:t>, L. and Ball, S. (2007). </w:t>
      </w:r>
      <w:r w:rsidRPr="00582160">
        <w:rPr>
          <w:rFonts w:ascii="Arial" w:hAnsi="Arial" w:cs="Arial"/>
          <w:i/>
          <w:iCs/>
        </w:rPr>
        <w:t>Food Supply Chain Management</w:t>
      </w:r>
      <w:r w:rsidRPr="00582160">
        <w:rPr>
          <w:rFonts w:ascii="Arial" w:hAnsi="Arial" w:cs="Arial"/>
        </w:rPr>
        <w:t>. Taylor &amp; Francis.</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Freeman, R. E. (1984). </w:t>
      </w:r>
      <w:r w:rsidRPr="003C008D">
        <w:rPr>
          <w:rFonts w:ascii="Arial" w:hAnsi="Arial" w:cs="Arial"/>
          <w:i/>
        </w:rPr>
        <w:t>Strategic Management: A Stakeholder Approach.</w:t>
      </w:r>
      <w:r w:rsidRPr="00582160">
        <w:rPr>
          <w:rFonts w:ascii="Arial" w:hAnsi="Arial" w:cs="Arial"/>
        </w:rPr>
        <w:t xml:space="preserve"> Pitman.</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Google Books. (2024). Managing Food Safety and Hygiene. [online] Available at: </w:t>
      </w:r>
      <w:hyperlink r:id="rId13" w:anchor="v=onepage&amp;q&amp;f=false" w:history="1">
        <w:r w:rsidRPr="00582160">
          <w:rPr>
            <w:rStyle w:val="Hyperlink"/>
            <w:rFonts w:ascii="Arial" w:hAnsi="Arial" w:cs="Arial"/>
          </w:rPr>
          <w:t>https://books.google.co.uk/books?hl=en&amp;lr=&amp;id=MMwuIgX66pUC&amp;oi=fnd&amp;pg=PR1&amp;dq=power+interest+grid+Regulators+and+Health+Authorities+food+company&amp;ots=qSReVcm6JL&amp;sig=oj3-RD3qgo77IeSoj54-blM9-O8&amp;redir_esc=y#v=onepage&amp;q&amp;f=false</w:t>
        </w:r>
      </w:hyperlink>
      <w:r w:rsidRPr="00582160">
        <w:rPr>
          <w:rFonts w:ascii="Arial" w:hAnsi="Arial" w:cs="Arial"/>
        </w:rPr>
        <w:t xml:space="preserve">  [Accessed 7 Nov. 2024].</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Grant, R. M. (2021). </w:t>
      </w:r>
      <w:r w:rsidRPr="003C008D">
        <w:rPr>
          <w:rFonts w:ascii="Arial" w:hAnsi="Arial" w:cs="Arial"/>
          <w:i/>
        </w:rPr>
        <w:t xml:space="preserve">Contemporary Strategy Analysis (10th </w:t>
      </w:r>
      <w:proofErr w:type="gramStart"/>
      <w:r w:rsidRPr="003C008D">
        <w:rPr>
          <w:rFonts w:ascii="Arial" w:hAnsi="Arial" w:cs="Arial"/>
          <w:i/>
        </w:rPr>
        <w:t>ed</w:t>
      </w:r>
      <w:proofErr w:type="gramEnd"/>
      <w:r w:rsidRPr="003C008D">
        <w:rPr>
          <w:rFonts w:ascii="Arial" w:hAnsi="Arial" w:cs="Arial"/>
          <w:i/>
        </w:rPr>
        <w:t>.).</w:t>
      </w:r>
      <w:r w:rsidRPr="00582160">
        <w:rPr>
          <w:rFonts w:ascii="Arial" w:hAnsi="Arial" w:cs="Arial"/>
        </w:rPr>
        <w:t xml:space="preserve"> Wiley.</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Kotler, P. and Armstrong, G. (2021). </w:t>
      </w:r>
      <w:r w:rsidRPr="00582160">
        <w:rPr>
          <w:rFonts w:ascii="Arial" w:hAnsi="Arial" w:cs="Arial"/>
          <w:i/>
          <w:iCs/>
        </w:rPr>
        <w:t>Principles of Marketing</w:t>
      </w:r>
      <w:r w:rsidRPr="00582160">
        <w:rPr>
          <w:rFonts w:ascii="Arial" w:hAnsi="Arial" w:cs="Arial"/>
        </w:rPr>
        <w:t>. 18th ed. Harlow: Pearson.</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Kotler, P., &amp; Keller, K. L. (2016). </w:t>
      </w:r>
      <w:r w:rsidRPr="003C008D">
        <w:rPr>
          <w:rFonts w:ascii="Arial" w:hAnsi="Arial" w:cs="Arial"/>
          <w:i/>
        </w:rPr>
        <w:t xml:space="preserve">Marketing Management (15th </w:t>
      </w:r>
      <w:proofErr w:type="gramStart"/>
      <w:r w:rsidRPr="003C008D">
        <w:rPr>
          <w:rFonts w:ascii="Arial" w:hAnsi="Arial" w:cs="Arial"/>
          <w:i/>
        </w:rPr>
        <w:t>ed</w:t>
      </w:r>
      <w:proofErr w:type="gramEnd"/>
      <w:r w:rsidRPr="003C008D">
        <w:rPr>
          <w:rFonts w:ascii="Arial" w:hAnsi="Arial" w:cs="Arial"/>
          <w:i/>
        </w:rPr>
        <w:t>.).</w:t>
      </w:r>
      <w:r w:rsidRPr="00582160">
        <w:rPr>
          <w:rFonts w:ascii="Arial" w:hAnsi="Arial" w:cs="Arial"/>
        </w:rPr>
        <w:t xml:space="preserve"> Pearson.</w:t>
      </w:r>
    </w:p>
    <w:p w:rsidR="00582160" w:rsidRPr="00582160" w:rsidRDefault="00582160" w:rsidP="00582160">
      <w:pPr>
        <w:pStyle w:val="ListParagraph"/>
        <w:numPr>
          <w:ilvl w:val="0"/>
          <w:numId w:val="8"/>
        </w:numPr>
        <w:spacing w:after="0" w:line="360" w:lineRule="auto"/>
        <w:rPr>
          <w:rFonts w:ascii="Arial" w:eastAsia="Times New Roman" w:hAnsi="Arial" w:cs="Arial"/>
        </w:rPr>
      </w:pPr>
      <w:proofErr w:type="spellStart"/>
      <w:r w:rsidRPr="00582160">
        <w:rPr>
          <w:rFonts w:ascii="Arial" w:eastAsia="Times New Roman" w:hAnsi="Arial" w:cs="Arial"/>
        </w:rPr>
        <w:t>Mintzberg</w:t>
      </w:r>
      <w:proofErr w:type="spellEnd"/>
      <w:r w:rsidRPr="00582160">
        <w:rPr>
          <w:rFonts w:ascii="Arial" w:eastAsia="Times New Roman" w:hAnsi="Arial" w:cs="Arial"/>
        </w:rPr>
        <w:t xml:space="preserve">, H. (1987). </w:t>
      </w:r>
      <w:r w:rsidRPr="00582160">
        <w:rPr>
          <w:rFonts w:ascii="Arial" w:eastAsia="Times New Roman" w:hAnsi="Arial" w:cs="Arial"/>
          <w:i/>
          <w:iCs/>
        </w:rPr>
        <w:t>The strategy concept I: Five Ps for strategy</w:t>
      </w:r>
      <w:r w:rsidRPr="00582160">
        <w:rPr>
          <w:rFonts w:ascii="Arial" w:eastAsia="Times New Roman" w:hAnsi="Arial" w:cs="Arial"/>
        </w:rPr>
        <w:t>. California Management Review, 30(1), 11-24.</w:t>
      </w:r>
    </w:p>
    <w:p w:rsidR="00582160" w:rsidRPr="00582160" w:rsidRDefault="00582160" w:rsidP="00582160">
      <w:pPr>
        <w:pStyle w:val="ListParagraph"/>
        <w:numPr>
          <w:ilvl w:val="0"/>
          <w:numId w:val="8"/>
        </w:numPr>
        <w:spacing w:line="360" w:lineRule="auto"/>
        <w:jc w:val="both"/>
        <w:rPr>
          <w:rFonts w:ascii="Arial" w:hAnsi="Arial" w:cs="Arial"/>
        </w:rPr>
      </w:pPr>
      <w:r w:rsidRPr="00582160">
        <w:rPr>
          <w:rFonts w:ascii="Arial" w:hAnsi="Arial" w:cs="Arial"/>
        </w:rPr>
        <w:t xml:space="preserve">Porter, M. E. (2008). </w:t>
      </w:r>
      <w:r w:rsidRPr="003C008D">
        <w:rPr>
          <w:rFonts w:ascii="Arial" w:hAnsi="Arial" w:cs="Arial"/>
          <w:i/>
        </w:rPr>
        <w:t>The Five Competitive Forces That Shape Strategy.</w:t>
      </w:r>
      <w:r w:rsidRPr="00582160">
        <w:rPr>
          <w:rFonts w:ascii="Arial" w:hAnsi="Arial" w:cs="Arial"/>
        </w:rPr>
        <w:t xml:space="preserve"> Harvard Business Review.</w:t>
      </w:r>
    </w:p>
    <w:p w:rsidR="00582160" w:rsidRPr="00582160" w:rsidRDefault="00582160" w:rsidP="00582160">
      <w:pPr>
        <w:pStyle w:val="ListParagraph"/>
        <w:numPr>
          <w:ilvl w:val="0"/>
          <w:numId w:val="8"/>
        </w:numPr>
        <w:spacing w:line="360" w:lineRule="auto"/>
        <w:jc w:val="both"/>
        <w:rPr>
          <w:rFonts w:ascii="Arial" w:hAnsi="Arial" w:cs="Arial"/>
        </w:rPr>
      </w:pPr>
      <w:proofErr w:type="spellStart"/>
      <w:r w:rsidRPr="00582160">
        <w:rPr>
          <w:rFonts w:ascii="Arial" w:hAnsi="Arial" w:cs="Arial"/>
        </w:rPr>
        <w:lastRenderedPageBreak/>
        <w:t>Prajogo</w:t>
      </w:r>
      <w:proofErr w:type="spellEnd"/>
      <w:r w:rsidRPr="00582160">
        <w:rPr>
          <w:rFonts w:ascii="Arial" w:hAnsi="Arial" w:cs="Arial"/>
        </w:rPr>
        <w:t>, D.I. (2016). The strategic fit between innovation strategies and business environment in delivering business performance. </w:t>
      </w:r>
      <w:r w:rsidRPr="00582160">
        <w:rPr>
          <w:rFonts w:ascii="Arial" w:hAnsi="Arial" w:cs="Arial"/>
          <w:i/>
          <w:iCs/>
        </w:rPr>
        <w:t>International Journal of Production Economics</w:t>
      </w:r>
      <w:r w:rsidRPr="00582160">
        <w:rPr>
          <w:rFonts w:ascii="Arial" w:hAnsi="Arial" w:cs="Arial"/>
        </w:rPr>
        <w:t xml:space="preserve">, [online] 171(2), pp.241–249. </w:t>
      </w:r>
      <w:r w:rsidR="003C008D">
        <w:rPr>
          <w:rFonts w:ascii="Arial" w:hAnsi="Arial" w:cs="Arial"/>
        </w:rPr>
        <w:t xml:space="preserve">Available at: </w:t>
      </w:r>
      <w:hyperlink r:id="rId14" w:history="1">
        <w:r w:rsidRPr="00582160">
          <w:rPr>
            <w:rStyle w:val="Hyperlink"/>
            <w:rFonts w:ascii="Arial" w:hAnsi="Arial" w:cs="Arial"/>
          </w:rPr>
          <w:t>https://doi.org/10.1016/j.ijpe.2015.07.037</w:t>
        </w:r>
      </w:hyperlink>
      <w:r w:rsidRPr="00582160">
        <w:rPr>
          <w:rFonts w:ascii="Arial" w:hAnsi="Arial" w:cs="Arial"/>
        </w:rPr>
        <w:t xml:space="preserve"> </w:t>
      </w:r>
    </w:p>
    <w:p w:rsidR="00582160" w:rsidRPr="00582160" w:rsidRDefault="00582160" w:rsidP="00582160">
      <w:pPr>
        <w:pStyle w:val="ListParagraph"/>
        <w:numPr>
          <w:ilvl w:val="0"/>
          <w:numId w:val="8"/>
        </w:numPr>
        <w:spacing w:line="360" w:lineRule="auto"/>
        <w:jc w:val="both"/>
        <w:rPr>
          <w:rFonts w:ascii="Arial" w:hAnsi="Arial" w:cs="Arial"/>
        </w:rPr>
      </w:pPr>
      <w:proofErr w:type="spellStart"/>
      <w:r w:rsidRPr="00582160">
        <w:rPr>
          <w:rFonts w:ascii="Arial" w:hAnsi="Arial" w:cs="Arial"/>
        </w:rPr>
        <w:t>Puyt</w:t>
      </w:r>
      <w:proofErr w:type="spellEnd"/>
      <w:r w:rsidRPr="00582160">
        <w:rPr>
          <w:rFonts w:ascii="Arial" w:hAnsi="Arial" w:cs="Arial"/>
        </w:rPr>
        <w:t xml:space="preserve">, R.W., Lie, F.B. and </w:t>
      </w:r>
      <w:proofErr w:type="spellStart"/>
      <w:r w:rsidRPr="00582160">
        <w:rPr>
          <w:rFonts w:ascii="Arial" w:hAnsi="Arial" w:cs="Arial"/>
        </w:rPr>
        <w:t>Wilderom</w:t>
      </w:r>
      <w:proofErr w:type="spellEnd"/>
      <w:r w:rsidRPr="00582160">
        <w:rPr>
          <w:rFonts w:ascii="Arial" w:hAnsi="Arial" w:cs="Arial"/>
        </w:rPr>
        <w:t>, C.P.M. (2023). The origins of SWOT analysis. </w:t>
      </w:r>
      <w:r w:rsidRPr="00582160">
        <w:rPr>
          <w:rFonts w:ascii="Arial" w:hAnsi="Arial" w:cs="Arial"/>
          <w:i/>
          <w:iCs/>
        </w:rPr>
        <w:t>Long Range Planning</w:t>
      </w:r>
      <w:r w:rsidRPr="00582160">
        <w:rPr>
          <w:rFonts w:ascii="Arial" w:hAnsi="Arial" w:cs="Arial"/>
        </w:rPr>
        <w:t xml:space="preserve">, [online] 56(3), p.102304. Available at: </w:t>
      </w:r>
      <w:hyperlink r:id="rId15" w:history="1">
        <w:r w:rsidRPr="00582160">
          <w:rPr>
            <w:rStyle w:val="Hyperlink"/>
            <w:rFonts w:ascii="Arial" w:hAnsi="Arial" w:cs="Arial"/>
          </w:rPr>
          <w:t>https://doi.org/10.1016/j.lrp.2023.10230</w:t>
        </w:r>
      </w:hyperlink>
      <w:r w:rsidRPr="00582160">
        <w:rPr>
          <w:rFonts w:ascii="Arial" w:hAnsi="Arial" w:cs="Arial"/>
        </w:rPr>
        <w:t xml:space="preserve"> </w:t>
      </w:r>
    </w:p>
    <w:p w:rsidR="00582160" w:rsidRPr="00582160" w:rsidRDefault="00582160" w:rsidP="00582160">
      <w:pPr>
        <w:pStyle w:val="ListParagraph"/>
        <w:numPr>
          <w:ilvl w:val="0"/>
          <w:numId w:val="8"/>
        </w:numPr>
        <w:spacing w:line="360" w:lineRule="auto"/>
        <w:jc w:val="both"/>
        <w:rPr>
          <w:rFonts w:ascii="Arial" w:hAnsi="Arial" w:cs="Arial"/>
        </w:rPr>
      </w:pPr>
      <w:proofErr w:type="spellStart"/>
      <w:r w:rsidRPr="00582160">
        <w:rPr>
          <w:rFonts w:ascii="Arial" w:hAnsi="Arial" w:cs="Arial"/>
        </w:rPr>
        <w:t>Rothaermel</w:t>
      </w:r>
      <w:proofErr w:type="spellEnd"/>
      <w:r w:rsidRPr="00582160">
        <w:rPr>
          <w:rFonts w:ascii="Arial" w:hAnsi="Arial" w:cs="Arial"/>
        </w:rPr>
        <w:t>, F. (2023). </w:t>
      </w:r>
      <w:r w:rsidRPr="00582160">
        <w:rPr>
          <w:rFonts w:ascii="Arial" w:hAnsi="Arial" w:cs="Arial"/>
          <w:i/>
          <w:iCs/>
        </w:rPr>
        <w:t>Strategic Management: Concepts</w:t>
      </w:r>
      <w:r w:rsidRPr="00582160">
        <w:rPr>
          <w:rFonts w:ascii="Arial" w:hAnsi="Arial" w:cs="Arial"/>
        </w:rPr>
        <w:t xml:space="preserve">. London: </w:t>
      </w:r>
      <w:proofErr w:type="spellStart"/>
      <w:r w:rsidRPr="00582160">
        <w:rPr>
          <w:rFonts w:ascii="Arial" w:hAnsi="Arial" w:cs="Arial"/>
        </w:rPr>
        <w:t>Mcgraw-Hill</w:t>
      </w:r>
      <w:proofErr w:type="spellEnd"/>
      <w:r w:rsidRPr="00582160">
        <w:rPr>
          <w:rFonts w:ascii="Arial" w:hAnsi="Arial" w:cs="Arial"/>
        </w:rPr>
        <w:t xml:space="preserve"> Education.</w:t>
      </w:r>
    </w:p>
    <w:p w:rsidR="00582160" w:rsidRPr="00582160" w:rsidRDefault="00582160" w:rsidP="00582160">
      <w:pPr>
        <w:pStyle w:val="ListParagraph"/>
        <w:numPr>
          <w:ilvl w:val="0"/>
          <w:numId w:val="8"/>
        </w:numPr>
        <w:spacing w:line="360" w:lineRule="auto"/>
        <w:jc w:val="both"/>
        <w:rPr>
          <w:rFonts w:ascii="Arial" w:hAnsi="Arial" w:cs="Arial"/>
        </w:rPr>
      </w:pPr>
      <w:proofErr w:type="spellStart"/>
      <w:r w:rsidRPr="00582160">
        <w:rPr>
          <w:rFonts w:ascii="Arial" w:hAnsi="Arial" w:cs="Arial"/>
        </w:rPr>
        <w:t>Suyog</w:t>
      </w:r>
      <w:proofErr w:type="spellEnd"/>
      <w:r w:rsidRPr="00582160">
        <w:rPr>
          <w:rFonts w:ascii="Arial" w:hAnsi="Arial" w:cs="Arial"/>
        </w:rPr>
        <w:t>, D. (2012). </w:t>
      </w:r>
      <w:r w:rsidRPr="00582160">
        <w:rPr>
          <w:rFonts w:ascii="Arial" w:hAnsi="Arial" w:cs="Arial"/>
          <w:i/>
          <w:iCs/>
        </w:rPr>
        <w:t>Eco-Friendly Packaging in Supply Chain - ProQuest</w:t>
      </w:r>
      <w:r w:rsidRPr="00582160">
        <w:rPr>
          <w:rFonts w:ascii="Arial" w:hAnsi="Arial" w:cs="Arial"/>
        </w:rPr>
        <w:t>. [</w:t>
      </w:r>
      <w:proofErr w:type="gramStart"/>
      <w:r w:rsidRPr="00582160">
        <w:rPr>
          <w:rFonts w:ascii="Arial" w:hAnsi="Arial" w:cs="Arial"/>
        </w:rPr>
        <w:t>online</w:t>
      </w:r>
      <w:proofErr w:type="gramEnd"/>
      <w:r w:rsidRPr="00582160">
        <w:rPr>
          <w:rFonts w:ascii="Arial" w:hAnsi="Arial" w:cs="Arial"/>
        </w:rPr>
        <w:t xml:space="preserve">] www.proquest.com. Available at: </w:t>
      </w:r>
      <w:hyperlink r:id="rId16" w:history="1">
        <w:r w:rsidRPr="00582160">
          <w:rPr>
            <w:rStyle w:val="Hyperlink"/>
            <w:rFonts w:ascii="Arial" w:hAnsi="Arial" w:cs="Arial"/>
          </w:rPr>
          <w:t>https://www.proquest.com/openview/0bfd3e28694e1a77cc08237d8fa8eb77/1?pq-origsite=gscholar&amp;cbl=2030007</w:t>
        </w:r>
      </w:hyperlink>
      <w:r w:rsidRPr="00582160">
        <w:rPr>
          <w:rFonts w:ascii="Arial" w:hAnsi="Arial" w:cs="Arial"/>
        </w:rPr>
        <w:t xml:space="preserve"> </w:t>
      </w:r>
    </w:p>
    <w:p w:rsidR="00FA5011" w:rsidRPr="00582160" w:rsidRDefault="00FA5011" w:rsidP="00582160">
      <w:pPr>
        <w:pStyle w:val="ListParagraph"/>
        <w:numPr>
          <w:ilvl w:val="0"/>
          <w:numId w:val="8"/>
        </w:numPr>
        <w:jc w:val="both"/>
        <w:rPr>
          <w:rFonts w:ascii="Arial" w:hAnsi="Arial" w:cs="Arial"/>
        </w:rPr>
      </w:pPr>
      <w:proofErr w:type="spellStart"/>
      <w:r w:rsidRPr="00582160">
        <w:rPr>
          <w:rFonts w:ascii="Arial" w:hAnsi="Arial" w:cs="Arial"/>
        </w:rPr>
        <w:t>Touboulic</w:t>
      </w:r>
      <w:proofErr w:type="spellEnd"/>
      <w:r w:rsidRPr="00582160">
        <w:rPr>
          <w:rFonts w:ascii="Arial" w:hAnsi="Arial" w:cs="Arial"/>
        </w:rPr>
        <w:t xml:space="preserve">, A., </w:t>
      </w:r>
      <w:proofErr w:type="spellStart"/>
      <w:r w:rsidRPr="00582160">
        <w:rPr>
          <w:rFonts w:ascii="Arial" w:hAnsi="Arial" w:cs="Arial"/>
        </w:rPr>
        <w:t>Chicksand</w:t>
      </w:r>
      <w:proofErr w:type="spellEnd"/>
      <w:r w:rsidRPr="00582160">
        <w:rPr>
          <w:rFonts w:ascii="Arial" w:hAnsi="Arial" w:cs="Arial"/>
        </w:rPr>
        <w:t xml:space="preserve">, D. and Walker, H. (2014). </w:t>
      </w:r>
      <w:r w:rsidRPr="003C008D">
        <w:rPr>
          <w:rFonts w:ascii="Arial" w:hAnsi="Arial" w:cs="Arial"/>
          <w:i/>
        </w:rPr>
        <w:t>Managing Imbalanced Supply Chain Relationships for Sustainability: A Power Perspective. </w:t>
      </w:r>
      <w:r w:rsidRPr="003C008D">
        <w:rPr>
          <w:rFonts w:ascii="Arial" w:hAnsi="Arial" w:cs="Arial"/>
          <w:i/>
          <w:iCs/>
        </w:rPr>
        <w:t>Decision Sciences</w:t>
      </w:r>
      <w:r w:rsidRPr="003C008D">
        <w:rPr>
          <w:rFonts w:ascii="Arial" w:hAnsi="Arial" w:cs="Arial"/>
          <w:i/>
        </w:rPr>
        <w:t>,</w:t>
      </w:r>
      <w:r w:rsidRPr="00582160">
        <w:rPr>
          <w:rFonts w:ascii="Arial" w:hAnsi="Arial" w:cs="Arial"/>
        </w:rPr>
        <w:t xml:space="preserve"> 45(4), pp.577–619. Available at: </w:t>
      </w:r>
      <w:hyperlink r:id="rId17" w:history="1">
        <w:r w:rsidRPr="00582160">
          <w:rPr>
            <w:rStyle w:val="Hyperlink"/>
            <w:rFonts w:ascii="Arial" w:hAnsi="Arial" w:cs="Arial"/>
          </w:rPr>
          <w:t>https://doi.org/10.1111/deci.12087</w:t>
        </w:r>
      </w:hyperlink>
      <w:r w:rsidRPr="00582160">
        <w:rPr>
          <w:rFonts w:ascii="Arial" w:hAnsi="Arial" w:cs="Arial"/>
        </w:rPr>
        <w:t xml:space="preserve"> </w:t>
      </w:r>
    </w:p>
    <w:p w:rsidR="008D0D73" w:rsidRPr="00582160" w:rsidRDefault="00FA5011" w:rsidP="00582160">
      <w:pPr>
        <w:pStyle w:val="ListParagraph"/>
        <w:numPr>
          <w:ilvl w:val="0"/>
          <w:numId w:val="8"/>
        </w:numPr>
        <w:jc w:val="both"/>
        <w:rPr>
          <w:rFonts w:ascii="Arial" w:hAnsi="Arial" w:cs="Arial"/>
        </w:rPr>
      </w:pPr>
      <w:r w:rsidRPr="00582160">
        <w:rPr>
          <w:rFonts w:ascii="Arial" w:hAnsi="Arial" w:cs="Arial"/>
        </w:rPr>
        <w:t>Mueller, W.F. (1983). Market Power and Its Control in the Food System. </w:t>
      </w:r>
      <w:r w:rsidRPr="00582160">
        <w:rPr>
          <w:rFonts w:ascii="Arial" w:hAnsi="Arial" w:cs="Arial"/>
          <w:i/>
          <w:iCs/>
        </w:rPr>
        <w:t>American Journal of Agricultural Economics</w:t>
      </w:r>
      <w:r w:rsidRPr="00582160">
        <w:rPr>
          <w:rFonts w:ascii="Arial" w:hAnsi="Arial" w:cs="Arial"/>
        </w:rPr>
        <w:t xml:space="preserve">, 65(5), pp.855–863. Available at: </w:t>
      </w:r>
      <w:hyperlink r:id="rId18" w:history="1">
        <w:r w:rsidRPr="00582160">
          <w:rPr>
            <w:rStyle w:val="Hyperlink"/>
            <w:rFonts w:ascii="Arial" w:hAnsi="Arial" w:cs="Arial"/>
          </w:rPr>
          <w:t>https://doi.org/10.2307/1240381</w:t>
        </w:r>
      </w:hyperlink>
    </w:p>
    <w:p w:rsidR="00FA5011" w:rsidRPr="00582160" w:rsidRDefault="008D0D73" w:rsidP="00582160">
      <w:pPr>
        <w:pStyle w:val="ListParagraph"/>
        <w:numPr>
          <w:ilvl w:val="0"/>
          <w:numId w:val="8"/>
        </w:numPr>
        <w:jc w:val="both"/>
        <w:rPr>
          <w:rFonts w:ascii="Arial" w:hAnsi="Arial" w:cs="Arial"/>
        </w:rPr>
      </w:pPr>
      <w:r w:rsidRPr="00582160">
        <w:rPr>
          <w:rFonts w:ascii="Arial" w:hAnsi="Arial" w:cs="Arial"/>
        </w:rPr>
        <w:t>Connelly, S., Markey, S. and Roseland, M. (2011). Bridging sustainability and the social economy: Achieving community transformation through local food initiatives. </w:t>
      </w:r>
      <w:r w:rsidRPr="00582160">
        <w:rPr>
          <w:rFonts w:ascii="Arial" w:hAnsi="Arial" w:cs="Arial"/>
          <w:i/>
          <w:iCs/>
        </w:rPr>
        <w:t>Critical Social Policy</w:t>
      </w:r>
      <w:r w:rsidRPr="00582160">
        <w:rPr>
          <w:rFonts w:ascii="Arial" w:hAnsi="Arial" w:cs="Arial"/>
        </w:rPr>
        <w:t xml:space="preserve">, 31(2), pp.308–324. Available at: </w:t>
      </w:r>
      <w:hyperlink r:id="rId19" w:history="1">
        <w:r w:rsidRPr="00582160">
          <w:rPr>
            <w:rStyle w:val="Hyperlink"/>
            <w:rFonts w:ascii="Arial" w:hAnsi="Arial" w:cs="Arial"/>
          </w:rPr>
          <w:t>https://doi.org/10.1177/0261018310396040</w:t>
        </w:r>
      </w:hyperlink>
      <w:r w:rsidRPr="00582160">
        <w:rPr>
          <w:rFonts w:ascii="Arial" w:hAnsi="Arial" w:cs="Arial"/>
        </w:rPr>
        <w:t xml:space="preserve"> </w:t>
      </w:r>
    </w:p>
    <w:p w:rsidR="008D0D73" w:rsidRPr="00582160" w:rsidRDefault="006322E4" w:rsidP="00582160">
      <w:pPr>
        <w:pStyle w:val="ListParagraph"/>
        <w:numPr>
          <w:ilvl w:val="0"/>
          <w:numId w:val="8"/>
        </w:numPr>
        <w:jc w:val="both"/>
        <w:rPr>
          <w:rFonts w:ascii="Arial" w:hAnsi="Arial" w:cs="Arial"/>
        </w:rPr>
      </w:pPr>
      <w:proofErr w:type="spellStart"/>
      <w:r w:rsidRPr="00582160">
        <w:rPr>
          <w:rFonts w:ascii="Arial" w:hAnsi="Arial" w:cs="Arial"/>
        </w:rPr>
        <w:t>Riandita</w:t>
      </w:r>
      <w:proofErr w:type="spellEnd"/>
      <w:r w:rsidRPr="00582160">
        <w:rPr>
          <w:rFonts w:ascii="Arial" w:hAnsi="Arial" w:cs="Arial"/>
        </w:rPr>
        <w:t>, A. (2022). To collaborate and innovate for sustainability: Food retailers and their external partners. </w:t>
      </w:r>
      <w:r w:rsidRPr="00582160">
        <w:rPr>
          <w:rFonts w:ascii="Arial" w:hAnsi="Arial" w:cs="Arial"/>
          <w:i/>
          <w:iCs/>
        </w:rPr>
        <w:t>Technological Forecasting and Social Change</w:t>
      </w:r>
      <w:r w:rsidRPr="00582160">
        <w:rPr>
          <w:rFonts w:ascii="Arial" w:hAnsi="Arial" w:cs="Arial"/>
        </w:rPr>
        <w:t xml:space="preserve">, [online] 180, p.121681. Available at: </w:t>
      </w:r>
      <w:hyperlink r:id="rId20" w:history="1">
        <w:r w:rsidRPr="00582160">
          <w:rPr>
            <w:rStyle w:val="Hyperlink"/>
            <w:rFonts w:ascii="Arial" w:hAnsi="Arial" w:cs="Arial"/>
          </w:rPr>
          <w:t>https://doi.org/10.1016/j.techfore.2022.121681</w:t>
        </w:r>
      </w:hyperlink>
      <w:r w:rsidRPr="00582160">
        <w:rPr>
          <w:rFonts w:ascii="Arial" w:hAnsi="Arial" w:cs="Arial"/>
        </w:rPr>
        <w:t xml:space="preserve"> </w:t>
      </w:r>
    </w:p>
    <w:p w:rsidR="00E3207B" w:rsidRPr="00582160" w:rsidRDefault="00E3207B" w:rsidP="00582160">
      <w:pPr>
        <w:pStyle w:val="ListParagraph"/>
        <w:numPr>
          <w:ilvl w:val="0"/>
          <w:numId w:val="8"/>
        </w:numPr>
        <w:jc w:val="both"/>
        <w:rPr>
          <w:rFonts w:ascii="Arial" w:hAnsi="Arial" w:cs="Arial"/>
        </w:rPr>
      </w:pPr>
      <w:proofErr w:type="spellStart"/>
      <w:r w:rsidRPr="00582160">
        <w:rPr>
          <w:rFonts w:ascii="Arial" w:hAnsi="Arial" w:cs="Arial"/>
        </w:rPr>
        <w:t>Jeske</w:t>
      </w:r>
      <w:proofErr w:type="spellEnd"/>
      <w:r w:rsidRPr="00582160">
        <w:rPr>
          <w:rFonts w:ascii="Arial" w:hAnsi="Arial" w:cs="Arial"/>
        </w:rPr>
        <w:t xml:space="preserve">, S., </w:t>
      </w:r>
      <w:proofErr w:type="spellStart"/>
      <w:r w:rsidRPr="00582160">
        <w:rPr>
          <w:rFonts w:ascii="Arial" w:hAnsi="Arial" w:cs="Arial"/>
        </w:rPr>
        <w:t>Zannini</w:t>
      </w:r>
      <w:proofErr w:type="spellEnd"/>
      <w:r w:rsidRPr="00582160">
        <w:rPr>
          <w:rFonts w:ascii="Arial" w:hAnsi="Arial" w:cs="Arial"/>
        </w:rPr>
        <w:t>, E. and Arendt, E.K. (2018). Past, present and future: The strength of plant-based dairy substitutes based on gluten-free raw materials. </w:t>
      </w:r>
      <w:r w:rsidRPr="00582160">
        <w:rPr>
          <w:rFonts w:ascii="Arial" w:hAnsi="Arial" w:cs="Arial"/>
          <w:i/>
          <w:iCs/>
        </w:rPr>
        <w:t>Food Research International</w:t>
      </w:r>
      <w:r w:rsidRPr="00582160">
        <w:rPr>
          <w:rFonts w:ascii="Arial" w:hAnsi="Arial" w:cs="Arial"/>
        </w:rPr>
        <w:t xml:space="preserve">, [online] 110, pp.42–51. Available at: </w:t>
      </w:r>
      <w:hyperlink r:id="rId21" w:history="1">
        <w:r w:rsidRPr="00582160">
          <w:rPr>
            <w:rStyle w:val="Hyperlink"/>
            <w:rFonts w:ascii="Arial" w:hAnsi="Arial" w:cs="Arial"/>
          </w:rPr>
          <w:t>https://doi.org/10.1016/j.foodres.2017.03.045</w:t>
        </w:r>
      </w:hyperlink>
      <w:r w:rsidRPr="00582160">
        <w:rPr>
          <w:rFonts w:ascii="Arial" w:hAnsi="Arial" w:cs="Arial"/>
        </w:rPr>
        <w:t xml:space="preserve"> </w:t>
      </w:r>
    </w:p>
    <w:p w:rsidR="001B39CD" w:rsidRPr="001B39CD" w:rsidRDefault="001B39CD" w:rsidP="001B39CD">
      <w:pPr>
        <w:jc w:val="both"/>
        <w:rPr>
          <w:rFonts w:ascii="Times New Roman" w:hAnsi="Times New Roman" w:cs="Times New Roman"/>
          <w:sz w:val="24"/>
          <w:szCs w:val="24"/>
        </w:rPr>
      </w:pPr>
    </w:p>
    <w:p w:rsidR="001B39CD" w:rsidRPr="001B39CD" w:rsidRDefault="001B39CD" w:rsidP="001B39CD">
      <w:pPr>
        <w:rPr>
          <w:rFonts w:ascii="Times New Roman" w:hAnsi="Times New Roman" w:cs="Times New Roman"/>
          <w:sz w:val="24"/>
          <w:szCs w:val="24"/>
        </w:rPr>
      </w:pPr>
    </w:p>
    <w:p w:rsidR="001B39CD" w:rsidRPr="001B39CD" w:rsidRDefault="001B39CD">
      <w:pPr>
        <w:rPr>
          <w:rFonts w:ascii="Times New Roman" w:hAnsi="Times New Roman" w:cs="Times New Roman"/>
          <w:sz w:val="24"/>
          <w:szCs w:val="24"/>
        </w:rPr>
      </w:pPr>
    </w:p>
    <w:p w:rsidR="000B1A9A" w:rsidRDefault="000B1A9A">
      <w:pPr>
        <w:rPr>
          <w:rFonts w:ascii="Times New Roman" w:hAnsi="Times New Roman" w:cs="Times New Roman"/>
          <w:sz w:val="24"/>
          <w:szCs w:val="24"/>
        </w:rPr>
      </w:pPr>
    </w:p>
    <w:p w:rsidR="000B1A9A" w:rsidRDefault="000B1A9A" w:rsidP="000B1A9A">
      <w:r>
        <w:br w:type="page"/>
      </w:r>
    </w:p>
    <w:p w:rsidR="001B39CD" w:rsidRDefault="000B1A9A" w:rsidP="000B1A9A">
      <w:pPr>
        <w:pStyle w:val="Heading1"/>
        <w:jc w:val="center"/>
        <w:rPr>
          <w:rFonts w:ascii="Arial" w:hAnsi="Arial" w:cs="Arial"/>
          <w:sz w:val="24"/>
        </w:rPr>
      </w:pPr>
      <w:bookmarkStart w:id="37" w:name="_Toc182476738"/>
      <w:r w:rsidRPr="000B1A9A">
        <w:rPr>
          <w:rFonts w:ascii="Arial" w:hAnsi="Arial" w:cs="Arial"/>
          <w:sz w:val="24"/>
        </w:rPr>
        <w:lastRenderedPageBreak/>
        <w:t>Poster</w:t>
      </w:r>
      <w:bookmarkEnd w:id="37"/>
    </w:p>
    <w:p w:rsidR="00AE6E9A" w:rsidRDefault="00AE6E9A" w:rsidP="00AE6E9A"/>
    <w:p w:rsidR="00AE6E9A" w:rsidRDefault="00AE6E9A" w:rsidP="00AE6E9A"/>
    <w:p w:rsidR="00AE6E9A" w:rsidRPr="00AE6E9A" w:rsidRDefault="00AE6E9A" w:rsidP="00AE6E9A"/>
    <w:p w:rsidR="00AE6E9A" w:rsidRPr="00AE6E9A" w:rsidRDefault="00AE6E9A" w:rsidP="00AE6E9A">
      <w:bookmarkStart w:id="38" w:name="_GoBack"/>
      <w:r>
        <w:rPr>
          <w:noProof/>
        </w:rPr>
        <w:drawing>
          <wp:inline distT="0" distB="0" distL="0" distR="0">
            <wp:extent cx="5943600" cy="4201795"/>
            <wp:effectExtent l="190500" t="190500" r="190500" b="1987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nola Poster (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4201795"/>
                    </a:xfrm>
                    <a:prstGeom prst="rect">
                      <a:avLst/>
                    </a:prstGeom>
                    <a:ln>
                      <a:noFill/>
                    </a:ln>
                    <a:effectLst>
                      <a:outerShdw blurRad="190500" algn="tl" rotWithShape="0">
                        <a:srgbClr val="000000">
                          <a:alpha val="70000"/>
                        </a:srgbClr>
                      </a:outerShdw>
                    </a:effectLst>
                  </pic:spPr>
                </pic:pic>
              </a:graphicData>
            </a:graphic>
          </wp:inline>
        </w:drawing>
      </w:r>
      <w:bookmarkEnd w:id="38"/>
    </w:p>
    <w:sectPr w:rsidR="00AE6E9A" w:rsidRPr="00AE6E9A" w:rsidSect="00DE379F">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2133" w:rsidRDefault="00C52133" w:rsidP="00F10B24">
      <w:pPr>
        <w:spacing w:after="0" w:line="240" w:lineRule="auto"/>
      </w:pPr>
      <w:r>
        <w:separator/>
      </w:r>
    </w:p>
  </w:endnote>
  <w:endnote w:type="continuationSeparator" w:id="0">
    <w:p w:rsidR="00C52133" w:rsidRDefault="00C52133" w:rsidP="00F10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27509699"/>
      <w:docPartObj>
        <w:docPartGallery w:val="Page Numbers (Bottom of Page)"/>
        <w:docPartUnique/>
      </w:docPartObj>
    </w:sdtPr>
    <w:sdtEndPr>
      <w:rPr>
        <w:noProof/>
      </w:rPr>
    </w:sdtEndPr>
    <w:sdtContent>
      <w:p w:rsidR="00F10B24" w:rsidRDefault="00F10B24">
        <w:pPr>
          <w:pStyle w:val="Footer"/>
          <w:jc w:val="center"/>
        </w:pPr>
        <w:r>
          <w:fldChar w:fldCharType="begin"/>
        </w:r>
        <w:r>
          <w:instrText xml:space="preserve"> PAGE   \* MERGEFORMAT </w:instrText>
        </w:r>
        <w:r>
          <w:fldChar w:fldCharType="separate"/>
        </w:r>
        <w:r w:rsidR="00AE6E9A">
          <w:rPr>
            <w:noProof/>
          </w:rPr>
          <w:t>15</w:t>
        </w:r>
        <w:r>
          <w:rPr>
            <w:noProof/>
          </w:rPr>
          <w:fldChar w:fldCharType="end"/>
        </w:r>
      </w:p>
    </w:sdtContent>
  </w:sdt>
  <w:p w:rsidR="00F10B24" w:rsidRDefault="00F10B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2133" w:rsidRDefault="00C52133" w:rsidP="00F10B24">
      <w:pPr>
        <w:spacing w:after="0" w:line="240" w:lineRule="auto"/>
      </w:pPr>
      <w:r>
        <w:separator/>
      </w:r>
    </w:p>
  </w:footnote>
  <w:footnote w:type="continuationSeparator" w:id="0">
    <w:p w:rsidR="00C52133" w:rsidRDefault="00C52133" w:rsidP="00F10B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377099"/>
    <w:multiLevelType w:val="multilevel"/>
    <w:tmpl w:val="CA747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0B247A"/>
    <w:multiLevelType w:val="hybridMultilevel"/>
    <w:tmpl w:val="3AAA1274"/>
    <w:lvl w:ilvl="0" w:tplc="04090001">
      <w:start w:val="1"/>
      <w:numFmt w:val="bullet"/>
      <w:lvlText w:val=""/>
      <w:lvlJc w:val="left"/>
      <w:pPr>
        <w:ind w:left="1023" w:hanging="360"/>
      </w:pPr>
      <w:rPr>
        <w:rFonts w:ascii="Symbol" w:hAnsi="Symbol" w:hint="default"/>
      </w:rPr>
    </w:lvl>
    <w:lvl w:ilvl="1" w:tplc="04090003" w:tentative="1">
      <w:start w:val="1"/>
      <w:numFmt w:val="bullet"/>
      <w:lvlText w:val="o"/>
      <w:lvlJc w:val="left"/>
      <w:pPr>
        <w:ind w:left="1743" w:hanging="360"/>
      </w:pPr>
      <w:rPr>
        <w:rFonts w:ascii="Courier New" w:hAnsi="Courier New" w:cs="Courier New" w:hint="default"/>
      </w:rPr>
    </w:lvl>
    <w:lvl w:ilvl="2" w:tplc="04090005" w:tentative="1">
      <w:start w:val="1"/>
      <w:numFmt w:val="bullet"/>
      <w:lvlText w:val=""/>
      <w:lvlJc w:val="left"/>
      <w:pPr>
        <w:ind w:left="2463" w:hanging="360"/>
      </w:pPr>
      <w:rPr>
        <w:rFonts w:ascii="Wingdings" w:hAnsi="Wingdings" w:hint="default"/>
      </w:rPr>
    </w:lvl>
    <w:lvl w:ilvl="3" w:tplc="04090001" w:tentative="1">
      <w:start w:val="1"/>
      <w:numFmt w:val="bullet"/>
      <w:lvlText w:val=""/>
      <w:lvlJc w:val="left"/>
      <w:pPr>
        <w:ind w:left="3183" w:hanging="360"/>
      </w:pPr>
      <w:rPr>
        <w:rFonts w:ascii="Symbol" w:hAnsi="Symbol" w:hint="default"/>
      </w:rPr>
    </w:lvl>
    <w:lvl w:ilvl="4" w:tplc="04090003" w:tentative="1">
      <w:start w:val="1"/>
      <w:numFmt w:val="bullet"/>
      <w:lvlText w:val="o"/>
      <w:lvlJc w:val="left"/>
      <w:pPr>
        <w:ind w:left="3903" w:hanging="360"/>
      </w:pPr>
      <w:rPr>
        <w:rFonts w:ascii="Courier New" w:hAnsi="Courier New" w:cs="Courier New" w:hint="default"/>
      </w:rPr>
    </w:lvl>
    <w:lvl w:ilvl="5" w:tplc="04090005" w:tentative="1">
      <w:start w:val="1"/>
      <w:numFmt w:val="bullet"/>
      <w:lvlText w:val=""/>
      <w:lvlJc w:val="left"/>
      <w:pPr>
        <w:ind w:left="4623" w:hanging="360"/>
      </w:pPr>
      <w:rPr>
        <w:rFonts w:ascii="Wingdings" w:hAnsi="Wingdings" w:hint="default"/>
      </w:rPr>
    </w:lvl>
    <w:lvl w:ilvl="6" w:tplc="04090001" w:tentative="1">
      <w:start w:val="1"/>
      <w:numFmt w:val="bullet"/>
      <w:lvlText w:val=""/>
      <w:lvlJc w:val="left"/>
      <w:pPr>
        <w:ind w:left="5343" w:hanging="360"/>
      </w:pPr>
      <w:rPr>
        <w:rFonts w:ascii="Symbol" w:hAnsi="Symbol" w:hint="default"/>
      </w:rPr>
    </w:lvl>
    <w:lvl w:ilvl="7" w:tplc="04090003" w:tentative="1">
      <w:start w:val="1"/>
      <w:numFmt w:val="bullet"/>
      <w:lvlText w:val="o"/>
      <w:lvlJc w:val="left"/>
      <w:pPr>
        <w:ind w:left="6063" w:hanging="360"/>
      </w:pPr>
      <w:rPr>
        <w:rFonts w:ascii="Courier New" w:hAnsi="Courier New" w:cs="Courier New" w:hint="default"/>
      </w:rPr>
    </w:lvl>
    <w:lvl w:ilvl="8" w:tplc="04090005" w:tentative="1">
      <w:start w:val="1"/>
      <w:numFmt w:val="bullet"/>
      <w:lvlText w:val=""/>
      <w:lvlJc w:val="left"/>
      <w:pPr>
        <w:ind w:left="6783" w:hanging="360"/>
      </w:pPr>
      <w:rPr>
        <w:rFonts w:ascii="Wingdings" w:hAnsi="Wingdings" w:hint="default"/>
      </w:rPr>
    </w:lvl>
  </w:abstractNum>
  <w:abstractNum w:abstractNumId="2">
    <w:nsid w:val="1D3242A9"/>
    <w:multiLevelType w:val="multilevel"/>
    <w:tmpl w:val="FF980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935121B"/>
    <w:multiLevelType w:val="multilevel"/>
    <w:tmpl w:val="B002C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D6A4A41"/>
    <w:multiLevelType w:val="multilevel"/>
    <w:tmpl w:val="EAE6F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D913668"/>
    <w:multiLevelType w:val="multilevel"/>
    <w:tmpl w:val="D74AB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51461AF"/>
    <w:multiLevelType w:val="multilevel"/>
    <w:tmpl w:val="F9A2545A"/>
    <w:lvl w:ilvl="0">
      <w:start w:val="1"/>
      <w:numFmt w:val="decimal"/>
      <w:lvlText w:val="%1."/>
      <w:lvlJc w:val="left"/>
      <w:pPr>
        <w:tabs>
          <w:tab w:val="num" w:pos="720"/>
        </w:tabs>
        <w:ind w:left="720" w:hanging="360"/>
      </w:pPr>
      <w:rPr>
        <w:color w:val="auto"/>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98A77BD"/>
    <w:multiLevelType w:val="hybridMultilevel"/>
    <w:tmpl w:val="C5D624CC"/>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2"/>
  </w:num>
  <w:num w:numId="4">
    <w:abstractNumId w:val="5"/>
  </w:num>
  <w:num w:numId="5">
    <w:abstractNumId w:val="3"/>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7140"/>
    <w:rsid w:val="000063DE"/>
    <w:rsid w:val="000272BE"/>
    <w:rsid w:val="00047360"/>
    <w:rsid w:val="00065AEF"/>
    <w:rsid w:val="000A6A63"/>
    <w:rsid w:val="000B1A9A"/>
    <w:rsid w:val="00127201"/>
    <w:rsid w:val="00174BE1"/>
    <w:rsid w:val="00182479"/>
    <w:rsid w:val="001B39CD"/>
    <w:rsid w:val="00256B92"/>
    <w:rsid w:val="00292CFB"/>
    <w:rsid w:val="002C0CBF"/>
    <w:rsid w:val="002D1057"/>
    <w:rsid w:val="002E3941"/>
    <w:rsid w:val="002E6F7A"/>
    <w:rsid w:val="003C008D"/>
    <w:rsid w:val="0043011E"/>
    <w:rsid w:val="00447E2A"/>
    <w:rsid w:val="00464979"/>
    <w:rsid w:val="00471E95"/>
    <w:rsid w:val="004725D7"/>
    <w:rsid w:val="0049310B"/>
    <w:rsid w:val="00532074"/>
    <w:rsid w:val="00562E0D"/>
    <w:rsid w:val="00573AC7"/>
    <w:rsid w:val="00582160"/>
    <w:rsid w:val="00584CBE"/>
    <w:rsid w:val="005B0106"/>
    <w:rsid w:val="005B1C46"/>
    <w:rsid w:val="005C6BE1"/>
    <w:rsid w:val="005E12FC"/>
    <w:rsid w:val="005F0280"/>
    <w:rsid w:val="005F5BF1"/>
    <w:rsid w:val="006322E4"/>
    <w:rsid w:val="00657E01"/>
    <w:rsid w:val="00660EF3"/>
    <w:rsid w:val="006B1D52"/>
    <w:rsid w:val="006C15C5"/>
    <w:rsid w:val="00703EA9"/>
    <w:rsid w:val="0074353F"/>
    <w:rsid w:val="008315E1"/>
    <w:rsid w:val="00861F88"/>
    <w:rsid w:val="008D0D73"/>
    <w:rsid w:val="008F0586"/>
    <w:rsid w:val="00995C25"/>
    <w:rsid w:val="009F7140"/>
    <w:rsid w:val="00A145D3"/>
    <w:rsid w:val="00A928EA"/>
    <w:rsid w:val="00AC78B0"/>
    <w:rsid w:val="00AD3266"/>
    <w:rsid w:val="00AE6E9A"/>
    <w:rsid w:val="00B7623C"/>
    <w:rsid w:val="00C02A98"/>
    <w:rsid w:val="00C301E3"/>
    <w:rsid w:val="00C43FC4"/>
    <w:rsid w:val="00C52133"/>
    <w:rsid w:val="00C64D93"/>
    <w:rsid w:val="00C72D6D"/>
    <w:rsid w:val="00C901CD"/>
    <w:rsid w:val="00CE4F2C"/>
    <w:rsid w:val="00CF2A48"/>
    <w:rsid w:val="00D47AF4"/>
    <w:rsid w:val="00D87D64"/>
    <w:rsid w:val="00D95012"/>
    <w:rsid w:val="00DC5B8C"/>
    <w:rsid w:val="00DE379F"/>
    <w:rsid w:val="00E3207B"/>
    <w:rsid w:val="00E72D22"/>
    <w:rsid w:val="00EA2944"/>
    <w:rsid w:val="00EA50DA"/>
    <w:rsid w:val="00F10B24"/>
    <w:rsid w:val="00F54746"/>
    <w:rsid w:val="00F6656E"/>
    <w:rsid w:val="00F9339D"/>
    <w:rsid w:val="00FA0A7F"/>
    <w:rsid w:val="00FA5011"/>
    <w:rsid w:val="00FD0E81"/>
    <w:rsid w:val="00FF7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92C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92CF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5AE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65AEF"/>
    <w:rPr>
      <w:b/>
      <w:bCs/>
    </w:rPr>
  </w:style>
  <w:style w:type="character" w:styleId="Hyperlink">
    <w:name w:val="Hyperlink"/>
    <w:basedOn w:val="DefaultParagraphFont"/>
    <w:uiPriority w:val="99"/>
    <w:unhideWhenUsed/>
    <w:rsid w:val="002E3941"/>
    <w:rPr>
      <w:color w:val="0000FF" w:themeColor="hyperlink"/>
      <w:u w:val="single"/>
    </w:rPr>
  </w:style>
  <w:style w:type="paragraph" w:styleId="BalloonText">
    <w:name w:val="Balloon Text"/>
    <w:basedOn w:val="Normal"/>
    <w:link w:val="BalloonTextChar"/>
    <w:uiPriority w:val="99"/>
    <w:semiHidden/>
    <w:unhideWhenUsed/>
    <w:rsid w:val="00DC5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5B8C"/>
    <w:rPr>
      <w:rFonts w:ascii="Tahoma" w:hAnsi="Tahoma" w:cs="Tahoma"/>
      <w:sz w:val="16"/>
      <w:szCs w:val="16"/>
    </w:rPr>
  </w:style>
  <w:style w:type="character" w:styleId="Emphasis">
    <w:name w:val="Emphasis"/>
    <w:basedOn w:val="DefaultParagraphFont"/>
    <w:uiPriority w:val="20"/>
    <w:qFormat/>
    <w:rsid w:val="00D87D64"/>
    <w:rPr>
      <w:i/>
      <w:iCs/>
    </w:rPr>
  </w:style>
  <w:style w:type="table" w:styleId="TableGrid">
    <w:name w:val="Table Grid"/>
    <w:basedOn w:val="TableNormal"/>
    <w:uiPriority w:val="59"/>
    <w:rsid w:val="00660E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CF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92CF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92CFB"/>
    <w:pPr>
      <w:ind w:left="720"/>
      <w:contextualSpacing/>
    </w:pPr>
  </w:style>
  <w:style w:type="paragraph" w:styleId="Header">
    <w:name w:val="header"/>
    <w:basedOn w:val="Normal"/>
    <w:link w:val="HeaderChar"/>
    <w:uiPriority w:val="99"/>
    <w:unhideWhenUsed/>
    <w:rsid w:val="00F10B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B24"/>
  </w:style>
  <w:style w:type="paragraph" w:styleId="Footer">
    <w:name w:val="footer"/>
    <w:basedOn w:val="Normal"/>
    <w:link w:val="FooterChar"/>
    <w:uiPriority w:val="99"/>
    <w:unhideWhenUsed/>
    <w:rsid w:val="00F10B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B24"/>
  </w:style>
  <w:style w:type="paragraph" w:styleId="TOCHeading">
    <w:name w:val="TOC Heading"/>
    <w:basedOn w:val="Heading1"/>
    <w:next w:val="Normal"/>
    <w:uiPriority w:val="39"/>
    <w:unhideWhenUsed/>
    <w:qFormat/>
    <w:rsid w:val="00CF2A48"/>
    <w:pPr>
      <w:outlineLvl w:val="9"/>
    </w:pPr>
    <w:rPr>
      <w:lang w:eastAsia="ja-JP"/>
    </w:rPr>
  </w:style>
  <w:style w:type="paragraph" w:styleId="TOC1">
    <w:name w:val="toc 1"/>
    <w:basedOn w:val="Normal"/>
    <w:next w:val="Normal"/>
    <w:autoRedefine/>
    <w:uiPriority w:val="39"/>
    <w:unhideWhenUsed/>
    <w:rsid w:val="00471E95"/>
    <w:pPr>
      <w:tabs>
        <w:tab w:val="right" w:leader="dot" w:pos="9350"/>
      </w:tabs>
      <w:spacing w:after="100" w:line="360" w:lineRule="auto"/>
      <w:jc w:val="both"/>
    </w:pPr>
    <w:rPr>
      <w:rFonts w:ascii="Arial" w:hAnsi="Arial" w:cs="Arial"/>
      <w:noProof/>
    </w:rPr>
  </w:style>
  <w:style w:type="paragraph" w:styleId="TOC2">
    <w:name w:val="toc 2"/>
    <w:basedOn w:val="Normal"/>
    <w:next w:val="Normal"/>
    <w:autoRedefine/>
    <w:uiPriority w:val="39"/>
    <w:unhideWhenUsed/>
    <w:rsid w:val="00CF2A48"/>
    <w:pPr>
      <w:spacing w:after="100"/>
      <w:ind w:left="220"/>
    </w:pPr>
  </w:style>
  <w:style w:type="paragraph" w:styleId="NoSpacing">
    <w:name w:val="No Spacing"/>
    <w:uiPriority w:val="1"/>
    <w:qFormat/>
    <w:rsid w:val="005B010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92C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92CF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5AE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65AEF"/>
    <w:rPr>
      <w:b/>
      <w:bCs/>
    </w:rPr>
  </w:style>
  <w:style w:type="character" w:styleId="Hyperlink">
    <w:name w:val="Hyperlink"/>
    <w:basedOn w:val="DefaultParagraphFont"/>
    <w:uiPriority w:val="99"/>
    <w:unhideWhenUsed/>
    <w:rsid w:val="002E3941"/>
    <w:rPr>
      <w:color w:val="0000FF" w:themeColor="hyperlink"/>
      <w:u w:val="single"/>
    </w:rPr>
  </w:style>
  <w:style w:type="paragraph" w:styleId="BalloonText">
    <w:name w:val="Balloon Text"/>
    <w:basedOn w:val="Normal"/>
    <w:link w:val="BalloonTextChar"/>
    <w:uiPriority w:val="99"/>
    <w:semiHidden/>
    <w:unhideWhenUsed/>
    <w:rsid w:val="00DC5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5B8C"/>
    <w:rPr>
      <w:rFonts w:ascii="Tahoma" w:hAnsi="Tahoma" w:cs="Tahoma"/>
      <w:sz w:val="16"/>
      <w:szCs w:val="16"/>
    </w:rPr>
  </w:style>
  <w:style w:type="character" w:styleId="Emphasis">
    <w:name w:val="Emphasis"/>
    <w:basedOn w:val="DefaultParagraphFont"/>
    <w:uiPriority w:val="20"/>
    <w:qFormat/>
    <w:rsid w:val="00D87D64"/>
    <w:rPr>
      <w:i/>
      <w:iCs/>
    </w:rPr>
  </w:style>
  <w:style w:type="table" w:styleId="TableGrid">
    <w:name w:val="Table Grid"/>
    <w:basedOn w:val="TableNormal"/>
    <w:uiPriority w:val="59"/>
    <w:rsid w:val="00660E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CF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92CF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92CFB"/>
    <w:pPr>
      <w:ind w:left="720"/>
      <w:contextualSpacing/>
    </w:pPr>
  </w:style>
  <w:style w:type="paragraph" w:styleId="Header">
    <w:name w:val="header"/>
    <w:basedOn w:val="Normal"/>
    <w:link w:val="HeaderChar"/>
    <w:uiPriority w:val="99"/>
    <w:unhideWhenUsed/>
    <w:rsid w:val="00F10B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B24"/>
  </w:style>
  <w:style w:type="paragraph" w:styleId="Footer">
    <w:name w:val="footer"/>
    <w:basedOn w:val="Normal"/>
    <w:link w:val="FooterChar"/>
    <w:uiPriority w:val="99"/>
    <w:unhideWhenUsed/>
    <w:rsid w:val="00F10B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B24"/>
  </w:style>
  <w:style w:type="paragraph" w:styleId="TOCHeading">
    <w:name w:val="TOC Heading"/>
    <w:basedOn w:val="Heading1"/>
    <w:next w:val="Normal"/>
    <w:uiPriority w:val="39"/>
    <w:unhideWhenUsed/>
    <w:qFormat/>
    <w:rsid w:val="00CF2A48"/>
    <w:pPr>
      <w:outlineLvl w:val="9"/>
    </w:pPr>
    <w:rPr>
      <w:lang w:eastAsia="ja-JP"/>
    </w:rPr>
  </w:style>
  <w:style w:type="paragraph" w:styleId="TOC1">
    <w:name w:val="toc 1"/>
    <w:basedOn w:val="Normal"/>
    <w:next w:val="Normal"/>
    <w:autoRedefine/>
    <w:uiPriority w:val="39"/>
    <w:unhideWhenUsed/>
    <w:rsid w:val="00471E95"/>
    <w:pPr>
      <w:tabs>
        <w:tab w:val="right" w:leader="dot" w:pos="9350"/>
      </w:tabs>
      <w:spacing w:after="100" w:line="360" w:lineRule="auto"/>
      <w:jc w:val="both"/>
    </w:pPr>
    <w:rPr>
      <w:rFonts w:ascii="Arial" w:hAnsi="Arial" w:cs="Arial"/>
      <w:noProof/>
    </w:rPr>
  </w:style>
  <w:style w:type="paragraph" w:styleId="TOC2">
    <w:name w:val="toc 2"/>
    <w:basedOn w:val="Normal"/>
    <w:next w:val="Normal"/>
    <w:autoRedefine/>
    <w:uiPriority w:val="39"/>
    <w:unhideWhenUsed/>
    <w:rsid w:val="00CF2A48"/>
    <w:pPr>
      <w:spacing w:after="100"/>
      <w:ind w:left="220"/>
    </w:pPr>
  </w:style>
  <w:style w:type="paragraph" w:styleId="NoSpacing">
    <w:name w:val="No Spacing"/>
    <w:uiPriority w:val="1"/>
    <w:qFormat/>
    <w:rsid w:val="005B010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1506667">
      <w:bodyDiv w:val="1"/>
      <w:marLeft w:val="0"/>
      <w:marRight w:val="0"/>
      <w:marTop w:val="0"/>
      <w:marBottom w:val="0"/>
      <w:divBdr>
        <w:top w:val="none" w:sz="0" w:space="0" w:color="auto"/>
        <w:left w:val="none" w:sz="0" w:space="0" w:color="auto"/>
        <w:bottom w:val="none" w:sz="0" w:space="0" w:color="auto"/>
        <w:right w:val="none" w:sz="0" w:space="0" w:color="auto"/>
      </w:divBdr>
    </w:div>
    <w:div w:id="1206992435">
      <w:bodyDiv w:val="1"/>
      <w:marLeft w:val="0"/>
      <w:marRight w:val="0"/>
      <w:marTop w:val="0"/>
      <w:marBottom w:val="0"/>
      <w:divBdr>
        <w:top w:val="none" w:sz="0" w:space="0" w:color="auto"/>
        <w:left w:val="none" w:sz="0" w:space="0" w:color="auto"/>
        <w:bottom w:val="none" w:sz="0" w:space="0" w:color="auto"/>
        <w:right w:val="none" w:sz="0" w:space="0" w:color="auto"/>
      </w:divBdr>
    </w:div>
    <w:div w:id="1306591621">
      <w:bodyDiv w:val="1"/>
      <w:marLeft w:val="0"/>
      <w:marRight w:val="0"/>
      <w:marTop w:val="0"/>
      <w:marBottom w:val="0"/>
      <w:divBdr>
        <w:top w:val="none" w:sz="0" w:space="0" w:color="auto"/>
        <w:left w:val="none" w:sz="0" w:space="0" w:color="auto"/>
        <w:bottom w:val="none" w:sz="0" w:space="0" w:color="auto"/>
        <w:right w:val="none" w:sz="0" w:space="0" w:color="auto"/>
      </w:divBdr>
    </w:div>
    <w:div w:id="1415400569">
      <w:bodyDiv w:val="1"/>
      <w:marLeft w:val="0"/>
      <w:marRight w:val="0"/>
      <w:marTop w:val="0"/>
      <w:marBottom w:val="0"/>
      <w:divBdr>
        <w:top w:val="none" w:sz="0" w:space="0" w:color="auto"/>
        <w:left w:val="none" w:sz="0" w:space="0" w:color="auto"/>
        <w:bottom w:val="none" w:sz="0" w:space="0" w:color="auto"/>
        <w:right w:val="none" w:sz="0" w:space="0" w:color="auto"/>
      </w:divBdr>
    </w:div>
    <w:div w:id="1481578606">
      <w:bodyDiv w:val="1"/>
      <w:marLeft w:val="0"/>
      <w:marRight w:val="0"/>
      <w:marTop w:val="0"/>
      <w:marBottom w:val="0"/>
      <w:divBdr>
        <w:top w:val="none" w:sz="0" w:space="0" w:color="auto"/>
        <w:left w:val="none" w:sz="0" w:space="0" w:color="auto"/>
        <w:bottom w:val="none" w:sz="0" w:space="0" w:color="auto"/>
        <w:right w:val="none" w:sz="0" w:space="0" w:color="auto"/>
      </w:divBdr>
    </w:div>
    <w:div w:id="1511260458">
      <w:bodyDiv w:val="1"/>
      <w:marLeft w:val="0"/>
      <w:marRight w:val="0"/>
      <w:marTop w:val="0"/>
      <w:marBottom w:val="0"/>
      <w:divBdr>
        <w:top w:val="none" w:sz="0" w:space="0" w:color="auto"/>
        <w:left w:val="none" w:sz="0" w:space="0" w:color="auto"/>
        <w:bottom w:val="none" w:sz="0" w:space="0" w:color="auto"/>
        <w:right w:val="none" w:sz="0" w:space="0" w:color="auto"/>
      </w:divBdr>
      <w:divsChild>
        <w:div w:id="1066296247">
          <w:marLeft w:val="0"/>
          <w:marRight w:val="0"/>
          <w:marTop w:val="0"/>
          <w:marBottom w:val="0"/>
          <w:divBdr>
            <w:top w:val="none" w:sz="0" w:space="0" w:color="auto"/>
            <w:left w:val="none" w:sz="0" w:space="0" w:color="auto"/>
            <w:bottom w:val="none" w:sz="0" w:space="0" w:color="auto"/>
            <w:right w:val="none" w:sz="0" w:space="0" w:color="auto"/>
          </w:divBdr>
          <w:divsChild>
            <w:div w:id="1980576590">
              <w:marLeft w:val="0"/>
              <w:marRight w:val="0"/>
              <w:marTop w:val="0"/>
              <w:marBottom w:val="0"/>
              <w:divBdr>
                <w:top w:val="none" w:sz="0" w:space="0" w:color="auto"/>
                <w:left w:val="none" w:sz="0" w:space="0" w:color="auto"/>
                <w:bottom w:val="none" w:sz="0" w:space="0" w:color="auto"/>
                <w:right w:val="none" w:sz="0" w:space="0" w:color="auto"/>
              </w:divBdr>
              <w:divsChild>
                <w:div w:id="744035432">
                  <w:marLeft w:val="0"/>
                  <w:marRight w:val="0"/>
                  <w:marTop w:val="0"/>
                  <w:marBottom w:val="0"/>
                  <w:divBdr>
                    <w:top w:val="none" w:sz="0" w:space="0" w:color="auto"/>
                    <w:left w:val="none" w:sz="0" w:space="0" w:color="auto"/>
                    <w:bottom w:val="none" w:sz="0" w:space="0" w:color="auto"/>
                    <w:right w:val="none" w:sz="0" w:space="0" w:color="auto"/>
                  </w:divBdr>
                  <w:divsChild>
                    <w:div w:id="22040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395361">
          <w:marLeft w:val="0"/>
          <w:marRight w:val="0"/>
          <w:marTop w:val="0"/>
          <w:marBottom w:val="0"/>
          <w:divBdr>
            <w:top w:val="none" w:sz="0" w:space="0" w:color="auto"/>
            <w:left w:val="none" w:sz="0" w:space="0" w:color="auto"/>
            <w:bottom w:val="none" w:sz="0" w:space="0" w:color="auto"/>
            <w:right w:val="none" w:sz="0" w:space="0" w:color="auto"/>
          </w:divBdr>
          <w:divsChild>
            <w:div w:id="270937257">
              <w:marLeft w:val="0"/>
              <w:marRight w:val="0"/>
              <w:marTop w:val="0"/>
              <w:marBottom w:val="0"/>
              <w:divBdr>
                <w:top w:val="none" w:sz="0" w:space="0" w:color="auto"/>
                <w:left w:val="none" w:sz="0" w:space="0" w:color="auto"/>
                <w:bottom w:val="none" w:sz="0" w:space="0" w:color="auto"/>
                <w:right w:val="none" w:sz="0" w:space="0" w:color="auto"/>
              </w:divBdr>
              <w:divsChild>
                <w:div w:id="2025130035">
                  <w:marLeft w:val="0"/>
                  <w:marRight w:val="0"/>
                  <w:marTop w:val="0"/>
                  <w:marBottom w:val="0"/>
                  <w:divBdr>
                    <w:top w:val="none" w:sz="0" w:space="0" w:color="auto"/>
                    <w:left w:val="none" w:sz="0" w:space="0" w:color="auto"/>
                    <w:bottom w:val="none" w:sz="0" w:space="0" w:color="auto"/>
                    <w:right w:val="none" w:sz="0" w:space="0" w:color="auto"/>
                  </w:divBdr>
                  <w:divsChild>
                    <w:div w:id="31838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362075">
      <w:bodyDiv w:val="1"/>
      <w:marLeft w:val="0"/>
      <w:marRight w:val="0"/>
      <w:marTop w:val="0"/>
      <w:marBottom w:val="0"/>
      <w:divBdr>
        <w:top w:val="none" w:sz="0" w:space="0" w:color="auto"/>
        <w:left w:val="none" w:sz="0" w:space="0" w:color="auto"/>
        <w:bottom w:val="none" w:sz="0" w:space="0" w:color="auto"/>
        <w:right w:val="none" w:sz="0" w:space="0" w:color="auto"/>
      </w:divBdr>
    </w:div>
    <w:div w:id="1709528902">
      <w:bodyDiv w:val="1"/>
      <w:marLeft w:val="0"/>
      <w:marRight w:val="0"/>
      <w:marTop w:val="0"/>
      <w:marBottom w:val="0"/>
      <w:divBdr>
        <w:top w:val="none" w:sz="0" w:space="0" w:color="auto"/>
        <w:left w:val="none" w:sz="0" w:space="0" w:color="auto"/>
        <w:bottom w:val="none" w:sz="0" w:space="0" w:color="auto"/>
        <w:right w:val="none" w:sz="0" w:space="0" w:color="auto"/>
      </w:divBdr>
    </w:div>
    <w:div w:id="1830098348">
      <w:bodyDiv w:val="1"/>
      <w:marLeft w:val="0"/>
      <w:marRight w:val="0"/>
      <w:marTop w:val="0"/>
      <w:marBottom w:val="0"/>
      <w:divBdr>
        <w:top w:val="none" w:sz="0" w:space="0" w:color="auto"/>
        <w:left w:val="none" w:sz="0" w:space="0" w:color="auto"/>
        <w:bottom w:val="none" w:sz="0" w:space="0" w:color="auto"/>
        <w:right w:val="none" w:sz="0" w:space="0" w:color="auto"/>
      </w:divBdr>
    </w:div>
    <w:div w:id="209212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hl=en&amp;lr=&amp;id=MMwuIgX66pUC&amp;oi=fnd&amp;pg=PR1&amp;dq=power+interest+grid+Regulators+and+Health+Authorities+food+company&amp;ots=qSReVcm6JL&amp;sig=oj3-RD3qgo77IeSoj54-blM9-O8&amp;redir_esc=y" TargetMode="External"/><Relationship Id="rId18" Type="http://schemas.openxmlformats.org/officeDocument/2006/relationships/hyperlink" Target="https://doi.org/10.2307/1240381" TargetMode="External"/><Relationship Id="rId3" Type="http://schemas.openxmlformats.org/officeDocument/2006/relationships/styles" Target="styles.xml"/><Relationship Id="rId21" Type="http://schemas.openxmlformats.org/officeDocument/2006/relationships/hyperlink" Target="https://doi.org/10.1016/j.foodres.2017.03.045" TargetMode="External"/><Relationship Id="rId7" Type="http://schemas.openxmlformats.org/officeDocument/2006/relationships/footnotes" Target="footnotes.xml"/><Relationship Id="rId12" Type="http://schemas.openxmlformats.org/officeDocument/2006/relationships/hyperlink" Target="https://www.researchgate.net/publication/349506325_Critical_examination_of_the_PESTEL_Analysis_Model" TargetMode="External"/><Relationship Id="rId17" Type="http://schemas.openxmlformats.org/officeDocument/2006/relationships/hyperlink" Target="https://doi.org/10.1111/deci.1208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oquest.com/openview/0bfd3e28694e1a77cc08237d8fa8eb77/1?pq-origsite=gscholar&amp;cbl=2030007" TargetMode="External"/><Relationship Id="rId20" Type="http://schemas.openxmlformats.org/officeDocument/2006/relationships/hyperlink" Target="https://doi.org/10.1016/j.techfore.2022.1216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oandme.co.uk/pages/our-story"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16/j.lrp.2023.10230" TargetMode="External"/><Relationship Id="rId23" Type="http://schemas.openxmlformats.org/officeDocument/2006/relationships/footer" Target="footer1.xml"/><Relationship Id="rId10" Type="http://schemas.openxmlformats.org/officeDocument/2006/relationships/hyperlink" Target="https://doi.org/10.1057/978-1-349-94848-2_632-1" TargetMode="External"/><Relationship Id="rId19" Type="http://schemas.openxmlformats.org/officeDocument/2006/relationships/hyperlink" Target="https://doi.org/10.1177/0261018310396040"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https://doi.org/10.1016/j.ijpe.2015.07.037"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694792-869D-4243-B76A-CF33985AC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20</Pages>
  <Words>5021</Words>
  <Characters>28626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6</cp:revision>
  <dcterms:created xsi:type="dcterms:W3CDTF">2024-11-14T00:22:00Z</dcterms:created>
  <dcterms:modified xsi:type="dcterms:W3CDTF">2024-11-14T11:59:00Z</dcterms:modified>
</cp:coreProperties>
</file>