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8FBE1" w14:textId="77777777" w:rsidR="004B02B2" w:rsidRPr="00626A80" w:rsidRDefault="004B02B2" w:rsidP="00BB7A58">
      <w:pPr>
        <w:pStyle w:val="Subtitle"/>
        <w:numPr>
          <w:ilvl w:val="0"/>
          <w:numId w:val="0"/>
        </w:numPr>
        <w:jc w:val="both"/>
        <w:rPr>
          <w:rStyle w:val="Emphasis"/>
          <w:rFonts w:ascii="Arial" w:hAnsi="Arial" w:cs="Arial"/>
          <w:i w:val="0"/>
          <w:iCs w:val="0"/>
          <w:color w:val="156082" w:themeColor="accent1"/>
          <w:spacing w:val="0"/>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401FA9" w14:textId="77777777" w:rsidR="004B02B2" w:rsidRDefault="004B02B2" w:rsidP="004B02B2">
      <w:pPr>
        <w:pStyle w:val="Subtitle"/>
        <w:numPr>
          <w:ilvl w:val="0"/>
          <w:numId w:val="0"/>
        </w:numPr>
        <w:jc w:val="both"/>
        <w:rPr>
          <w:rStyle w:val="Emphasis"/>
          <w:rFonts w:ascii="Baskerville" w:hAnsi="Baskerville" w:cs="ADLaM Display"/>
          <w:i w:val="0"/>
          <w:iCs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CE3AA5" w14:textId="77777777" w:rsidR="009F36F5" w:rsidRDefault="009F36F5" w:rsidP="004B02B2">
      <w:pPr>
        <w:pStyle w:val="Subtitle"/>
        <w:numPr>
          <w:ilvl w:val="0"/>
          <w:numId w:val="0"/>
        </w:numPr>
        <w:jc w:val="both"/>
        <w:rPr>
          <w:rStyle w:val="Emphasis"/>
          <w:rFonts w:ascii="Baskerville" w:hAnsi="Baskerville" w:cs="ADLaM Display"/>
          <w:i w:val="0"/>
          <w:iCs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271268" w14:textId="77777777" w:rsidR="009F36F5" w:rsidRDefault="009F36F5" w:rsidP="004B02B2">
      <w:pPr>
        <w:pStyle w:val="Subtitle"/>
        <w:numPr>
          <w:ilvl w:val="0"/>
          <w:numId w:val="0"/>
        </w:numPr>
        <w:jc w:val="both"/>
        <w:rPr>
          <w:rStyle w:val="Emphasis"/>
          <w:rFonts w:ascii="Baskerville" w:hAnsi="Baskerville" w:cs="ADLaM Display"/>
          <w:i w:val="0"/>
          <w:iCs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68E7AD" w14:textId="2BACAAF4" w:rsidR="004B02B2" w:rsidRPr="004B02B2" w:rsidRDefault="004B02B2" w:rsidP="004B02B2">
      <w:pPr>
        <w:pStyle w:val="Subtitle"/>
        <w:numPr>
          <w:ilvl w:val="0"/>
          <w:numId w:val="0"/>
        </w:numPr>
        <w:jc w:val="both"/>
        <w:rPr>
          <w:rFonts w:ascii="Baskerville" w:hAnsi="Baskerville" w:cs="ADLaM Display"/>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Style w:val="Emphasis"/>
          <w:rFonts w:ascii="Baskerville" w:hAnsi="Baskerville" w:cs="ADLaM Display"/>
          <w:i w:val="0"/>
          <w:iCs w:val="0"/>
          <w:color w:val="156082" w:themeColor="accent1"/>
          <w:spacing w:val="0"/>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Written Report</w:t>
      </w:r>
    </w:p>
    <w:p w14:paraId="06EF47F3" w14:textId="6D3ED3C7" w:rsidR="00A3340C" w:rsidRPr="00A3340C" w:rsidRDefault="00A3340C" w:rsidP="00BB7A58">
      <w:pPr>
        <w:rPr>
          <w:sz w:val="32"/>
          <w:szCs w:val="32"/>
        </w:rPr>
      </w:pPr>
      <w:r>
        <w:rPr>
          <w:b/>
          <w:bCs/>
          <w:sz w:val="32"/>
          <w:szCs w:val="32"/>
        </w:rPr>
        <w:t xml:space="preserve">Module Name: </w:t>
      </w:r>
      <w:r>
        <w:rPr>
          <w:sz w:val="32"/>
          <w:szCs w:val="32"/>
        </w:rPr>
        <w:t>Introduction to Public Health</w:t>
      </w:r>
    </w:p>
    <w:p w14:paraId="753B4F03" w14:textId="58E9438B" w:rsidR="00BB7A58" w:rsidRPr="00A3340C" w:rsidRDefault="009A7592" w:rsidP="00BB7A58">
      <w:pPr>
        <w:rPr>
          <w:sz w:val="32"/>
          <w:szCs w:val="32"/>
        </w:rPr>
      </w:pPr>
      <w:r w:rsidRPr="00A3340C">
        <w:rPr>
          <w:b/>
          <w:bCs/>
          <w:sz w:val="32"/>
          <w:szCs w:val="32"/>
        </w:rPr>
        <w:t>Module Code:</w:t>
      </w:r>
      <w:r w:rsidR="004B02B2" w:rsidRPr="00A3340C">
        <w:rPr>
          <w:b/>
          <w:bCs/>
          <w:sz w:val="32"/>
          <w:szCs w:val="32"/>
        </w:rPr>
        <w:t xml:space="preserve"> </w:t>
      </w:r>
      <w:r w:rsidR="004B02B2" w:rsidRPr="00A3340C">
        <w:rPr>
          <w:sz w:val="32"/>
          <w:szCs w:val="32"/>
        </w:rPr>
        <w:t>LCHS4008</w:t>
      </w:r>
    </w:p>
    <w:p w14:paraId="5A4C981F" w14:textId="6608343A" w:rsidR="00BB7A58" w:rsidRPr="00A3340C" w:rsidRDefault="009A7592" w:rsidP="00BB7A58">
      <w:pPr>
        <w:rPr>
          <w:sz w:val="32"/>
          <w:szCs w:val="32"/>
        </w:rPr>
      </w:pPr>
      <w:r w:rsidRPr="00A3340C">
        <w:rPr>
          <w:b/>
          <w:bCs/>
          <w:sz w:val="32"/>
          <w:szCs w:val="32"/>
        </w:rPr>
        <w:t>Student Name:</w:t>
      </w:r>
      <w:r w:rsidR="00D52CC6" w:rsidRPr="00A3340C">
        <w:rPr>
          <w:b/>
          <w:bCs/>
          <w:sz w:val="32"/>
          <w:szCs w:val="32"/>
        </w:rPr>
        <w:t xml:space="preserve"> </w:t>
      </w:r>
      <w:r w:rsidR="004B02B2" w:rsidRPr="00A3340C">
        <w:rPr>
          <w:sz w:val="32"/>
          <w:szCs w:val="32"/>
        </w:rPr>
        <w:t>Analisa Caunceran</w:t>
      </w:r>
    </w:p>
    <w:p w14:paraId="6C02DDE1" w14:textId="37C309EA" w:rsidR="00D52CC6" w:rsidRPr="00A3340C" w:rsidRDefault="009A7592" w:rsidP="00BB7A58">
      <w:pPr>
        <w:rPr>
          <w:sz w:val="32"/>
          <w:szCs w:val="32"/>
        </w:rPr>
      </w:pPr>
      <w:r w:rsidRPr="00A3340C">
        <w:rPr>
          <w:b/>
          <w:bCs/>
          <w:sz w:val="32"/>
          <w:szCs w:val="32"/>
        </w:rPr>
        <w:t>Student ID:</w:t>
      </w:r>
      <w:r w:rsidR="00D52CC6" w:rsidRPr="00A3340C">
        <w:rPr>
          <w:b/>
          <w:bCs/>
          <w:sz w:val="32"/>
          <w:szCs w:val="32"/>
        </w:rPr>
        <w:t xml:space="preserve"> </w:t>
      </w:r>
      <w:r w:rsidR="004B02B2" w:rsidRPr="00A3340C">
        <w:rPr>
          <w:sz w:val="32"/>
          <w:szCs w:val="32"/>
        </w:rPr>
        <w:t>251900</w:t>
      </w:r>
    </w:p>
    <w:p w14:paraId="15484B4A" w14:textId="1970CF5A" w:rsidR="009A7592" w:rsidRPr="00A3340C" w:rsidRDefault="009A7592" w:rsidP="00BB7A58">
      <w:r w:rsidRPr="00A3340C">
        <w:rPr>
          <w:b/>
          <w:bCs/>
          <w:sz w:val="32"/>
          <w:szCs w:val="32"/>
        </w:rPr>
        <w:t>Lecturer’s Name:</w:t>
      </w:r>
      <w:r w:rsidR="00A3340C">
        <w:rPr>
          <w:b/>
          <w:bCs/>
          <w:sz w:val="32"/>
          <w:szCs w:val="32"/>
        </w:rPr>
        <w:t xml:space="preserve"> </w:t>
      </w:r>
      <w:r w:rsidR="00A3340C">
        <w:rPr>
          <w:sz w:val="32"/>
          <w:szCs w:val="32"/>
        </w:rPr>
        <w:t>Caroline Salami</w:t>
      </w:r>
    </w:p>
    <w:p w14:paraId="70C92BF0" w14:textId="77777777" w:rsidR="00D52CC6" w:rsidRDefault="00D52CC6" w:rsidP="00BB7A58">
      <w:pPr>
        <w:rPr>
          <w:b/>
          <w:bCs/>
          <w:sz w:val="56"/>
          <w:szCs w:val="56"/>
        </w:rPr>
      </w:pPr>
    </w:p>
    <w:p w14:paraId="64059CC1" w14:textId="77777777" w:rsidR="00D52CC6" w:rsidRDefault="00D52CC6" w:rsidP="00BB7A58">
      <w:pPr>
        <w:rPr>
          <w:b/>
          <w:bCs/>
          <w:sz w:val="56"/>
          <w:szCs w:val="56"/>
        </w:rPr>
      </w:pPr>
    </w:p>
    <w:p w14:paraId="3FFE0EFB" w14:textId="77777777" w:rsidR="00D52CC6" w:rsidRDefault="00D52CC6" w:rsidP="00BB7A58">
      <w:pPr>
        <w:rPr>
          <w:b/>
          <w:bCs/>
          <w:sz w:val="56"/>
          <w:szCs w:val="56"/>
        </w:rPr>
      </w:pPr>
    </w:p>
    <w:p w14:paraId="3B9F680F" w14:textId="77777777" w:rsidR="00D52CC6" w:rsidRDefault="00D52CC6" w:rsidP="00BB7A58">
      <w:pPr>
        <w:rPr>
          <w:b/>
          <w:bCs/>
          <w:sz w:val="56"/>
          <w:szCs w:val="56"/>
        </w:rPr>
      </w:pPr>
    </w:p>
    <w:p w14:paraId="4368FA81" w14:textId="77777777" w:rsidR="00D52CC6" w:rsidRDefault="00D52CC6" w:rsidP="00BB7A58">
      <w:pPr>
        <w:rPr>
          <w:b/>
          <w:bCs/>
          <w:sz w:val="56"/>
          <w:szCs w:val="56"/>
        </w:rPr>
      </w:pPr>
    </w:p>
    <w:p w14:paraId="32E9B133" w14:textId="77777777" w:rsidR="00D52CC6" w:rsidRDefault="00D52CC6" w:rsidP="00BB7A58">
      <w:pPr>
        <w:rPr>
          <w:b/>
          <w:bCs/>
          <w:sz w:val="56"/>
          <w:szCs w:val="56"/>
        </w:rPr>
      </w:pPr>
    </w:p>
    <w:p w14:paraId="401C34C1" w14:textId="77777777" w:rsidR="0048698D" w:rsidRDefault="0048698D" w:rsidP="00BB7A58">
      <w:pPr>
        <w:rPr>
          <w:b/>
          <w:bCs/>
          <w:sz w:val="56"/>
          <w:szCs w:val="56"/>
        </w:rPr>
      </w:pPr>
    </w:p>
    <w:p w14:paraId="0BC7F7D6" w14:textId="79A941E0" w:rsidR="0048698D" w:rsidRPr="0048698D" w:rsidRDefault="0048698D" w:rsidP="00BB7A58">
      <w:pPr>
        <w:rPr>
          <w:rFonts w:ascii="Arial" w:hAnsi="Arial" w:cs="Arial"/>
          <w:b/>
          <w:bCs/>
          <w:sz w:val="56"/>
          <w:szCs w:val="56"/>
        </w:rPr>
      </w:pPr>
      <w:r>
        <w:rPr>
          <w:b/>
          <w:bCs/>
          <w:sz w:val="56"/>
          <w:szCs w:val="56"/>
        </w:rPr>
        <w:lastRenderedPageBreak/>
        <w:t xml:space="preserve">                          </w:t>
      </w:r>
      <w:r w:rsidR="004B02B2" w:rsidRPr="0048698D">
        <w:rPr>
          <w:rFonts w:ascii="Arial" w:hAnsi="Arial" w:cs="Arial"/>
          <w:sz w:val="52"/>
          <w:szCs w:val="52"/>
        </w:rPr>
        <w:t>Tuberculosi</w:t>
      </w:r>
      <w:r w:rsidRPr="0048698D">
        <w:rPr>
          <w:rFonts w:ascii="Arial" w:hAnsi="Arial" w:cs="Arial"/>
          <w:sz w:val="52"/>
          <w:szCs w:val="52"/>
        </w:rPr>
        <w:t>s</w:t>
      </w:r>
    </w:p>
    <w:p w14:paraId="7C6EC0A8" w14:textId="77777777" w:rsidR="00DF4EC5" w:rsidRDefault="00DF4EC5" w:rsidP="00BB7A58">
      <w:pPr>
        <w:rPr>
          <w:b/>
          <w:bCs/>
          <w:sz w:val="56"/>
          <w:szCs w:val="56"/>
        </w:rPr>
      </w:pPr>
    </w:p>
    <w:p w14:paraId="1AA1ABB2" w14:textId="6294AAF1" w:rsidR="004B02B2" w:rsidRDefault="007C4D07" w:rsidP="00BB7A58">
      <w:pPr>
        <w:rPr>
          <w:b/>
          <w:bCs/>
          <w:sz w:val="40"/>
          <w:szCs w:val="40"/>
        </w:rPr>
      </w:pPr>
      <w:r>
        <w:rPr>
          <w:b/>
          <w:bCs/>
          <w:sz w:val="40"/>
          <w:szCs w:val="40"/>
        </w:rPr>
        <w:t>Introduction</w:t>
      </w:r>
    </w:p>
    <w:p w14:paraId="3F2D0003" w14:textId="04F23033" w:rsidR="007D41CE" w:rsidRPr="00814046" w:rsidRDefault="007D41CE" w:rsidP="00BB7A58">
      <w:pPr>
        <w:rPr>
          <w:rFonts w:ascii="Arial" w:hAnsi="Arial" w:cs="Arial"/>
          <w:color w:val="0D0D0D"/>
          <w:sz w:val="22"/>
          <w:szCs w:val="22"/>
          <w:shd w:val="clear" w:color="auto" w:fill="FFFFFF"/>
        </w:rPr>
      </w:pPr>
      <w:r w:rsidRPr="00814046">
        <w:rPr>
          <w:rFonts w:ascii="Arial" w:hAnsi="Arial" w:cs="Arial"/>
          <w:color w:val="0D0D0D"/>
          <w:sz w:val="22"/>
          <w:szCs w:val="22"/>
          <w:shd w:val="clear" w:color="auto" w:fill="FFFFFF"/>
        </w:rPr>
        <w:t>Tuberculosis (TB) is a serious infectious disease caused by bacteria that mainly affect the lungs. It spreads when an infected person releases tiny droplets into the air through actions such as coughing or sneezing, allowing others to inhale the bacteria. According to the World Health Organi</w:t>
      </w:r>
      <w:r w:rsidR="00AC4BFB">
        <w:rPr>
          <w:rFonts w:ascii="Arial" w:hAnsi="Arial" w:cs="Arial"/>
          <w:color w:val="0D0D0D"/>
          <w:sz w:val="22"/>
          <w:szCs w:val="22"/>
          <w:shd w:val="clear" w:color="auto" w:fill="FFFFFF"/>
        </w:rPr>
        <w:t>s</w:t>
      </w:r>
      <w:r w:rsidRPr="00814046">
        <w:rPr>
          <w:rFonts w:ascii="Arial" w:hAnsi="Arial" w:cs="Arial"/>
          <w:color w:val="0D0D0D"/>
          <w:sz w:val="22"/>
          <w:szCs w:val="22"/>
          <w:shd w:val="clear" w:color="auto" w:fill="FFFFFF"/>
        </w:rPr>
        <w:t>ation, approximately 10.7 million people worldwide developed TB in 2024, with around 1.23 million deaths, highlighting its ongoing impact on global health (W</w:t>
      </w:r>
      <w:r w:rsidR="00153DCD" w:rsidRPr="00814046">
        <w:rPr>
          <w:rFonts w:ascii="Arial" w:hAnsi="Arial" w:cs="Arial"/>
          <w:color w:val="0D0D0D"/>
          <w:sz w:val="22"/>
          <w:szCs w:val="22"/>
          <w:shd w:val="clear" w:color="auto" w:fill="FFFFFF"/>
        </w:rPr>
        <w:t>orld Health Organi</w:t>
      </w:r>
      <w:r w:rsidR="00AC4BFB">
        <w:rPr>
          <w:rFonts w:ascii="Arial" w:hAnsi="Arial" w:cs="Arial"/>
          <w:color w:val="0D0D0D"/>
          <w:sz w:val="22"/>
          <w:szCs w:val="22"/>
          <w:shd w:val="clear" w:color="auto" w:fill="FFFFFF"/>
        </w:rPr>
        <w:t>s</w:t>
      </w:r>
      <w:r w:rsidR="00153DCD" w:rsidRPr="00814046">
        <w:rPr>
          <w:rFonts w:ascii="Arial" w:hAnsi="Arial" w:cs="Arial"/>
          <w:color w:val="0D0D0D"/>
          <w:sz w:val="22"/>
          <w:szCs w:val="22"/>
          <w:shd w:val="clear" w:color="auto" w:fill="FFFFFF"/>
        </w:rPr>
        <w:t>ation,</w:t>
      </w:r>
      <w:r w:rsidRPr="00814046">
        <w:rPr>
          <w:rFonts w:ascii="Arial" w:hAnsi="Arial" w:cs="Arial"/>
          <w:color w:val="0D0D0D"/>
          <w:sz w:val="22"/>
          <w:szCs w:val="22"/>
          <w:shd w:val="clear" w:color="auto" w:fill="FFFFFF"/>
        </w:rPr>
        <w:t xml:space="preserve"> 2024). These figures demonstrate that TB remains one of the leading infectious causes of illness and death globally.</w:t>
      </w:r>
    </w:p>
    <w:p w14:paraId="5A3ABE6F" w14:textId="043E2601" w:rsidR="007D41CE" w:rsidRDefault="007D41CE" w:rsidP="00BB7A58">
      <w:pPr>
        <w:rPr>
          <w:rFonts w:ascii="Arial" w:hAnsi="Arial" w:cs="Arial"/>
          <w:color w:val="0D0D0D"/>
          <w:sz w:val="22"/>
          <w:szCs w:val="22"/>
          <w:shd w:val="clear" w:color="auto" w:fill="FFFFFF"/>
        </w:rPr>
      </w:pPr>
      <w:r w:rsidRPr="00814046">
        <w:rPr>
          <w:rFonts w:ascii="Arial" w:hAnsi="Arial" w:cs="Arial"/>
          <w:color w:val="0D0D0D"/>
          <w:sz w:val="22"/>
          <w:szCs w:val="22"/>
          <w:shd w:val="clear" w:color="auto" w:fill="FFFFFF"/>
        </w:rPr>
        <w:t>The global incidence rate is estimated at about 134 cases per 100,000 people, with the highest burden reported in regions such as Southeast Asia and Africa (</w:t>
      </w:r>
      <w:r w:rsidR="00153DCD" w:rsidRPr="00814046">
        <w:rPr>
          <w:rFonts w:ascii="Arial" w:hAnsi="Arial" w:cs="Arial"/>
          <w:color w:val="0D0D0D"/>
          <w:sz w:val="22"/>
          <w:szCs w:val="22"/>
          <w:shd w:val="clear" w:color="auto" w:fill="FFFFFF"/>
        </w:rPr>
        <w:t>World Health Organization</w:t>
      </w:r>
      <w:r w:rsidRPr="00814046">
        <w:rPr>
          <w:rFonts w:ascii="Arial" w:hAnsi="Arial" w:cs="Arial"/>
          <w:color w:val="0D0D0D"/>
          <w:sz w:val="22"/>
          <w:szCs w:val="22"/>
          <w:shd w:val="clear" w:color="auto" w:fill="FFFFFF"/>
        </w:rPr>
        <w:t>, 2024). These patterns reflect inequalities in healthcare access, living conditions, and socioeconomic status across different regions. In the United Kingdom, data from the UK Health Security Agency</w:t>
      </w:r>
      <w:r w:rsidR="00AC4BFB">
        <w:rPr>
          <w:rFonts w:ascii="Arial" w:hAnsi="Arial" w:cs="Arial"/>
          <w:color w:val="0D0D0D"/>
          <w:sz w:val="22"/>
          <w:szCs w:val="22"/>
          <w:shd w:val="clear" w:color="auto" w:fill="FFFFFF"/>
        </w:rPr>
        <w:t xml:space="preserve"> (</w:t>
      </w:r>
      <w:r w:rsidR="0098690B">
        <w:rPr>
          <w:rFonts w:ascii="Arial" w:hAnsi="Arial" w:cs="Arial"/>
          <w:color w:val="0D0D0D"/>
          <w:sz w:val="22"/>
          <w:szCs w:val="22"/>
          <w:shd w:val="clear" w:color="auto" w:fill="FFFFFF"/>
        </w:rPr>
        <w:t>UKHSA)</w:t>
      </w:r>
      <w:r w:rsidRPr="00814046">
        <w:rPr>
          <w:rFonts w:ascii="Arial" w:hAnsi="Arial" w:cs="Arial"/>
          <w:color w:val="0D0D0D"/>
          <w:sz w:val="22"/>
          <w:szCs w:val="22"/>
          <w:shd w:val="clear" w:color="auto" w:fill="FFFFFF"/>
        </w:rPr>
        <w:t xml:space="preserve"> indicates that there were approximately 5,480 TB cases in England in 2024, showing a 13% increase from 2023, with an incidence rate of around 9 cases per 100,000 people (UK Health Security Agency, 2025).</w:t>
      </w:r>
      <w:r w:rsidR="00F35DEB">
        <w:rPr>
          <w:rFonts w:ascii="Arial" w:hAnsi="Arial" w:cs="Arial"/>
          <w:color w:val="0D0D0D"/>
          <w:sz w:val="22"/>
          <w:szCs w:val="22"/>
          <w:shd w:val="clear" w:color="auto" w:fill="FFFFFF"/>
        </w:rPr>
        <w:t xml:space="preserve"> The UK government’s long-term </w:t>
      </w:r>
      <w:r w:rsidR="0048698D">
        <w:rPr>
          <w:rFonts w:ascii="Arial" w:hAnsi="Arial" w:cs="Arial"/>
          <w:color w:val="0D0D0D"/>
          <w:sz w:val="22"/>
          <w:szCs w:val="22"/>
          <w:shd w:val="clear" w:color="auto" w:fill="FFFFFF"/>
        </w:rPr>
        <w:t>plan for</w:t>
      </w:r>
      <w:r w:rsidR="00F35DEB">
        <w:rPr>
          <w:rFonts w:ascii="Arial" w:hAnsi="Arial" w:cs="Arial"/>
          <w:color w:val="0D0D0D"/>
          <w:sz w:val="22"/>
          <w:szCs w:val="22"/>
          <w:shd w:val="clear" w:color="auto" w:fill="FFFFFF"/>
        </w:rPr>
        <w:t xml:space="preserve"> TB focuses on early detection, improving access to treatment, and targeted screening in high-risk groups to help reduce transmission over time. </w:t>
      </w:r>
      <w:r w:rsidRPr="00814046">
        <w:rPr>
          <w:rFonts w:ascii="Arial" w:hAnsi="Arial" w:cs="Arial"/>
          <w:color w:val="0D0D0D"/>
          <w:sz w:val="22"/>
          <w:szCs w:val="22"/>
          <w:shd w:val="clear" w:color="auto" w:fill="FFFFFF"/>
        </w:rPr>
        <w:t>This suggests that although the UK is considered a low-incidence country, TB continues to present a public health concern.</w:t>
      </w:r>
    </w:p>
    <w:p w14:paraId="27238CCC" w14:textId="77777777" w:rsidR="0048698D" w:rsidRPr="0098690B" w:rsidRDefault="0048698D" w:rsidP="0048698D">
      <w:pPr>
        <w:rPr>
          <w:rFonts w:ascii="Arial" w:hAnsi="Arial" w:cs="Arial"/>
          <w:b/>
          <w:bCs/>
          <w:color w:val="0D0D0D"/>
          <w:sz w:val="22"/>
          <w:szCs w:val="22"/>
          <w:shd w:val="clear" w:color="auto" w:fill="FFFFFF"/>
        </w:rPr>
      </w:pPr>
      <w:r w:rsidRPr="0098690B">
        <w:rPr>
          <w:rFonts w:ascii="Arial" w:hAnsi="Arial" w:cs="Arial"/>
          <w:b/>
          <w:bCs/>
          <w:color w:val="0D0D0D"/>
          <w:sz w:val="22"/>
          <w:szCs w:val="22"/>
          <w:shd w:val="clear" w:color="auto" w:fill="FFFFFF"/>
        </w:rPr>
        <w:t>Signs and Symptoms</w:t>
      </w:r>
    </w:p>
    <w:p w14:paraId="19DD2C27" w14:textId="77777777" w:rsidR="0048698D" w:rsidRPr="00814046" w:rsidRDefault="0048698D" w:rsidP="0048698D">
      <w:pPr>
        <w:rPr>
          <w:rFonts w:ascii="Arial" w:hAnsi="Arial" w:cs="Arial"/>
          <w:b/>
          <w:bCs/>
          <w:sz w:val="22"/>
          <w:szCs w:val="22"/>
        </w:rPr>
      </w:pPr>
      <w:r w:rsidRPr="00814046">
        <w:rPr>
          <w:rFonts w:ascii="Arial" w:hAnsi="Arial" w:cs="Arial"/>
          <w:color w:val="0D0D0D"/>
          <w:sz w:val="22"/>
          <w:szCs w:val="22"/>
          <w:shd w:val="clear" w:color="auto" w:fill="FFFFFF"/>
        </w:rPr>
        <w:t>Common symptoms of TB include a persistent cough, chest pain, weight loss, fatigue, fever, and night sweats. These symptoms can significantly affect an individual’s daily functioning and overall well-being. This report aims to explore the extent of TB, its key symptoms, and its global impact, while also examining why it remains a significant and ongoing public health issue in modern healthcare systems.</w:t>
      </w:r>
    </w:p>
    <w:p w14:paraId="659F30E4" w14:textId="77777777" w:rsidR="0048698D" w:rsidRDefault="0048698D" w:rsidP="00BB7A58">
      <w:pPr>
        <w:rPr>
          <w:rFonts w:ascii="Arial" w:hAnsi="Arial" w:cs="Arial"/>
          <w:color w:val="0D0D0D"/>
          <w:sz w:val="22"/>
          <w:szCs w:val="22"/>
          <w:shd w:val="clear" w:color="auto" w:fill="FFFFFF"/>
        </w:rPr>
      </w:pPr>
    </w:p>
    <w:p w14:paraId="4075D273" w14:textId="77777777" w:rsidR="0048698D" w:rsidRDefault="0048698D" w:rsidP="00BB7A58">
      <w:pPr>
        <w:rPr>
          <w:rFonts w:ascii="Arial" w:hAnsi="Arial" w:cs="Arial"/>
          <w:color w:val="0D0D0D"/>
          <w:sz w:val="22"/>
          <w:szCs w:val="22"/>
          <w:shd w:val="clear" w:color="auto" w:fill="FFFFFF"/>
        </w:rPr>
      </w:pPr>
    </w:p>
    <w:p w14:paraId="39A26F27" w14:textId="04FABFC5" w:rsidR="007D41CE" w:rsidRDefault="007D41CE" w:rsidP="0048698D">
      <w:pPr>
        <w:rPr>
          <w:b/>
          <w:bCs/>
          <w:sz w:val="40"/>
          <w:szCs w:val="40"/>
        </w:rPr>
      </w:pPr>
    </w:p>
    <w:p w14:paraId="0EFC48B6" w14:textId="77777777" w:rsidR="007D41CE" w:rsidRDefault="007D41CE" w:rsidP="007C4D07">
      <w:pPr>
        <w:rPr>
          <w:b/>
          <w:bCs/>
          <w:sz w:val="40"/>
          <w:szCs w:val="40"/>
        </w:rPr>
      </w:pPr>
    </w:p>
    <w:p w14:paraId="2FA8AD18" w14:textId="77777777" w:rsidR="009F36F5" w:rsidRDefault="009F36F5" w:rsidP="007C4D07">
      <w:pPr>
        <w:rPr>
          <w:rFonts w:ascii="Segoe UI" w:hAnsi="Segoe UI" w:cs="Segoe UI"/>
          <w:b/>
          <w:bCs/>
          <w:color w:val="0D0D0D"/>
          <w:sz w:val="32"/>
          <w:szCs w:val="32"/>
          <w:shd w:val="clear" w:color="auto" w:fill="FFFFFF"/>
        </w:rPr>
      </w:pPr>
    </w:p>
    <w:p w14:paraId="2E1FC1A7" w14:textId="77777777" w:rsidR="00814046" w:rsidRDefault="00814046" w:rsidP="007C4D07">
      <w:pPr>
        <w:rPr>
          <w:rFonts w:ascii="Segoe UI" w:hAnsi="Segoe UI" w:cs="Segoe UI"/>
          <w:b/>
          <w:bCs/>
          <w:color w:val="0D0D0D"/>
          <w:sz w:val="32"/>
          <w:szCs w:val="32"/>
          <w:shd w:val="clear" w:color="auto" w:fill="FFFFFF"/>
        </w:rPr>
      </w:pPr>
    </w:p>
    <w:p w14:paraId="3A808496" w14:textId="77777777" w:rsidR="00814046" w:rsidRDefault="00814046" w:rsidP="007C4D07">
      <w:pPr>
        <w:rPr>
          <w:rFonts w:ascii="Segoe UI" w:hAnsi="Segoe UI" w:cs="Segoe UI"/>
          <w:b/>
          <w:bCs/>
          <w:color w:val="0D0D0D"/>
          <w:sz w:val="32"/>
          <w:szCs w:val="32"/>
          <w:shd w:val="clear" w:color="auto" w:fill="FFFFFF"/>
        </w:rPr>
      </w:pPr>
    </w:p>
    <w:p w14:paraId="577FEB3D" w14:textId="1354E276" w:rsidR="00D50EBC" w:rsidRDefault="00D50EBC" w:rsidP="007C4D07">
      <w:pPr>
        <w:rPr>
          <w:rFonts w:ascii="Segoe UI" w:hAnsi="Segoe UI" w:cs="Segoe UI"/>
          <w:b/>
          <w:bCs/>
          <w:color w:val="0D0D0D"/>
          <w:sz w:val="32"/>
          <w:szCs w:val="32"/>
          <w:shd w:val="clear" w:color="auto" w:fill="FFFFFF"/>
        </w:rPr>
      </w:pPr>
      <w:r>
        <w:rPr>
          <w:rFonts w:ascii="Segoe UI" w:hAnsi="Segoe UI" w:cs="Segoe UI"/>
          <w:b/>
          <w:bCs/>
          <w:color w:val="0D0D0D"/>
          <w:sz w:val="32"/>
          <w:szCs w:val="32"/>
          <w:shd w:val="clear" w:color="auto" w:fill="FFFFFF"/>
        </w:rPr>
        <w:t xml:space="preserve">How </w:t>
      </w:r>
      <w:r w:rsidR="0089181F">
        <w:rPr>
          <w:rFonts w:ascii="Segoe UI" w:hAnsi="Segoe UI" w:cs="Segoe UI"/>
          <w:b/>
          <w:bCs/>
          <w:color w:val="0D0D0D"/>
          <w:sz w:val="32"/>
          <w:szCs w:val="32"/>
          <w:shd w:val="clear" w:color="auto" w:fill="FFFFFF"/>
        </w:rPr>
        <w:t>TB is monitored, measured and controlled</w:t>
      </w:r>
    </w:p>
    <w:p w14:paraId="5C0A9D9D" w14:textId="2E1F77CF" w:rsidR="00AC2436" w:rsidRPr="00814046" w:rsidRDefault="00AC2436" w:rsidP="007C4D07">
      <w:pPr>
        <w:rPr>
          <w:rFonts w:ascii="Arial" w:hAnsi="Arial" w:cs="Arial"/>
          <w:color w:val="0D0D0D"/>
          <w:sz w:val="22"/>
          <w:szCs w:val="22"/>
          <w:shd w:val="clear" w:color="auto" w:fill="FFFFFF"/>
        </w:rPr>
      </w:pPr>
      <w:r w:rsidRPr="00814046">
        <w:rPr>
          <w:rFonts w:ascii="Arial" w:hAnsi="Arial" w:cs="Arial"/>
          <w:color w:val="0D0D0D"/>
          <w:sz w:val="22"/>
          <w:szCs w:val="22"/>
          <w:shd w:val="clear" w:color="auto" w:fill="FFFFFF"/>
        </w:rPr>
        <w:t xml:space="preserve">Tuberculosis (TB) </w:t>
      </w:r>
      <w:r w:rsidR="00083BBA" w:rsidRPr="00814046">
        <w:rPr>
          <w:rFonts w:ascii="Arial" w:hAnsi="Arial" w:cs="Arial"/>
          <w:color w:val="0D0D0D"/>
          <w:sz w:val="22"/>
          <w:szCs w:val="22"/>
          <w:shd w:val="clear" w:color="auto" w:fill="FFFFFF"/>
        </w:rPr>
        <w:t xml:space="preserve">remains </w:t>
      </w:r>
      <w:r w:rsidRPr="00814046">
        <w:rPr>
          <w:rFonts w:ascii="Arial" w:hAnsi="Arial" w:cs="Arial"/>
          <w:color w:val="0D0D0D"/>
          <w:sz w:val="22"/>
          <w:szCs w:val="22"/>
          <w:shd w:val="clear" w:color="auto" w:fill="FFFFFF"/>
        </w:rPr>
        <w:t>a major global</w:t>
      </w:r>
      <w:r w:rsidR="00083BBA" w:rsidRPr="00814046">
        <w:rPr>
          <w:rFonts w:ascii="Arial" w:hAnsi="Arial" w:cs="Arial"/>
          <w:color w:val="0D0D0D"/>
          <w:sz w:val="22"/>
          <w:szCs w:val="22"/>
          <w:shd w:val="clear" w:color="auto" w:fill="FFFFFF"/>
        </w:rPr>
        <w:t xml:space="preserve"> </w:t>
      </w:r>
      <w:r w:rsidRPr="00814046">
        <w:rPr>
          <w:rFonts w:ascii="Arial" w:hAnsi="Arial" w:cs="Arial"/>
          <w:color w:val="0D0D0D"/>
          <w:sz w:val="22"/>
          <w:szCs w:val="22"/>
          <w:shd w:val="clear" w:color="auto" w:fill="FFFFFF"/>
        </w:rPr>
        <w:t xml:space="preserve">health </w:t>
      </w:r>
      <w:r w:rsidR="00083BBA" w:rsidRPr="00814046">
        <w:rPr>
          <w:rFonts w:ascii="Arial" w:hAnsi="Arial" w:cs="Arial"/>
          <w:color w:val="0D0D0D"/>
          <w:sz w:val="22"/>
          <w:szCs w:val="22"/>
          <w:shd w:val="clear" w:color="auto" w:fill="FFFFFF"/>
        </w:rPr>
        <w:t>concern</w:t>
      </w:r>
      <w:r w:rsidRPr="00814046">
        <w:rPr>
          <w:rFonts w:ascii="Arial" w:hAnsi="Arial" w:cs="Arial"/>
          <w:color w:val="0D0D0D"/>
          <w:sz w:val="22"/>
          <w:szCs w:val="22"/>
          <w:shd w:val="clear" w:color="auto" w:fill="FFFFFF"/>
        </w:rPr>
        <w:t xml:space="preserve">, </w:t>
      </w:r>
      <w:r w:rsidR="00083BBA" w:rsidRPr="00814046">
        <w:rPr>
          <w:rFonts w:ascii="Arial" w:hAnsi="Arial" w:cs="Arial"/>
          <w:color w:val="0D0D0D"/>
          <w:sz w:val="22"/>
          <w:szCs w:val="22"/>
          <w:shd w:val="clear" w:color="auto" w:fill="FFFFFF"/>
        </w:rPr>
        <w:t xml:space="preserve">requiring </w:t>
      </w:r>
      <w:r w:rsidRPr="00814046">
        <w:rPr>
          <w:rFonts w:ascii="Arial" w:hAnsi="Arial" w:cs="Arial"/>
          <w:color w:val="0D0D0D"/>
          <w:sz w:val="22"/>
          <w:szCs w:val="22"/>
          <w:shd w:val="clear" w:color="auto" w:fill="FFFFFF"/>
        </w:rPr>
        <w:t xml:space="preserve">effective monitoring, and </w:t>
      </w:r>
      <w:r w:rsidR="002A629D" w:rsidRPr="00814046">
        <w:rPr>
          <w:rFonts w:ascii="Arial" w:hAnsi="Arial" w:cs="Arial"/>
          <w:color w:val="0D0D0D"/>
          <w:sz w:val="22"/>
          <w:szCs w:val="22"/>
          <w:shd w:val="clear" w:color="auto" w:fill="FFFFFF"/>
        </w:rPr>
        <w:t>control</w:t>
      </w:r>
      <w:r w:rsidR="00083BBA" w:rsidRPr="00814046">
        <w:rPr>
          <w:rFonts w:ascii="Arial" w:hAnsi="Arial" w:cs="Arial"/>
          <w:color w:val="0D0D0D"/>
          <w:sz w:val="22"/>
          <w:szCs w:val="22"/>
          <w:shd w:val="clear" w:color="auto" w:fill="FFFFFF"/>
        </w:rPr>
        <w:t xml:space="preserve">.  It is measured using </w:t>
      </w:r>
      <w:r w:rsidRPr="00814046">
        <w:rPr>
          <w:rFonts w:ascii="Arial" w:hAnsi="Arial" w:cs="Arial"/>
          <w:color w:val="0D0D0D"/>
          <w:sz w:val="22"/>
          <w:szCs w:val="22"/>
          <w:shd w:val="clear" w:color="auto" w:fill="FFFFFF"/>
        </w:rPr>
        <w:t xml:space="preserve">indicators such as incidence (new cases), prevalence (existing cases), </w:t>
      </w:r>
      <w:r w:rsidR="002A629D" w:rsidRPr="00814046">
        <w:rPr>
          <w:rFonts w:ascii="Arial" w:hAnsi="Arial" w:cs="Arial"/>
          <w:color w:val="0D0D0D"/>
          <w:sz w:val="22"/>
          <w:szCs w:val="22"/>
          <w:shd w:val="clear" w:color="auto" w:fill="FFFFFF"/>
        </w:rPr>
        <w:t xml:space="preserve">morbidity (level of </w:t>
      </w:r>
      <w:r w:rsidRPr="00814046">
        <w:rPr>
          <w:rFonts w:ascii="Arial" w:hAnsi="Arial" w:cs="Arial"/>
          <w:color w:val="0D0D0D"/>
          <w:sz w:val="22"/>
          <w:szCs w:val="22"/>
          <w:shd w:val="clear" w:color="auto" w:fill="FFFFFF"/>
        </w:rPr>
        <w:t xml:space="preserve">illness), and mortality (deaths). </w:t>
      </w:r>
      <w:r w:rsidR="00083BBA" w:rsidRPr="00814046">
        <w:rPr>
          <w:rFonts w:ascii="Arial" w:hAnsi="Arial" w:cs="Arial"/>
          <w:color w:val="0D0D0D"/>
          <w:sz w:val="22"/>
          <w:szCs w:val="22"/>
          <w:shd w:val="clear" w:color="auto" w:fill="FFFFFF"/>
        </w:rPr>
        <w:t>Data are</w:t>
      </w:r>
      <w:r w:rsidRPr="00814046">
        <w:rPr>
          <w:rFonts w:ascii="Arial" w:hAnsi="Arial" w:cs="Arial"/>
          <w:color w:val="0D0D0D"/>
          <w:sz w:val="22"/>
          <w:szCs w:val="22"/>
          <w:shd w:val="clear" w:color="auto" w:fill="FFFFFF"/>
        </w:rPr>
        <w:t xml:space="preserve"> </w:t>
      </w:r>
      <w:r w:rsidR="00083BBA" w:rsidRPr="00814046">
        <w:rPr>
          <w:rFonts w:ascii="Arial" w:hAnsi="Arial" w:cs="Arial"/>
          <w:color w:val="0D0D0D"/>
          <w:sz w:val="22"/>
          <w:szCs w:val="22"/>
          <w:shd w:val="clear" w:color="auto" w:fill="FFFFFF"/>
        </w:rPr>
        <w:t>gathered through</w:t>
      </w:r>
      <w:r w:rsidRPr="00814046">
        <w:rPr>
          <w:rFonts w:ascii="Arial" w:hAnsi="Arial" w:cs="Arial"/>
          <w:color w:val="0D0D0D"/>
          <w:sz w:val="22"/>
          <w:szCs w:val="22"/>
          <w:shd w:val="clear" w:color="auto" w:fill="FFFFFF"/>
        </w:rPr>
        <w:t xml:space="preserve"> surveillance systems, </w:t>
      </w:r>
      <w:r w:rsidR="00083BBA" w:rsidRPr="00814046">
        <w:rPr>
          <w:rFonts w:ascii="Arial" w:hAnsi="Arial" w:cs="Arial"/>
          <w:color w:val="0D0D0D"/>
          <w:sz w:val="22"/>
          <w:szCs w:val="22"/>
          <w:shd w:val="clear" w:color="auto" w:fill="FFFFFF"/>
        </w:rPr>
        <w:t xml:space="preserve">laboratories and </w:t>
      </w:r>
      <w:r w:rsidRPr="00814046">
        <w:rPr>
          <w:rFonts w:ascii="Arial" w:hAnsi="Arial" w:cs="Arial"/>
          <w:color w:val="0D0D0D"/>
          <w:sz w:val="22"/>
          <w:szCs w:val="22"/>
          <w:shd w:val="clear" w:color="auto" w:fill="FFFFFF"/>
        </w:rPr>
        <w:t>health re</w:t>
      </w:r>
      <w:r w:rsidR="00083BBA" w:rsidRPr="00814046">
        <w:rPr>
          <w:rFonts w:ascii="Arial" w:hAnsi="Arial" w:cs="Arial"/>
          <w:color w:val="0D0D0D"/>
          <w:sz w:val="22"/>
          <w:szCs w:val="22"/>
          <w:shd w:val="clear" w:color="auto" w:fill="FFFFFF"/>
        </w:rPr>
        <w:t xml:space="preserve">cords </w:t>
      </w:r>
      <w:r w:rsidRPr="00814046">
        <w:rPr>
          <w:rFonts w:ascii="Arial" w:hAnsi="Arial" w:cs="Arial"/>
          <w:color w:val="0D0D0D"/>
          <w:sz w:val="22"/>
          <w:szCs w:val="22"/>
          <w:shd w:val="clear" w:color="auto" w:fill="FFFFFF"/>
        </w:rPr>
        <w:t xml:space="preserve">(World Health Organization, 2023). </w:t>
      </w:r>
      <w:r w:rsidR="00083BBA" w:rsidRPr="00814046">
        <w:rPr>
          <w:rFonts w:ascii="Arial" w:hAnsi="Arial" w:cs="Arial"/>
          <w:color w:val="0D0D0D"/>
          <w:sz w:val="22"/>
          <w:szCs w:val="22"/>
          <w:shd w:val="clear" w:color="auto" w:fill="FFFFFF"/>
        </w:rPr>
        <w:t xml:space="preserve">This information </w:t>
      </w:r>
      <w:r w:rsidR="00741FCB" w:rsidRPr="00814046">
        <w:rPr>
          <w:rFonts w:ascii="Arial" w:hAnsi="Arial" w:cs="Arial"/>
          <w:color w:val="0D0D0D"/>
          <w:sz w:val="22"/>
          <w:szCs w:val="22"/>
          <w:shd w:val="clear" w:color="auto" w:fill="FFFFFF"/>
        </w:rPr>
        <w:t>helps identify trends, detect outbreaks early, and target support to high-risk groups and areas most in need.</w:t>
      </w:r>
    </w:p>
    <w:p w14:paraId="70A0DB4A" w14:textId="03834C8B" w:rsidR="00AC2436" w:rsidRPr="00814046" w:rsidRDefault="00AC2436" w:rsidP="007C4D07">
      <w:pPr>
        <w:rPr>
          <w:rFonts w:ascii="Arial" w:hAnsi="Arial" w:cs="Arial"/>
          <w:color w:val="0D0D0D"/>
          <w:sz w:val="22"/>
          <w:szCs w:val="22"/>
          <w:shd w:val="clear" w:color="auto" w:fill="FFFFFF"/>
        </w:rPr>
      </w:pPr>
      <w:r w:rsidRPr="00814046">
        <w:rPr>
          <w:rFonts w:ascii="Arial" w:hAnsi="Arial" w:cs="Arial"/>
          <w:color w:val="0D0D0D"/>
          <w:sz w:val="22"/>
          <w:szCs w:val="22"/>
          <w:shd w:val="clear" w:color="auto" w:fill="FFFFFF"/>
        </w:rPr>
        <w:t xml:space="preserve">To control TB, public health </w:t>
      </w:r>
      <w:r w:rsidR="00732C2B" w:rsidRPr="00814046">
        <w:rPr>
          <w:rFonts w:ascii="Arial" w:hAnsi="Arial" w:cs="Arial"/>
          <w:color w:val="0D0D0D"/>
          <w:sz w:val="22"/>
          <w:szCs w:val="22"/>
          <w:shd w:val="clear" w:color="auto" w:fill="FFFFFF"/>
        </w:rPr>
        <w:t xml:space="preserve">strategies places strong emphasis </w:t>
      </w:r>
      <w:r w:rsidRPr="00814046">
        <w:rPr>
          <w:rFonts w:ascii="Arial" w:hAnsi="Arial" w:cs="Arial"/>
          <w:color w:val="0D0D0D"/>
          <w:sz w:val="22"/>
          <w:szCs w:val="22"/>
          <w:shd w:val="clear" w:color="auto" w:fill="FFFFFF"/>
        </w:rPr>
        <w:t xml:space="preserve">focus on early detection and effective treatment. </w:t>
      </w:r>
      <w:r w:rsidR="00913024" w:rsidRPr="00814046">
        <w:rPr>
          <w:rFonts w:ascii="Arial" w:hAnsi="Arial" w:cs="Arial"/>
          <w:color w:val="0D0D0D"/>
          <w:sz w:val="22"/>
          <w:szCs w:val="22"/>
          <w:shd w:val="clear" w:color="auto" w:fill="FFFFFF"/>
        </w:rPr>
        <w:t>Screening programs</w:t>
      </w:r>
      <w:r w:rsidR="00732C2B" w:rsidRPr="00814046">
        <w:rPr>
          <w:rFonts w:ascii="Arial" w:hAnsi="Arial" w:cs="Arial"/>
          <w:color w:val="0D0D0D"/>
          <w:sz w:val="22"/>
          <w:szCs w:val="22"/>
          <w:shd w:val="clear" w:color="auto" w:fill="FFFFFF"/>
        </w:rPr>
        <w:t xml:space="preserve"> are particularly important </w:t>
      </w:r>
      <w:r w:rsidRPr="00814046">
        <w:rPr>
          <w:rFonts w:ascii="Arial" w:hAnsi="Arial" w:cs="Arial"/>
          <w:color w:val="0D0D0D"/>
          <w:sz w:val="22"/>
          <w:szCs w:val="22"/>
          <w:shd w:val="clear" w:color="auto" w:fill="FFFFFF"/>
        </w:rPr>
        <w:t>especially for high-risk groups such as people with HIV or those in crowded living conditions</w:t>
      </w:r>
      <w:r w:rsidR="00732C2B" w:rsidRPr="00814046">
        <w:rPr>
          <w:rFonts w:ascii="Arial" w:hAnsi="Arial" w:cs="Arial"/>
          <w:color w:val="0D0D0D"/>
          <w:sz w:val="22"/>
          <w:szCs w:val="22"/>
          <w:shd w:val="clear" w:color="auto" w:fill="FFFFFF"/>
        </w:rPr>
        <w:t xml:space="preserve"> or poorly ventilated environments</w:t>
      </w:r>
      <w:r w:rsidRPr="00814046">
        <w:rPr>
          <w:rFonts w:ascii="Arial" w:hAnsi="Arial" w:cs="Arial"/>
          <w:color w:val="0D0D0D"/>
          <w:sz w:val="22"/>
          <w:szCs w:val="22"/>
          <w:shd w:val="clear" w:color="auto" w:fill="FFFFFF"/>
        </w:rPr>
        <w:t>. Diagnostic tools like sputum tests and chest X-rays help confirm cases quickly. Once diagnosed, patients are treated using standardized antibiotic regimens</w:t>
      </w:r>
      <w:r w:rsidR="00913024" w:rsidRPr="00814046">
        <w:rPr>
          <w:rFonts w:ascii="Arial" w:hAnsi="Arial" w:cs="Arial"/>
          <w:color w:val="0D0D0D"/>
          <w:sz w:val="22"/>
          <w:szCs w:val="22"/>
          <w:shd w:val="clear" w:color="auto" w:fill="FFFFFF"/>
        </w:rPr>
        <w:t xml:space="preserve"> over minimum of six months. In many cases, treatment is often</w:t>
      </w:r>
      <w:r w:rsidRPr="00814046">
        <w:rPr>
          <w:rFonts w:ascii="Arial" w:hAnsi="Arial" w:cs="Arial"/>
          <w:color w:val="0D0D0D"/>
          <w:sz w:val="22"/>
          <w:szCs w:val="22"/>
          <w:shd w:val="clear" w:color="auto" w:fill="FFFFFF"/>
        </w:rPr>
        <w:t xml:space="preserve"> supported by directly observed therapy (DOT) </w:t>
      </w:r>
      <w:r w:rsidR="00913024" w:rsidRPr="00814046">
        <w:rPr>
          <w:rFonts w:ascii="Arial" w:hAnsi="Arial" w:cs="Arial"/>
          <w:color w:val="0D0D0D"/>
          <w:sz w:val="22"/>
          <w:szCs w:val="22"/>
          <w:shd w:val="clear" w:color="auto" w:fill="FFFFFF"/>
        </w:rPr>
        <w:t xml:space="preserve">where health care professionals monitor patients to ensure they take </w:t>
      </w:r>
      <w:r w:rsidR="009462FE" w:rsidRPr="00814046">
        <w:rPr>
          <w:rFonts w:ascii="Arial" w:hAnsi="Arial" w:cs="Arial"/>
          <w:color w:val="0D0D0D"/>
          <w:sz w:val="22"/>
          <w:szCs w:val="22"/>
          <w:shd w:val="clear" w:color="auto" w:fill="FFFFFF"/>
        </w:rPr>
        <w:t>their medication</w:t>
      </w:r>
      <w:r w:rsidR="00A924C2" w:rsidRPr="00814046">
        <w:rPr>
          <w:rFonts w:ascii="Arial" w:hAnsi="Arial" w:cs="Arial"/>
          <w:color w:val="0D0D0D"/>
          <w:sz w:val="22"/>
          <w:szCs w:val="22"/>
          <w:shd w:val="clear" w:color="auto" w:fill="FFFFFF"/>
        </w:rPr>
        <w:t xml:space="preserve"> correctly and complete the full course, reducing the risks of drug resistance.</w:t>
      </w:r>
      <w:r w:rsidRPr="00814046">
        <w:rPr>
          <w:rFonts w:ascii="Arial" w:hAnsi="Arial" w:cs="Arial"/>
          <w:color w:val="0D0D0D"/>
          <w:sz w:val="22"/>
          <w:szCs w:val="22"/>
          <w:shd w:val="clear" w:color="auto" w:fill="FFFFFF"/>
        </w:rPr>
        <w:t xml:space="preserve"> (Centres for Disease Control and Prevention, 2022).</w:t>
      </w:r>
    </w:p>
    <w:p w14:paraId="142E5826" w14:textId="1AC2D643" w:rsidR="00A924C2" w:rsidRPr="00814046" w:rsidRDefault="00A924C2" w:rsidP="007C4D07">
      <w:pPr>
        <w:rPr>
          <w:rFonts w:ascii="Arial" w:hAnsi="Arial" w:cs="Arial"/>
          <w:color w:val="0D0D0D"/>
          <w:sz w:val="22"/>
          <w:szCs w:val="22"/>
          <w:shd w:val="clear" w:color="auto" w:fill="FFFFFF"/>
        </w:rPr>
      </w:pPr>
      <w:r w:rsidRPr="00814046">
        <w:rPr>
          <w:rFonts w:ascii="Arial" w:hAnsi="Arial" w:cs="Arial"/>
          <w:color w:val="0D0D0D"/>
          <w:sz w:val="22"/>
          <w:szCs w:val="22"/>
          <w:shd w:val="clear" w:color="auto" w:fill="FFFFFF"/>
        </w:rPr>
        <w:t>In additional to treatment, contact tracing play’s vital role in TB control. Individuals who have been in close contact with infected patients are identified, screened, and if necessary, treated. This helps to interrupt transmission and prevent further spread within communities.</w:t>
      </w:r>
    </w:p>
    <w:p w14:paraId="284AC410" w14:textId="2ED6DC53" w:rsidR="00AC2436" w:rsidRPr="00814046" w:rsidRDefault="00AC2436" w:rsidP="007C4D07">
      <w:pPr>
        <w:rPr>
          <w:rFonts w:ascii="Arial" w:hAnsi="Arial" w:cs="Arial"/>
          <w:color w:val="0D0D0D"/>
          <w:sz w:val="22"/>
          <w:szCs w:val="22"/>
          <w:shd w:val="clear" w:color="auto" w:fill="FFFFFF"/>
        </w:rPr>
      </w:pPr>
      <w:r w:rsidRPr="00814046">
        <w:rPr>
          <w:rFonts w:ascii="Arial" w:hAnsi="Arial" w:cs="Arial"/>
          <w:color w:val="0D0D0D"/>
          <w:sz w:val="22"/>
          <w:szCs w:val="22"/>
          <w:shd w:val="clear" w:color="auto" w:fill="FFFFFF"/>
        </w:rPr>
        <w:t xml:space="preserve">The approach to TB control can be understood through the “3 </w:t>
      </w:r>
      <w:proofErr w:type="gramStart"/>
      <w:r w:rsidRPr="00814046">
        <w:rPr>
          <w:rFonts w:ascii="Arial" w:hAnsi="Arial" w:cs="Arial"/>
          <w:color w:val="0D0D0D"/>
          <w:sz w:val="22"/>
          <w:szCs w:val="22"/>
          <w:shd w:val="clear" w:color="auto" w:fill="FFFFFF"/>
        </w:rPr>
        <w:t>P’s”</w:t>
      </w:r>
      <w:r w:rsidR="0098690B">
        <w:rPr>
          <w:rFonts w:ascii="Arial" w:hAnsi="Arial" w:cs="Arial"/>
          <w:color w:val="0D0D0D"/>
          <w:sz w:val="22"/>
          <w:szCs w:val="22"/>
          <w:shd w:val="clear" w:color="auto" w:fill="FFFFFF"/>
        </w:rPr>
        <w:t xml:space="preserve"> </w:t>
      </w:r>
      <w:r w:rsidRPr="00814046">
        <w:rPr>
          <w:rFonts w:ascii="Arial" w:hAnsi="Arial" w:cs="Arial"/>
          <w:color w:val="0D0D0D"/>
          <w:sz w:val="22"/>
          <w:szCs w:val="22"/>
          <w:shd w:val="clear" w:color="auto" w:fill="FFFFFF"/>
        </w:rPr>
        <w:t xml:space="preserve"> of</w:t>
      </w:r>
      <w:proofErr w:type="gramEnd"/>
      <w:r w:rsidRPr="00814046">
        <w:rPr>
          <w:rFonts w:ascii="Arial" w:hAnsi="Arial" w:cs="Arial"/>
          <w:color w:val="0D0D0D"/>
          <w:sz w:val="22"/>
          <w:szCs w:val="22"/>
          <w:shd w:val="clear" w:color="auto" w:fill="FFFFFF"/>
        </w:rPr>
        <w:t xml:space="preserve"> public </w:t>
      </w:r>
      <w:r w:rsidR="007F7A26" w:rsidRPr="00814046">
        <w:rPr>
          <w:rFonts w:ascii="Arial" w:hAnsi="Arial" w:cs="Arial"/>
          <w:color w:val="0D0D0D"/>
          <w:sz w:val="22"/>
          <w:szCs w:val="22"/>
          <w:shd w:val="clear" w:color="auto" w:fill="FFFFFF"/>
        </w:rPr>
        <w:t>health: prevention</w:t>
      </w:r>
      <w:r w:rsidRPr="00814046">
        <w:rPr>
          <w:rFonts w:ascii="Arial" w:hAnsi="Arial" w:cs="Arial"/>
          <w:color w:val="0D0D0D"/>
          <w:sz w:val="22"/>
          <w:szCs w:val="22"/>
          <w:shd w:val="clear" w:color="auto" w:fill="FFFFFF"/>
        </w:rPr>
        <w:t>, protection, and promotion. Prevention includes vaccination with the</w:t>
      </w:r>
      <w:r w:rsidR="00A924C2" w:rsidRPr="00814046">
        <w:rPr>
          <w:rFonts w:ascii="Arial" w:hAnsi="Arial" w:cs="Arial"/>
          <w:color w:val="0D0D0D"/>
          <w:sz w:val="22"/>
          <w:szCs w:val="22"/>
          <w:shd w:val="clear" w:color="auto" w:fill="FFFFFF"/>
        </w:rPr>
        <w:t xml:space="preserve"> Bacillus Calmette Guerin (BCG)</w:t>
      </w:r>
      <w:r w:rsidR="00C61D42" w:rsidRPr="00814046">
        <w:rPr>
          <w:rFonts w:ascii="Arial" w:hAnsi="Arial" w:cs="Arial"/>
          <w:color w:val="0D0D0D"/>
          <w:sz w:val="22"/>
          <w:szCs w:val="22"/>
          <w:shd w:val="clear" w:color="auto" w:fill="FFFFFF"/>
        </w:rPr>
        <w:t xml:space="preserve"> vaccine as</w:t>
      </w:r>
      <w:r w:rsidR="00A924C2" w:rsidRPr="00814046">
        <w:rPr>
          <w:rFonts w:ascii="Arial" w:hAnsi="Arial" w:cs="Arial"/>
          <w:color w:val="0D0D0D"/>
          <w:sz w:val="22"/>
          <w:szCs w:val="22"/>
          <w:shd w:val="clear" w:color="auto" w:fill="FFFFFF"/>
        </w:rPr>
        <w:t xml:space="preserve"> well as addressing environmental risk </w:t>
      </w:r>
      <w:r w:rsidR="00C61D42" w:rsidRPr="00814046">
        <w:rPr>
          <w:rFonts w:ascii="Arial" w:hAnsi="Arial" w:cs="Arial"/>
          <w:color w:val="0D0D0D"/>
          <w:sz w:val="22"/>
          <w:szCs w:val="22"/>
          <w:shd w:val="clear" w:color="auto" w:fill="FFFFFF"/>
        </w:rPr>
        <w:t>factors such as overcrowding and poor ventilation.  Protection involves infection control measures, including isolating infections patients when necessary and using personal protective equipment (PPE) in healthcare settings. Promotion focuses on educating communities about TB symptoms, encouraging early healthcare seeking, and reducing stigma so that individuals feel more confident accessing diagnosis and treatment services (Public Health England, 2019).</w:t>
      </w:r>
    </w:p>
    <w:p w14:paraId="20EA8A5A" w14:textId="470AAF5C" w:rsidR="008E1174" w:rsidRPr="00814046" w:rsidRDefault="00C61D42" w:rsidP="007C4D07">
      <w:pPr>
        <w:rPr>
          <w:rFonts w:ascii="Arial" w:hAnsi="Arial" w:cs="Arial"/>
          <w:color w:val="0D0D0D"/>
          <w:sz w:val="22"/>
          <w:szCs w:val="22"/>
          <w:shd w:val="clear" w:color="auto" w:fill="FFFFFF"/>
        </w:rPr>
      </w:pPr>
      <w:r w:rsidRPr="00814046">
        <w:rPr>
          <w:rFonts w:ascii="Arial" w:hAnsi="Arial" w:cs="Arial"/>
          <w:color w:val="0D0D0D"/>
          <w:sz w:val="22"/>
          <w:szCs w:val="22"/>
          <w:shd w:val="clear" w:color="auto" w:fill="FFFFFF"/>
        </w:rPr>
        <w:t xml:space="preserve">At a broader level, global initiatives </w:t>
      </w:r>
      <w:r w:rsidR="008E1174" w:rsidRPr="00814046">
        <w:rPr>
          <w:rFonts w:ascii="Arial" w:hAnsi="Arial" w:cs="Arial"/>
          <w:color w:val="0D0D0D"/>
          <w:sz w:val="22"/>
          <w:szCs w:val="22"/>
          <w:shd w:val="clear" w:color="auto" w:fill="FFFFFF"/>
        </w:rPr>
        <w:t>such as W</w:t>
      </w:r>
      <w:r w:rsidR="00153DCD" w:rsidRPr="00814046">
        <w:rPr>
          <w:rFonts w:ascii="Arial" w:hAnsi="Arial" w:cs="Arial"/>
          <w:color w:val="0D0D0D"/>
          <w:sz w:val="22"/>
          <w:szCs w:val="22"/>
          <w:shd w:val="clear" w:color="auto" w:fill="FFFFFF"/>
        </w:rPr>
        <w:t xml:space="preserve">orld Health Organization </w:t>
      </w:r>
      <w:r w:rsidR="008E1174" w:rsidRPr="00814046">
        <w:rPr>
          <w:rFonts w:ascii="Arial" w:hAnsi="Arial" w:cs="Arial"/>
          <w:color w:val="0D0D0D"/>
          <w:sz w:val="22"/>
          <w:szCs w:val="22"/>
          <w:shd w:val="clear" w:color="auto" w:fill="FFFFFF"/>
        </w:rPr>
        <w:t>and TB Strategy aim to significantly reduce TB incidence and deaths worldwide. These strategies highlight the importance of collaboration between governments, healthcare systems, and communities.</w:t>
      </w:r>
    </w:p>
    <w:p w14:paraId="689E04ED" w14:textId="658D5384" w:rsidR="008E1174" w:rsidRPr="00626A80" w:rsidRDefault="008E1174" w:rsidP="007C4D07">
      <w:pPr>
        <w:rPr>
          <w:rFonts w:ascii="Arial" w:hAnsi="Arial" w:cs="Arial"/>
          <w:color w:val="0D0D0D"/>
          <w:sz w:val="22"/>
          <w:szCs w:val="22"/>
          <w:shd w:val="clear" w:color="auto" w:fill="FFFFFF"/>
        </w:rPr>
      </w:pPr>
      <w:r w:rsidRPr="00814046">
        <w:rPr>
          <w:rFonts w:ascii="Arial" w:hAnsi="Arial" w:cs="Arial"/>
          <w:color w:val="0D0D0D"/>
          <w:sz w:val="22"/>
          <w:szCs w:val="22"/>
          <w:shd w:val="clear" w:color="auto" w:fill="FFFFFF"/>
        </w:rPr>
        <w:t>Overall, combining strong surveillance systems, effective treatment prevention strategies, and public education is essential for reducing TB transmission and improving long-term health outcomes</w:t>
      </w:r>
      <w:r w:rsidRPr="00626A80">
        <w:rPr>
          <w:rFonts w:ascii="Arial" w:hAnsi="Arial" w:cs="Arial"/>
          <w:color w:val="0D0D0D"/>
          <w:sz w:val="22"/>
          <w:szCs w:val="22"/>
          <w:shd w:val="clear" w:color="auto" w:fill="FFFFFF"/>
        </w:rPr>
        <w:t>.</w:t>
      </w:r>
    </w:p>
    <w:p w14:paraId="1C87352B" w14:textId="77777777" w:rsidR="00AC2436" w:rsidRDefault="00AC2436" w:rsidP="007C4D07">
      <w:pPr>
        <w:rPr>
          <w:rFonts w:ascii="Segoe UI" w:hAnsi="Segoe UI" w:cs="Segoe UI"/>
          <w:b/>
          <w:bCs/>
          <w:color w:val="0D0D0D"/>
          <w:sz w:val="32"/>
          <w:szCs w:val="32"/>
          <w:shd w:val="clear" w:color="auto" w:fill="FFFFFF"/>
        </w:rPr>
      </w:pPr>
    </w:p>
    <w:p w14:paraId="19BD63A8" w14:textId="77777777" w:rsidR="00626A80" w:rsidRDefault="00626A80" w:rsidP="00BB7A58">
      <w:pPr>
        <w:rPr>
          <w:rFonts w:cs="Adelle Sans Devanagari"/>
          <w:b/>
          <w:bCs/>
          <w:sz w:val="32"/>
          <w:szCs w:val="32"/>
        </w:rPr>
      </w:pPr>
    </w:p>
    <w:p w14:paraId="7FAF5C92" w14:textId="77777777" w:rsidR="00626A80" w:rsidRDefault="00626A80" w:rsidP="00BB7A58">
      <w:pPr>
        <w:rPr>
          <w:rFonts w:cs="Adelle Sans Devanagari"/>
          <w:b/>
          <w:bCs/>
          <w:sz w:val="32"/>
          <w:szCs w:val="32"/>
        </w:rPr>
      </w:pPr>
    </w:p>
    <w:p w14:paraId="5C8A4AD9" w14:textId="77777777" w:rsidR="00814046" w:rsidRDefault="00814046" w:rsidP="00BB7A58">
      <w:pPr>
        <w:rPr>
          <w:rFonts w:cs="Adelle Sans Devanagari"/>
          <w:b/>
          <w:bCs/>
          <w:sz w:val="32"/>
          <w:szCs w:val="32"/>
        </w:rPr>
      </w:pPr>
    </w:p>
    <w:p w14:paraId="15E434F1" w14:textId="07438476" w:rsidR="00626A80" w:rsidRDefault="007F7A26" w:rsidP="00BB7A58">
      <w:pPr>
        <w:rPr>
          <w:rFonts w:cs="Adelle Sans Devanagari"/>
          <w:b/>
          <w:bCs/>
          <w:sz w:val="32"/>
          <w:szCs w:val="32"/>
        </w:rPr>
      </w:pPr>
      <w:r>
        <w:rPr>
          <w:rFonts w:cs="Adelle Sans Devanagari"/>
          <w:b/>
          <w:bCs/>
          <w:sz w:val="32"/>
          <w:szCs w:val="32"/>
        </w:rPr>
        <w:lastRenderedPageBreak/>
        <w:t xml:space="preserve">Key </w:t>
      </w:r>
      <w:r w:rsidR="00AC2436">
        <w:rPr>
          <w:rFonts w:cs="Adelle Sans Devanagari"/>
          <w:b/>
          <w:bCs/>
          <w:sz w:val="32"/>
          <w:szCs w:val="32"/>
        </w:rPr>
        <w:t>determinants/risks factors</w:t>
      </w:r>
    </w:p>
    <w:p w14:paraId="60324CEF" w14:textId="1D5CA8DB" w:rsidR="009F36F5" w:rsidRPr="00626A80" w:rsidRDefault="009F36F5" w:rsidP="00BB7A58">
      <w:pPr>
        <w:rPr>
          <w:rFonts w:ascii="Arial" w:hAnsi="Arial" w:cs="Arial"/>
          <w:color w:val="0D0D0D"/>
          <w:sz w:val="22"/>
          <w:szCs w:val="22"/>
          <w:shd w:val="clear" w:color="auto" w:fill="FFFFFF"/>
        </w:rPr>
      </w:pPr>
      <w:r w:rsidRPr="00626A80">
        <w:rPr>
          <w:rFonts w:ascii="Arial" w:hAnsi="Arial" w:cs="Arial"/>
          <w:color w:val="0D0D0D"/>
          <w:sz w:val="22"/>
          <w:szCs w:val="22"/>
          <w:shd w:val="clear" w:color="auto" w:fill="FFFFFF"/>
        </w:rPr>
        <w:t>Tuberculosis (TB) is influenced by both modifiable and non-modifiable risk factors that affect exposure and progression from latent to active disease. Non-modifiable factors include those that cannot be changed, such as age and genetics. Young children and older adults are more vulnerable due to weaker immune systems, which increases their risk of infection and disease progression (Pai et al., 2016). Genetic factors may also reduce the body’s ability to effectively respond to TB bacteria. In addition, conditions such as HIV significantly increase the likelihood of developing active TB by weakening the immune system and reducing the body’s ability to control infection (World Health Organization, 2023). These factors highlight the importance of identifying high-risk groups for early screening and timely intervention.</w:t>
      </w:r>
    </w:p>
    <w:p w14:paraId="34C12E59" w14:textId="15290393" w:rsidR="009F36F5" w:rsidRDefault="009F36F5" w:rsidP="00BB7A58">
      <w:pPr>
        <w:rPr>
          <w:rFonts w:ascii="Arial" w:hAnsi="Arial" w:cs="Arial"/>
          <w:color w:val="0D0D0D"/>
          <w:sz w:val="22"/>
          <w:szCs w:val="22"/>
          <w:shd w:val="clear" w:color="auto" w:fill="FFFFFF"/>
        </w:rPr>
      </w:pPr>
      <w:r w:rsidRPr="00626A80">
        <w:rPr>
          <w:rFonts w:ascii="Arial" w:hAnsi="Arial" w:cs="Arial"/>
          <w:color w:val="0D0D0D"/>
          <w:sz w:val="22"/>
          <w:szCs w:val="22"/>
          <w:shd w:val="clear" w:color="auto" w:fill="FFFFFF"/>
        </w:rPr>
        <w:t>Modifiable risk factors are mainly linked to lifestyle and environmental conditions. Poor housing, particularly overcrowding and inadequate ventilation, increases the spread of TB, as the disease is transmitted through the air (Lönnrot et al., 2009). Malnutrition weakens the immune system, making individuals more susceptible to infection, while behaviours such as smoking and excessive alcohol use further increase the risk. Socioeconomic disadvantage is also a key factor, as poverty can delay diagnosis, restrict access to healthcare services, and reduce treatment adherence (World Health Organization, 2023). Furthermore, long-term conditions such as diabetes are considered modifiable risks, as effective management can reduce the likelihood of developing TB.</w:t>
      </w:r>
    </w:p>
    <w:p w14:paraId="1EF1876A" w14:textId="2B3586EA" w:rsidR="00DC65E0" w:rsidRPr="001F18EE" w:rsidRDefault="001F18EE" w:rsidP="00BB7A58">
      <w:pPr>
        <w:rPr>
          <w:rFonts w:ascii="Arial" w:hAnsi="Arial" w:cs="Arial"/>
          <w:color w:val="0D0D0D"/>
          <w:sz w:val="22"/>
          <w:szCs w:val="22"/>
          <w:shd w:val="clear" w:color="auto" w:fill="FFFFFF"/>
        </w:rPr>
      </w:pPr>
      <w:r w:rsidRPr="001F18EE">
        <w:rPr>
          <w:rFonts w:ascii="Arial" w:hAnsi="Arial" w:cs="Arial"/>
          <w:color w:val="0D0D0D"/>
          <w:sz w:val="22"/>
          <w:szCs w:val="22"/>
          <w:shd w:val="clear" w:color="auto" w:fill="FFFFFF"/>
        </w:rPr>
        <w:t xml:space="preserve">Non-modifiable risk factors for tuberculosis (TB) include things that people cannot change, such </w:t>
      </w:r>
      <w:r w:rsidRPr="001F18EE">
        <w:rPr>
          <w:rFonts w:ascii="Arial" w:hAnsi="Arial" w:cs="Arial"/>
          <w:color w:val="0D0D0D"/>
          <w:sz w:val="22"/>
          <w:szCs w:val="22"/>
          <w:shd w:val="clear" w:color="auto" w:fill="FFFFFF"/>
        </w:rPr>
        <w:t>as age</w:t>
      </w:r>
      <w:r w:rsidRPr="001F18EE">
        <w:rPr>
          <w:rFonts w:ascii="Arial" w:hAnsi="Arial" w:cs="Arial"/>
          <w:color w:val="0D0D0D"/>
          <w:sz w:val="22"/>
          <w:szCs w:val="22"/>
          <w:shd w:val="clear" w:color="auto" w:fill="FFFFFF"/>
        </w:rPr>
        <w:t xml:space="preserve"> or genetic makeup. For example, young children and older adults are more at risk because the</w:t>
      </w:r>
      <w:r>
        <w:rPr>
          <w:rFonts w:ascii="Arial" w:hAnsi="Arial" w:cs="Arial"/>
          <w:color w:val="0D0D0D"/>
          <w:sz w:val="22"/>
          <w:szCs w:val="22"/>
          <w:shd w:val="clear" w:color="auto" w:fill="FFFFFF"/>
        </w:rPr>
        <w:t xml:space="preserve"> </w:t>
      </w:r>
      <w:r w:rsidRPr="001F18EE">
        <w:rPr>
          <w:rFonts w:ascii="Arial" w:hAnsi="Arial" w:cs="Arial"/>
          <w:color w:val="0D0D0D"/>
          <w:sz w:val="22"/>
          <w:szCs w:val="22"/>
          <w:shd w:val="clear" w:color="auto" w:fill="FFFFFF"/>
        </w:rPr>
        <w:t>immune systems are not as strong, making it harder for the</w:t>
      </w:r>
      <w:r>
        <w:rPr>
          <w:rFonts w:ascii="Arial" w:hAnsi="Arial" w:cs="Arial"/>
          <w:color w:val="0D0D0D"/>
          <w:sz w:val="22"/>
          <w:szCs w:val="22"/>
          <w:shd w:val="clear" w:color="auto" w:fill="FFFFFF"/>
        </w:rPr>
        <w:t xml:space="preserve"> </w:t>
      </w:r>
      <w:r w:rsidRPr="001F18EE">
        <w:rPr>
          <w:rFonts w:ascii="Arial" w:hAnsi="Arial" w:cs="Arial"/>
          <w:color w:val="0D0D0D"/>
          <w:sz w:val="22"/>
          <w:szCs w:val="22"/>
          <w:shd w:val="clear" w:color="auto" w:fill="FFFFFF"/>
        </w:rPr>
        <w:t>bodies to fight off infection (Pai et al., 2016). In addition, some people may be more vulnerable due to inherited factors that affect how immune system responds to TB bacteria. Conditions like HIV can also increase the risk of developing active TB, as they weaken the immune system (World Health Organization, 2023).</w:t>
      </w:r>
    </w:p>
    <w:p w14:paraId="491E87E7" w14:textId="77777777" w:rsidR="009F36F5" w:rsidRDefault="009F36F5" w:rsidP="00BB7A58">
      <w:pPr>
        <w:rPr>
          <w:rFonts w:ascii="Arial" w:hAnsi="Arial" w:cs="Arial"/>
          <w:color w:val="0D0D0D"/>
          <w:sz w:val="22"/>
          <w:szCs w:val="22"/>
          <w:shd w:val="clear" w:color="auto" w:fill="FFFFFF"/>
        </w:rPr>
      </w:pPr>
      <w:r w:rsidRPr="00626A80">
        <w:rPr>
          <w:rFonts w:ascii="Arial" w:hAnsi="Arial" w:cs="Arial"/>
          <w:color w:val="0D0D0D"/>
          <w:sz w:val="22"/>
          <w:szCs w:val="22"/>
          <w:shd w:val="clear" w:color="auto" w:fill="FFFFFF"/>
        </w:rPr>
        <w:t>Overall, reducing the impact of TB requires a comprehensive and multi-level approach. While non-modifiable factors emphasise the need for targeted screening and early detection, modifiable risks can be addressed through public health interventions such as improving living conditions, promoting better nutrition, and increasing access to healthcare services. Education and awareness programmes also play a crucial role in encouraging individuals to seek care early, adhere to treatment, and adopt healthier lifestyles, ultimately reducing transmission and improving health outcomes.</w:t>
      </w:r>
    </w:p>
    <w:p w14:paraId="4E59F485" w14:textId="77777777" w:rsidR="00626A80" w:rsidRPr="00626A80" w:rsidRDefault="00626A80" w:rsidP="00BB7A58">
      <w:pPr>
        <w:rPr>
          <w:rFonts w:ascii="Arial" w:hAnsi="Arial" w:cs="Arial"/>
          <w:b/>
          <w:bCs/>
          <w:sz w:val="22"/>
          <w:szCs w:val="22"/>
        </w:rPr>
      </w:pPr>
    </w:p>
    <w:p w14:paraId="508ED91F" w14:textId="77777777" w:rsidR="009B4952" w:rsidRDefault="009B4952" w:rsidP="00BB7A58">
      <w:pPr>
        <w:rPr>
          <w:rFonts w:cs="Adelle Sans Devanagari"/>
          <w:b/>
          <w:bCs/>
          <w:sz w:val="32"/>
          <w:szCs w:val="32"/>
        </w:rPr>
      </w:pPr>
    </w:p>
    <w:p w14:paraId="26F6975E" w14:textId="77777777" w:rsidR="009B4952" w:rsidRDefault="009B4952" w:rsidP="00BB7A58">
      <w:pPr>
        <w:rPr>
          <w:rFonts w:cs="Adelle Sans Devanagari"/>
          <w:b/>
          <w:bCs/>
          <w:sz w:val="32"/>
          <w:szCs w:val="32"/>
        </w:rPr>
      </w:pPr>
    </w:p>
    <w:p w14:paraId="40D245FD" w14:textId="77777777" w:rsidR="009B4952" w:rsidRDefault="009B4952" w:rsidP="00BB7A58">
      <w:pPr>
        <w:rPr>
          <w:rFonts w:cs="Adelle Sans Devanagari"/>
          <w:b/>
          <w:bCs/>
          <w:sz w:val="32"/>
          <w:szCs w:val="32"/>
        </w:rPr>
      </w:pPr>
    </w:p>
    <w:p w14:paraId="0A05D7EB" w14:textId="77777777" w:rsidR="00842DB3" w:rsidRDefault="00842DB3" w:rsidP="00BB7A58">
      <w:pPr>
        <w:rPr>
          <w:rFonts w:cs="Adelle Sans Devanagari"/>
          <w:b/>
          <w:bCs/>
          <w:sz w:val="32"/>
          <w:szCs w:val="32"/>
        </w:rPr>
      </w:pPr>
    </w:p>
    <w:p w14:paraId="32CCC309" w14:textId="77777777" w:rsidR="00842DB3" w:rsidRDefault="00842DB3" w:rsidP="00BB7A58">
      <w:pPr>
        <w:rPr>
          <w:rFonts w:cs="Adelle Sans Devanagari"/>
          <w:b/>
          <w:bCs/>
          <w:sz w:val="32"/>
          <w:szCs w:val="32"/>
        </w:rPr>
      </w:pPr>
    </w:p>
    <w:p w14:paraId="13B791C8" w14:textId="1D391AFB" w:rsidR="009B4952" w:rsidRDefault="000B23A7" w:rsidP="00BB7A58">
      <w:pPr>
        <w:rPr>
          <w:rFonts w:cs="Adelle Sans Devanagari"/>
          <w:b/>
          <w:bCs/>
          <w:sz w:val="32"/>
          <w:szCs w:val="32"/>
        </w:rPr>
      </w:pPr>
      <w:r w:rsidRPr="006C7E62">
        <w:rPr>
          <w:rFonts w:cs="Adelle Sans Devanagari"/>
          <w:b/>
          <w:bCs/>
          <w:sz w:val="32"/>
          <w:szCs w:val="32"/>
        </w:rPr>
        <w:lastRenderedPageBreak/>
        <w:t>Short</w:t>
      </w:r>
      <w:r w:rsidR="00A3340C" w:rsidRPr="006C7E62">
        <w:rPr>
          <w:rFonts w:cs="Adelle Sans Devanagari"/>
          <w:b/>
          <w:bCs/>
          <w:sz w:val="32"/>
          <w:szCs w:val="32"/>
        </w:rPr>
        <w:t>-</w:t>
      </w:r>
      <w:r w:rsidR="0015436B" w:rsidRPr="006C7E62">
        <w:rPr>
          <w:rFonts w:cs="Adelle Sans Devanagari"/>
          <w:b/>
          <w:bCs/>
          <w:sz w:val="32"/>
          <w:szCs w:val="32"/>
        </w:rPr>
        <w:t xml:space="preserve">term </w:t>
      </w:r>
      <w:r w:rsidR="0015436B">
        <w:rPr>
          <w:rFonts w:cs="Adelle Sans Devanagari"/>
          <w:b/>
          <w:bCs/>
          <w:sz w:val="32"/>
          <w:szCs w:val="32"/>
        </w:rPr>
        <w:t>and</w:t>
      </w:r>
      <w:r w:rsidR="0089181F">
        <w:rPr>
          <w:rFonts w:cs="Adelle Sans Devanagari"/>
          <w:b/>
          <w:bCs/>
          <w:sz w:val="32"/>
          <w:szCs w:val="32"/>
        </w:rPr>
        <w:t xml:space="preserve"> l</w:t>
      </w:r>
      <w:r w:rsidR="00A3340C" w:rsidRPr="006C7E62">
        <w:rPr>
          <w:rFonts w:cs="Adelle Sans Devanagari"/>
          <w:b/>
          <w:bCs/>
          <w:sz w:val="32"/>
          <w:szCs w:val="32"/>
        </w:rPr>
        <w:t>on</w:t>
      </w:r>
      <w:r w:rsidR="0029758E">
        <w:rPr>
          <w:rFonts w:cs="Adelle Sans Devanagari"/>
          <w:b/>
          <w:bCs/>
          <w:sz w:val="32"/>
          <w:szCs w:val="32"/>
        </w:rPr>
        <w:t>g</w:t>
      </w:r>
      <w:r w:rsidR="00A3340C" w:rsidRPr="006C7E62">
        <w:rPr>
          <w:rFonts w:cs="Adelle Sans Devanagari"/>
          <w:b/>
          <w:bCs/>
          <w:sz w:val="32"/>
          <w:szCs w:val="32"/>
        </w:rPr>
        <w:t>-term public health consequences</w:t>
      </w:r>
      <w:r w:rsidR="0029758E">
        <w:rPr>
          <w:rFonts w:cs="Adelle Sans Devanagari"/>
          <w:b/>
          <w:bCs/>
          <w:sz w:val="32"/>
          <w:szCs w:val="32"/>
        </w:rPr>
        <w:t xml:space="preserve"> </w:t>
      </w:r>
    </w:p>
    <w:p w14:paraId="7E438CB6" w14:textId="08C45214" w:rsidR="00BD1B58" w:rsidRPr="00626A80" w:rsidRDefault="00BD1B58" w:rsidP="00BB7A58">
      <w:pPr>
        <w:rPr>
          <w:rFonts w:ascii="Arial" w:hAnsi="Arial" w:cs="Arial"/>
          <w:color w:val="0D0D0D"/>
          <w:sz w:val="22"/>
          <w:szCs w:val="22"/>
          <w:shd w:val="clear" w:color="auto" w:fill="FFFFFF"/>
        </w:rPr>
      </w:pPr>
      <w:r w:rsidRPr="00626A80">
        <w:rPr>
          <w:rFonts w:ascii="Arial" w:hAnsi="Arial" w:cs="Arial"/>
          <w:color w:val="0D0D0D"/>
          <w:sz w:val="22"/>
          <w:szCs w:val="22"/>
          <w:shd w:val="clear" w:color="auto" w:fill="FFFFFF"/>
        </w:rPr>
        <w:t>Tuberculosis (TB) has both immediate and long-term public health impacts that affect individuals, communities, and healthcare systems. In the short term, active TB can cause serious symptoms such as a persistent cough, fever, weight loss, and fatigue, which can reduce a person’s ability to work, study, or carry out daily activities (Pai et al., 2016). These effects often lead to loss of income and financial hardship, particularly in low-income settings. TB is highly infectious if left untreated, allowing it to spread within households and crowded environments, increasing transmission across communities (World Health Organization, 2023).</w:t>
      </w:r>
    </w:p>
    <w:p w14:paraId="6B8B7ECB" w14:textId="0A25E58A" w:rsidR="00BD1B58" w:rsidRPr="00626A80" w:rsidRDefault="00BD1B58" w:rsidP="00BB7A58">
      <w:pPr>
        <w:rPr>
          <w:rFonts w:ascii="Arial" w:hAnsi="Arial" w:cs="Arial"/>
          <w:color w:val="0D0D0D"/>
          <w:sz w:val="22"/>
          <w:szCs w:val="22"/>
          <w:shd w:val="clear" w:color="auto" w:fill="FFFFFF"/>
        </w:rPr>
      </w:pPr>
      <w:r w:rsidRPr="00626A80">
        <w:rPr>
          <w:rFonts w:ascii="Arial" w:hAnsi="Arial" w:cs="Arial"/>
          <w:color w:val="0D0D0D"/>
          <w:sz w:val="22"/>
          <w:szCs w:val="22"/>
          <w:shd w:val="clear" w:color="auto" w:fill="FFFFFF"/>
        </w:rPr>
        <w:t>Over time, TB can result in lasting health problems even after treatment has been completed. Many individuals experience permanent lung damage, reduced breathing</w:t>
      </w:r>
      <w:r>
        <w:rPr>
          <w:rFonts w:ascii="Segoe UI" w:hAnsi="Segoe UI" w:cs="Segoe UI"/>
          <w:color w:val="0D0D0D"/>
          <w:shd w:val="clear" w:color="auto" w:fill="FFFFFF"/>
        </w:rPr>
        <w:t xml:space="preserve"> </w:t>
      </w:r>
      <w:r w:rsidRPr="00626A80">
        <w:rPr>
          <w:rFonts w:ascii="Arial" w:hAnsi="Arial" w:cs="Arial"/>
          <w:color w:val="0D0D0D"/>
          <w:sz w:val="22"/>
          <w:szCs w:val="22"/>
          <w:shd w:val="clear" w:color="auto" w:fill="FFFFFF"/>
        </w:rPr>
        <w:t>capacity, and other chronic conditions that negatively affect quality of life (Lönnrot et al., 2009). In addition to physical effects, TB can have psychological and social</w:t>
      </w:r>
      <w:r>
        <w:rPr>
          <w:rFonts w:ascii="Segoe UI" w:hAnsi="Segoe UI" w:cs="Segoe UI"/>
          <w:color w:val="0D0D0D"/>
          <w:shd w:val="clear" w:color="auto" w:fill="FFFFFF"/>
        </w:rPr>
        <w:t xml:space="preserve"> </w:t>
      </w:r>
      <w:r w:rsidRPr="00626A80">
        <w:rPr>
          <w:rFonts w:ascii="Arial" w:hAnsi="Arial" w:cs="Arial"/>
          <w:color w:val="0D0D0D"/>
          <w:sz w:val="22"/>
          <w:szCs w:val="22"/>
          <w:shd w:val="clear" w:color="auto" w:fill="FFFFFF"/>
        </w:rPr>
        <w:t>consequences,</w:t>
      </w:r>
      <w:r>
        <w:rPr>
          <w:rFonts w:ascii="Segoe UI" w:hAnsi="Segoe UI" w:cs="Segoe UI"/>
          <w:color w:val="0D0D0D"/>
          <w:shd w:val="clear" w:color="auto" w:fill="FFFFFF"/>
        </w:rPr>
        <w:t xml:space="preserve"> </w:t>
      </w:r>
      <w:r w:rsidRPr="00626A80">
        <w:rPr>
          <w:rFonts w:ascii="Arial" w:hAnsi="Arial" w:cs="Arial"/>
          <w:color w:val="0D0D0D"/>
          <w:sz w:val="22"/>
          <w:szCs w:val="22"/>
          <w:shd w:val="clear" w:color="auto" w:fill="FFFFFF"/>
        </w:rPr>
        <w:t>including stigma, discrimination, and social isolation, which may contribute to mental health issues. At a wider level, ongoing transmission increases the burden of disease, especially among vulnerable populations.</w:t>
      </w:r>
    </w:p>
    <w:p w14:paraId="36B8C524" w14:textId="00022840" w:rsidR="00BD1B58" w:rsidRPr="00626A80" w:rsidRDefault="00BD1B58" w:rsidP="00BB7A58">
      <w:pPr>
        <w:rPr>
          <w:rFonts w:ascii="Arial" w:hAnsi="Arial" w:cs="Arial"/>
          <w:color w:val="0D0D0D"/>
          <w:sz w:val="22"/>
          <w:szCs w:val="22"/>
          <w:shd w:val="clear" w:color="auto" w:fill="FFFFFF"/>
        </w:rPr>
      </w:pPr>
      <w:r w:rsidRPr="00626A80">
        <w:rPr>
          <w:rFonts w:ascii="Arial" w:hAnsi="Arial" w:cs="Arial"/>
          <w:color w:val="0D0D0D"/>
          <w:sz w:val="22"/>
          <w:szCs w:val="22"/>
          <w:shd w:val="clear" w:color="auto" w:fill="FFFFFF"/>
        </w:rPr>
        <w:t>The strain on healthcare services is also considerable. TB treatment typically lasts six months or longer, requiring ongoing medical support, medication supply, and monitoring. Drug-resistant TB further intensifies this burden, as it requires more complex, costly, and prolonged treatment approaches (World Health Organization, 2023). In many countries, this can divert resources away from other essential health services, affecting overall system capacity.</w:t>
      </w:r>
    </w:p>
    <w:p w14:paraId="09A1A857" w14:textId="104FB5A1" w:rsidR="00BD1B58" w:rsidRDefault="00BD1B58" w:rsidP="00BB7A58">
      <w:pPr>
        <w:rPr>
          <w:rFonts w:cs="Adelle Sans Devanagari"/>
          <w:b/>
          <w:bCs/>
          <w:sz w:val="32"/>
          <w:szCs w:val="32"/>
        </w:rPr>
      </w:pPr>
      <w:r w:rsidRPr="00626A80">
        <w:rPr>
          <w:rFonts w:ascii="Arial" w:hAnsi="Arial" w:cs="Arial"/>
          <w:color w:val="0D0D0D"/>
          <w:sz w:val="22"/>
          <w:szCs w:val="22"/>
          <w:shd w:val="clear" w:color="auto" w:fill="FFFFFF"/>
        </w:rPr>
        <w:t>Furthermore, TB has significant economic and social consequences beyond health. Families may face high healthcare costs, especially where free treatment is limited, pushing them further into poverty. Children may miss school due to illness or caregiving responsibilities, affecting their future opportunities. Delayed diagnosis and poor adherence to treatment also contribute to the rise of multidrug-resistant TB (MDR-TB), which presents a serious global health challenge (Pai et al., 2016). Addressing these impacts requires a comprehensive approach that considers both medical and social factors to reduce the overall burden of the disease</w:t>
      </w:r>
      <w:r>
        <w:rPr>
          <w:rFonts w:ascii="Segoe UI" w:hAnsi="Segoe UI" w:cs="Segoe UI"/>
          <w:color w:val="0D0D0D"/>
          <w:shd w:val="clear" w:color="auto" w:fill="FFFFFF"/>
        </w:rPr>
        <w:t>.</w:t>
      </w:r>
    </w:p>
    <w:p w14:paraId="656A193A" w14:textId="77777777" w:rsidR="00BD1B58" w:rsidRDefault="00BD1B58" w:rsidP="00BB7A58">
      <w:pPr>
        <w:rPr>
          <w:rFonts w:cs="Adelle Sans Devanagari"/>
          <w:b/>
          <w:bCs/>
          <w:sz w:val="32"/>
          <w:szCs w:val="32"/>
        </w:rPr>
      </w:pPr>
    </w:p>
    <w:p w14:paraId="37518074" w14:textId="3C5ECC23" w:rsidR="0015436B" w:rsidRPr="0015436B" w:rsidRDefault="00DF4EC5" w:rsidP="0015436B">
      <w:pPr>
        <w:rPr>
          <w:rFonts w:cs="Adelle Sans Devanagari"/>
          <w:b/>
          <w:bCs/>
          <w:sz w:val="32"/>
          <w:szCs w:val="32"/>
        </w:rPr>
      </w:pPr>
      <w:r>
        <w:rPr>
          <w:rFonts w:cs="Adelle Sans Devanagari"/>
          <w:b/>
          <w:bCs/>
          <w:sz w:val="32"/>
          <w:szCs w:val="32"/>
        </w:rPr>
        <w:t>Conclusion</w:t>
      </w:r>
    </w:p>
    <w:p w14:paraId="2197DC02" w14:textId="7E2B5D15" w:rsidR="008A5313" w:rsidRDefault="00D52CF3" w:rsidP="00BB7A58">
      <w:pPr>
        <w:rPr>
          <w:rFonts w:cs="Adelle Sans Devanagari"/>
          <w:b/>
          <w:bCs/>
          <w:sz w:val="32"/>
          <w:szCs w:val="32"/>
        </w:rPr>
      </w:pPr>
      <w:r w:rsidRPr="00626A80">
        <w:rPr>
          <w:rFonts w:ascii="Arial" w:hAnsi="Arial" w:cs="Arial"/>
          <w:color w:val="0D0D0D"/>
          <w:sz w:val="22"/>
          <w:szCs w:val="22"/>
          <w:shd w:val="clear" w:color="auto" w:fill="FFFFFF"/>
        </w:rPr>
        <w:t xml:space="preserve">In conclusion, this report has highlighted tuberculosis as a continuing global health issue influenced by a range of social, biological, and environmental factors. It has shown </w:t>
      </w:r>
      <w:r w:rsidR="00DC65E0" w:rsidRPr="00626A80">
        <w:rPr>
          <w:rFonts w:ascii="Arial" w:hAnsi="Arial" w:cs="Arial"/>
          <w:color w:val="0D0D0D"/>
          <w:sz w:val="22"/>
          <w:szCs w:val="22"/>
          <w:shd w:val="clear" w:color="auto" w:fill="FFFFFF"/>
        </w:rPr>
        <w:t xml:space="preserve">how </w:t>
      </w:r>
      <w:r w:rsidR="00DC65E0">
        <w:rPr>
          <w:rFonts w:ascii="Arial" w:hAnsi="Arial" w:cs="Arial"/>
          <w:color w:val="0D0D0D"/>
          <w:sz w:val="22"/>
          <w:szCs w:val="22"/>
          <w:shd w:val="clear" w:color="auto" w:fill="FFFFFF"/>
        </w:rPr>
        <w:t>Tuberculosis</w:t>
      </w:r>
      <w:r w:rsidR="00AC4BFB">
        <w:rPr>
          <w:rFonts w:ascii="Arial" w:hAnsi="Arial" w:cs="Arial"/>
          <w:color w:val="0D0D0D"/>
          <w:sz w:val="22"/>
          <w:szCs w:val="22"/>
          <w:shd w:val="clear" w:color="auto" w:fill="FFFFFF"/>
        </w:rPr>
        <w:t xml:space="preserve"> (</w:t>
      </w:r>
      <w:r w:rsidRPr="00626A80">
        <w:rPr>
          <w:rFonts w:ascii="Arial" w:hAnsi="Arial" w:cs="Arial"/>
          <w:color w:val="0D0D0D"/>
          <w:sz w:val="22"/>
          <w:szCs w:val="22"/>
          <w:shd w:val="clear" w:color="auto" w:fill="FFFFFF"/>
        </w:rPr>
        <w:t>TB</w:t>
      </w:r>
      <w:r w:rsidR="00AC4BFB">
        <w:rPr>
          <w:rFonts w:ascii="Arial" w:hAnsi="Arial" w:cs="Arial"/>
          <w:color w:val="0D0D0D"/>
          <w:sz w:val="22"/>
          <w:szCs w:val="22"/>
          <w:shd w:val="clear" w:color="auto" w:fill="FFFFFF"/>
        </w:rPr>
        <w:t>)</w:t>
      </w:r>
      <w:r w:rsidRPr="00626A80">
        <w:rPr>
          <w:rFonts w:ascii="Arial" w:hAnsi="Arial" w:cs="Arial"/>
          <w:color w:val="0D0D0D"/>
          <w:sz w:val="22"/>
          <w:szCs w:val="22"/>
          <w:shd w:val="clear" w:color="auto" w:fill="FFFFFF"/>
        </w:rPr>
        <w:t xml:space="preserve"> is monitored through key indicators, the importance of early detection and treatment, and the impact of both modifiable and non-modifiable risk factors. The disease has serious short- and long-term consequences for individuals and healthcare systems. To reduce its burden, it is recommended that health services strengthen screening programmes, improve access to care, and address wider determinants such as poverty and housing. Increased public awareness and sustained global collaboration are essential to effectively control and prevent tuberculosis</w:t>
      </w:r>
      <w:r>
        <w:rPr>
          <w:rFonts w:ascii="Segoe UI" w:hAnsi="Segoe UI" w:cs="Segoe UI"/>
          <w:color w:val="0D0D0D"/>
          <w:shd w:val="clear" w:color="auto" w:fill="FFFFFF"/>
        </w:rPr>
        <w:t>.</w:t>
      </w:r>
      <w:r w:rsidR="000B23A7">
        <w:rPr>
          <w:rFonts w:cs="Adelle Sans Devanagari"/>
          <w:b/>
          <w:bCs/>
          <w:sz w:val="32"/>
          <w:szCs w:val="32"/>
        </w:rPr>
        <w:t xml:space="preserve">                         </w:t>
      </w:r>
    </w:p>
    <w:p w14:paraId="722A6FA9" w14:textId="77777777" w:rsidR="009F36F5" w:rsidRDefault="009F36F5" w:rsidP="00BB7A58">
      <w:pPr>
        <w:rPr>
          <w:rFonts w:cs="Adelle Sans Devanagari"/>
          <w:b/>
          <w:bCs/>
          <w:sz w:val="32"/>
          <w:szCs w:val="32"/>
        </w:rPr>
      </w:pPr>
    </w:p>
    <w:p w14:paraId="71528591" w14:textId="77777777" w:rsidR="009F36F5" w:rsidRDefault="009F36F5" w:rsidP="00BB7A58">
      <w:pPr>
        <w:rPr>
          <w:rFonts w:cs="Adelle Sans Devanagari"/>
          <w:b/>
          <w:bCs/>
          <w:sz w:val="32"/>
          <w:szCs w:val="32"/>
        </w:rPr>
      </w:pPr>
    </w:p>
    <w:p w14:paraId="570BAABD" w14:textId="77777777" w:rsidR="00626A80" w:rsidRDefault="00626A80" w:rsidP="00BB7A58">
      <w:pPr>
        <w:rPr>
          <w:rFonts w:cs="Adelle Sans Devanagari"/>
          <w:b/>
          <w:bCs/>
          <w:sz w:val="32"/>
          <w:szCs w:val="32"/>
        </w:rPr>
      </w:pPr>
    </w:p>
    <w:p w14:paraId="60FC8E06" w14:textId="77777777" w:rsidR="00626A80" w:rsidRDefault="00626A80" w:rsidP="00BB7A58">
      <w:pPr>
        <w:rPr>
          <w:rFonts w:cs="Adelle Sans Devanagari"/>
          <w:b/>
          <w:bCs/>
          <w:sz w:val="32"/>
          <w:szCs w:val="32"/>
        </w:rPr>
      </w:pPr>
    </w:p>
    <w:p w14:paraId="37D310CB" w14:textId="77777777" w:rsidR="00814046" w:rsidRDefault="00814046" w:rsidP="00BB7A58">
      <w:pPr>
        <w:rPr>
          <w:rFonts w:cs="Adelle Sans Devanagari"/>
          <w:b/>
          <w:bCs/>
          <w:sz w:val="32"/>
          <w:szCs w:val="32"/>
        </w:rPr>
      </w:pPr>
    </w:p>
    <w:p w14:paraId="7D4D90E9" w14:textId="77777777" w:rsidR="00814046" w:rsidRDefault="00814046" w:rsidP="00BB7A58">
      <w:pPr>
        <w:rPr>
          <w:rFonts w:cs="Adelle Sans Devanagari"/>
          <w:b/>
          <w:bCs/>
          <w:sz w:val="32"/>
          <w:szCs w:val="32"/>
        </w:rPr>
      </w:pPr>
    </w:p>
    <w:p w14:paraId="1EE288D1" w14:textId="3738136A" w:rsidR="00626A80" w:rsidRDefault="00AC2436" w:rsidP="00BB7A58">
      <w:pPr>
        <w:rPr>
          <w:rFonts w:cs="Adelle Sans Devanagari"/>
          <w:b/>
          <w:bCs/>
          <w:sz w:val="32"/>
          <w:szCs w:val="32"/>
        </w:rPr>
      </w:pPr>
      <w:r>
        <w:rPr>
          <w:rFonts w:cs="Adelle Sans Devanagari"/>
          <w:b/>
          <w:bCs/>
          <w:sz w:val="32"/>
          <w:szCs w:val="32"/>
        </w:rPr>
        <w:t>Reference</w:t>
      </w:r>
      <w:r w:rsidR="00626A80">
        <w:rPr>
          <w:rFonts w:cs="Adelle Sans Devanagari"/>
          <w:b/>
          <w:bCs/>
          <w:sz w:val="32"/>
          <w:szCs w:val="32"/>
        </w:rPr>
        <w:t>s</w:t>
      </w:r>
    </w:p>
    <w:p w14:paraId="0A5FD434" w14:textId="43930901" w:rsidR="00221607" w:rsidRDefault="00221607" w:rsidP="00BB7A58">
      <w:r>
        <w:rPr>
          <w:rFonts w:ascii="Segoe UI" w:hAnsi="Segoe UI" w:cs="Segoe UI"/>
          <w:color w:val="0D0D0D"/>
          <w:shd w:val="clear" w:color="auto" w:fill="FFFFFF"/>
        </w:rPr>
        <w:t xml:space="preserve">Centres for Disease Control and Prevention (2022) </w:t>
      </w:r>
      <w:r w:rsidR="00DC7259">
        <w:rPr>
          <w:rFonts w:ascii="Segoe UI" w:hAnsi="Segoe UI" w:cs="Segoe UI"/>
          <w:i/>
          <w:iCs/>
          <w:color w:val="0D0D0D"/>
          <w:shd w:val="clear" w:color="auto" w:fill="FFFFFF"/>
        </w:rPr>
        <w:t>Tuberculosis prevention and control guidance.</w:t>
      </w:r>
      <w:r w:rsidRPr="00221607">
        <w:rPr>
          <w:rFonts w:ascii="Segoe UI" w:hAnsi="Segoe UI" w:cs="Segoe UI"/>
          <w:color w:val="0D0D0D"/>
          <w:shd w:val="clear" w:color="auto" w:fill="FFFFFF"/>
        </w:rPr>
        <w:t xml:space="preserve"> </w:t>
      </w:r>
      <w:r>
        <w:rPr>
          <w:rFonts w:ascii="Segoe UI" w:hAnsi="Segoe UI" w:cs="Segoe UI"/>
          <w:color w:val="0D0D0D"/>
          <w:shd w:val="clear" w:color="auto" w:fill="FFFFFF"/>
        </w:rPr>
        <w:t xml:space="preserve">Available at: </w:t>
      </w:r>
      <w:hyperlink r:id="rId5" w:history="1">
        <w:r w:rsidRPr="00565FDE">
          <w:rPr>
            <w:rStyle w:val="Hyperlink"/>
          </w:rPr>
          <w:t>https://w</w:t>
        </w:r>
        <w:r w:rsidRPr="00565FDE">
          <w:rPr>
            <w:rStyle w:val="Hyperlink"/>
          </w:rPr>
          <w:t>w</w:t>
        </w:r>
        <w:r w:rsidRPr="00565FDE">
          <w:rPr>
            <w:rStyle w:val="Hyperlink"/>
          </w:rPr>
          <w:t>w.cdc.gov/tb/statistics</w:t>
        </w:r>
      </w:hyperlink>
    </w:p>
    <w:p w14:paraId="6A01BD44" w14:textId="6015F344" w:rsidR="00221607" w:rsidRDefault="00416E5F" w:rsidP="00BB7A58">
      <w:pPr>
        <w:rPr>
          <w:rFonts w:ascii="Segoe UI" w:hAnsi="Segoe UI" w:cs="Segoe UI"/>
          <w:color w:val="0D0D0D"/>
          <w:shd w:val="clear" w:color="auto" w:fill="FFFFFF"/>
        </w:rPr>
      </w:pPr>
      <w:proofErr w:type="spellStart"/>
      <w:r>
        <w:rPr>
          <w:rFonts w:ascii="Segoe UI" w:hAnsi="Segoe UI" w:cs="Segoe UI"/>
          <w:color w:val="0D0D0D"/>
          <w:shd w:val="clear" w:color="auto" w:fill="FFFFFF"/>
        </w:rPr>
        <w:t>Lönnrot</w:t>
      </w:r>
      <w:r w:rsidR="00153DCD">
        <w:rPr>
          <w:rFonts w:ascii="Segoe UI" w:hAnsi="Segoe UI" w:cs="Segoe UI"/>
          <w:color w:val="0D0D0D"/>
          <w:shd w:val="clear" w:color="auto" w:fill="FFFFFF"/>
        </w:rPr>
        <w:t>h</w:t>
      </w:r>
      <w:proofErr w:type="spellEnd"/>
      <w:r w:rsidR="00153DCD">
        <w:rPr>
          <w:rFonts w:ascii="Segoe UI" w:hAnsi="Segoe UI" w:cs="Segoe UI"/>
          <w:color w:val="0D0D0D"/>
          <w:shd w:val="clear" w:color="auto" w:fill="FFFFFF"/>
        </w:rPr>
        <w:t xml:space="preserve">, </w:t>
      </w:r>
      <w:r w:rsidR="00221607">
        <w:rPr>
          <w:rFonts w:ascii="Segoe UI" w:hAnsi="Segoe UI" w:cs="Segoe UI"/>
          <w:color w:val="0D0D0D"/>
          <w:shd w:val="clear" w:color="auto" w:fill="FFFFFF"/>
        </w:rPr>
        <w:t xml:space="preserve"> K., Jaramillo, E., Williams, B.G., Dye, C. and Raviglione, M. (2009) Drivers of tuberculosis epidemics:</w:t>
      </w:r>
      <w:r w:rsidR="00221607" w:rsidRPr="00221607">
        <w:rPr>
          <w:rFonts w:ascii="Segoe UI" w:hAnsi="Segoe UI" w:cs="Segoe UI"/>
          <w:color w:val="0D0D0D"/>
          <w:shd w:val="clear" w:color="auto" w:fill="FFFFFF"/>
        </w:rPr>
        <w:t xml:space="preserve"> </w:t>
      </w:r>
      <w:r w:rsidR="00221607">
        <w:rPr>
          <w:rFonts w:ascii="Segoe UI" w:hAnsi="Segoe UI" w:cs="Segoe UI"/>
          <w:color w:val="0D0D0D"/>
          <w:shd w:val="clear" w:color="auto" w:fill="FFFFFF"/>
        </w:rPr>
        <w:t xml:space="preserve">the role of risk factors and social determinants’, </w:t>
      </w:r>
      <w:r>
        <w:rPr>
          <w:rFonts w:ascii="Segoe UI" w:hAnsi="Segoe UI" w:cs="Segoe UI"/>
          <w:i/>
          <w:iCs/>
          <w:color w:val="0D0D0D"/>
          <w:shd w:val="clear" w:color="auto" w:fill="FFFFFF"/>
        </w:rPr>
        <w:t xml:space="preserve">Social Science </w:t>
      </w:r>
      <w:r w:rsidR="00221607">
        <w:rPr>
          <w:rFonts w:ascii="Segoe UI" w:hAnsi="Segoe UI" w:cs="Segoe UI"/>
          <w:color w:val="0D0D0D"/>
          <w:shd w:val="clear" w:color="auto" w:fill="FFFFFF"/>
        </w:rPr>
        <w:t xml:space="preserve">&amp; </w:t>
      </w:r>
      <w:r>
        <w:rPr>
          <w:rFonts w:ascii="Segoe UI" w:hAnsi="Segoe UI" w:cs="Segoe UI"/>
          <w:i/>
          <w:iCs/>
          <w:color w:val="0D0D0D"/>
          <w:shd w:val="clear" w:color="auto" w:fill="FFFFFF"/>
        </w:rPr>
        <w:t>Medicine</w:t>
      </w:r>
      <w:r w:rsidR="00221607">
        <w:rPr>
          <w:rFonts w:ascii="Segoe UI" w:hAnsi="Segoe UI" w:cs="Segoe UI"/>
          <w:color w:val="0D0D0D"/>
          <w:shd w:val="clear" w:color="auto" w:fill="FFFFFF"/>
        </w:rPr>
        <w:t>, 68(12), pp. 2240–2246.</w:t>
      </w:r>
    </w:p>
    <w:p w14:paraId="593A1338" w14:textId="6A674F46" w:rsidR="00221607" w:rsidRDefault="00221607" w:rsidP="00BB7A58">
      <w:pPr>
        <w:rPr>
          <w:rFonts w:ascii="Segoe UI" w:hAnsi="Segoe UI" w:cs="Segoe UI"/>
          <w:color w:val="0D0D0D"/>
          <w:shd w:val="clear" w:color="auto" w:fill="FFFFFF"/>
        </w:rPr>
      </w:pPr>
      <w:r>
        <w:rPr>
          <w:rFonts w:ascii="Segoe UI" w:hAnsi="Segoe UI" w:cs="Segoe UI"/>
          <w:color w:val="0D0D0D"/>
          <w:shd w:val="clear" w:color="auto" w:fill="FFFFFF"/>
        </w:rPr>
        <w:t xml:space="preserve">Pai, M., Behr, M.A., Dowdy, D., </w:t>
      </w:r>
      <w:proofErr w:type="spellStart"/>
      <w:r>
        <w:rPr>
          <w:rFonts w:ascii="Segoe UI" w:hAnsi="Segoe UI" w:cs="Segoe UI"/>
          <w:color w:val="0D0D0D"/>
          <w:shd w:val="clear" w:color="auto" w:fill="FFFFFF"/>
        </w:rPr>
        <w:t>Dheda</w:t>
      </w:r>
      <w:proofErr w:type="spellEnd"/>
      <w:r>
        <w:rPr>
          <w:rFonts w:ascii="Segoe UI" w:hAnsi="Segoe UI" w:cs="Segoe UI"/>
          <w:color w:val="0D0D0D"/>
          <w:shd w:val="clear" w:color="auto" w:fill="FFFFFF"/>
        </w:rPr>
        <w:t xml:space="preserve">, K., </w:t>
      </w:r>
      <w:proofErr w:type="spellStart"/>
      <w:r>
        <w:rPr>
          <w:rFonts w:ascii="Segoe UI" w:hAnsi="Segoe UI" w:cs="Segoe UI"/>
          <w:color w:val="0D0D0D"/>
          <w:shd w:val="clear" w:color="auto" w:fill="FFFFFF"/>
        </w:rPr>
        <w:t>Divangahi</w:t>
      </w:r>
      <w:proofErr w:type="spellEnd"/>
      <w:r>
        <w:rPr>
          <w:rFonts w:ascii="Segoe UI" w:hAnsi="Segoe UI" w:cs="Segoe UI"/>
          <w:color w:val="0D0D0D"/>
          <w:shd w:val="clear" w:color="auto" w:fill="FFFFFF"/>
        </w:rPr>
        <w:t>, M., Boehme, C.C. and Raviglione, M. (2016)</w:t>
      </w:r>
      <w:r>
        <w:rPr>
          <w:rStyle w:val="apple-converted-space"/>
          <w:rFonts w:ascii="Segoe UI" w:hAnsi="Segoe UI" w:cs="Segoe UI"/>
          <w:color w:val="0D0D0D"/>
          <w:shd w:val="clear" w:color="auto" w:fill="FFFFFF"/>
        </w:rPr>
        <w:t> </w:t>
      </w:r>
      <w:r>
        <w:rPr>
          <w:rFonts w:ascii="Segoe UI" w:hAnsi="Segoe UI" w:cs="Segoe UI"/>
          <w:color w:val="0D0D0D"/>
          <w:shd w:val="clear" w:color="auto" w:fill="FFFFFF"/>
        </w:rPr>
        <w:t xml:space="preserve">Tuberculosis’, </w:t>
      </w:r>
      <w:r w:rsidR="00416E5F">
        <w:rPr>
          <w:rFonts w:ascii="Segoe UI" w:hAnsi="Segoe UI" w:cs="Segoe UI"/>
          <w:i/>
          <w:iCs/>
          <w:color w:val="0D0D0D"/>
          <w:shd w:val="clear" w:color="auto" w:fill="FFFFFF"/>
        </w:rPr>
        <w:t>Nature Reviews Disease Primers</w:t>
      </w:r>
      <w:r>
        <w:rPr>
          <w:rFonts w:ascii="Segoe UI" w:hAnsi="Segoe UI" w:cs="Segoe UI"/>
          <w:color w:val="0D0D0D"/>
          <w:shd w:val="clear" w:color="auto" w:fill="FFFFFF"/>
        </w:rPr>
        <w:t>, 2, pp. 1–33.</w:t>
      </w:r>
    </w:p>
    <w:p w14:paraId="75405983" w14:textId="2E20156A" w:rsidR="00221607" w:rsidRDefault="00221607" w:rsidP="00BB7A58">
      <w:r>
        <w:rPr>
          <w:rFonts w:ascii="Segoe UI" w:hAnsi="Segoe UI" w:cs="Segoe UI"/>
          <w:color w:val="0D0D0D"/>
          <w:shd w:val="clear" w:color="auto" w:fill="FFFFFF"/>
        </w:rPr>
        <w:t xml:space="preserve">Public Health England (2019) </w:t>
      </w:r>
      <w:r w:rsidR="00416E5F">
        <w:rPr>
          <w:rFonts w:ascii="Segoe UI" w:hAnsi="Segoe UI" w:cs="Segoe UI"/>
          <w:i/>
          <w:iCs/>
          <w:color w:val="0D0D0D"/>
          <w:shd w:val="clear" w:color="auto" w:fill="FFFFFF"/>
        </w:rPr>
        <w:t>Tuberculosis prevention and control guidance.</w:t>
      </w:r>
      <w:r w:rsidRPr="00221607">
        <w:rPr>
          <w:rFonts w:ascii="Segoe UI" w:hAnsi="Segoe UI" w:cs="Segoe UI"/>
          <w:color w:val="0D0D0D"/>
          <w:shd w:val="clear" w:color="auto" w:fill="FFFFFF"/>
        </w:rPr>
        <w:t xml:space="preserve"> </w:t>
      </w:r>
      <w:r>
        <w:rPr>
          <w:rFonts w:ascii="Segoe UI" w:hAnsi="Segoe UI" w:cs="Segoe UI"/>
          <w:color w:val="0D0D0D"/>
          <w:shd w:val="clear" w:color="auto" w:fill="FFFFFF"/>
        </w:rPr>
        <w:t>Available at:</w:t>
      </w:r>
      <w:r>
        <w:rPr>
          <w:rStyle w:val="apple-converted-space"/>
          <w:rFonts w:ascii="Segoe UI" w:hAnsi="Segoe UI" w:cs="Segoe UI"/>
          <w:color w:val="0D0D0D"/>
          <w:shd w:val="clear" w:color="auto" w:fill="FFFFFF"/>
        </w:rPr>
        <w:t> </w:t>
      </w:r>
      <w:r w:rsidRPr="00AC4BFB">
        <w:t>https://w</w:t>
      </w:r>
      <w:r w:rsidR="00AC4BFB" w:rsidRPr="00AC4BFB">
        <w:t xml:space="preserve"> </w:t>
      </w:r>
      <w:r w:rsidRPr="00AC4BFB">
        <w:t>w</w:t>
      </w:r>
      <w:r w:rsidRPr="00AC4BFB">
        <w:t>w.gov.uk</w:t>
      </w:r>
    </w:p>
    <w:p w14:paraId="1F03C5C5" w14:textId="22B6F6C2" w:rsidR="00221607" w:rsidRDefault="00082A19" w:rsidP="00BB7A58">
      <w:r>
        <w:rPr>
          <w:rFonts w:ascii="Segoe UI" w:hAnsi="Segoe UI" w:cs="Segoe UI"/>
          <w:color w:val="0D0D0D"/>
          <w:shd w:val="clear" w:color="auto" w:fill="FFFFFF"/>
        </w:rPr>
        <w:t>World Health Organization (2024)</w:t>
      </w:r>
      <w:r w:rsidR="00DC7259">
        <w:rPr>
          <w:rFonts w:ascii="Segoe UI" w:hAnsi="Segoe UI" w:cs="Segoe UI"/>
          <w:color w:val="0D0D0D"/>
          <w:shd w:val="clear" w:color="auto" w:fill="FFFFFF"/>
        </w:rPr>
        <w:t xml:space="preserve"> </w:t>
      </w:r>
      <w:r w:rsidR="00DC7259">
        <w:rPr>
          <w:rFonts w:ascii="Segoe UI" w:hAnsi="Segoe UI" w:cs="Segoe UI"/>
          <w:i/>
          <w:iCs/>
          <w:color w:val="0D0D0D"/>
          <w:shd w:val="clear" w:color="auto" w:fill="FFFFFF"/>
        </w:rPr>
        <w:t xml:space="preserve">Global tuberculosis report 2024. </w:t>
      </w:r>
      <w:r>
        <w:rPr>
          <w:rFonts w:ascii="Segoe UI" w:hAnsi="Segoe UI" w:cs="Segoe UI"/>
          <w:color w:val="0D0D0D"/>
          <w:shd w:val="clear" w:color="auto" w:fill="FFFFFF"/>
        </w:rPr>
        <w:t>Geneva:</w:t>
      </w:r>
      <w:r>
        <w:rPr>
          <w:rStyle w:val="apple-converted-space"/>
          <w:rFonts w:ascii="Segoe UI" w:hAnsi="Segoe UI" w:cs="Segoe UI"/>
          <w:color w:val="0D0D0D"/>
          <w:shd w:val="clear" w:color="auto" w:fill="FFFFFF"/>
        </w:rPr>
        <w:t> </w:t>
      </w:r>
      <w:r>
        <w:rPr>
          <w:rFonts w:ascii="Segoe UI" w:hAnsi="Segoe UI" w:cs="Segoe UI"/>
          <w:color w:val="0D0D0D"/>
          <w:shd w:val="clear" w:color="auto" w:fill="FFFFFF"/>
        </w:rPr>
        <w:t xml:space="preserve">World </w:t>
      </w:r>
      <w:r w:rsidR="00DC7259">
        <w:rPr>
          <w:rFonts w:ascii="Segoe UI" w:hAnsi="Segoe UI" w:cs="Segoe UI"/>
          <w:color w:val="0D0D0D"/>
          <w:shd w:val="clear" w:color="auto" w:fill="FFFFFF"/>
        </w:rPr>
        <w:t>Health Organization</w:t>
      </w:r>
      <w:r>
        <w:rPr>
          <w:rFonts w:ascii="Segoe UI" w:hAnsi="Segoe UI" w:cs="Segoe UI"/>
          <w:color w:val="0D0D0D"/>
          <w:shd w:val="clear" w:color="auto" w:fill="FFFFFF"/>
        </w:rPr>
        <w:t>. Available at:</w:t>
      </w:r>
      <w:r w:rsidRPr="00082A19">
        <w:t xml:space="preserve"> </w:t>
      </w:r>
      <w:hyperlink r:id="rId6" w:history="1">
        <w:r w:rsidRPr="00565FDE">
          <w:rPr>
            <w:rStyle w:val="Hyperlink"/>
          </w:rPr>
          <w:t>https://www.who.int</w:t>
        </w:r>
      </w:hyperlink>
    </w:p>
    <w:p w14:paraId="6D07F9E1" w14:textId="59007DDC" w:rsidR="00082A19" w:rsidRDefault="00082A19" w:rsidP="00BB7A58">
      <w:r>
        <w:rPr>
          <w:rFonts w:ascii="Segoe UI" w:hAnsi="Segoe UI" w:cs="Segoe UI"/>
          <w:color w:val="0D0D0D"/>
          <w:shd w:val="clear" w:color="auto" w:fill="FFFFFF"/>
        </w:rPr>
        <w:t xml:space="preserve">World Health Organization (2023) </w:t>
      </w:r>
      <w:r w:rsidR="00DC7259">
        <w:rPr>
          <w:rFonts w:ascii="Segoe UI" w:hAnsi="Segoe UI" w:cs="Segoe UI"/>
          <w:i/>
          <w:iCs/>
          <w:color w:val="0D0D0D"/>
          <w:shd w:val="clear" w:color="auto" w:fill="FFFFFF"/>
        </w:rPr>
        <w:t xml:space="preserve">Global tuberculosis </w:t>
      </w:r>
      <w:r w:rsidR="00153DCD">
        <w:rPr>
          <w:rFonts w:ascii="Segoe UI" w:hAnsi="Segoe UI" w:cs="Segoe UI"/>
          <w:i/>
          <w:iCs/>
          <w:color w:val="0D0D0D"/>
          <w:shd w:val="clear" w:color="auto" w:fill="FFFFFF"/>
        </w:rPr>
        <w:t>report</w:t>
      </w:r>
      <w:r w:rsidR="00DC7259">
        <w:rPr>
          <w:rFonts w:ascii="Segoe UI" w:hAnsi="Segoe UI" w:cs="Segoe UI"/>
          <w:i/>
          <w:iCs/>
          <w:color w:val="0D0D0D"/>
          <w:shd w:val="clear" w:color="auto" w:fill="FFFFFF"/>
        </w:rPr>
        <w:t xml:space="preserve"> </w:t>
      </w:r>
      <w:r w:rsidR="00DC7259">
        <w:rPr>
          <w:rFonts w:ascii="Segoe UI" w:hAnsi="Segoe UI" w:cs="Segoe UI"/>
          <w:color w:val="0D0D0D"/>
          <w:shd w:val="clear" w:color="auto" w:fill="FFFFFF"/>
        </w:rPr>
        <w:t>2023</w:t>
      </w:r>
      <w:r>
        <w:rPr>
          <w:rFonts w:ascii="Segoe UI" w:hAnsi="Segoe UI" w:cs="Segoe UI"/>
          <w:color w:val="0D0D0D"/>
          <w:shd w:val="clear" w:color="auto" w:fill="FFFFFF"/>
        </w:rPr>
        <w:t>. Geneva:</w:t>
      </w:r>
      <w:r>
        <w:rPr>
          <w:rStyle w:val="apple-converted-space"/>
          <w:rFonts w:ascii="Segoe UI" w:hAnsi="Segoe UI" w:cs="Segoe UI"/>
          <w:color w:val="0D0D0D"/>
          <w:shd w:val="clear" w:color="auto" w:fill="FFFFFF"/>
        </w:rPr>
        <w:t> </w:t>
      </w:r>
      <w:r>
        <w:rPr>
          <w:rFonts w:ascii="Segoe UI" w:hAnsi="Segoe UI" w:cs="Segoe UI"/>
          <w:color w:val="0D0D0D"/>
          <w:shd w:val="clear" w:color="auto" w:fill="FFFFFF"/>
        </w:rPr>
        <w:t>World Health Organization. Available at:</w:t>
      </w:r>
      <w:r w:rsidRPr="00082A19">
        <w:t xml:space="preserve"> </w:t>
      </w:r>
      <w:hyperlink r:id="rId7" w:history="1">
        <w:r w:rsidRPr="00565FDE">
          <w:rPr>
            <w:rStyle w:val="Hyperlink"/>
          </w:rPr>
          <w:t>https://www.who.int</w:t>
        </w:r>
      </w:hyperlink>
    </w:p>
    <w:p w14:paraId="5E51488C" w14:textId="38CC8D17" w:rsidR="00221607" w:rsidRDefault="00221607" w:rsidP="00BB7A58">
      <w:pPr>
        <w:rPr>
          <w:rFonts w:cs="Adelle Sans Devanagari"/>
          <w:b/>
          <w:bCs/>
          <w:sz w:val="32"/>
          <w:szCs w:val="32"/>
        </w:rPr>
      </w:pPr>
    </w:p>
    <w:p w14:paraId="4EC6D2CB" w14:textId="77777777" w:rsidR="008E1174" w:rsidRDefault="008E1174" w:rsidP="005C794D">
      <w:pPr>
        <w:rPr>
          <w:rFonts w:ascii="Segoe UI" w:hAnsi="Segoe UI" w:cs="Segoe UI"/>
          <w:color w:val="0D0D0D"/>
          <w:shd w:val="clear" w:color="auto" w:fill="FFFFFF"/>
        </w:rPr>
      </w:pPr>
    </w:p>
    <w:p w14:paraId="5CBB25DD" w14:textId="0F6068D2" w:rsidR="006C7E62" w:rsidRDefault="006C7E62" w:rsidP="005C794D">
      <w:pPr>
        <w:rPr>
          <w:rFonts w:ascii="Segoe UI" w:hAnsi="Segoe UI" w:cs="Segoe UI"/>
          <w:color w:val="0D0D0D"/>
          <w:shd w:val="clear" w:color="auto" w:fill="FFFFFF"/>
        </w:rPr>
      </w:pPr>
      <w:r>
        <w:rPr>
          <w:rFonts w:ascii="Segoe UI" w:hAnsi="Segoe UI" w:cs="Segoe UI"/>
          <w:color w:val="0D0D0D"/>
          <w:shd w:val="clear" w:color="auto" w:fill="FFFFFF"/>
        </w:rPr>
        <w:t>.</w:t>
      </w:r>
    </w:p>
    <w:p w14:paraId="50D0F4A3" w14:textId="77777777" w:rsidR="008A5313" w:rsidRDefault="008A5313" w:rsidP="00BB7A58">
      <w:pPr>
        <w:rPr>
          <w:rFonts w:ascii="Segoe UI" w:hAnsi="Segoe UI" w:cs="Segoe UI"/>
          <w:color w:val="0D0D0D"/>
          <w:shd w:val="clear" w:color="auto" w:fill="FFFFFF"/>
        </w:rPr>
      </w:pPr>
    </w:p>
    <w:p w14:paraId="14F467FE" w14:textId="41D63702" w:rsidR="004D043B" w:rsidRPr="004D043B" w:rsidRDefault="004D043B" w:rsidP="00BB7A58">
      <w:pPr>
        <w:rPr>
          <w:rFonts w:cs="Adelle Sans Devanagari"/>
          <w:b/>
          <w:bCs/>
          <w:i/>
          <w:iCs/>
          <w:sz w:val="32"/>
          <w:szCs w:val="32"/>
        </w:rPr>
      </w:pPr>
    </w:p>
    <w:sectPr w:rsidR="004D043B" w:rsidRPr="004D04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ADLaM Display">
    <w:panose1 w:val="02010000000000000000"/>
    <w:charset w:val="4D"/>
    <w:family w:val="auto"/>
    <w:pitch w:val="variable"/>
    <w:sig w:usb0="8000206F" w:usb1="4200004A" w:usb2="00000000" w:usb3="00000000" w:csb0="00000001" w:csb1="00000000"/>
  </w:font>
  <w:font w:name="Segoe UI">
    <w:panose1 w:val="020B0502040204020203"/>
    <w:charset w:val="00"/>
    <w:family w:val="swiss"/>
    <w:pitch w:val="variable"/>
    <w:sig w:usb0="E4002EFF" w:usb1="C000E47F" w:usb2="00000009" w:usb3="00000000" w:csb0="000001FF" w:csb1="00000000"/>
  </w:font>
  <w:font w:name="Adelle Sans Devanagari">
    <w:panose1 w:val="02000503000000020004"/>
    <w:charset w:val="B2"/>
    <w:family w:val="auto"/>
    <w:pitch w:val="variable"/>
    <w:sig w:usb0="0300A007" w:usb1="00000001" w:usb2="00000008" w:usb3="00000000" w:csb0="000100D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9430E"/>
    <w:multiLevelType w:val="hybridMultilevel"/>
    <w:tmpl w:val="7A047E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085DDF"/>
    <w:multiLevelType w:val="multilevel"/>
    <w:tmpl w:val="E3A2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E32E9C"/>
    <w:multiLevelType w:val="hybridMultilevel"/>
    <w:tmpl w:val="B8620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41024B"/>
    <w:multiLevelType w:val="hybridMultilevel"/>
    <w:tmpl w:val="56DED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A763D"/>
    <w:multiLevelType w:val="multilevel"/>
    <w:tmpl w:val="B704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2021625">
    <w:abstractNumId w:val="3"/>
  </w:num>
  <w:num w:numId="2" w16cid:durableId="522210097">
    <w:abstractNumId w:val="2"/>
  </w:num>
  <w:num w:numId="3" w16cid:durableId="963542244">
    <w:abstractNumId w:val="0"/>
  </w:num>
  <w:num w:numId="4" w16cid:durableId="1646817436">
    <w:abstractNumId w:val="4"/>
  </w:num>
  <w:num w:numId="5" w16cid:durableId="287786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56"/>
    <w:rsid w:val="0006514C"/>
    <w:rsid w:val="00082A19"/>
    <w:rsid w:val="00083BBA"/>
    <w:rsid w:val="000B23A7"/>
    <w:rsid w:val="00153DCD"/>
    <w:rsid w:val="0015436B"/>
    <w:rsid w:val="0017668E"/>
    <w:rsid w:val="001877EC"/>
    <w:rsid w:val="001F0C28"/>
    <w:rsid w:val="001F18EE"/>
    <w:rsid w:val="001F4E7E"/>
    <w:rsid w:val="00221607"/>
    <w:rsid w:val="0029758E"/>
    <w:rsid w:val="002A629D"/>
    <w:rsid w:val="0038713C"/>
    <w:rsid w:val="00416E5F"/>
    <w:rsid w:val="00477738"/>
    <w:rsid w:val="0048698D"/>
    <w:rsid w:val="004B02B2"/>
    <w:rsid w:val="004D043B"/>
    <w:rsid w:val="004D3D04"/>
    <w:rsid w:val="00565AED"/>
    <w:rsid w:val="005C794D"/>
    <w:rsid w:val="00602D63"/>
    <w:rsid w:val="00626A80"/>
    <w:rsid w:val="0067361A"/>
    <w:rsid w:val="006C7E62"/>
    <w:rsid w:val="00732C2B"/>
    <w:rsid w:val="00741FCB"/>
    <w:rsid w:val="007C4D07"/>
    <w:rsid w:val="007D41CE"/>
    <w:rsid w:val="007F7A26"/>
    <w:rsid w:val="00814046"/>
    <w:rsid w:val="00842DB3"/>
    <w:rsid w:val="0089181F"/>
    <w:rsid w:val="008A5313"/>
    <w:rsid w:val="008B05E5"/>
    <w:rsid w:val="008D720B"/>
    <w:rsid w:val="008E1174"/>
    <w:rsid w:val="00913024"/>
    <w:rsid w:val="009462FE"/>
    <w:rsid w:val="0098690B"/>
    <w:rsid w:val="009A7592"/>
    <w:rsid w:val="009B05DD"/>
    <w:rsid w:val="009B4952"/>
    <w:rsid w:val="009F36F5"/>
    <w:rsid w:val="00A1409F"/>
    <w:rsid w:val="00A3340C"/>
    <w:rsid w:val="00A924C2"/>
    <w:rsid w:val="00AC2436"/>
    <w:rsid w:val="00AC4BFB"/>
    <w:rsid w:val="00B84756"/>
    <w:rsid w:val="00BB7A58"/>
    <w:rsid w:val="00BC5837"/>
    <w:rsid w:val="00BD1B58"/>
    <w:rsid w:val="00C61D42"/>
    <w:rsid w:val="00CF18A2"/>
    <w:rsid w:val="00D50EBC"/>
    <w:rsid w:val="00D52CC6"/>
    <w:rsid w:val="00D52CF3"/>
    <w:rsid w:val="00D73D01"/>
    <w:rsid w:val="00DB6B7F"/>
    <w:rsid w:val="00DC65E0"/>
    <w:rsid w:val="00DC7259"/>
    <w:rsid w:val="00DD3A14"/>
    <w:rsid w:val="00DF4EC5"/>
    <w:rsid w:val="00E46874"/>
    <w:rsid w:val="00EB4F40"/>
    <w:rsid w:val="00F35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BF18D3"/>
  <w15:chartTrackingRefBased/>
  <w15:docId w15:val="{F8942EF1-B08C-034C-BD75-616F99787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7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47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47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7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7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7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7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7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7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7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47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47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7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7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7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7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7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756"/>
    <w:rPr>
      <w:rFonts w:eastAsiaTheme="majorEastAsia" w:cstheme="majorBidi"/>
      <w:color w:val="272727" w:themeColor="text1" w:themeTint="D8"/>
    </w:rPr>
  </w:style>
  <w:style w:type="paragraph" w:styleId="Title">
    <w:name w:val="Title"/>
    <w:basedOn w:val="Normal"/>
    <w:next w:val="Normal"/>
    <w:link w:val="TitleChar"/>
    <w:uiPriority w:val="10"/>
    <w:qFormat/>
    <w:rsid w:val="00B847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7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7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7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756"/>
    <w:pPr>
      <w:spacing w:before="160"/>
      <w:jc w:val="center"/>
    </w:pPr>
    <w:rPr>
      <w:i/>
      <w:iCs/>
      <w:color w:val="404040" w:themeColor="text1" w:themeTint="BF"/>
    </w:rPr>
  </w:style>
  <w:style w:type="character" w:customStyle="1" w:styleId="QuoteChar">
    <w:name w:val="Quote Char"/>
    <w:basedOn w:val="DefaultParagraphFont"/>
    <w:link w:val="Quote"/>
    <w:uiPriority w:val="29"/>
    <w:rsid w:val="00B84756"/>
    <w:rPr>
      <w:i/>
      <w:iCs/>
      <w:color w:val="404040" w:themeColor="text1" w:themeTint="BF"/>
    </w:rPr>
  </w:style>
  <w:style w:type="paragraph" w:styleId="ListParagraph">
    <w:name w:val="List Paragraph"/>
    <w:basedOn w:val="Normal"/>
    <w:uiPriority w:val="34"/>
    <w:qFormat/>
    <w:rsid w:val="00B84756"/>
    <w:pPr>
      <w:ind w:left="720"/>
      <w:contextualSpacing/>
    </w:pPr>
  </w:style>
  <w:style w:type="character" w:styleId="IntenseEmphasis">
    <w:name w:val="Intense Emphasis"/>
    <w:basedOn w:val="DefaultParagraphFont"/>
    <w:uiPriority w:val="21"/>
    <w:qFormat/>
    <w:rsid w:val="00B84756"/>
    <w:rPr>
      <w:i/>
      <w:iCs/>
      <w:color w:val="0F4761" w:themeColor="accent1" w:themeShade="BF"/>
    </w:rPr>
  </w:style>
  <w:style w:type="paragraph" w:styleId="IntenseQuote">
    <w:name w:val="Intense Quote"/>
    <w:basedOn w:val="Normal"/>
    <w:next w:val="Normal"/>
    <w:link w:val="IntenseQuoteChar"/>
    <w:uiPriority w:val="30"/>
    <w:qFormat/>
    <w:rsid w:val="00B847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756"/>
    <w:rPr>
      <w:i/>
      <w:iCs/>
      <w:color w:val="0F4761" w:themeColor="accent1" w:themeShade="BF"/>
    </w:rPr>
  </w:style>
  <w:style w:type="character" w:styleId="IntenseReference">
    <w:name w:val="Intense Reference"/>
    <w:basedOn w:val="DefaultParagraphFont"/>
    <w:uiPriority w:val="32"/>
    <w:qFormat/>
    <w:rsid w:val="00B84756"/>
    <w:rPr>
      <w:b/>
      <w:bCs/>
      <w:smallCaps/>
      <w:color w:val="0F4761" w:themeColor="accent1" w:themeShade="BF"/>
      <w:spacing w:val="5"/>
    </w:rPr>
  </w:style>
  <w:style w:type="paragraph" w:styleId="NoSpacing">
    <w:name w:val="No Spacing"/>
    <w:uiPriority w:val="1"/>
    <w:qFormat/>
    <w:rsid w:val="00B84756"/>
    <w:pPr>
      <w:spacing w:after="0" w:line="240" w:lineRule="auto"/>
    </w:pPr>
  </w:style>
  <w:style w:type="character" w:styleId="Emphasis">
    <w:name w:val="Emphasis"/>
    <w:basedOn w:val="DefaultParagraphFont"/>
    <w:uiPriority w:val="20"/>
    <w:qFormat/>
    <w:rsid w:val="00B84756"/>
    <w:rPr>
      <w:i/>
      <w:iCs/>
    </w:rPr>
  </w:style>
  <w:style w:type="character" w:customStyle="1" w:styleId="apple-converted-space">
    <w:name w:val="apple-converted-space"/>
    <w:basedOn w:val="DefaultParagraphFont"/>
    <w:rsid w:val="00A1409F"/>
  </w:style>
  <w:style w:type="paragraph" w:styleId="NormalWeb">
    <w:name w:val="Normal (Web)"/>
    <w:basedOn w:val="Normal"/>
    <w:uiPriority w:val="99"/>
    <w:semiHidden/>
    <w:unhideWhenUsed/>
    <w:rsid w:val="003871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B05E5"/>
    <w:rPr>
      <w:color w:val="467886" w:themeColor="hyperlink"/>
      <w:u w:val="single"/>
    </w:rPr>
  </w:style>
  <w:style w:type="character" w:styleId="UnresolvedMention">
    <w:name w:val="Unresolved Mention"/>
    <w:basedOn w:val="DefaultParagraphFont"/>
    <w:uiPriority w:val="99"/>
    <w:semiHidden/>
    <w:unhideWhenUsed/>
    <w:rsid w:val="008B05E5"/>
    <w:rPr>
      <w:color w:val="605E5C"/>
      <w:shd w:val="clear" w:color="auto" w:fill="E1DFDD"/>
    </w:rPr>
  </w:style>
  <w:style w:type="character" w:styleId="FollowedHyperlink">
    <w:name w:val="FollowedHyperlink"/>
    <w:basedOn w:val="DefaultParagraphFont"/>
    <w:uiPriority w:val="99"/>
    <w:semiHidden/>
    <w:unhideWhenUsed/>
    <w:rsid w:val="001F4E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 TargetMode="External"/><Relationship Id="rId5" Type="http://schemas.openxmlformats.org/officeDocument/2006/relationships/hyperlink" Target="https://www.cdc.gov/tb/statistic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1735</Words>
  <Characters>10151</Characters>
  <Application>Microsoft Office Word</Application>
  <DocSecurity>0</DocSecurity>
  <Lines>207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Analisa Caunceran</dc:creator>
  <cp:keywords/>
  <dc:description/>
  <cp:lastModifiedBy>Analisa Caunceran</cp:lastModifiedBy>
  <cp:revision>7</cp:revision>
  <dcterms:created xsi:type="dcterms:W3CDTF">2026-04-16T15:18:00Z</dcterms:created>
  <dcterms:modified xsi:type="dcterms:W3CDTF">2026-04-16T15:28:00Z</dcterms:modified>
</cp:coreProperties>
</file>