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A86E5" w14:textId="77777777" w:rsidR="00C501DF" w:rsidRPr="00C501DF" w:rsidRDefault="00C501DF" w:rsidP="005E095D">
      <w:pPr>
        <w:spacing w:line="480" w:lineRule="auto"/>
        <w:rPr>
          <w:rFonts w:ascii="Arial" w:hAnsi="Arial" w:cs="Arial"/>
          <w:sz w:val="24"/>
          <w:szCs w:val="24"/>
        </w:rPr>
      </w:pPr>
      <w:r w:rsidRPr="00C501DF">
        <w:rPr>
          <w:rFonts w:ascii="Arial" w:hAnsi="Arial" w:cs="Arial"/>
          <w:noProof/>
          <w:sz w:val="24"/>
          <w:szCs w:val="24"/>
        </w:rPr>
        <w:drawing>
          <wp:inline distT="0" distB="0" distL="0" distR="0" wp14:anchorId="1B011C11" wp14:editId="149E7180">
            <wp:extent cx="1761995" cy="1066613"/>
            <wp:effectExtent l="0" t="0" r="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1949" cy="1084746"/>
                    </a:xfrm>
                    <a:prstGeom prst="rect">
                      <a:avLst/>
                    </a:prstGeom>
                    <a:noFill/>
                    <a:ln>
                      <a:noFill/>
                    </a:ln>
                  </pic:spPr>
                </pic:pic>
              </a:graphicData>
            </a:graphic>
          </wp:inline>
        </w:drawing>
      </w:r>
    </w:p>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806"/>
        <w:gridCol w:w="3500"/>
      </w:tblGrid>
      <w:tr w:rsidR="00C501DF" w:rsidRPr="00C501DF" w14:paraId="30AA941E" w14:textId="77777777" w:rsidTr="00372679">
        <w:trPr>
          <w:trHeight w:val="19"/>
          <w:jc w:val="center"/>
        </w:trPr>
        <w:tc>
          <w:tcPr>
            <w:tcW w:w="2893" w:type="pct"/>
            <w:vAlign w:val="center"/>
          </w:tcPr>
          <w:p w14:paraId="7205E59E" w14:textId="77777777" w:rsidR="00C501DF" w:rsidRPr="00C501DF" w:rsidRDefault="00000000" w:rsidP="005E095D">
            <w:pPr>
              <w:pStyle w:val="aa"/>
              <w:spacing w:line="480" w:lineRule="auto"/>
              <w:ind w:right="2088"/>
              <w:jc w:val="both"/>
              <w:rPr>
                <w:rFonts w:ascii="Arial" w:hAnsi="Arial" w:cs="Arial"/>
                <w:caps/>
                <w:color w:val="191919" w:themeColor="text1" w:themeTint="E6"/>
                <w:sz w:val="24"/>
                <w:szCs w:val="24"/>
              </w:rPr>
            </w:pPr>
            <w:sdt>
              <w:sdtPr>
                <w:rPr>
                  <w:rFonts w:ascii="Arial" w:eastAsia="Calibri" w:hAnsi="Arial" w:cs="Arial"/>
                  <w:sz w:val="24"/>
                  <w:szCs w:val="24"/>
                  <w:lang w:eastAsia="zh-CN"/>
                </w:rPr>
                <w:alias w:val="Title"/>
                <w:id w:val="-1"/>
                <w:text/>
              </w:sdtPr>
              <w:sdtContent>
                <w:r w:rsidR="00C501DF" w:rsidRPr="00C501DF">
                  <w:rPr>
                    <w:rFonts w:ascii="Arial" w:hAnsi="Arial" w:cs="Arial"/>
                    <w:sz w:val="24"/>
                    <w:szCs w:val="24"/>
                    <w:lang w:eastAsia="zh-CN"/>
                  </w:rPr>
                  <w:t>Global Ethics</w:t>
                </w:r>
              </w:sdtContent>
            </w:sdt>
          </w:p>
          <w:sdt>
            <w:sdtPr>
              <w:rPr>
                <w:rFonts w:ascii="Arial" w:hAnsi="Arial" w:cs="Arial"/>
                <w:color w:val="000000" w:themeColor="text1"/>
                <w:sz w:val="24"/>
                <w:szCs w:val="24"/>
              </w:rPr>
              <w:alias w:val="Subtitle"/>
              <w:id w:val="1354072561"/>
              <w:text/>
            </w:sdtPr>
            <w:sdtContent>
              <w:p w14:paraId="6746C3D9" w14:textId="209DEEF4" w:rsidR="00C501DF" w:rsidRPr="00C501DF" w:rsidRDefault="00C501DF" w:rsidP="005E095D">
                <w:pPr>
                  <w:spacing w:line="480" w:lineRule="auto"/>
                  <w:ind w:right="1760"/>
                  <w:rPr>
                    <w:rFonts w:ascii="Arial" w:hAnsi="Arial" w:cs="Arial"/>
                    <w:sz w:val="24"/>
                    <w:szCs w:val="24"/>
                  </w:rPr>
                </w:pPr>
                <w:r w:rsidRPr="00C501DF">
                  <w:rPr>
                    <w:rFonts w:ascii="Arial" w:hAnsi="Arial" w:cs="Arial"/>
                    <w:color w:val="000000" w:themeColor="text1"/>
                    <w:sz w:val="24"/>
                    <w:szCs w:val="24"/>
                  </w:rPr>
                  <w:t>A2</w:t>
                </w:r>
              </w:p>
            </w:sdtContent>
          </w:sdt>
        </w:tc>
        <w:tc>
          <w:tcPr>
            <w:tcW w:w="2107" w:type="pct"/>
            <w:vAlign w:val="center"/>
          </w:tcPr>
          <w:p w14:paraId="20D459F0" w14:textId="77777777" w:rsidR="00C501DF" w:rsidRPr="00C501DF" w:rsidRDefault="00C501DF" w:rsidP="005E095D">
            <w:pPr>
              <w:spacing w:line="480" w:lineRule="auto"/>
              <w:rPr>
                <w:rFonts w:ascii="Arial" w:hAnsi="Arial" w:cs="Arial"/>
                <w:sz w:val="24"/>
                <w:szCs w:val="24"/>
              </w:rPr>
            </w:pPr>
            <w:r w:rsidRPr="00C501DF">
              <w:rPr>
                <w:rFonts w:ascii="Arial" w:hAnsi="Arial" w:cs="Arial"/>
                <w:sz w:val="24"/>
                <w:szCs w:val="24"/>
              </w:rPr>
              <w:t>Student name: Yang Yang</w:t>
            </w:r>
          </w:p>
          <w:p w14:paraId="0D8B1A91" w14:textId="77777777" w:rsidR="00C501DF" w:rsidRPr="00C501DF" w:rsidRDefault="00C501DF" w:rsidP="005E095D">
            <w:pPr>
              <w:spacing w:line="480" w:lineRule="auto"/>
              <w:rPr>
                <w:rFonts w:ascii="Arial" w:hAnsi="Arial" w:cs="Arial"/>
                <w:sz w:val="24"/>
                <w:szCs w:val="24"/>
              </w:rPr>
            </w:pPr>
            <w:r w:rsidRPr="00C501DF">
              <w:rPr>
                <w:rFonts w:ascii="Arial" w:hAnsi="Arial" w:cs="Arial"/>
                <w:sz w:val="24"/>
                <w:szCs w:val="24"/>
              </w:rPr>
              <w:t xml:space="preserve">Student ID </w:t>
            </w:r>
          </w:p>
          <w:p w14:paraId="2C86E001" w14:textId="77777777" w:rsidR="00C501DF" w:rsidRPr="00C501DF" w:rsidRDefault="00C501DF" w:rsidP="005E095D">
            <w:pPr>
              <w:spacing w:line="480" w:lineRule="auto"/>
              <w:rPr>
                <w:rFonts w:ascii="Arial" w:hAnsi="Arial" w:cs="Arial"/>
                <w:sz w:val="24"/>
                <w:szCs w:val="24"/>
              </w:rPr>
            </w:pPr>
            <w:r w:rsidRPr="00C501DF">
              <w:rPr>
                <w:rFonts w:ascii="Arial" w:hAnsi="Arial" w:cs="Arial"/>
                <w:sz w:val="24"/>
                <w:szCs w:val="24"/>
              </w:rPr>
              <w:t>number:2400286</w:t>
            </w:r>
          </w:p>
          <w:p w14:paraId="4D4C4A19" w14:textId="77777777" w:rsidR="00C501DF" w:rsidRPr="00C501DF" w:rsidRDefault="00C501DF" w:rsidP="005E095D">
            <w:pPr>
              <w:spacing w:line="480" w:lineRule="auto"/>
              <w:rPr>
                <w:rFonts w:ascii="Arial" w:hAnsi="Arial" w:cs="Arial"/>
                <w:sz w:val="24"/>
                <w:szCs w:val="24"/>
              </w:rPr>
            </w:pPr>
            <w:r w:rsidRPr="00C501DF">
              <w:rPr>
                <w:rFonts w:ascii="Arial" w:hAnsi="Arial" w:cs="Arial"/>
                <w:sz w:val="24"/>
                <w:szCs w:val="24"/>
              </w:rPr>
              <w:t>Lecturer</w:t>
            </w:r>
            <w:r w:rsidRPr="00C501DF">
              <w:rPr>
                <w:rFonts w:ascii="Arial" w:hAnsi="Arial" w:cs="Arial"/>
                <w:sz w:val="24"/>
                <w:szCs w:val="24"/>
              </w:rPr>
              <w:t>：</w:t>
            </w:r>
            <w:r w:rsidRPr="00C501DF">
              <w:rPr>
                <w:rFonts w:ascii="Arial" w:hAnsi="Arial" w:cs="Arial"/>
                <w:sz w:val="24"/>
                <w:szCs w:val="24"/>
              </w:rPr>
              <w:t>ARPU KUMAR</w:t>
            </w:r>
          </w:p>
          <w:p w14:paraId="02C382B8" w14:textId="77777777" w:rsidR="00C501DF" w:rsidRDefault="00C501DF" w:rsidP="005E095D">
            <w:pPr>
              <w:spacing w:line="480" w:lineRule="auto"/>
              <w:rPr>
                <w:rFonts w:ascii="Arial" w:hAnsi="Arial" w:cs="Arial"/>
                <w:bCs/>
                <w:sz w:val="24"/>
                <w:szCs w:val="24"/>
              </w:rPr>
            </w:pPr>
            <w:r w:rsidRPr="00C501DF">
              <w:rPr>
                <w:rFonts w:ascii="Arial" w:hAnsi="Arial" w:cs="Arial"/>
                <w:noProof/>
                <w:sz w:val="24"/>
                <w:szCs w:val="24"/>
              </w:rPr>
              <w:t>Module code</w:t>
            </w:r>
            <w:r w:rsidRPr="00C501DF">
              <w:rPr>
                <w:rFonts w:ascii="Arial" w:hAnsi="Arial" w:cs="Arial"/>
                <w:noProof/>
                <w:sz w:val="24"/>
                <w:szCs w:val="24"/>
              </w:rPr>
              <w:t>：</w:t>
            </w:r>
            <w:r w:rsidRPr="00C501DF">
              <w:rPr>
                <w:rFonts w:ascii="Arial" w:hAnsi="Arial" w:cs="Arial"/>
                <w:bCs/>
                <w:sz w:val="24"/>
                <w:szCs w:val="24"/>
              </w:rPr>
              <w:t>BMBM6008</w:t>
            </w:r>
          </w:p>
          <w:p w14:paraId="0B8B012F" w14:textId="7A960C94" w:rsidR="00C501DF" w:rsidRPr="00C501DF" w:rsidRDefault="00C501DF" w:rsidP="005E095D">
            <w:pPr>
              <w:spacing w:line="480" w:lineRule="auto"/>
              <w:rPr>
                <w:rFonts w:ascii="Arial" w:hAnsi="Arial" w:cs="Arial"/>
                <w:color w:val="000000" w:themeColor="text1"/>
                <w:sz w:val="24"/>
                <w:szCs w:val="24"/>
              </w:rPr>
            </w:pPr>
            <w:r>
              <w:rPr>
                <w:rFonts w:ascii="Arial" w:hAnsi="Arial" w:cs="Arial" w:hint="eastAsia"/>
                <w:bCs/>
                <w:noProof/>
                <w:sz w:val="24"/>
                <w:szCs w:val="24"/>
              </w:rPr>
              <w:t xml:space="preserve">Title: </w:t>
            </w:r>
            <w:r w:rsidRPr="00C501DF">
              <w:rPr>
                <w:rFonts w:ascii="Arial" w:hAnsi="Arial" w:cs="Arial"/>
                <w:color w:val="000000" w:themeColor="text1"/>
                <w:sz w:val="24"/>
                <w:szCs w:val="24"/>
              </w:rPr>
              <w:t>Cultural Differences in Business Ethics: A Case Study of Nike</w:t>
            </w:r>
          </w:p>
          <w:p w14:paraId="217A73F5" w14:textId="3A305C42" w:rsidR="00C501DF" w:rsidRPr="00C501DF" w:rsidRDefault="00C501DF" w:rsidP="005E095D">
            <w:pPr>
              <w:spacing w:line="480" w:lineRule="auto"/>
              <w:rPr>
                <w:rFonts w:ascii="Arial" w:hAnsi="Arial" w:cs="Arial"/>
                <w:sz w:val="24"/>
                <w:szCs w:val="24"/>
              </w:rPr>
            </w:pPr>
            <w:r w:rsidRPr="00C501DF">
              <w:rPr>
                <w:rFonts w:ascii="Arial" w:hAnsi="Arial" w:cs="Arial"/>
                <w:sz w:val="24"/>
                <w:szCs w:val="24"/>
              </w:rPr>
              <w:t>Word count</w:t>
            </w:r>
            <w:r w:rsidRPr="00C501DF">
              <w:rPr>
                <w:rFonts w:ascii="Arial" w:hAnsi="Arial" w:cs="Arial"/>
                <w:sz w:val="24"/>
                <w:szCs w:val="24"/>
              </w:rPr>
              <w:t>：</w:t>
            </w:r>
            <w:r w:rsidRPr="00C501DF">
              <w:rPr>
                <w:rFonts w:ascii="Arial" w:hAnsi="Arial" w:cs="Arial"/>
                <w:sz w:val="24"/>
                <w:szCs w:val="24"/>
              </w:rPr>
              <w:t>2</w:t>
            </w:r>
            <w:r>
              <w:rPr>
                <w:rFonts w:ascii="Arial" w:hAnsi="Arial" w:cs="Arial" w:hint="eastAsia"/>
                <w:sz w:val="24"/>
                <w:szCs w:val="24"/>
              </w:rPr>
              <w:t>48</w:t>
            </w:r>
            <w:r w:rsidR="005F6286">
              <w:rPr>
                <w:rFonts w:ascii="Arial" w:hAnsi="Arial" w:cs="Arial" w:hint="eastAsia"/>
                <w:sz w:val="24"/>
                <w:szCs w:val="24"/>
              </w:rPr>
              <w:t>7</w:t>
            </w:r>
            <w:r w:rsidRPr="00C501DF">
              <w:rPr>
                <w:rFonts w:ascii="Arial" w:hAnsi="Arial" w:cs="Arial"/>
                <w:sz w:val="24"/>
                <w:szCs w:val="24"/>
              </w:rPr>
              <w:t>words</w:t>
            </w:r>
          </w:p>
          <w:p w14:paraId="71BF50CD" w14:textId="77777777" w:rsidR="00C501DF" w:rsidRPr="00C501DF" w:rsidRDefault="00C501DF" w:rsidP="005E095D">
            <w:pPr>
              <w:spacing w:line="480" w:lineRule="auto"/>
              <w:rPr>
                <w:rFonts w:ascii="Arial" w:hAnsi="Arial" w:cs="Arial"/>
                <w:sz w:val="24"/>
                <w:szCs w:val="24"/>
              </w:rPr>
            </w:pPr>
          </w:p>
          <w:p w14:paraId="538BAE4D" w14:textId="77777777" w:rsidR="00C501DF" w:rsidRPr="00C501DF" w:rsidRDefault="00C501DF" w:rsidP="005E095D">
            <w:pPr>
              <w:spacing w:line="480" w:lineRule="auto"/>
              <w:rPr>
                <w:rFonts w:ascii="Arial" w:hAnsi="Arial" w:cs="Arial"/>
                <w:sz w:val="24"/>
                <w:szCs w:val="24"/>
              </w:rPr>
            </w:pPr>
          </w:p>
        </w:tc>
      </w:tr>
    </w:tbl>
    <w:p w14:paraId="2ED3D76D" w14:textId="2FB52D98" w:rsidR="0028417C" w:rsidRPr="00C501DF" w:rsidRDefault="0028417C" w:rsidP="005E095D">
      <w:pPr>
        <w:spacing w:line="480" w:lineRule="auto"/>
        <w:rPr>
          <w:rFonts w:ascii="Arial" w:hAnsi="Arial" w:cs="Arial"/>
          <w:color w:val="000000" w:themeColor="text1"/>
          <w:sz w:val="24"/>
          <w:szCs w:val="24"/>
        </w:rPr>
      </w:pPr>
    </w:p>
    <w:p w14:paraId="339B1D6A" w14:textId="77777777" w:rsidR="0028417C" w:rsidRPr="00C501DF" w:rsidRDefault="0028417C" w:rsidP="005E095D">
      <w:pPr>
        <w:widowControl/>
        <w:spacing w:line="480" w:lineRule="auto"/>
        <w:rPr>
          <w:rFonts w:ascii="Arial" w:hAnsi="Arial" w:cs="Arial"/>
          <w:color w:val="000000" w:themeColor="text1"/>
          <w:sz w:val="24"/>
          <w:szCs w:val="24"/>
        </w:rPr>
      </w:pPr>
      <w:r w:rsidRPr="00C501DF">
        <w:rPr>
          <w:rFonts w:ascii="Arial" w:hAnsi="Arial" w:cs="Arial"/>
          <w:color w:val="000000" w:themeColor="text1"/>
          <w:sz w:val="24"/>
          <w:szCs w:val="24"/>
        </w:rPr>
        <w:br w:type="page"/>
      </w:r>
    </w:p>
    <w:p w14:paraId="78E37CA1" w14:textId="28A32845" w:rsidR="0028417C" w:rsidRPr="00C501DF" w:rsidRDefault="0028417C"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lastRenderedPageBreak/>
        <w:t>Executive Summary</w:t>
      </w:r>
    </w:p>
    <w:p w14:paraId="2D9B576A" w14:textId="77777777" w:rsidR="00C501DF" w:rsidRPr="00C501DF" w:rsidRDefault="00C501DF"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This report explores the cultural differences and business ethics challenges that Nike faces in a globalized marketplace. In the context of globalization, multinational companies must not only cope with the pressures of market competition, but also maintain ethical behavior in different cultural, political and social environments. Using Nike as an example, the report analyzes how cultural differences between Western and Asian cultures affect ethical business decision-making, focusing on Nike's ethical practices in markets such as the United States, China, Japan, and Europe. Through in-depth analysis, the report explores ethical conflicts in cross-cultural management, proposes strategies that multinational companies should adopt in the face of cultural differences, and makes recommendations for Nike's ethical management in the future.</w:t>
      </w:r>
    </w:p>
    <w:p w14:paraId="59087104" w14:textId="65770F90" w:rsidR="0028417C" w:rsidRPr="00C501DF" w:rsidRDefault="0028417C" w:rsidP="005E095D">
      <w:pPr>
        <w:widowControl/>
        <w:spacing w:line="480" w:lineRule="auto"/>
        <w:rPr>
          <w:rFonts w:ascii="Arial" w:hAnsi="Arial" w:cs="Arial"/>
          <w:color w:val="000000" w:themeColor="text1"/>
          <w:sz w:val="24"/>
          <w:szCs w:val="24"/>
        </w:rPr>
      </w:pPr>
      <w:r w:rsidRPr="00C501DF">
        <w:rPr>
          <w:rFonts w:ascii="Arial" w:hAnsi="Arial" w:cs="Arial"/>
          <w:color w:val="000000" w:themeColor="text1"/>
          <w:sz w:val="24"/>
          <w:szCs w:val="24"/>
        </w:rPr>
        <w:br w:type="page"/>
      </w:r>
    </w:p>
    <w:sdt>
      <w:sdtPr>
        <w:rPr>
          <w:rFonts w:ascii="Arial" w:eastAsiaTheme="minorEastAsia" w:hAnsi="Arial" w:cs="Arial"/>
          <w:color w:val="auto"/>
          <w:kern w:val="2"/>
          <w:sz w:val="24"/>
          <w:szCs w:val="24"/>
          <w:lang w:val="zh-CN"/>
          <w14:ligatures w14:val="standardContextual"/>
        </w:rPr>
        <w:id w:val="1156104172"/>
        <w:docPartObj>
          <w:docPartGallery w:val="Table of Contents"/>
          <w:docPartUnique/>
        </w:docPartObj>
      </w:sdtPr>
      <w:sdtEndPr>
        <w:rPr>
          <w:b/>
          <w:bCs/>
        </w:rPr>
      </w:sdtEndPr>
      <w:sdtContent>
        <w:p w14:paraId="2C7B09CD" w14:textId="5F1A1D29" w:rsidR="000C07C6" w:rsidRPr="00C501DF" w:rsidRDefault="000C07C6" w:rsidP="005E095D">
          <w:pPr>
            <w:pStyle w:val="TOC"/>
            <w:spacing w:line="480" w:lineRule="auto"/>
            <w:jc w:val="both"/>
            <w:rPr>
              <w:rFonts w:ascii="Arial" w:hAnsi="Arial" w:cs="Arial"/>
              <w:sz w:val="24"/>
              <w:szCs w:val="24"/>
            </w:rPr>
          </w:pPr>
          <w:r w:rsidRPr="00C501DF">
            <w:rPr>
              <w:rFonts w:ascii="Arial" w:hAnsi="Arial" w:cs="Arial"/>
              <w:sz w:val="24"/>
              <w:szCs w:val="24"/>
              <w:lang w:val="zh-CN"/>
            </w:rPr>
            <w:t>content</w:t>
          </w:r>
          <w:r w:rsidR="009E5DAA">
            <w:rPr>
              <w:rFonts w:ascii="Arial" w:hAnsi="Arial" w:cs="Arial" w:hint="eastAsia"/>
              <w:sz w:val="24"/>
              <w:szCs w:val="24"/>
              <w:lang w:val="zh-CN"/>
            </w:rPr>
            <w:t>s</w:t>
          </w:r>
        </w:p>
        <w:p w14:paraId="4532A773" w14:textId="0B78CDC6" w:rsidR="000C07C6" w:rsidRPr="00C501DF" w:rsidRDefault="000C07C6" w:rsidP="005E095D">
          <w:pPr>
            <w:pStyle w:val="TOC1"/>
            <w:tabs>
              <w:tab w:val="right" w:leader="dot" w:pos="8296"/>
            </w:tabs>
            <w:spacing w:line="480" w:lineRule="auto"/>
            <w:rPr>
              <w:rFonts w:ascii="Arial" w:hAnsi="Arial" w:cs="Arial"/>
              <w:noProof/>
              <w:sz w:val="24"/>
              <w:szCs w:val="24"/>
            </w:rPr>
          </w:pPr>
          <w:r w:rsidRPr="00C501DF">
            <w:rPr>
              <w:rFonts w:ascii="Arial" w:hAnsi="Arial" w:cs="Arial"/>
              <w:sz w:val="24"/>
              <w:szCs w:val="24"/>
            </w:rPr>
            <w:fldChar w:fldCharType="begin"/>
          </w:r>
          <w:r w:rsidRPr="00C501DF">
            <w:rPr>
              <w:rFonts w:ascii="Arial" w:hAnsi="Arial" w:cs="Arial"/>
              <w:sz w:val="24"/>
              <w:szCs w:val="24"/>
            </w:rPr>
            <w:instrText xml:space="preserve"> TOC \o "1-3" \h \z \u </w:instrText>
          </w:r>
          <w:r w:rsidRPr="00C501DF">
            <w:rPr>
              <w:rFonts w:ascii="Arial" w:hAnsi="Arial" w:cs="Arial"/>
              <w:sz w:val="24"/>
              <w:szCs w:val="24"/>
            </w:rPr>
            <w:fldChar w:fldCharType="separate"/>
          </w:r>
          <w:hyperlink w:anchor="_Toc187331017" w:history="1">
            <w:r w:rsidRPr="00C501DF">
              <w:rPr>
                <w:rStyle w:val="a9"/>
                <w:rFonts w:ascii="Arial" w:hAnsi="Arial" w:cs="Arial"/>
                <w:noProof/>
                <w:sz w:val="24"/>
                <w:szCs w:val="24"/>
              </w:rPr>
              <w:t>1.0Introduction</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_Toc187331017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4</w:t>
            </w:r>
            <w:r w:rsidRPr="00C501DF">
              <w:rPr>
                <w:rFonts w:ascii="Arial" w:hAnsi="Arial" w:cs="Arial"/>
                <w:noProof/>
                <w:webHidden/>
                <w:sz w:val="24"/>
                <w:szCs w:val="24"/>
              </w:rPr>
              <w:fldChar w:fldCharType="end"/>
            </w:r>
          </w:hyperlink>
        </w:p>
        <w:p w14:paraId="434EC167" w14:textId="6AA6E168" w:rsidR="000C07C6" w:rsidRPr="00C501DF" w:rsidRDefault="000C07C6" w:rsidP="005E095D">
          <w:pPr>
            <w:pStyle w:val="TOC1"/>
            <w:tabs>
              <w:tab w:val="right" w:leader="dot" w:pos="8296"/>
            </w:tabs>
            <w:spacing w:line="480" w:lineRule="auto"/>
            <w:rPr>
              <w:rFonts w:ascii="Arial" w:hAnsi="Arial" w:cs="Arial"/>
              <w:noProof/>
              <w:sz w:val="24"/>
              <w:szCs w:val="24"/>
            </w:rPr>
          </w:pPr>
          <w:hyperlink w:anchor="_Toc187331018" w:history="1">
            <w:r w:rsidRPr="00C501DF">
              <w:rPr>
                <w:rStyle w:val="a9"/>
                <w:rFonts w:ascii="Arial" w:hAnsi="Arial" w:cs="Arial"/>
                <w:noProof/>
                <w:sz w:val="24"/>
                <w:szCs w:val="24"/>
              </w:rPr>
              <w:t>2.0 Main Body</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_Toc187331018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5</w:t>
            </w:r>
            <w:r w:rsidRPr="00C501DF">
              <w:rPr>
                <w:rFonts w:ascii="Arial" w:hAnsi="Arial" w:cs="Arial"/>
                <w:noProof/>
                <w:webHidden/>
                <w:sz w:val="24"/>
                <w:szCs w:val="24"/>
              </w:rPr>
              <w:fldChar w:fldCharType="end"/>
            </w:r>
          </w:hyperlink>
        </w:p>
        <w:p w14:paraId="3F5E6DAD" w14:textId="18A20A10" w:rsidR="000C07C6" w:rsidRPr="00C501DF" w:rsidRDefault="000C07C6" w:rsidP="005E095D">
          <w:pPr>
            <w:pStyle w:val="TOC2"/>
            <w:tabs>
              <w:tab w:val="right" w:leader="dot" w:pos="8296"/>
            </w:tabs>
            <w:spacing w:line="480" w:lineRule="auto"/>
            <w:rPr>
              <w:rFonts w:ascii="Arial" w:hAnsi="Arial" w:cs="Arial"/>
              <w:noProof/>
              <w:sz w:val="24"/>
              <w:szCs w:val="24"/>
            </w:rPr>
          </w:pPr>
          <w:hyperlink w:anchor="_Toc187331019" w:history="1">
            <w:r w:rsidRPr="00C501DF">
              <w:rPr>
                <w:rStyle w:val="a9"/>
                <w:rFonts w:ascii="Arial" w:hAnsi="Arial" w:cs="Arial"/>
                <w:noProof/>
                <w:sz w:val="24"/>
                <w:szCs w:val="24"/>
              </w:rPr>
              <w:t>2.1 The influence of Western and Asian cultures on business ethics</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_Toc187331019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5</w:t>
            </w:r>
            <w:r w:rsidRPr="00C501DF">
              <w:rPr>
                <w:rFonts w:ascii="Arial" w:hAnsi="Arial" w:cs="Arial"/>
                <w:noProof/>
                <w:webHidden/>
                <w:sz w:val="24"/>
                <w:szCs w:val="24"/>
              </w:rPr>
              <w:fldChar w:fldCharType="end"/>
            </w:r>
          </w:hyperlink>
        </w:p>
        <w:p w14:paraId="24A256D9" w14:textId="590ACDDE" w:rsidR="000C07C6" w:rsidRPr="00C501DF" w:rsidRDefault="000C07C6" w:rsidP="005E095D">
          <w:pPr>
            <w:pStyle w:val="TOC2"/>
            <w:tabs>
              <w:tab w:val="right" w:leader="dot" w:pos="8296"/>
            </w:tabs>
            <w:spacing w:line="480" w:lineRule="auto"/>
            <w:rPr>
              <w:rFonts w:ascii="Arial" w:hAnsi="Arial" w:cs="Arial"/>
              <w:noProof/>
              <w:sz w:val="24"/>
              <w:szCs w:val="24"/>
            </w:rPr>
          </w:pPr>
          <w:hyperlink w:anchor="_Toc187331020" w:history="1">
            <w:r w:rsidRPr="00C501DF">
              <w:rPr>
                <w:rStyle w:val="a9"/>
                <w:rFonts w:ascii="Arial" w:hAnsi="Arial" w:cs="Arial"/>
                <w:noProof/>
                <w:sz w:val="24"/>
                <w:szCs w:val="24"/>
              </w:rPr>
              <w:t>2.2 Ethical challenges in a globalized marketplace</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_Toc187331020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6</w:t>
            </w:r>
            <w:r w:rsidRPr="00C501DF">
              <w:rPr>
                <w:rFonts w:ascii="Arial" w:hAnsi="Arial" w:cs="Arial"/>
                <w:noProof/>
                <w:webHidden/>
                <w:sz w:val="24"/>
                <w:szCs w:val="24"/>
              </w:rPr>
              <w:fldChar w:fldCharType="end"/>
            </w:r>
          </w:hyperlink>
        </w:p>
        <w:p w14:paraId="02EA83E0" w14:textId="68D3B6BC" w:rsidR="000C07C6" w:rsidRPr="00C501DF" w:rsidRDefault="000C07C6" w:rsidP="005E095D">
          <w:pPr>
            <w:pStyle w:val="TOC2"/>
            <w:tabs>
              <w:tab w:val="right" w:leader="dot" w:pos="8296"/>
            </w:tabs>
            <w:spacing w:line="480" w:lineRule="auto"/>
            <w:rPr>
              <w:rFonts w:ascii="Arial" w:hAnsi="Arial" w:cs="Arial"/>
              <w:noProof/>
              <w:sz w:val="24"/>
              <w:szCs w:val="24"/>
            </w:rPr>
          </w:pPr>
          <w:hyperlink w:anchor="_Toc187331021" w:history="1">
            <w:r w:rsidRPr="00C501DF">
              <w:rPr>
                <w:rStyle w:val="a9"/>
                <w:rFonts w:ascii="Arial" w:hAnsi="Arial" w:cs="Arial"/>
                <w:noProof/>
                <w:sz w:val="24"/>
                <w:szCs w:val="24"/>
              </w:rPr>
              <w:t>2.3 The impact of cultural differences on Nike's corporate behavior</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_Toc187331021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6</w:t>
            </w:r>
            <w:r w:rsidRPr="00C501DF">
              <w:rPr>
                <w:rFonts w:ascii="Arial" w:hAnsi="Arial" w:cs="Arial"/>
                <w:noProof/>
                <w:webHidden/>
                <w:sz w:val="24"/>
                <w:szCs w:val="24"/>
              </w:rPr>
              <w:fldChar w:fldCharType="end"/>
            </w:r>
          </w:hyperlink>
        </w:p>
        <w:p w14:paraId="79D1CEF6" w14:textId="37711CE9" w:rsidR="000C07C6" w:rsidRPr="00C501DF" w:rsidRDefault="000C07C6" w:rsidP="005E095D">
          <w:pPr>
            <w:pStyle w:val="TOC1"/>
            <w:tabs>
              <w:tab w:val="right" w:leader="dot" w:pos="8296"/>
            </w:tabs>
            <w:spacing w:line="480" w:lineRule="auto"/>
            <w:rPr>
              <w:rFonts w:ascii="Arial" w:hAnsi="Arial" w:cs="Arial"/>
              <w:noProof/>
              <w:sz w:val="24"/>
              <w:szCs w:val="24"/>
            </w:rPr>
          </w:pPr>
          <w:hyperlink w:anchor="_Toc187331022" w:history="1">
            <w:r w:rsidRPr="00C501DF">
              <w:rPr>
                <w:rStyle w:val="a9"/>
                <w:rFonts w:ascii="Arial" w:hAnsi="Arial" w:cs="Arial"/>
                <w:noProof/>
                <w:sz w:val="24"/>
                <w:szCs w:val="24"/>
              </w:rPr>
              <w:t>3.0. Strategies for Handling Cultural Differences</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_Toc187331022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7</w:t>
            </w:r>
            <w:r w:rsidRPr="00C501DF">
              <w:rPr>
                <w:rFonts w:ascii="Arial" w:hAnsi="Arial" w:cs="Arial"/>
                <w:noProof/>
                <w:webHidden/>
                <w:sz w:val="24"/>
                <w:szCs w:val="24"/>
              </w:rPr>
              <w:fldChar w:fldCharType="end"/>
            </w:r>
          </w:hyperlink>
        </w:p>
        <w:p w14:paraId="00FDA21E" w14:textId="62E1FCE9" w:rsidR="000C07C6" w:rsidRPr="00C501DF" w:rsidRDefault="000C07C6" w:rsidP="005E095D">
          <w:pPr>
            <w:pStyle w:val="TOC2"/>
            <w:tabs>
              <w:tab w:val="right" w:leader="dot" w:pos="8296"/>
            </w:tabs>
            <w:spacing w:line="480" w:lineRule="auto"/>
            <w:rPr>
              <w:rFonts w:ascii="Arial" w:hAnsi="Arial" w:cs="Arial"/>
              <w:noProof/>
              <w:sz w:val="24"/>
              <w:szCs w:val="24"/>
            </w:rPr>
          </w:pPr>
          <w:hyperlink w:anchor="_Toc187331023" w:history="1">
            <w:r w:rsidRPr="00C501DF">
              <w:rPr>
                <w:rStyle w:val="a9"/>
                <w:rFonts w:ascii="Arial" w:hAnsi="Arial" w:cs="Arial"/>
                <w:noProof/>
                <w:sz w:val="24"/>
                <w:szCs w:val="24"/>
              </w:rPr>
              <w:t>3.1 The influence of religion, politics and culture on corporate behavior</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_Toc187331023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7</w:t>
            </w:r>
            <w:r w:rsidRPr="00C501DF">
              <w:rPr>
                <w:rFonts w:ascii="Arial" w:hAnsi="Arial" w:cs="Arial"/>
                <w:noProof/>
                <w:webHidden/>
                <w:sz w:val="24"/>
                <w:szCs w:val="24"/>
              </w:rPr>
              <w:fldChar w:fldCharType="end"/>
            </w:r>
          </w:hyperlink>
        </w:p>
        <w:p w14:paraId="1D410EED" w14:textId="6EC24C85" w:rsidR="000C07C6" w:rsidRPr="00C501DF" w:rsidRDefault="000C07C6" w:rsidP="005E095D">
          <w:pPr>
            <w:pStyle w:val="TOC2"/>
            <w:tabs>
              <w:tab w:val="right" w:leader="dot" w:pos="8296"/>
            </w:tabs>
            <w:spacing w:line="480" w:lineRule="auto"/>
            <w:rPr>
              <w:rFonts w:ascii="Arial" w:hAnsi="Arial" w:cs="Arial"/>
              <w:noProof/>
              <w:sz w:val="24"/>
              <w:szCs w:val="24"/>
            </w:rPr>
          </w:pPr>
          <w:hyperlink w:anchor="_Toc187331024" w:history="1">
            <w:r w:rsidRPr="00C501DF">
              <w:rPr>
                <w:rStyle w:val="a9"/>
                <w:rFonts w:ascii="Arial" w:hAnsi="Arial" w:cs="Arial"/>
                <w:noProof/>
                <w:sz w:val="24"/>
                <w:szCs w:val="24"/>
              </w:rPr>
              <w:t>3.2 Adjustment and adaptation of corporate culture</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_Toc187331024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8</w:t>
            </w:r>
            <w:r w:rsidRPr="00C501DF">
              <w:rPr>
                <w:rFonts w:ascii="Arial" w:hAnsi="Arial" w:cs="Arial"/>
                <w:noProof/>
                <w:webHidden/>
                <w:sz w:val="24"/>
                <w:szCs w:val="24"/>
              </w:rPr>
              <w:fldChar w:fldCharType="end"/>
            </w:r>
          </w:hyperlink>
        </w:p>
        <w:p w14:paraId="63E64C26" w14:textId="26B59E63" w:rsidR="000C07C6" w:rsidRPr="00C501DF" w:rsidRDefault="000C07C6" w:rsidP="005E095D">
          <w:pPr>
            <w:pStyle w:val="TOC2"/>
            <w:tabs>
              <w:tab w:val="right" w:leader="dot" w:pos="8296"/>
            </w:tabs>
            <w:spacing w:line="480" w:lineRule="auto"/>
            <w:rPr>
              <w:rFonts w:ascii="Arial" w:hAnsi="Arial" w:cs="Arial"/>
              <w:noProof/>
              <w:sz w:val="24"/>
              <w:szCs w:val="24"/>
            </w:rPr>
          </w:pPr>
          <w:hyperlink w:anchor="_Toc187331025" w:history="1">
            <w:r w:rsidRPr="00C501DF">
              <w:rPr>
                <w:rStyle w:val="a9"/>
                <w:rFonts w:ascii="Arial" w:hAnsi="Arial" w:cs="Arial"/>
                <w:noProof/>
                <w:sz w:val="24"/>
                <w:szCs w:val="24"/>
              </w:rPr>
              <w:t>3.3 Strategies for resolving ethical conflicts</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_Toc187331025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9</w:t>
            </w:r>
            <w:r w:rsidRPr="00C501DF">
              <w:rPr>
                <w:rFonts w:ascii="Arial" w:hAnsi="Arial" w:cs="Arial"/>
                <w:noProof/>
                <w:webHidden/>
                <w:sz w:val="24"/>
                <w:szCs w:val="24"/>
              </w:rPr>
              <w:fldChar w:fldCharType="end"/>
            </w:r>
          </w:hyperlink>
        </w:p>
        <w:p w14:paraId="15044009" w14:textId="4689F02D" w:rsidR="000C07C6" w:rsidRPr="00C501DF" w:rsidRDefault="000C07C6" w:rsidP="005E095D">
          <w:pPr>
            <w:pStyle w:val="TOC1"/>
            <w:tabs>
              <w:tab w:val="right" w:leader="dot" w:pos="8296"/>
            </w:tabs>
            <w:spacing w:line="480" w:lineRule="auto"/>
            <w:rPr>
              <w:rFonts w:ascii="Arial" w:hAnsi="Arial" w:cs="Arial"/>
              <w:noProof/>
              <w:sz w:val="24"/>
              <w:szCs w:val="24"/>
            </w:rPr>
          </w:pPr>
          <w:hyperlink w:anchor="_Toc187331026" w:history="1">
            <w:r w:rsidRPr="00C501DF">
              <w:rPr>
                <w:rStyle w:val="a9"/>
                <w:rFonts w:ascii="Arial" w:hAnsi="Arial" w:cs="Arial"/>
                <w:noProof/>
                <w:sz w:val="24"/>
                <w:szCs w:val="24"/>
              </w:rPr>
              <w:t>4.0 Conclusion</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_Toc187331026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10</w:t>
            </w:r>
            <w:r w:rsidRPr="00C501DF">
              <w:rPr>
                <w:rFonts w:ascii="Arial" w:hAnsi="Arial" w:cs="Arial"/>
                <w:noProof/>
                <w:webHidden/>
                <w:sz w:val="24"/>
                <w:szCs w:val="24"/>
              </w:rPr>
              <w:fldChar w:fldCharType="end"/>
            </w:r>
          </w:hyperlink>
        </w:p>
        <w:p w14:paraId="0733D96A" w14:textId="34CFCC89" w:rsidR="000C07C6" w:rsidRPr="00C501DF" w:rsidRDefault="000C07C6" w:rsidP="005E095D">
          <w:pPr>
            <w:spacing w:line="480" w:lineRule="auto"/>
            <w:rPr>
              <w:rFonts w:ascii="Arial" w:hAnsi="Arial" w:cs="Arial"/>
              <w:sz w:val="24"/>
              <w:szCs w:val="24"/>
            </w:rPr>
          </w:pPr>
          <w:r w:rsidRPr="00C501DF">
            <w:rPr>
              <w:rFonts w:ascii="Arial" w:hAnsi="Arial" w:cs="Arial"/>
              <w:b/>
              <w:bCs/>
              <w:sz w:val="24"/>
              <w:szCs w:val="24"/>
              <w:lang w:val="zh-CN"/>
            </w:rPr>
            <w:fldChar w:fldCharType="end"/>
          </w:r>
        </w:p>
      </w:sdtContent>
    </w:sdt>
    <w:p w14:paraId="4F1EB630" w14:textId="2AC4F3FD" w:rsidR="00090AE8" w:rsidRPr="00C501DF" w:rsidRDefault="000C07C6" w:rsidP="005E095D">
      <w:pPr>
        <w:widowControl/>
        <w:spacing w:line="480" w:lineRule="auto"/>
        <w:rPr>
          <w:rFonts w:ascii="Arial" w:hAnsi="Arial" w:cs="Arial"/>
          <w:color w:val="000000" w:themeColor="text1"/>
          <w:sz w:val="24"/>
          <w:szCs w:val="24"/>
        </w:rPr>
      </w:pPr>
      <w:r w:rsidRPr="00C501DF">
        <w:rPr>
          <w:rFonts w:ascii="Arial" w:hAnsi="Arial" w:cs="Arial"/>
          <w:color w:val="000000" w:themeColor="text1"/>
          <w:sz w:val="24"/>
          <w:szCs w:val="24"/>
        </w:rPr>
        <w:br w:type="page"/>
      </w:r>
    </w:p>
    <w:p w14:paraId="5F408D88" w14:textId="20553E68" w:rsidR="0028417C" w:rsidRPr="00C501DF" w:rsidRDefault="00090AE8" w:rsidP="005E095D">
      <w:pPr>
        <w:pStyle w:val="1"/>
        <w:spacing w:line="480" w:lineRule="auto"/>
        <w:rPr>
          <w:rFonts w:ascii="Arial" w:hAnsi="Arial" w:cs="Arial"/>
          <w:sz w:val="24"/>
          <w:szCs w:val="24"/>
        </w:rPr>
      </w:pPr>
      <w:bookmarkStart w:id="0" w:name="_Toc187331017"/>
      <w:r w:rsidRPr="00C501DF">
        <w:rPr>
          <w:rFonts w:ascii="Arial" w:hAnsi="Arial" w:cs="Arial"/>
          <w:sz w:val="24"/>
          <w:szCs w:val="24"/>
        </w:rPr>
        <w:lastRenderedPageBreak/>
        <w:t>1.0</w:t>
      </w:r>
      <w:r w:rsidR="0028417C" w:rsidRPr="00C501DF">
        <w:rPr>
          <w:rFonts w:ascii="Arial" w:hAnsi="Arial" w:cs="Arial"/>
          <w:sz w:val="24"/>
          <w:szCs w:val="24"/>
        </w:rPr>
        <w:t>Introduction</w:t>
      </w:r>
      <w:bookmarkEnd w:id="0"/>
    </w:p>
    <w:p w14:paraId="1CDBCF7C"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In the context of globalization, multinational companies face fierce market competition and complex challenges from different cultural and social environments. As an important part of corporate decision-making, business ethics is deeply influenced by cultural differences, and there are significant differences between countries in terms of labor conditions, environmental protection, and consumer rights protection. For example, Western countries emphasize market economy, free competition, and individualism, while Asian countries place more emphasis on collectivism, social responsibility, and cooperation with governments. In this context, Nike, as a world-renowned sports brand, needs to not only focus on marketing and monetization, but also adapt to and respect the ethical requirements of different cultures. This report aims to analyze how Nike responds to the challenges of business ethics caused by cultural differences in its global operations, reveals the different influences of Western and Asian cultures on business ethics through specific cases, and explores how companies can balance cultural differences and ethical principles in the global market, avoid cultural conflicts, and achieve sustainable development. The significance of this research is to provide guidance for ethical decision-making of multinational enterprises and help them achieve a balance between profitability and social responsibility in a multicultural market.</w:t>
      </w:r>
    </w:p>
    <w:p w14:paraId="16CA08EB" w14:textId="7301E541" w:rsidR="0028417C" w:rsidRPr="00C501DF" w:rsidRDefault="0028417C" w:rsidP="005E095D">
      <w:pPr>
        <w:widowControl/>
        <w:spacing w:line="480" w:lineRule="auto"/>
        <w:rPr>
          <w:rFonts w:ascii="Arial" w:hAnsi="Arial" w:cs="Arial"/>
          <w:color w:val="000000" w:themeColor="text1"/>
          <w:sz w:val="24"/>
          <w:szCs w:val="24"/>
        </w:rPr>
      </w:pPr>
    </w:p>
    <w:p w14:paraId="323B2FD8" w14:textId="67BEAA3D" w:rsidR="0028417C" w:rsidRPr="00C501DF" w:rsidRDefault="00B506AD" w:rsidP="005E095D">
      <w:pPr>
        <w:pStyle w:val="1"/>
        <w:spacing w:line="480" w:lineRule="auto"/>
        <w:rPr>
          <w:rFonts w:ascii="Arial" w:hAnsi="Arial" w:cs="Arial"/>
          <w:sz w:val="24"/>
          <w:szCs w:val="24"/>
        </w:rPr>
      </w:pPr>
      <w:bookmarkStart w:id="1" w:name="_Toc187331018"/>
      <w:r w:rsidRPr="00C501DF">
        <w:rPr>
          <w:rFonts w:ascii="Arial" w:hAnsi="Arial" w:cs="Arial"/>
          <w:sz w:val="24"/>
          <w:szCs w:val="24"/>
        </w:rPr>
        <w:lastRenderedPageBreak/>
        <w:t xml:space="preserve">2.0 </w:t>
      </w:r>
      <w:r w:rsidR="0028417C" w:rsidRPr="00C501DF">
        <w:rPr>
          <w:rFonts w:ascii="Arial" w:hAnsi="Arial" w:cs="Arial"/>
          <w:sz w:val="24"/>
          <w:szCs w:val="24"/>
        </w:rPr>
        <w:t>Main Body</w:t>
      </w:r>
      <w:bookmarkEnd w:id="1"/>
    </w:p>
    <w:p w14:paraId="23A72E17" w14:textId="615D809E" w:rsidR="0028417C" w:rsidRPr="00C501DF" w:rsidRDefault="0028417C" w:rsidP="005E095D">
      <w:pPr>
        <w:pStyle w:val="2"/>
        <w:spacing w:line="480" w:lineRule="auto"/>
        <w:rPr>
          <w:rFonts w:ascii="Arial" w:hAnsi="Arial" w:cs="Arial"/>
          <w:sz w:val="24"/>
          <w:szCs w:val="24"/>
        </w:rPr>
      </w:pPr>
      <w:bookmarkStart w:id="2" w:name="_Toc187331019"/>
      <w:r w:rsidRPr="00C501DF">
        <w:rPr>
          <w:rFonts w:ascii="Arial" w:hAnsi="Arial" w:cs="Arial"/>
          <w:sz w:val="24"/>
          <w:szCs w:val="24"/>
        </w:rPr>
        <w:t xml:space="preserve">2.1 </w:t>
      </w:r>
      <w:r w:rsidR="00AD7F25" w:rsidRPr="00C501DF">
        <w:rPr>
          <w:rFonts w:ascii="Arial" w:hAnsi="Arial" w:cs="Arial"/>
          <w:sz w:val="24"/>
          <w:szCs w:val="24"/>
        </w:rPr>
        <w:t>The influence of Western and Asian cultures on business ethics</w:t>
      </w:r>
      <w:bookmarkEnd w:id="2"/>
    </w:p>
    <w:p w14:paraId="48D84A7B"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The core issue of business ethics is the definition of "proper behavior", and Alzola et al. (2020) mentions that business ethics is the question of business ethics. And this definition varies due to cultural differences. Western culture, especially in Europe and the United States, is deeply influenced by free market economics, individualism and capitalism. For example, the American capitalist system and its associated consumerist culture proposed by Steger and Roy (2021) play a crucial role in global business ethics. Capitalism's emphasis on market freedom, profit maximization, and individualism has profoundly influenced the behavior of American businesses. The primary responsibility of a business is to create wealth for shareholders, so maximizing profits is often seen as the ultimate goal of corporate actions. Yuan et al. (2020) argue that companies tend to ignore corporate ethics while pursuing profits. In this culture, business practices tend to focus on efficiency and less on social responsibility or ethical considerations.</w:t>
      </w:r>
    </w:p>
    <w:p w14:paraId="0B692EB1"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 xml:space="preserve">Mrabure and Abhulimhen-Iyoha (2020) refer to Freeman's stakeholder theory, which states that companies should not only focus on the interests of shareholders, but also the interests of all stakeholders, including employees, suppliers, customers, and communities. In the West, despite the capitalist economy's emphasis on profits, this theory requires companies to consider the </w:t>
      </w:r>
      <w:r w:rsidRPr="00C501DF">
        <w:rPr>
          <w:rFonts w:ascii="Arial" w:hAnsi="Arial" w:cs="Arial"/>
          <w:color w:val="000000" w:themeColor="text1"/>
          <w:sz w:val="24"/>
          <w:szCs w:val="24"/>
        </w:rPr>
        <w:lastRenderedPageBreak/>
        <w:t>interests of all parties in the pursuit of profits. In contrast, Sumari et al. (2020) argues that Asian culture places more emphasis on collectivism, family values, and harmonious relations with society. For example, in countries such as China and Japan, business ethics is not only about market behavior, but also about the relationship between enterprises and society, governments and consumers. In these cultures, companies are expected to pursue profits while also being socially responsible, focusing on employee welfare, environmental protection and social harmony. Alon et al (2020) argues that multinationals should take localization into account and make decisions based on local language or habits. As a result, when Nike enters the Asian market, it often needs to adapt its business practices to the needs of its stakeholders, respecting local ethics and cultural practices to ensure compliance with local ethical standards. Carroll's CSR pyramid can provide guidance for Nike businesses in this context. Jeet and Nazneen (2020) proposed that in Carroll's pyramid theory, corporate social responsibility can start from basic economic responsibility, to legal responsibility, ethical responsibility, and then to social philanthropic responsibility. For a multinational company like Nike, in the Asian market, there is not only a need to fulfill economic and legal responsibilities, but also to invest more in social responsibility and environmental protection in line with local cultural expectations of corporate social role.</w:t>
      </w:r>
    </w:p>
    <w:p w14:paraId="65A45D2D" w14:textId="77777777" w:rsidR="00AD7F25" w:rsidRPr="00C501DF" w:rsidRDefault="0028417C" w:rsidP="005E095D">
      <w:pPr>
        <w:pStyle w:val="2"/>
        <w:spacing w:line="480" w:lineRule="auto"/>
        <w:rPr>
          <w:rFonts w:ascii="Arial" w:hAnsi="Arial" w:cs="Arial"/>
          <w:sz w:val="24"/>
          <w:szCs w:val="24"/>
        </w:rPr>
      </w:pPr>
      <w:bookmarkStart w:id="3" w:name="_Toc187331020"/>
      <w:r w:rsidRPr="00C501DF">
        <w:rPr>
          <w:rFonts w:ascii="Arial" w:hAnsi="Arial" w:cs="Arial"/>
          <w:sz w:val="24"/>
          <w:szCs w:val="24"/>
        </w:rPr>
        <w:lastRenderedPageBreak/>
        <w:t xml:space="preserve">2.2 </w:t>
      </w:r>
      <w:r w:rsidR="00AD7F25" w:rsidRPr="00C501DF">
        <w:rPr>
          <w:rFonts w:ascii="Arial" w:hAnsi="Arial" w:cs="Arial"/>
          <w:sz w:val="24"/>
          <w:szCs w:val="24"/>
        </w:rPr>
        <w:t>Ethical challenges in a globalized marketplace</w:t>
      </w:r>
      <w:bookmarkEnd w:id="3"/>
    </w:p>
    <w:p w14:paraId="199F3DA0"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Globalization has brought unprecedented business opportunities, but it has also increased the risk of ethical conflicts. Böhm et al. (2022) mentions that in a globalized market, multinational companies must not only deal with pressures from different cultures, societies and legal systems, but also maintain consistent standards of business ethics across the globe. However, this is often very difficult in practice, as the definitions and standards of ethics vary from country to country. For example, the issues mentioned by Weiss (2021) on labor rights, environmental protection, and product safety can have very different ethical standards in different cultural and social contexts.</w:t>
      </w:r>
    </w:p>
    <w:p w14:paraId="400CE2ED"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 xml:space="preserve">However, Nike faced a number of ethical challenges as it expanded into the global market. For example, Shaw (2023) argues that Nike was criticized in the 90s for its labor conditions and low wages in Asian factories, which caused Nike to encounter unprecedented ethical problems. Especially in developing countries such as Vietnam and China, Nike's supplier factories have been exposed by the global media for labor rights violations. The incident exposed Nike's negligence in ethical standards in global supply chain management, and prompted the company to adopt stricter regulatory measures in its subsequent development. The CSR pyramid mentioned by Štreimikienė and Ahmed (2021) is an effective business strategy to help enterprises improve their competitiveness and increase their profits. There is a legal liability, and Nike companies need to comply with the laws and regulations of each country; At </w:t>
      </w:r>
      <w:r w:rsidRPr="00C501DF">
        <w:rPr>
          <w:rFonts w:ascii="Arial" w:hAnsi="Arial" w:cs="Arial"/>
          <w:color w:val="000000" w:themeColor="text1"/>
          <w:sz w:val="24"/>
          <w:szCs w:val="24"/>
        </w:rPr>
        <w:lastRenderedPageBreak/>
        <w:t>the level of ethical responsibility, companies need to identify and take measures to respond to the moral expectations of society and culture, and finally, in globalization, enterprises also need to assume a certain degree of social responsibility, focusing on public welfare, environmental protection and other areas that go beyond economic and legal obligations.</w:t>
      </w:r>
    </w:p>
    <w:p w14:paraId="51BF1CF6" w14:textId="35B2B20A" w:rsidR="0028417C" w:rsidRPr="00C501DF" w:rsidRDefault="0028417C" w:rsidP="005E095D">
      <w:pPr>
        <w:pStyle w:val="2"/>
        <w:spacing w:line="480" w:lineRule="auto"/>
        <w:rPr>
          <w:rFonts w:ascii="Arial" w:hAnsi="Arial" w:cs="Arial"/>
          <w:sz w:val="24"/>
          <w:szCs w:val="24"/>
        </w:rPr>
      </w:pPr>
      <w:bookmarkStart w:id="4" w:name="_Toc187331021"/>
      <w:r w:rsidRPr="00C501DF">
        <w:rPr>
          <w:rFonts w:ascii="Arial" w:hAnsi="Arial" w:cs="Arial"/>
          <w:sz w:val="24"/>
          <w:szCs w:val="24"/>
        </w:rPr>
        <w:t xml:space="preserve">2.3 </w:t>
      </w:r>
      <w:r w:rsidR="00AD7F25" w:rsidRPr="00C501DF">
        <w:rPr>
          <w:rFonts w:ascii="Arial" w:hAnsi="Arial" w:cs="Arial"/>
          <w:sz w:val="24"/>
          <w:szCs w:val="24"/>
        </w:rPr>
        <w:t>The impact of cultural differences on Nike's corporate behavior</w:t>
      </w:r>
      <w:bookmarkEnd w:id="4"/>
    </w:p>
    <w:p w14:paraId="1F22B0D5"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Nike's business ethics practices in different countries reflect the profound influence of cultural differences on its decision-making.</w:t>
      </w:r>
    </w:p>
    <w:p w14:paraId="10E6A8A2"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 xml:space="preserve">In China, Liu and Zhang (2021) argue that in recent years, China has continuously strengthened its laws and regulations in terms of labor law and labor rights protection, especially in order to protect people's physical and mental health and safety, so Nike not only has to face strict labor laws, but also take into account the strong influence of the Chinese government on enterprises. In order to adapt to China's political and cultural environment, Nike has had to make adjustments in terms of labor treatment and environmental protection. In particular, Liu et al. (2021) argues that as Chinese society pays more attention to environmental issues, the government has implemented increasingly stringent environmental protection policies to deal with the increasingly severe environmental pollution and resource shortages. Therefore, Nike's production process in China must comply with national environmental regulations and work with local governments to ensure compliance with local </w:t>
      </w:r>
      <w:r w:rsidRPr="00C501DF">
        <w:rPr>
          <w:rFonts w:ascii="Arial" w:hAnsi="Arial" w:cs="Arial"/>
          <w:color w:val="000000" w:themeColor="text1"/>
          <w:sz w:val="24"/>
          <w:szCs w:val="24"/>
        </w:rPr>
        <w:lastRenderedPageBreak/>
        <w:t>ethical requirements.</w:t>
      </w:r>
    </w:p>
    <w:p w14:paraId="59678CCC" w14:textId="77777777" w:rsidR="005E095D" w:rsidRPr="00C501DF" w:rsidRDefault="005E095D"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In Japan, Nike faces different ethical requirements. Santoro</w:t>
      </w:r>
      <w:r>
        <w:rPr>
          <w:rFonts w:ascii="Arial" w:hAnsi="Arial" w:cs="Arial" w:hint="eastAsia"/>
          <w:color w:val="000000" w:themeColor="text1"/>
          <w:sz w:val="24"/>
          <w:szCs w:val="24"/>
        </w:rPr>
        <w:t xml:space="preserve"> et al.</w:t>
      </w:r>
      <w:r w:rsidRPr="00C501DF">
        <w:rPr>
          <w:rFonts w:ascii="Arial" w:hAnsi="Arial" w:cs="Arial"/>
          <w:color w:val="000000" w:themeColor="text1"/>
          <w:sz w:val="24"/>
          <w:szCs w:val="24"/>
        </w:rPr>
        <w:t>(2020) argues that Japanese consumers have high expectations for corporate social responsibility, and brand image and quality standards are particularly important. In Japan, values such as harmony, respect, and social responsibility are deeply rooted in the culture. As a result, Japanese consumers view the ethical behavior of businesses as an important part of their purchasing decisions. Nike's success in Japan relies not only on quality products, but also on strengthening brand loyalty and building consumer relationships. Japanese consumers are particularly concerned about companies' performance in environmental protection and social responsibility, which makes corporate social responsibility (CSR) efforts crucial. In order to meet these ethical requirements, Nike has adopted a more socially responsible and environmentally conscious strategy in the Japanese market. This includes implementing sustainable production processes, reducing carbon emissions, and ensuring the ethical sourcing of raw materials. In addition, Ali Mohamed Nada (2023)</w:t>
      </w:r>
      <w:r>
        <w:rPr>
          <w:rFonts w:ascii="Arial" w:hAnsi="Arial" w:cs="Arial" w:hint="eastAsia"/>
          <w:color w:val="000000" w:themeColor="text1"/>
          <w:sz w:val="24"/>
          <w:szCs w:val="24"/>
        </w:rPr>
        <w:t xml:space="preserve"> mentioned that Nike is also committed to enhancing transparency so that Japanese consumers can see the company's efforts in maintaining high standards of environmental and labor conditions. In addition to environmental sustainability, Nike also focuses on engaging with the local community through a variety of social activities, such as supporting youth sports programs and promoting an active and healthy lifestyle. By living these ethical standards, Nike not only meets the expectations of local </w:t>
      </w:r>
      <w:r>
        <w:rPr>
          <w:rFonts w:ascii="Arial" w:hAnsi="Arial" w:cs="Arial" w:hint="eastAsia"/>
          <w:color w:val="000000" w:themeColor="text1"/>
          <w:sz w:val="24"/>
          <w:szCs w:val="24"/>
        </w:rPr>
        <w:lastRenderedPageBreak/>
        <w:t xml:space="preserve">consumers, but also builds a stronger and more trusted relationship with the Japanese market, ensuring its continued success in the region. </w:t>
      </w:r>
    </w:p>
    <w:p w14:paraId="574915DD"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In the European market, Nike is also facing pressure from environmental regulations and social responsibility. Sikora, A. (2021) proposes that environmental protection occupies an important place in EU law, involving many aspects of legal principles and practices, and its core goal is to ensure environmental quality and sustainable development of member states within the EU. This reflects the high level of concern for environmental protection and labor rights in European countries, so Nike must adopt more environmentally friendly production methods and strictly control labor treatment in its supply chain. In addition, Nike needed to strengthen consumer trust in the brand through transparent corporate operations.</w:t>
      </w:r>
    </w:p>
    <w:p w14:paraId="2BA871F9" w14:textId="7956E5AD" w:rsidR="00B506AD" w:rsidRPr="00C501DF" w:rsidRDefault="006C0611" w:rsidP="005E095D">
      <w:pPr>
        <w:pStyle w:val="1"/>
        <w:spacing w:line="480" w:lineRule="auto"/>
        <w:rPr>
          <w:rFonts w:ascii="Arial" w:hAnsi="Arial" w:cs="Arial"/>
          <w:sz w:val="24"/>
          <w:szCs w:val="24"/>
        </w:rPr>
      </w:pPr>
      <w:bookmarkStart w:id="5" w:name="_Toc187331022"/>
      <w:r w:rsidRPr="00C501DF">
        <w:rPr>
          <w:rFonts w:ascii="Arial" w:hAnsi="Arial" w:cs="Arial"/>
          <w:sz w:val="24"/>
          <w:szCs w:val="24"/>
        </w:rPr>
        <w:t>3.0</w:t>
      </w:r>
      <w:r w:rsidR="00B506AD" w:rsidRPr="00C501DF">
        <w:rPr>
          <w:rFonts w:ascii="Arial" w:hAnsi="Arial" w:cs="Arial"/>
          <w:sz w:val="24"/>
          <w:szCs w:val="24"/>
        </w:rPr>
        <w:t>. Strategies for Handling Cultural Differences</w:t>
      </w:r>
      <w:bookmarkEnd w:id="5"/>
    </w:p>
    <w:p w14:paraId="667D649A" w14:textId="77777777" w:rsidR="00AD7F25" w:rsidRPr="00C501DF" w:rsidRDefault="006C0611" w:rsidP="005E095D">
      <w:pPr>
        <w:pStyle w:val="2"/>
        <w:spacing w:line="480" w:lineRule="auto"/>
        <w:rPr>
          <w:rFonts w:ascii="Arial" w:hAnsi="Arial" w:cs="Arial"/>
          <w:sz w:val="24"/>
          <w:szCs w:val="24"/>
        </w:rPr>
      </w:pPr>
      <w:bookmarkStart w:id="6" w:name="_Toc187331023"/>
      <w:r w:rsidRPr="00C501DF">
        <w:rPr>
          <w:rFonts w:ascii="Arial" w:hAnsi="Arial" w:cs="Arial"/>
          <w:sz w:val="24"/>
          <w:szCs w:val="24"/>
        </w:rPr>
        <w:t>3.1</w:t>
      </w:r>
      <w:r w:rsidR="00B506AD" w:rsidRPr="00C501DF">
        <w:rPr>
          <w:rFonts w:ascii="Arial" w:hAnsi="Arial" w:cs="Arial"/>
          <w:sz w:val="24"/>
          <w:szCs w:val="24"/>
        </w:rPr>
        <w:t xml:space="preserve"> </w:t>
      </w:r>
      <w:r w:rsidR="00AD7F25" w:rsidRPr="00C501DF">
        <w:rPr>
          <w:rFonts w:ascii="Arial" w:hAnsi="Arial" w:cs="Arial"/>
          <w:sz w:val="24"/>
          <w:szCs w:val="24"/>
        </w:rPr>
        <w:t>The influence of religion, politics and culture on corporate behavior</w:t>
      </w:r>
      <w:bookmarkEnd w:id="6"/>
    </w:p>
    <w:p w14:paraId="06C24466"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 xml:space="preserve">Religion, politics and culture have a profound impact on corporate behavior in a globalized marketplace. Fathallah et al. (2020) proposed that different religious beliefs, political systems, and cultural traditions shape the ethical standards of a country or region, which in turn influence the business decisions of enterprises. For example, Koleva (2021) argues that in the Middle East, many countries have a profound impact on business ethics and legal systems, and Nike companies need to abide by local religious taboos, such as prohibiting </w:t>
      </w:r>
      <w:r w:rsidRPr="00C501DF">
        <w:rPr>
          <w:rFonts w:ascii="Arial" w:hAnsi="Arial" w:cs="Arial"/>
          <w:color w:val="000000" w:themeColor="text1"/>
          <w:sz w:val="24"/>
          <w:szCs w:val="24"/>
        </w:rPr>
        <w:lastRenderedPageBreak/>
        <w:t>alcohol and avoiding the spread of advertising content that is not in line with Islamic teachings. In China, the country's political system and government-led economic model mean that companies' business practices must be consistent with the government's policies.</w:t>
      </w:r>
    </w:p>
    <w:p w14:paraId="64965CE2"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Röell et al. (2022) argues that foreign companies need to pay special attention to adapting to and respecting local cultures and values while managing these potential risks when expanding globally in order to achieve their long-term business goals. Therefore, in Nike's global strategy, the company must understand and adapt to the religious and political contexts of different markets in order to effectively avoid conflict and ensure the long-term development of the company in the local area. For example, Nike avoids content that is inconsistent with Hindu teachings in its advertising campaigns in the Indian market, respecting local culture and religious beliefs.</w:t>
      </w:r>
    </w:p>
    <w:p w14:paraId="5FDB50FF" w14:textId="77777777" w:rsidR="00AD7F25" w:rsidRPr="00C501DF" w:rsidRDefault="006C0611" w:rsidP="005E095D">
      <w:pPr>
        <w:pStyle w:val="2"/>
        <w:spacing w:line="480" w:lineRule="auto"/>
        <w:rPr>
          <w:rFonts w:ascii="Arial" w:hAnsi="Arial" w:cs="Arial"/>
          <w:sz w:val="24"/>
          <w:szCs w:val="24"/>
        </w:rPr>
      </w:pPr>
      <w:bookmarkStart w:id="7" w:name="_Toc187331024"/>
      <w:r w:rsidRPr="00C501DF">
        <w:rPr>
          <w:rFonts w:ascii="Arial" w:hAnsi="Arial" w:cs="Arial"/>
          <w:sz w:val="24"/>
          <w:szCs w:val="24"/>
        </w:rPr>
        <w:t>3</w:t>
      </w:r>
      <w:r w:rsidR="00B506AD" w:rsidRPr="00C501DF">
        <w:rPr>
          <w:rFonts w:ascii="Arial" w:hAnsi="Arial" w:cs="Arial"/>
          <w:sz w:val="24"/>
          <w:szCs w:val="24"/>
        </w:rPr>
        <w:t xml:space="preserve">.2 </w:t>
      </w:r>
      <w:r w:rsidR="00AD7F25" w:rsidRPr="00C501DF">
        <w:rPr>
          <w:rFonts w:ascii="Arial" w:hAnsi="Arial" w:cs="Arial"/>
          <w:sz w:val="24"/>
          <w:szCs w:val="24"/>
        </w:rPr>
        <w:t>Adjustment and adaptation of corporate culture</w:t>
      </w:r>
      <w:bookmarkEnd w:id="7"/>
    </w:p>
    <w:p w14:paraId="06022941"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 xml:space="preserve">When faced with the challenges of different cultures, multinational companies not only need to understand and respect the local culture, but also need to adjust their corporate culture accordingly. Asghar (2023) proposes that Nike was chosen as the representative of the world's leading companies because of its efforts to integrate multiculturalism and adapt its business strategy in the context of globalization to respond to the needs and challenges of different markets. As a global company, Nike not only pursues economic benefits on a </w:t>
      </w:r>
      <w:r w:rsidRPr="00C501DF">
        <w:rPr>
          <w:rFonts w:ascii="Arial" w:hAnsi="Arial" w:cs="Arial"/>
          <w:color w:val="000000" w:themeColor="text1"/>
          <w:sz w:val="24"/>
          <w:szCs w:val="24"/>
        </w:rPr>
        <w:lastRenderedPageBreak/>
        <w:t>global scale, but also actively integrates social responsibility and ethical principles into its business practices, demonstrating its commitment to sustainable development. Nike has a global culture centered on innovation, sustainability and social responsibility, but in different markets, it has adapted to local cultural values. For example, Nike's corporate culture in the European market emphasizes environmental protection and social responsibility, while in the Asian market, especially in China, it focuses more on brand identity and local collaboration.</w:t>
      </w:r>
    </w:p>
    <w:p w14:paraId="128D5822"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In addition, Hampden-Turner (2020) proposes that multinational companies should also adjust their employee management methods according to the social habits and working environments of different regions. For example, Erickson and Norlander (2022) mentioned that in the United States, Nike adopts a relatively flexible work system that emphasizes employee autonomy; In China, Nike is more focused on teamwork and collectivism, and the harmony of employee relations is particularly important.</w:t>
      </w:r>
    </w:p>
    <w:p w14:paraId="129C06DD" w14:textId="0136CFD0" w:rsidR="00B506AD" w:rsidRPr="00C501DF" w:rsidRDefault="006C0611" w:rsidP="005E095D">
      <w:pPr>
        <w:pStyle w:val="2"/>
        <w:spacing w:line="480" w:lineRule="auto"/>
        <w:rPr>
          <w:rFonts w:ascii="Arial" w:hAnsi="Arial" w:cs="Arial"/>
          <w:sz w:val="24"/>
          <w:szCs w:val="24"/>
        </w:rPr>
      </w:pPr>
      <w:bookmarkStart w:id="8" w:name="_Toc187331025"/>
      <w:r w:rsidRPr="00C501DF">
        <w:rPr>
          <w:rFonts w:ascii="Arial" w:hAnsi="Arial" w:cs="Arial"/>
          <w:sz w:val="24"/>
          <w:szCs w:val="24"/>
        </w:rPr>
        <w:t>3</w:t>
      </w:r>
      <w:r w:rsidR="00B506AD" w:rsidRPr="00C501DF">
        <w:rPr>
          <w:rFonts w:ascii="Arial" w:hAnsi="Arial" w:cs="Arial"/>
          <w:sz w:val="24"/>
          <w:szCs w:val="24"/>
        </w:rPr>
        <w:t xml:space="preserve">.3 </w:t>
      </w:r>
      <w:r w:rsidR="00AD7F25" w:rsidRPr="00C501DF">
        <w:rPr>
          <w:rFonts w:ascii="Arial" w:hAnsi="Arial" w:cs="Arial"/>
          <w:sz w:val="24"/>
          <w:szCs w:val="24"/>
        </w:rPr>
        <w:t>Strategies for resolving ethical conflicts</w:t>
      </w:r>
      <w:bookmarkEnd w:id="8"/>
    </w:p>
    <w:p w14:paraId="18A13114"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 xml:space="preserve">In the face of ethical conflicts brought about by cultural differences, companies need to adopt effective strategies to resolve them. Zhu and Jesiek (2020) proposed that multinational companies should promote the cross-cultural awareness of employees through education and training, so that they understand and respect the ethical norms in different cultures. Nike can </w:t>
      </w:r>
      <w:r w:rsidRPr="00C501DF">
        <w:rPr>
          <w:rFonts w:ascii="Arial" w:hAnsi="Arial" w:cs="Arial"/>
          <w:color w:val="000000" w:themeColor="text1"/>
          <w:sz w:val="24"/>
          <w:szCs w:val="24"/>
        </w:rPr>
        <w:lastRenderedPageBreak/>
        <w:t>organize regular cross-cultural training to help employees understand the ethics and social expectations of different regions.</w:t>
      </w:r>
    </w:p>
    <w:p w14:paraId="2016A36A"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Second, multinational companies can establish a global ethics committee to ensure that the company adheres to uniform ethical standards around the world, while flexibly adapting strategies to regional cultural differences. For example, Nike can implement a uniform environmental protection policy on a global scale, but in the process of implementation, specific measures are adjusted to take into account the actual situation in different countries.</w:t>
      </w:r>
    </w:p>
    <w:p w14:paraId="0396B3AE" w14:textId="1E566B1B" w:rsidR="00B506AD"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In addition, Eang and Ordonez-Ponce (2023) proposed that multinational enterprises should strengthen cooperation with local governments, NGOs and other stakeholders in their global operations, not only to enhance their social responsibility and sustainable development, but also to lay a solid foundation for the long-term development of enterprises in the local market. Typically, this collaboration is led by private stakeholders, in close collaboration with local governments and various social organizations. For example, Nolan (2022) mentions that Nike has a large scale of operations in countries such as China and Vietnam, employing more than 350,000 people. As a world-renowned multinational company, Nike not only pays attention to production efficiency and market expansion, but also attaches great importance to employee welfare and labor rights protection, ensuring that its business activities not only focus on economic benefits, but also reflect the value of social responsibility and sustainable development.</w:t>
      </w:r>
    </w:p>
    <w:p w14:paraId="5628D7EE" w14:textId="02225F0A" w:rsidR="00B506AD" w:rsidRPr="00C501DF" w:rsidRDefault="00702989" w:rsidP="005E095D">
      <w:pPr>
        <w:pStyle w:val="1"/>
        <w:spacing w:line="480" w:lineRule="auto"/>
        <w:rPr>
          <w:rFonts w:ascii="Arial" w:hAnsi="Arial" w:cs="Arial"/>
          <w:sz w:val="24"/>
          <w:szCs w:val="24"/>
        </w:rPr>
      </w:pPr>
      <w:bookmarkStart w:id="9" w:name="_Toc187331026"/>
      <w:r w:rsidRPr="00C501DF">
        <w:rPr>
          <w:rFonts w:ascii="Arial" w:hAnsi="Arial" w:cs="Arial"/>
          <w:sz w:val="24"/>
          <w:szCs w:val="24"/>
        </w:rPr>
        <w:lastRenderedPageBreak/>
        <w:t>4.0</w:t>
      </w:r>
      <w:r w:rsidR="004721D1" w:rsidRPr="00C501DF">
        <w:rPr>
          <w:rFonts w:ascii="Arial" w:hAnsi="Arial" w:cs="Arial"/>
          <w:sz w:val="24"/>
          <w:szCs w:val="24"/>
        </w:rPr>
        <w:t xml:space="preserve"> </w:t>
      </w:r>
      <w:r w:rsidR="00B506AD" w:rsidRPr="00C501DF">
        <w:rPr>
          <w:rFonts w:ascii="Arial" w:hAnsi="Arial" w:cs="Arial"/>
          <w:sz w:val="24"/>
          <w:szCs w:val="24"/>
        </w:rPr>
        <w:t>Conclusion</w:t>
      </w:r>
      <w:bookmarkEnd w:id="9"/>
    </w:p>
    <w:p w14:paraId="1CE43A43" w14:textId="77777777" w:rsidR="00AD7F25" w:rsidRPr="00C501DF" w:rsidRDefault="00AD7F25"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Through an analysis of Nike's operations in the global market, this report reveals the profound impact of cultural differences on ethical business decisions. Western culture emphasizes market orientation and individualism, while Asian culture focuses more on collectivism and social responsibility, and these cultural differences have had a profound impact on the business practices of multinational corporations, especially Nike. Nike's ethical practices in regions such as China, Japan, and Europe reflect the role of cultural context in shaping corporate decision-making. Nike has achieved success in different markets by adapting to the cultural and ethical requirements of each region. In China, Nike focuses on cooperation with the government and localization strategies; In Japan, Nike has built consumer trust through brand localization and social responsibility; In Europe, Nike has won consumer recognition through environmental protection and labor rights protection. These strategies show that multinational corporations must adapt their ethical practices to local cultures in order to achieve long-term success in the global marketplace when operating globally.</w:t>
      </w:r>
    </w:p>
    <w:p w14:paraId="389DFD8F" w14:textId="77777777" w:rsidR="00CD1C22" w:rsidRPr="00C501DF" w:rsidRDefault="00CD1C22" w:rsidP="005E095D">
      <w:pPr>
        <w:widowControl/>
        <w:spacing w:line="480" w:lineRule="auto"/>
        <w:rPr>
          <w:rFonts w:ascii="Arial" w:hAnsi="Arial" w:cs="Arial"/>
          <w:color w:val="000000" w:themeColor="text1"/>
          <w:sz w:val="24"/>
          <w:szCs w:val="24"/>
        </w:rPr>
      </w:pPr>
      <w:r w:rsidRPr="00C501DF">
        <w:rPr>
          <w:rFonts w:ascii="Arial" w:hAnsi="Arial" w:cs="Arial"/>
          <w:color w:val="000000" w:themeColor="text1"/>
          <w:sz w:val="24"/>
          <w:szCs w:val="24"/>
        </w:rPr>
        <w:br w:type="page"/>
      </w:r>
    </w:p>
    <w:p w14:paraId="19C962FE" w14:textId="244650FF" w:rsidR="00830C7D" w:rsidRPr="00C501DF" w:rsidRDefault="007A151A" w:rsidP="005E095D">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lastRenderedPageBreak/>
        <w:t>Reference</w:t>
      </w:r>
    </w:p>
    <w:p w14:paraId="3E3CB5F7" w14:textId="06DFDA5F"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Ali Mohamed Nada, M. (2023)</w:t>
      </w:r>
      <w:r w:rsidR="00374226">
        <w:rPr>
          <w:rFonts w:ascii="Arial" w:hAnsi="Arial" w:cs="Arial" w:hint="eastAsia"/>
          <w:color w:val="000000" w:themeColor="text1"/>
          <w:sz w:val="24"/>
          <w:szCs w:val="24"/>
        </w:rPr>
        <w:t xml:space="preserve">  </w:t>
      </w:r>
      <w:r w:rsidR="00374226">
        <w:rPr>
          <w:rFonts w:ascii="Arial" w:hAnsi="Arial" w:cs="Arial"/>
          <w:color w:val="000000" w:themeColor="text1"/>
          <w:sz w:val="24"/>
          <w:szCs w:val="24"/>
        </w:rPr>
        <w:t>‘</w:t>
      </w:r>
      <w:r w:rsidRPr="00C501DF">
        <w:rPr>
          <w:rFonts w:ascii="Arial" w:hAnsi="Arial" w:cs="Arial"/>
          <w:color w:val="000000" w:themeColor="text1"/>
          <w:sz w:val="24"/>
          <w:szCs w:val="24"/>
        </w:rPr>
        <w:t>A Case Study on Nike’s Branding Strategy in Terms of Green Transparency and Consistency</w:t>
      </w:r>
      <w:r w:rsidR="00374226">
        <w:rPr>
          <w:rFonts w:ascii="Arial" w:hAnsi="Arial" w:cs="Arial"/>
          <w:color w:val="000000" w:themeColor="text1"/>
          <w:sz w:val="24"/>
          <w:szCs w:val="24"/>
        </w:rPr>
        <w:t>’</w:t>
      </w:r>
      <w:r w:rsidR="00374226">
        <w:rPr>
          <w:rFonts w:ascii="Arial" w:hAnsi="Arial" w:cs="Arial" w:hint="eastAsia"/>
          <w:color w:val="000000" w:themeColor="text1"/>
          <w:sz w:val="24"/>
          <w:szCs w:val="24"/>
        </w:rPr>
        <w:t>,</w:t>
      </w:r>
      <w:r w:rsidRPr="00C501DF">
        <w:rPr>
          <w:rFonts w:ascii="Arial" w:hAnsi="Arial" w:cs="Arial"/>
          <w:i/>
          <w:iCs/>
          <w:color w:val="000000" w:themeColor="text1"/>
          <w:sz w:val="24"/>
          <w:szCs w:val="24"/>
        </w:rPr>
        <w:t>International Journal of Architectural Engineering and Urban Research</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6</w:t>
      </w:r>
      <w:r w:rsidRPr="00C501DF">
        <w:rPr>
          <w:rFonts w:ascii="Arial" w:hAnsi="Arial" w:cs="Arial"/>
          <w:color w:val="000000" w:themeColor="text1"/>
          <w:sz w:val="24"/>
          <w:szCs w:val="24"/>
        </w:rPr>
        <w:t>(2), 82-109.</w:t>
      </w:r>
    </w:p>
    <w:p w14:paraId="3A1DA3F7" w14:textId="779A79E4"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Alon, I., Jaffe, E., Prange, C., &amp; Vianelli, D. (2020).</w:t>
      </w:r>
      <w:r w:rsidRPr="00C501DF">
        <w:rPr>
          <w:rFonts w:ascii="Arial" w:hAnsi="Arial" w:cs="Arial"/>
          <w:i/>
          <w:iCs/>
          <w:color w:val="000000" w:themeColor="text1"/>
          <w:sz w:val="24"/>
          <w:szCs w:val="24"/>
        </w:rPr>
        <w:t>Global marketing: strategy, practice, and cases</w:t>
      </w:r>
      <w:r w:rsidRPr="00C501DF">
        <w:rPr>
          <w:rFonts w:ascii="Arial" w:hAnsi="Arial" w:cs="Arial"/>
          <w:color w:val="000000" w:themeColor="text1"/>
          <w:sz w:val="24"/>
          <w:szCs w:val="24"/>
        </w:rPr>
        <w:t>. Routledge.</w:t>
      </w:r>
    </w:p>
    <w:p w14:paraId="1E280F67" w14:textId="1BF4A998"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Alzola, M., Hennig, A., &amp; Romar, E. (2020)</w:t>
      </w:r>
      <w:r w:rsidR="00374226">
        <w:rPr>
          <w:rFonts w:ascii="Arial" w:hAnsi="Arial" w:cs="Arial" w:hint="eastAsia"/>
          <w:color w:val="000000" w:themeColor="text1"/>
          <w:sz w:val="24"/>
          <w:szCs w:val="24"/>
        </w:rPr>
        <w:t xml:space="preserve"> </w:t>
      </w:r>
      <w:r w:rsidR="00374226">
        <w:rPr>
          <w:rFonts w:ascii="Arial" w:hAnsi="Arial" w:cs="Arial"/>
          <w:color w:val="000000" w:themeColor="text1"/>
          <w:sz w:val="24"/>
          <w:szCs w:val="24"/>
        </w:rPr>
        <w:t>‘</w:t>
      </w:r>
      <w:r w:rsidRPr="00C501DF">
        <w:rPr>
          <w:rFonts w:ascii="Arial" w:hAnsi="Arial" w:cs="Arial"/>
          <w:color w:val="000000" w:themeColor="text1"/>
          <w:sz w:val="24"/>
          <w:szCs w:val="24"/>
        </w:rPr>
        <w:t>Thematic symposium editorial: Virtue ethics between east and west</w:t>
      </w:r>
      <w:r w:rsidR="00374226">
        <w:rPr>
          <w:rFonts w:ascii="Arial" w:hAnsi="Arial" w:cs="Arial"/>
          <w:color w:val="000000" w:themeColor="text1"/>
          <w:sz w:val="24"/>
          <w:szCs w:val="24"/>
        </w:rPr>
        <w:t>’</w:t>
      </w:r>
      <w:r w:rsidR="00374226">
        <w:rPr>
          <w:rFonts w:ascii="Arial" w:hAnsi="Arial" w:cs="Arial" w:hint="eastAsia"/>
          <w:color w:val="000000" w:themeColor="text1"/>
          <w:sz w:val="24"/>
          <w:szCs w:val="24"/>
        </w:rPr>
        <w:t>,</w:t>
      </w:r>
      <w:r w:rsidRPr="00C501DF">
        <w:rPr>
          <w:rFonts w:ascii="Arial" w:hAnsi="Arial" w:cs="Arial"/>
          <w:i/>
          <w:iCs/>
          <w:color w:val="000000" w:themeColor="text1"/>
          <w:sz w:val="24"/>
          <w:szCs w:val="24"/>
        </w:rPr>
        <w:t>Journal of Business Ethics</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165</w:t>
      </w:r>
      <w:r w:rsidRPr="00C501DF">
        <w:rPr>
          <w:rFonts w:ascii="Arial" w:hAnsi="Arial" w:cs="Arial"/>
          <w:color w:val="000000" w:themeColor="text1"/>
          <w:sz w:val="24"/>
          <w:szCs w:val="24"/>
        </w:rPr>
        <w:t>, 177-189.</w:t>
      </w:r>
    </w:p>
    <w:p w14:paraId="01E39FA3" w14:textId="77777777"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Asghar, M. (2023). Consumer perception of Nike green business strategy and implementation of profitable and sustainable products.</w:t>
      </w:r>
    </w:p>
    <w:p w14:paraId="146FF30E" w14:textId="34CEFF09"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Böhm, S., Carrington, M., Cornelius, N., de Bruin, B., Greenwood, M., Hassan, L., ... &amp; Shaw, D. (2022)</w:t>
      </w:r>
      <w:r w:rsidR="00374226">
        <w:rPr>
          <w:rFonts w:ascii="Arial" w:hAnsi="Arial" w:cs="Arial" w:hint="eastAsia"/>
          <w:color w:val="000000" w:themeColor="text1"/>
          <w:sz w:val="24"/>
          <w:szCs w:val="24"/>
        </w:rPr>
        <w:t xml:space="preserve"> </w:t>
      </w:r>
      <w:r w:rsidR="00374226">
        <w:rPr>
          <w:rFonts w:ascii="Arial" w:hAnsi="Arial" w:cs="Arial"/>
          <w:color w:val="000000" w:themeColor="text1"/>
          <w:sz w:val="24"/>
          <w:szCs w:val="24"/>
        </w:rPr>
        <w:t>‘</w:t>
      </w:r>
      <w:r w:rsidRPr="00C501DF">
        <w:rPr>
          <w:rFonts w:ascii="Arial" w:hAnsi="Arial" w:cs="Arial"/>
          <w:color w:val="000000" w:themeColor="text1"/>
          <w:sz w:val="24"/>
          <w:szCs w:val="24"/>
        </w:rPr>
        <w:t>Ethics at the centre of global and local challenges: Thoughts on the future of business ethics</w:t>
      </w:r>
      <w:r w:rsidR="00374226">
        <w:rPr>
          <w:rFonts w:ascii="Arial" w:hAnsi="Arial" w:cs="Arial"/>
          <w:color w:val="000000" w:themeColor="text1"/>
          <w:sz w:val="24"/>
          <w:szCs w:val="24"/>
        </w:rPr>
        <w:t>’</w:t>
      </w:r>
      <w:r w:rsidR="00374226">
        <w:rPr>
          <w:rFonts w:ascii="Arial" w:hAnsi="Arial" w:cs="Arial" w:hint="eastAsia"/>
          <w:color w:val="000000" w:themeColor="text1"/>
          <w:sz w:val="24"/>
          <w:szCs w:val="24"/>
        </w:rPr>
        <w:t>,</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Journal of Business Ethics</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180</w:t>
      </w:r>
      <w:r w:rsidRPr="00C501DF">
        <w:rPr>
          <w:rFonts w:ascii="Arial" w:hAnsi="Arial" w:cs="Arial"/>
          <w:color w:val="000000" w:themeColor="text1"/>
          <w:sz w:val="24"/>
          <w:szCs w:val="24"/>
        </w:rPr>
        <w:t>(3), 835-861.</w:t>
      </w:r>
    </w:p>
    <w:p w14:paraId="25CC1477" w14:textId="4113EF45"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Eang, M., Clarke, A., &amp; Ordonez-Ponce, E. (2023)</w:t>
      </w:r>
      <w:r w:rsidR="00374226">
        <w:rPr>
          <w:rFonts w:ascii="Arial" w:hAnsi="Arial" w:cs="Arial" w:hint="eastAsia"/>
          <w:color w:val="000000" w:themeColor="text1"/>
          <w:sz w:val="24"/>
          <w:szCs w:val="24"/>
        </w:rPr>
        <w:t xml:space="preserve"> </w:t>
      </w:r>
      <w:r w:rsidR="00374226">
        <w:rPr>
          <w:rFonts w:ascii="Arial" w:hAnsi="Arial" w:cs="Arial"/>
          <w:color w:val="000000" w:themeColor="text1"/>
          <w:sz w:val="24"/>
          <w:szCs w:val="24"/>
        </w:rPr>
        <w:t>‘</w:t>
      </w:r>
      <w:r w:rsidRPr="00C501DF">
        <w:rPr>
          <w:rFonts w:ascii="Arial" w:hAnsi="Arial" w:cs="Arial"/>
          <w:color w:val="000000" w:themeColor="text1"/>
          <w:sz w:val="24"/>
          <w:szCs w:val="24"/>
        </w:rPr>
        <w:t>The roles of multinational enterprises in implementing the United Nations Sustainable Development Goals at the local level</w:t>
      </w:r>
      <w:r w:rsidR="00374226">
        <w:rPr>
          <w:rFonts w:ascii="Arial" w:hAnsi="Arial" w:cs="Arial"/>
          <w:color w:val="000000" w:themeColor="text1"/>
          <w:sz w:val="24"/>
          <w:szCs w:val="24"/>
        </w:rPr>
        <w:t>’</w:t>
      </w:r>
      <w:r w:rsidR="00374226">
        <w:rPr>
          <w:rFonts w:ascii="Arial" w:hAnsi="Arial" w:cs="Arial" w:hint="eastAsia"/>
          <w:color w:val="000000" w:themeColor="text1"/>
          <w:sz w:val="24"/>
          <w:szCs w:val="24"/>
        </w:rPr>
        <w:t>,</w:t>
      </w:r>
      <w:r w:rsidRPr="00C501DF">
        <w:rPr>
          <w:rFonts w:ascii="Arial" w:hAnsi="Arial" w:cs="Arial"/>
          <w:i/>
          <w:iCs/>
          <w:color w:val="000000" w:themeColor="text1"/>
          <w:sz w:val="24"/>
          <w:szCs w:val="24"/>
        </w:rPr>
        <w:t>BRQ Business Research Quarterly</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26</w:t>
      </w:r>
      <w:r w:rsidRPr="00C501DF">
        <w:rPr>
          <w:rFonts w:ascii="Arial" w:hAnsi="Arial" w:cs="Arial"/>
          <w:color w:val="000000" w:themeColor="text1"/>
          <w:sz w:val="24"/>
          <w:szCs w:val="24"/>
        </w:rPr>
        <w:t>(1), 79-97.</w:t>
      </w:r>
    </w:p>
    <w:p w14:paraId="2139E270" w14:textId="0D2AE15A"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Erickson, C. L., &amp; Norlander, P. (2022)</w:t>
      </w:r>
      <w:r w:rsidR="00374226">
        <w:rPr>
          <w:rFonts w:ascii="Arial" w:hAnsi="Arial" w:cs="Arial" w:hint="eastAsia"/>
          <w:color w:val="000000" w:themeColor="text1"/>
          <w:sz w:val="24"/>
          <w:szCs w:val="24"/>
        </w:rPr>
        <w:t xml:space="preserve"> </w:t>
      </w:r>
      <w:r w:rsidR="00374226">
        <w:rPr>
          <w:rFonts w:ascii="Arial" w:hAnsi="Arial" w:cs="Arial"/>
          <w:color w:val="000000" w:themeColor="text1"/>
          <w:sz w:val="24"/>
          <w:szCs w:val="24"/>
        </w:rPr>
        <w:t>‘</w:t>
      </w:r>
      <w:r w:rsidRPr="00C501DF">
        <w:rPr>
          <w:rFonts w:ascii="Arial" w:hAnsi="Arial" w:cs="Arial"/>
          <w:color w:val="000000" w:themeColor="text1"/>
          <w:sz w:val="24"/>
          <w:szCs w:val="24"/>
        </w:rPr>
        <w:t>How the past of outsourcing and offshoring is the future of post</w:t>
      </w:r>
      <w:r w:rsidRPr="00C501DF">
        <w:rPr>
          <w:rFonts w:ascii="Cambria Math" w:hAnsi="Cambria Math" w:cs="Cambria Math"/>
          <w:color w:val="000000" w:themeColor="text1"/>
          <w:sz w:val="24"/>
          <w:szCs w:val="24"/>
        </w:rPr>
        <w:t>‐</w:t>
      </w:r>
      <w:r w:rsidRPr="00C501DF">
        <w:rPr>
          <w:rFonts w:ascii="Arial" w:hAnsi="Arial" w:cs="Arial"/>
          <w:color w:val="000000" w:themeColor="text1"/>
          <w:sz w:val="24"/>
          <w:szCs w:val="24"/>
        </w:rPr>
        <w:t>pandemic remote work: A typology, a model and a review</w:t>
      </w:r>
      <w:r w:rsidR="00374226">
        <w:rPr>
          <w:rFonts w:ascii="Arial" w:hAnsi="Arial" w:cs="Arial"/>
          <w:color w:val="000000" w:themeColor="text1"/>
          <w:sz w:val="24"/>
          <w:szCs w:val="24"/>
        </w:rPr>
        <w:t>’</w:t>
      </w:r>
      <w:r w:rsidR="00374226">
        <w:rPr>
          <w:rFonts w:ascii="Arial" w:hAnsi="Arial" w:cs="Arial" w:hint="eastAsia"/>
          <w:color w:val="000000" w:themeColor="text1"/>
          <w:sz w:val="24"/>
          <w:szCs w:val="24"/>
        </w:rPr>
        <w:t>,</w:t>
      </w:r>
      <w:r w:rsidRPr="00C501DF">
        <w:rPr>
          <w:rFonts w:ascii="Arial" w:hAnsi="Arial" w:cs="Arial"/>
          <w:i/>
          <w:iCs/>
          <w:color w:val="000000" w:themeColor="text1"/>
          <w:sz w:val="24"/>
          <w:szCs w:val="24"/>
        </w:rPr>
        <w:t>Industrial Relations Journal</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53</w:t>
      </w:r>
      <w:r w:rsidRPr="00C501DF">
        <w:rPr>
          <w:rFonts w:ascii="Arial" w:hAnsi="Arial" w:cs="Arial"/>
          <w:color w:val="000000" w:themeColor="text1"/>
          <w:sz w:val="24"/>
          <w:szCs w:val="24"/>
        </w:rPr>
        <w:t>(1), 71-89.</w:t>
      </w:r>
    </w:p>
    <w:p w14:paraId="44B0A7EC" w14:textId="6D98776F"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lastRenderedPageBreak/>
        <w:t>Fathallah, R., Sidani, Y., &amp; Khalil, S. (2020)</w:t>
      </w:r>
      <w:r w:rsidR="00374226">
        <w:rPr>
          <w:rFonts w:ascii="Arial" w:hAnsi="Arial" w:cs="Arial" w:hint="eastAsia"/>
          <w:color w:val="000000" w:themeColor="text1"/>
          <w:sz w:val="24"/>
          <w:szCs w:val="24"/>
        </w:rPr>
        <w:t xml:space="preserve"> </w:t>
      </w:r>
      <w:r w:rsidR="00374226">
        <w:rPr>
          <w:rFonts w:ascii="Arial" w:hAnsi="Arial" w:cs="Arial"/>
          <w:color w:val="000000" w:themeColor="text1"/>
          <w:sz w:val="24"/>
          <w:szCs w:val="24"/>
        </w:rPr>
        <w:t>‘</w:t>
      </w:r>
      <w:r w:rsidRPr="00C501DF">
        <w:rPr>
          <w:rFonts w:ascii="Arial" w:hAnsi="Arial" w:cs="Arial"/>
          <w:color w:val="000000" w:themeColor="text1"/>
          <w:sz w:val="24"/>
          <w:szCs w:val="24"/>
        </w:rPr>
        <w:t>How religion shapes family business ethical behaviors: An institutional logics perspective</w:t>
      </w:r>
      <w:r w:rsidR="00374226">
        <w:rPr>
          <w:rFonts w:ascii="Arial" w:hAnsi="Arial" w:cs="Arial"/>
          <w:color w:val="000000" w:themeColor="text1"/>
          <w:sz w:val="24"/>
          <w:szCs w:val="24"/>
        </w:rPr>
        <w:t>’</w:t>
      </w:r>
      <w:r w:rsidR="00374226">
        <w:rPr>
          <w:rFonts w:ascii="Arial" w:hAnsi="Arial" w:cs="Arial" w:hint="eastAsia"/>
          <w:color w:val="000000" w:themeColor="text1"/>
          <w:sz w:val="24"/>
          <w:szCs w:val="24"/>
        </w:rPr>
        <w:t>,</w:t>
      </w:r>
      <w:r w:rsidRPr="00C501DF">
        <w:rPr>
          <w:rFonts w:ascii="Arial" w:hAnsi="Arial" w:cs="Arial"/>
          <w:i/>
          <w:iCs/>
          <w:color w:val="000000" w:themeColor="text1"/>
          <w:sz w:val="24"/>
          <w:szCs w:val="24"/>
        </w:rPr>
        <w:t>Journal of Business Ethics</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163</w:t>
      </w:r>
      <w:r w:rsidRPr="00C501DF">
        <w:rPr>
          <w:rFonts w:ascii="Arial" w:hAnsi="Arial" w:cs="Arial"/>
          <w:color w:val="000000" w:themeColor="text1"/>
          <w:sz w:val="24"/>
          <w:szCs w:val="24"/>
        </w:rPr>
        <w:t>(4), 647-659.</w:t>
      </w:r>
    </w:p>
    <w:p w14:paraId="4826DC47" w14:textId="77777777"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Hampden-Turner, C., Trompenaars, F., &amp; Hampden-Turner, C. (2020). </w:t>
      </w:r>
      <w:r w:rsidRPr="00C501DF">
        <w:rPr>
          <w:rFonts w:ascii="Arial" w:hAnsi="Arial" w:cs="Arial"/>
          <w:i/>
          <w:iCs/>
          <w:color w:val="000000" w:themeColor="text1"/>
          <w:sz w:val="24"/>
          <w:szCs w:val="24"/>
        </w:rPr>
        <w:t>Riding the waves of culture: Understanding diversity in global business</w:t>
      </w:r>
      <w:r w:rsidRPr="00C501DF">
        <w:rPr>
          <w:rFonts w:ascii="Arial" w:hAnsi="Arial" w:cs="Arial"/>
          <w:color w:val="000000" w:themeColor="text1"/>
          <w:sz w:val="24"/>
          <w:szCs w:val="24"/>
        </w:rPr>
        <w:t>. Hachette UK.</w:t>
      </w:r>
    </w:p>
    <w:p w14:paraId="15DD7DF1" w14:textId="1F5A7DCA"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Jeet, V., Aspal, P. K., &amp; Nazneen, A. (2020)</w:t>
      </w:r>
      <w:r w:rsidR="00374226">
        <w:rPr>
          <w:rFonts w:ascii="Arial" w:hAnsi="Arial" w:cs="Arial" w:hint="eastAsia"/>
          <w:color w:val="000000" w:themeColor="text1"/>
          <w:sz w:val="24"/>
          <w:szCs w:val="24"/>
        </w:rPr>
        <w:t xml:space="preserve"> </w:t>
      </w:r>
      <w:r w:rsidR="00374226">
        <w:rPr>
          <w:rFonts w:ascii="Arial" w:hAnsi="Arial" w:cs="Arial"/>
          <w:color w:val="000000" w:themeColor="text1"/>
          <w:sz w:val="24"/>
          <w:szCs w:val="24"/>
        </w:rPr>
        <w:t>‘</w:t>
      </w:r>
      <w:r w:rsidRPr="00C501DF">
        <w:rPr>
          <w:rFonts w:ascii="Arial" w:hAnsi="Arial" w:cs="Arial"/>
          <w:color w:val="000000" w:themeColor="text1"/>
          <w:sz w:val="24"/>
          <w:szCs w:val="24"/>
        </w:rPr>
        <w:t>Study of models of corporate social responsibility and sustainable development</w:t>
      </w:r>
      <w:r w:rsidR="00374226">
        <w:rPr>
          <w:rFonts w:ascii="Arial" w:hAnsi="Arial" w:cs="Arial"/>
          <w:color w:val="000000" w:themeColor="text1"/>
          <w:sz w:val="24"/>
          <w:szCs w:val="24"/>
        </w:rPr>
        <w:t>’</w:t>
      </w:r>
      <w:r w:rsidR="00374226">
        <w:rPr>
          <w:rFonts w:ascii="Arial" w:hAnsi="Arial" w:cs="Arial" w:hint="eastAsia"/>
          <w:color w:val="000000" w:themeColor="text1"/>
          <w:sz w:val="24"/>
          <w:szCs w:val="24"/>
        </w:rPr>
        <w:t>,</w:t>
      </w:r>
      <w:r w:rsidRPr="00C501DF">
        <w:rPr>
          <w:rFonts w:ascii="Arial" w:hAnsi="Arial" w:cs="Arial"/>
          <w:i/>
          <w:iCs/>
          <w:color w:val="000000" w:themeColor="text1"/>
          <w:sz w:val="24"/>
          <w:szCs w:val="24"/>
        </w:rPr>
        <w:t>International Journal of technology management &amp; sustainable development</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19</w:t>
      </w:r>
      <w:r w:rsidRPr="00C501DF">
        <w:rPr>
          <w:rFonts w:ascii="Arial" w:hAnsi="Arial" w:cs="Arial"/>
          <w:color w:val="000000" w:themeColor="text1"/>
          <w:sz w:val="24"/>
          <w:szCs w:val="24"/>
        </w:rPr>
        <w:t>(3), 317-334.</w:t>
      </w:r>
    </w:p>
    <w:p w14:paraId="6D353A79" w14:textId="3A927335"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Koleva, P. (2021)</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Towards the development of an empirical model for Islamic corporate social responsibility: Evidence from the Middle East</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Pr="00C501DF">
        <w:rPr>
          <w:rFonts w:ascii="Arial" w:hAnsi="Arial" w:cs="Arial"/>
          <w:i/>
          <w:iCs/>
          <w:color w:val="000000" w:themeColor="text1"/>
          <w:sz w:val="24"/>
          <w:szCs w:val="24"/>
        </w:rPr>
        <w:t>Journal of Business Ethics</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171</w:t>
      </w:r>
      <w:r w:rsidRPr="00C501DF">
        <w:rPr>
          <w:rFonts w:ascii="Arial" w:hAnsi="Arial" w:cs="Arial"/>
          <w:color w:val="000000" w:themeColor="text1"/>
          <w:sz w:val="24"/>
          <w:szCs w:val="24"/>
        </w:rPr>
        <w:t>, 789-813.</w:t>
      </w:r>
    </w:p>
    <w:p w14:paraId="2E112F71" w14:textId="49D2FB4B"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Liu, M., Tan, R., &amp; Zhang, B. (2021)</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The costs of “blue sky”: Environmental regulation, technology upgrading, and labor demand in China</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Pr="00C501DF">
        <w:rPr>
          <w:rFonts w:ascii="Arial" w:hAnsi="Arial" w:cs="Arial"/>
          <w:i/>
          <w:iCs/>
          <w:color w:val="000000" w:themeColor="text1"/>
          <w:sz w:val="24"/>
          <w:szCs w:val="24"/>
        </w:rPr>
        <w:t>Journal of Development Economics</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150</w:t>
      </w:r>
      <w:r w:rsidRPr="00C501DF">
        <w:rPr>
          <w:rFonts w:ascii="Arial" w:hAnsi="Arial" w:cs="Arial"/>
          <w:color w:val="000000" w:themeColor="text1"/>
          <w:sz w:val="24"/>
          <w:szCs w:val="24"/>
        </w:rPr>
        <w:t>, 102610.</w:t>
      </w:r>
    </w:p>
    <w:p w14:paraId="6455C2B6" w14:textId="055575BC"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Liu, Y., Wang, A., &amp; Wu, Y. (2021)</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Environmental regulation and green innovation: Evidence from China’s new environmental protection law</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Pr="00C501DF">
        <w:rPr>
          <w:rFonts w:ascii="Arial" w:hAnsi="Arial" w:cs="Arial"/>
          <w:i/>
          <w:iCs/>
          <w:color w:val="000000" w:themeColor="text1"/>
          <w:sz w:val="24"/>
          <w:szCs w:val="24"/>
        </w:rPr>
        <w:t>Journal of Cleaner Production</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297</w:t>
      </w:r>
      <w:r w:rsidRPr="00C501DF">
        <w:rPr>
          <w:rFonts w:ascii="Arial" w:hAnsi="Arial" w:cs="Arial"/>
          <w:color w:val="000000" w:themeColor="text1"/>
          <w:sz w:val="24"/>
          <w:szCs w:val="24"/>
        </w:rPr>
        <w:t>, 126698.</w:t>
      </w:r>
    </w:p>
    <w:p w14:paraId="491BB6F4" w14:textId="69CD3FC7"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Mrabure, K. O., &amp; Abhulimhen-Iyoha, A. (2020)</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Corporate governance and protection of stakeholders rights and interests</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Pr="00C501DF">
        <w:rPr>
          <w:rFonts w:ascii="Arial" w:hAnsi="Arial" w:cs="Arial"/>
          <w:i/>
          <w:iCs/>
          <w:color w:val="000000" w:themeColor="text1"/>
          <w:sz w:val="24"/>
          <w:szCs w:val="24"/>
        </w:rPr>
        <w:t>Beijing l. Rev.</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11</w:t>
      </w:r>
      <w:r w:rsidRPr="00C501DF">
        <w:rPr>
          <w:rFonts w:ascii="Arial" w:hAnsi="Arial" w:cs="Arial"/>
          <w:color w:val="000000" w:themeColor="text1"/>
          <w:sz w:val="24"/>
          <w:szCs w:val="24"/>
        </w:rPr>
        <w:t>, 292.</w:t>
      </w:r>
    </w:p>
    <w:p w14:paraId="47468BA0" w14:textId="189E209A"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Nolan, J. (2022)</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Regulating human rights in the textile sector: smoke and mirrors</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Pr="00C501DF">
        <w:rPr>
          <w:rFonts w:ascii="Arial" w:hAnsi="Arial" w:cs="Arial"/>
          <w:color w:val="000000" w:themeColor="text1"/>
          <w:sz w:val="24"/>
          <w:szCs w:val="24"/>
        </w:rPr>
        <w:t>In </w:t>
      </w:r>
      <w:r w:rsidRPr="00C501DF">
        <w:rPr>
          <w:rFonts w:ascii="Arial" w:hAnsi="Arial" w:cs="Arial"/>
          <w:i/>
          <w:iCs/>
          <w:color w:val="000000" w:themeColor="text1"/>
          <w:sz w:val="24"/>
          <w:szCs w:val="24"/>
        </w:rPr>
        <w:t xml:space="preserve">Research Handbook on Global Governance, Business and </w:t>
      </w:r>
      <w:r w:rsidRPr="00C501DF">
        <w:rPr>
          <w:rFonts w:ascii="Arial" w:hAnsi="Arial" w:cs="Arial"/>
          <w:i/>
          <w:iCs/>
          <w:color w:val="000000" w:themeColor="text1"/>
          <w:sz w:val="24"/>
          <w:szCs w:val="24"/>
        </w:rPr>
        <w:lastRenderedPageBreak/>
        <w:t>Human Rights</w:t>
      </w:r>
      <w:r w:rsidRPr="00C501DF">
        <w:rPr>
          <w:rFonts w:ascii="Arial" w:hAnsi="Arial" w:cs="Arial"/>
          <w:color w:val="000000" w:themeColor="text1"/>
          <w:sz w:val="24"/>
          <w:szCs w:val="24"/>
        </w:rPr>
        <w:t> (pp. 291-311). Edward Elgar Publishing.</w:t>
      </w:r>
    </w:p>
    <w:p w14:paraId="786762EC" w14:textId="0DAA1F51"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Röell, C., Osabutey, E., Rodgers, P., Arndt, F., Khan, Z., &amp; Tarba, S. (2022)</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Managing socio-political risk at the subnational level: Lessons from MNE subsidiaries in Indonesia</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Pr="00C501DF">
        <w:rPr>
          <w:rFonts w:ascii="Arial" w:hAnsi="Arial" w:cs="Arial"/>
          <w:i/>
          <w:iCs/>
          <w:color w:val="000000" w:themeColor="text1"/>
          <w:sz w:val="24"/>
          <w:szCs w:val="24"/>
        </w:rPr>
        <w:t>Journal of World Business</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57</w:t>
      </w:r>
      <w:r w:rsidRPr="00C501DF">
        <w:rPr>
          <w:rFonts w:ascii="Arial" w:hAnsi="Arial" w:cs="Arial"/>
          <w:color w:val="000000" w:themeColor="text1"/>
          <w:sz w:val="24"/>
          <w:szCs w:val="24"/>
        </w:rPr>
        <w:t>(3), 101312.</w:t>
      </w:r>
    </w:p>
    <w:p w14:paraId="314AE3DB" w14:textId="4F82A96E"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Santoro, G., Bresciani, S., Bertoldi, B., &amp; Liu, Y. (2020)</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Cause-related marketing, brand loyalty and corporate social responsibility: A cross-country analysis of Italian and Japanese consumers</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Pr="00C501DF">
        <w:rPr>
          <w:rFonts w:ascii="Arial" w:hAnsi="Arial" w:cs="Arial"/>
          <w:i/>
          <w:iCs/>
          <w:color w:val="000000" w:themeColor="text1"/>
          <w:sz w:val="24"/>
          <w:szCs w:val="24"/>
        </w:rPr>
        <w:t>International Marketing Review</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37</w:t>
      </w:r>
      <w:r w:rsidRPr="00C501DF">
        <w:rPr>
          <w:rFonts w:ascii="Arial" w:hAnsi="Arial" w:cs="Arial"/>
          <w:color w:val="000000" w:themeColor="text1"/>
          <w:sz w:val="24"/>
          <w:szCs w:val="24"/>
        </w:rPr>
        <w:t>(4), 773-791.</w:t>
      </w:r>
    </w:p>
    <w:p w14:paraId="21142699" w14:textId="77777777"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Shaw, R. (2023). </w:t>
      </w:r>
      <w:r w:rsidRPr="00C501DF">
        <w:rPr>
          <w:rFonts w:ascii="Arial" w:hAnsi="Arial" w:cs="Arial"/>
          <w:i/>
          <w:iCs/>
          <w:color w:val="000000" w:themeColor="text1"/>
          <w:sz w:val="24"/>
          <w:szCs w:val="24"/>
        </w:rPr>
        <w:t>Reclaiming America: Nike, clean air, and the new national activism</w:t>
      </w:r>
      <w:r w:rsidRPr="00C501DF">
        <w:rPr>
          <w:rFonts w:ascii="Arial" w:hAnsi="Arial" w:cs="Arial"/>
          <w:color w:val="000000" w:themeColor="text1"/>
          <w:sz w:val="24"/>
          <w:szCs w:val="24"/>
        </w:rPr>
        <w:t>. Univ of California Press.</w:t>
      </w:r>
    </w:p>
    <w:p w14:paraId="1D196D7D" w14:textId="4E1BDB38"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Sikora, A. (2021)</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European Green Deal–legal and financial challenges of the climate change</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Pr="00C501DF">
        <w:rPr>
          <w:rFonts w:ascii="Arial" w:hAnsi="Arial" w:cs="Arial"/>
          <w:color w:val="000000" w:themeColor="text1"/>
          <w:sz w:val="24"/>
          <w:szCs w:val="24"/>
        </w:rPr>
        <w:t>In </w:t>
      </w:r>
      <w:r w:rsidRPr="00C501DF">
        <w:rPr>
          <w:rFonts w:ascii="Arial" w:hAnsi="Arial" w:cs="Arial"/>
          <w:i/>
          <w:iCs/>
          <w:color w:val="000000" w:themeColor="text1"/>
          <w:sz w:val="24"/>
          <w:szCs w:val="24"/>
        </w:rPr>
        <w:t>Era forum</w:t>
      </w:r>
      <w:r w:rsidRPr="00C501DF">
        <w:rPr>
          <w:rFonts w:ascii="Arial" w:hAnsi="Arial" w:cs="Arial"/>
          <w:color w:val="000000" w:themeColor="text1"/>
          <w:sz w:val="24"/>
          <w:szCs w:val="24"/>
        </w:rPr>
        <w:t> (Vol. 21, No. 4, pp. 681-697). Berlin/Heidelberg: Springer Berlin Heidelberg.</w:t>
      </w:r>
    </w:p>
    <w:p w14:paraId="738A06D6" w14:textId="77777777"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Steger, M. B., &amp; Roy, R. K. (2021). </w:t>
      </w:r>
      <w:r w:rsidRPr="00C501DF">
        <w:rPr>
          <w:rFonts w:ascii="Arial" w:hAnsi="Arial" w:cs="Arial"/>
          <w:i/>
          <w:iCs/>
          <w:color w:val="000000" w:themeColor="text1"/>
          <w:sz w:val="24"/>
          <w:szCs w:val="24"/>
        </w:rPr>
        <w:t>Neoliberalism: A very short introduction</w:t>
      </w:r>
      <w:r w:rsidRPr="00C501DF">
        <w:rPr>
          <w:rFonts w:ascii="Arial" w:hAnsi="Arial" w:cs="Arial"/>
          <w:color w:val="000000" w:themeColor="text1"/>
          <w:sz w:val="24"/>
          <w:szCs w:val="24"/>
        </w:rPr>
        <w:t> (Vol. 222). Oxford University Press.</w:t>
      </w:r>
    </w:p>
    <w:p w14:paraId="113522F3" w14:textId="61C689B7"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Štreimikienė, D., &amp; Ahmed, R. R. (2021)</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Corporate social responsibility and brand management: Evidence from Carroll’s pyramid and triple bottom line approaches</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Pr="00C501DF">
        <w:rPr>
          <w:rFonts w:ascii="Arial" w:hAnsi="Arial" w:cs="Arial"/>
          <w:i/>
          <w:iCs/>
          <w:color w:val="000000" w:themeColor="text1"/>
          <w:sz w:val="24"/>
          <w:szCs w:val="24"/>
        </w:rPr>
        <w:t>Technological and Economic Development of Economy</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27</w:t>
      </w:r>
      <w:r w:rsidRPr="00C501DF">
        <w:rPr>
          <w:rFonts w:ascii="Arial" w:hAnsi="Arial" w:cs="Arial"/>
          <w:color w:val="000000" w:themeColor="text1"/>
          <w:sz w:val="24"/>
          <w:szCs w:val="24"/>
        </w:rPr>
        <w:t>(4), 852-875.</w:t>
      </w:r>
    </w:p>
    <w:p w14:paraId="3E8A8AA3" w14:textId="2BCC903F"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Sumari, M., Baharudin, D. F., Khalid, N. M., Ibrahim, N. H., &amp; Ahmed Tharbe, I. H. (2020)</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Family functioning in a collectivist culture of Malaysia: A qualitative study</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Pr="00C501DF">
        <w:rPr>
          <w:rFonts w:ascii="Arial" w:hAnsi="Arial" w:cs="Arial"/>
          <w:i/>
          <w:iCs/>
          <w:color w:val="000000" w:themeColor="text1"/>
          <w:sz w:val="24"/>
          <w:szCs w:val="24"/>
        </w:rPr>
        <w:t>The Family Journal</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28</w:t>
      </w:r>
      <w:r w:rsidRPr="00C501DF">
        <w:rPr>
          <w:rFonts w:ascii="Arial" w:hAnsi="Arial" w:cs="Arial"/>
          <w:color w:val="000000" w:themeColor="text1"/>
          <w:sz w:val="24"/>
          <w:szCs w:val="24"/>
        </w:rPr>
        <w:t>(4), 396-402.</w:t>
      </w:r>
    </w:p>
    <w:p w14:paraId="63F55831" w14:textId="77777777"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lastRenderedPageBreak/>
        <w:t>Weiss, J. W. (2021). </w:t>
      </w:r>
      <w:r w:rsidRPr="00C501DF">
        <w:rPr>
          <w:rFonts w:ascii="Arial" w:hAnsi="Arial" w:cs="Arial"/>
          <w:i/>
          <w:iCs/>
          <w:color w:val="000000" w:themeColor="text1"/>
          <w:sz w:val="24"/>
          <w:szCs w:val="24"/>
        </w:rPr>
        <w:t>Business ethics: A stakeholder and issues management approach</w:t>
      </w:r>
      <w:r w:rsidRPr="00C501DF">
        <w:rPr>
          <w:rFonts w:ascii="Arial" w:hAnsi="Arial" w:cs="Arial"/>
          <w:color w:val="000000" w:themeColor="text1"/>
          <w:sz w:val="24"/>
          <w:szCs w:val="24"/>
        </w:rPr>
        <w:t>. Berrett-Koehler Publishers.</w:t>
      </w:r>
    </w:p>
    <w:p w14:paraId="56454CDB" w14:textId="19FB62A6" w:rsidR="005E095D" w:rsidRPr="00C501DF"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Yuan, Y., Lu, L. Y., Tian, G., &amp; Yu, Y. (2020)</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Business strategy and corporate social responsibility</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Pr="00C501DF">
        <w:rPr>
          <w:rFonts w:ascii="Arial" w:hAnsi="Arial" w:cs="Arial"/>
          <w:i/>
          <w:iCs/>
          <w:color w:val="000000" w:themeColor="text1"/>
          <w:sz w:val="24"/>
          <w:szCs w:val="24"/>
        </w:rPr>
        <w:t>Journal of business ethics</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162</w:t>
      </w:r>
      <w:r w:rsidRPr="00C501DF">
        <w:rPr>
          <w:rFonts w:ascii="Arial" w:hAnsi="Arial" w:cs="Arial"/>
          <w:color w:val="000000" w:themeColor="text1"/>
          <w:sz w:val="24"/>
          <w:szCs w:val="24"/>
        </w:rPr>
        <w:t>, 359-377.</w:t>
      </w:r>
    </w:p>
    <w:p w14:paraId="3BA24D78" w14:textId="5C044B60" w:rsidR="005E095D" w:rsidRDefault="005E095D" w:rsidP="005E095D">
      <w:pPr>
        <w:pStyle w:val="a7"/>
        <w:numPr>
          <w:ilvl w:val="0"/>
          <w:numId w:val="4"/>
        </w:numPr>
        <w:spacing w:line="480" w:lineRule="auto"/>
        <w:ind w:firstLineChars="0"/>
        <w:rPr>
          <w:rFonts w:ascii="Arial" w:hAnsi="Arial" w:cs="Arial"/>
          <w:color w:val="000000" w:themeColor="text1"/>
          <w:sz w:val="24"/>
          <w:szCs w:val="24"/>
        </w:rPr>
      </w:pPr>
      <w:r w:rsidRPr="00C501DF">
        <w:rPr>
          <w:rFonts w:ascii="Arial" w:hAnsi="Arial" w:cs="Arial"/>
          <w:color w:val="000000" w:themeColor="text1"/>
          <w:sz w:val="24"/>
          <w:szCs w:val="24"/>
        </w:rPr>
        <w:t>Zhu, Q., &amp; Jesiek, B. K. (2020)</w:t>
      </w:r>
      <w:r w:rsidR="004353A2">
        <w:rPr>
          <w:rFonts w:ascii="Arial" w:hAnsi="Arial" w:cs="Arial" w:hint="eastAsia"/>
          <w:color w:val="000000" w:themeColor="text1"/>
          <w:sz w:val="24"/>
          <w:szCs w:val="24"/>
        </w:rPr>
        <w:t xml:space="preserve"> </w:t>
      </w:r>
      <w:r w:rsidR="004353A2">
        <w:rPr>
          <w:rFonts w:ascii="Arial" w:hAnsi="Arial" w:cs="Arial"/>
          <w:color w:val="000000" w:themeColor="text1"/>
          <w:sz w:val="24"/>
          <w:szCs w:val="24"/>
        </w:rPr>
        <w:t>‘</w:t>
      </w:r>
      <w:r w:rsidRPr="00C501DF">
        <w:rPr>
          <w:rFonts w:ascii="Arial" w:hAnsi="Arial" w:cs="Arial"/>
          <w:color w:val="000000" w:themeColor="text1"/>
          <w:sz w:val="24"/>
          <w:szCs w:val="24"/>
        </w:rPr>
        <w:t>Practicing engineering ethics in global context: A comparative study of expert and novice approaches to cross-cultural ethical situations</w:t>
      </w:r>
      <w:r w:rsidR="004353A2">
        <w:rPr>
          <w:rFonts w:ascii="Arial" w:hAnsi="Arial" w:cs="Arial"/>
          <w:color w:val="000000" w:themeColor="text1"/>
          <w:sz w:val="24"/>
          <w:szCs w:val="24"/>
        </w:rPr>
        <w:t>’</w:t>
      </w:r>
      <w:r w:rsidR="004353A2">
        <w:rPr>
          <w:rFonts w:ascii="Arial" w:hAnsi="Arial" w:cs="Arial" w:hint="eastAsia"/>
          <w:color w:val="000000" w:themeColor="text1"/>
          <w:sz w:val="24"/>
          <w:szCs w:val="24"/>
        </w:rPr>
        <w:t>,</w:t>
      </w:r>
      <w:r w:rsidR="00114250">
        <w:rPr>
          <w:rFonts w:ascii="Arial" w:hAnsi="Arial" w:cs="Arial" w:hint="eastAsia"/>
          <w:color w:val="000000" w:themeColor="text1"/>
          <w:sz w:val="24"/>
          <w:szCs w:val="24"/>
        </w:rPr>
        <w:t xml:space="preserve"> </w:t>
      </w:r>
      <w:r w:rsidRPr="00C501DF">
        <w:rPr>
          <w:rFonts w:ascii="Arial" w:hAnsi="Arial" w:cs="Arial"/>
          <w:i/>
          <w:iCs/>
          <w:color w:val="000000" w:themeColor="text1"/>
          <w:sz w:val="24"/>
          <w:szCs w:val="24"/>
        </w:rPr>
        <w:t>Science and Engineering Ethics</w:t>
      </w:r>
      <w:r w:rsidRPr="00C501DF">
        <w:rPr>
          <w:rFonts w:ascii="Arial" w:hAnsi="Arial" w:cs="Arial"/>
          <w:color w:val="000000" w:themeColor="text1"/>
          <w:sz w:val="24"/>
          <w:szCs w:val="24"/>
        </w:rPr>
        <w:t>, </w:t>
      </w:r>
      <w:r w:rsidRPr="00C501DF">
        <w:rPr>
          <w:rFonts w:ascii="Arial" w:hAnsi="Arial" w:cs="Arial"/>
          <w:i/>
          <w:iCs/>
          <w:color w:val="000000" w:themeColor="text1"/>
          <w:sz w:val="24"/>
          <w:szCs w:val="24"/>
        </w:rPr>
        <w:t>26</w:t>
      </w:r>
      <w:r w:rsidRPr="00C501DF">
        <w:rPr>
          <w:rFonts w:ascii="Arial" w:hAnsi="Arial" w:cs="Arial"/>
          <w:color w:val="000000" w:themeColor="text1"/>
          <w:sz w:val="24"/>
          <w:szCs w:val="24"/>
        </w:rPr>
        <w:t>(4), 2097-2120.</w:t>
      </w:r>
    </w:p>
    <w:p w14:paraId="63DE711E" w14:textId="77777777" w:rsidR="00B90C50" w:rsidRPr="004353A2" w:rsidRDefault="00B90C50" w:rsidP="005E095D">
      <w:pPr>
        <w:spacing w:line="480" w:lineRule="auto"/>
        <w:rPr>
          <w:rFonts w:ascii="Arial" w:hAnsi="Arial" w:cs="Arial"/>
          <w:color w:val="000000" w:themeColor="text1"/>
          <w:sz w:val="24"/>
          <w:szCs w:val="24"/>
        </w:rPr>
      </w:pPr>
    </w:p>
    <w:sectPr w:rsidR="00B90C50" w:rsidRPr="004353A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6A75D4" w14:textId="77777777" w:rsidR="00B86FF5" w:rsidRDefault="00B86FF5" w:rsidP="0028417C">
      <w:pPr>
        <w:rPr>
          <w:rFonts w:hint="eastAsia"/>
        </w:rPr>
      </w:pPr>
      <w:r>
        <w:separator/>
      </w:r>
    </w:p>
  </w:endnote>
  <w:endnote w:type="continuationSeparator" w:id="0">
    <w:p w14:paraId="12920B7B" w14:textId="77777777" w:rsidR="00B86FF5" w:rsidRDefault="00B86FF5" w:rsidP="0028417C">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180604" w14:textId="77777777" w:rsidR="00B86FF5" w:rsidRDefault="00B86FF5" w:rsidP="0028417C">
      <w:pPr>
        <w:rPr>
          <w:rFonts w:hint="eastAsia"/>
        </w:rPr>
      </w:pPr>
      <w:r>
        <w:separator/>
      </w:r>
    </w:p>
  </w:footnote>
  <w:footnote w:type="continuationSeparator" w:id="0">
    <w:p w14:paraId="761E0E80" w14:textId="77777777" w:rsidR="00B86FF5" w:rsidRDefault="00B86FF5" w:rsidP="0028417C">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0303F"/>
    <w:multiLevelType w:val="multilevel"/>
    <w:tmpl w:val="3C04A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3943CE"/>
    <w:multiLevelType w:val="multilevel"/>
    <w:tmpl w:val="0F404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4B40A7"/>
    <w:multiLevelType w:val="hybridMultilevel"/>
    <w:tmpl w:val="262257B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7E6320C"/>
    <w:multiLevelType w:val="multilevel"/>
    <w:tmpl w:val="874E5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5135219">
    <w:abstractNumId w:val="1"/>
  </w:num>
  <w:num w:numId="2" w16cid:durableId="384136598">
    <w:abstractNumId w:val="3"/>
  </w:num>
  <w:num w:numId="3" w16cid:durableId="830635129">
    <w:abstractNumId w:val="0"/>
  </w:num>
  <w:num w:numId="4" w16cid:durableId="7599556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C7D"/>
    <w:rsid w:val="000545F0"/>
    <w:rsid w:val="00090AE8"/>
    <w:rsid w:val="000C07C6"/>
    <w:rsid w:val="000E5727"/>
    <w:rsid w:val="00114250"/>
    <w:rsid w:val="00126DA6"/>
    <w:rsid w:val="00135260"/>
    <w:rsid w:val="001F24D6"/>
    <w:rsid w:val="0028417C"/>
    <w:rsid w:val="0029328E"/>
    <w:rsid w:val="00296A17"/>
    <w:rsid w:val="002F26F9"/>
    <w:rsid w:val="003057B3"/>
    <w:rsid w:val="00374226"/>
    <w:rsid w:val="004353A2"/>
    <w:rsid w:val="004721D1"/>
    <w:rsid w:val="005467C2"/>
    <w:rsid w:val="005E095D"/>
    <w:rsid w:val="005F6286"/>
    <w:rsid w:val="00637198"/>
    <w:rsid w:val="006C0611"/>
    <w:rsid w:val="00702989"/>
    <w:rsid w:val="007609C8"/>
    <w:rsid w:val="007A151A"/>
    <w:rsid w:val="007A42AF"/>
    <w:rsid w:val="007A5FE3"/>
    <w:rsid w:val="00805AAC"/>
    <w:rsid w:val="00830C7D"/>
    <w:rsid w:val="008C6708"/>
    <w:rsid w:val="009D2692"/>
    <w:rsid w:val="009E5DAA"/>
    <w:rsid w:val="00AD7F25"/>
    <w:rsid w:val="00B506AD"/>
    <w:rsid w:val="00B86FF5"/>
    <w:rsid w:val="00B90C50"/>
    <w:rsid w:val="00BD57FA"/>
    <w:rsid w:val="00C501DF"/>
    <w:rsid w:val="00CD1C22"/>
    <w:rsid w:val="00D54A92"/>
    <w:rsid w:val="00D9376A"/>
    <w:rsid w:val="00E43F45"/>
    <w:rsid w:val="00EC22F8"/>
    <w:rsid w:val="00F46D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1D9847"/>
  <w15:chartTrackingRefBased/>
  <w15:docId w15:val="{5F52BD8C-30E1-4ACB-A951-8F4DCB2F0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D7F25"/>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AD7F2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8417C"/>
    <w:pPr>
      <w:tabs>
        <w:tab w:val="center" w:pos="4153"/>
        <w:tab w:val="right" w:pos="8306"/>
      </w:tabs>
      <w:snapToGrid w:val="0"/>
      <w:jc w:val="center"/>
    </w:pPr>
    <w:rPr>
      <w:sz w:val="18"/>
      <w:szCs w:val="18"/>
    </w:rPr>
  </w:style>
  <w:style w:type="character" w:customStyle="1" w:styleId="a4">
    <w:name w:val="页眉 字符"/>
    <w:basedOn w:val="a0"/>
    <w:link w:val="a3"/>
    <w:uiPriority w:val="99"/>
    <w:rsid w:val="0028417C"/>
    <w:rPr>
      <w:sz w:val="18"/>
      <w:szCs w:val="18"/>
    </w:rPr>
  </w:style>
  <w:style w:type="paragraph" w:styleId="a5">
    <w:name w:val="footer"/>
    <w:basedOn w:val="a"/>
    <w:link w:val="a6"/>
    <w:uiPriority w:val="99"/>
    <w:unhideWhenUsed/>
    <w:rsid w:val="0028417C"/>
    <w:pPr>
      <w:tabs>
        <w:tab w:val="center" w:pos="4153"/>
        <w:tab w:val="right" w:pos="8306"/>
      </w:tabs>
      <w:snapToGrid w:val="0"/>
      <w:jc w:val="left"/>
    </w:pPr>
    <w:rPr>
      <w:sz w:val="18"/>
      <w:szCs w:val="18"/>
    </w:rPr>
  </w:style>
  <w:style w:type="character" w:customStyle="1" w:styleId="a6">
    <w:name w:val="页脚 字符"/>
    <w:basedOn w:val="a0"/>
    <w:link w:val="a5"/>
    <w:uiPriority w:val="99"/>
    <w:rsid w:val="0028417C"/>
    <w:rPr>
      <w:sz w:val="18"/>
      <w:szCs w:val="18"/>
    </w:rPr>
  </w:style>
  <w:style w:type="paragraph" w:styleId="a7">
    <w:name w:val="List Paragraph"/>
    <w:basedOn w:val="a"/>
    <w:uiPriority w:val="34"/>
    <w:qFormat/>
    <w:rsid w:val="007A151A"/>
    <w:pPr>
      <w:ind w:firstLineChars="200" w:firstLine="420"/>
    </w:pPr>
  </w:style>
  <w:style w:type="paragraph" w:styleId="a8">
    <w:name w:val="Normal (Web)"/>
    <w:basedOn w:val="a"/>
    <w:uiPriority w:val="99"/>
    <w:semiHidden/>
    <w:unhideWhenUsed/>
    <w:rsid w:val="007A151A"/>
    <w:rPr>
      <w:rFonts w:ascii="Times New Roman" w:hAnsi="Times New Roman" w:cs="Times New Roman"/>
      <w:sz w:val="24"/>
      <w:szCs w:val="24"/>
    </w:rPr>
  </w:style>
  <w:style w:type="character" w:customStyle="1" w:styleId="10">
    <w:name w:val="标题 1 字符"/>
    <w:basedOn w:val="a0"/>
    <w:link w:val="1"/>
    <w:uiPriority w:val="9"/>
    <w:rsid w:val="00AD7F25"/>
    <w:rPr>
      <w:b/>
      <w:bCs/>
      <w:kern w:val="44"/>
      <w:sz w:val="44"/>
      <w:szCs w:val="44"/>
    </w:rPr>
  </w:style>
  <w:style w:type="character" w:customStyle="1" w:styleId="20">
    <w:name w:val="标题 2 字符"/>
    <w:basedOn w:val="a0"/>
    <w:link w:val="2"/>
    <w:uiPriority w:val="9"/>
    <w:rsid w:val="00AD7F25"/>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0C07C6"/>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a"/>
    <w:next w:val="a"/>
    <w:autoRedefine/>
    <w:uiPriority w:val="39"/>
    <w:unhideWhenUsed/>
    <w:rsid w:val="000C07C6"/>
  </w:style>
  <w:style w:type="paragraph" w:styleId="TOC2">
    <w:name w:val="toc 2"/>
    <w:basedOn w:val="a"/>
    <w:next w:val="a"/>
    <w:autoRedefine/>
    <w:uiPriority w:val="39"/>
    <w:unhideWhenUsed/>
    <w:rsid w:val="000C07C6"/>
    <w:pPr>
      <w:ind w:leftChars="200" w:left="420"/>
    </w:pPr>
  </w:style>
  <w:style w:type="character" w:styleId="a9">
    <w:name w:val="Hyperlink"/>
    <w:basedOn w:val="a0"/>
    <w:uiPriority w:val="99"/>
    <w:unhideWhenUsed/>
    <w:rsid w:val="000C07C6"/>
    <w:rPr>
      <w:color w:val="0563C1" w:themeColor="hyperlink"/>
      <w:u w:val="single"/>
    </w:rPr>
  </w:style>
  <w:style w:type="paragraph" w:styleId="aa">
    <w:name w:val="No Spacing"/>
    <w:link w:val="ab"/>
    <w:uiPriority w:val="1"/>
    <w:qFormat/>
    <w:rsid w:val="00C501DF"/>
    <w:rPr>
      <w:kern w:val="0"/>
      <w:sz w:val="22"/>
      <w:lang w:eastAsia="en-US"/>
      <w14:ligatures w14:val="none"/>
    </w:rPr>
  </w:style>
  <w:style w:type="character" w:customStyle="1" w:styleId="ab">
    <w:name w:val="无间隔 字符"/>
    <w:basedOn w:val="a0"/>
    <w:link w:val="aa"/>
    <w:uiPriority w:val="1"/>
    <w:rsid w:val="00C501DF"/>
    <w:rPr>
      <w:kern w:val="0"/>
      <w:sz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4986">
      <w:bodyDiv w:val="1"/>
      <w:marLeft w:val="0"/>
      <w:marRight w:val="0"/>
      <w:marTop w:val="0"/>
      <w:marBottom w:val="0"/>
      <w:divBdr>
        <w:top w:val="none" w:sz="0" w:space="0" w:color="auto"/>
        <w:left w:val="none" w:sz="0" w:space="0" w:color="auto"/>
        <w:bottom w:val="none" w:sz="0" w:space="0" w:color="auto"/>
        <w:right w:val="none" w:sz="0" w:space="0" w:color="auto"/>
      </w:divBdr>
    </w:div>
    <w:div w:id="74521120">
      <w:bodyDiv w:val="1"/>
      <w:marLeft w:val="0"/>
      <w:marRight w:val="0"/>
      <w:marTop w:val="0"/>
      <w:marBottom w:val="0"/>
      <w:divBdr>
        <w:top w:val="none" w:sz="0" w:space="0" w:color="auto"/>
        <w:left w:val="none" w:sz="0" w:space="0" w:color="auto"/>
        <w:bottom w:val="none" w:sz="0" w:space="0" w:color="auto"/>
        <w:right w:val="none" w:sz="0" w:space="0" w:color="auto"/>
      </w:divBdr>
    </w:div>
    <w:div w:id="102306219">
      <w:bodyDiv w:val="1"/>
      <w:marLeft w:val="0"/>
      <w:marRight w:val="0"/>
      <w:marTop w:val="0"/>
      <w:marBottom w:val="0"/>
      <w:divBdr>
        <w:top w:val="none" w:sz="0" w:space="0" w:color="auto"/>
        <w:left w:val="none" w:sz="0" w:space="0" w:color="auto"/>
        <w:bottom w:val="none" w:sz="0" w:space="0" w:color="auto"/>
        <w:right w:val="none" w:sz="0" w:space="0" w:color="auto"/>
      </w:divBdr>
    </w:div>
    <w:div w:id="182137366">
      <w:bodyDiv w:val="1"/>
      <w:marLeft w:val="0"/>
      <w:marRight w:val="0"/>
      <w:marTop w:val="0"/>
      <w:marBottom w:val="0"/>
      <w:divBdr>
        <w:top w:val="none" w:sz="0" w:space="0" w:color="auto"/>
        <w:left w:val="none" w:sz="0" w:space="0" w:color="auto"/>
        <w:bottom w:val="none" w:sz="0" w:space="0" w:color="auto"/>
        <w:right w:val="none" w:sz="0" w:space="0" w:color="auto"/>
      </w:divBdr>
      <w:divsChild>
        <w:div w:id="1541817619">
          <w:marLeft w:val="0"/>
          <w:marRight w:val="0"/>
          <w:marTop w:val="0"/>
          <w:marBottom w:val="0"/>
          <w:divBdr>
            <w:top w:val="none" w:sz="0" w:space="0" w:color="auto"/>
            <w:left w:val="none" w:sz="0" w:space="0" w:color="auto"/>
            <w:bottom w:val="none" w:sz="0" w:space="0" w:color="auto"/>
            <w:right w:val="none" w:sz="0" w:space="0" w:color="auto"/>
          </w:divBdr>
        </w:div>
      </w:divsChild>
    </w:div>
    <w:div w:id="209925784">
      <w:bodyDiv w:val="1"/>
      <w:marLeft w:val="0"/>
      <w:marRight w:val="0"/>
      <w:marTop w:val="0"/>
      <w:marBottom w:val="0"/>
      <w:divBdr>
        <w:top w:val="none" w:sz="0" w:space="0" w:color="auto"/>
        <w:left w:val="none" w:sz="0" w:space="0" w:color="auto"/>
        <w:bottom w:val="none" w:sz="0" w:space="0" w:color="auto"/>
        <w:right w:val="none" w:sz="0" w:space="0" w:color="auto"/>
      </w:divBdr>
    </w:div>
    <w:div w:id="276378578">
      <w:bodyDiv w:val="1"/>
      <w:marLeft w:val="0"/>
      <w:marRight w:val="0"/>
      <w:marTop w:val="0"/>
      <w:marBottom w:val="0"/>
      <w:divBdr>
        <w:top w:val="none" w:sz="0" w:space="0" w:color="auto"/>
        <w:left w:val="none" w:sz="0" w:space="0" w:color="auto"/>
        <w:bottom w:val="none" w:sz="0" w:space="0" w:color="auto"/>
        <w:right w:val="none" w:sz="0" w:space="0" w:color="auto"/>
      </w:divBdr>
    </w:div>
    <w:div w:id="433673416">
      <w:bodyDiv w:val="1"/>
      <w:marLeft w:val="0"/>
      <w:marRight w:val="0"/>
      <w:marTop w:val="0"/>
      <w:marBottom w:val="0"/>
      <w:divBdr>
        <w:top w:val="none" w:sz="0" w:space="0" w:color="auto"/>
        <w:left w:val="none" w:sz="0" w:space="0" w:color="auto"/>
        <w:bottom w:val="none" w:sz="0" w:space="0" w:color="auto"/>
        <w:right w:val="none" w:sz="0" w:space="0" w:color="auto"/>
      </w:divBdr>
    </w:div>
    <w:div w:id="515387342">
      <w:bodyDiv w:val="1"/>
      <w:marLeft w:val="0"/>
      <w:marRight w:val="0"/>
      <w:marTop w:val="0"/>
      <w:marBottom w:val="0"/>
      <w:divBdr>
        <w:top w:val="none" w:sz="0" w:space="0" w:color="auto"/>
        <w:left w:val="none" w:sz="0" w:space="0" w:color="auto"/>
        <w:bottom w:val="none" w:sz="0" w:space="0" w:color="auto"/>
        <w:right w:val="none" w:sz="0" w:space="0" w:color="auto"/>
      </w:divBdr>
    </w:div>
    <w:div w:id="533082575">
      <w:bodyDiv w:val="1"/>
      <w:marLeft w:val="0"/>
      <w:marRight w:val="0"/>
      <w:marTop w:val="0"/>
      <w:marBottom w:val="0"/>
      <w:divBdr>
        <w:top w:val="none" w:sz="0" w:space="0" w:color="auto"/>
        <w:left w:val="none" w:sz="0" w:space="0" w:color="auto"/>
        <w:bottom w:val="none" w:sz="0" w:space="0" w:color="auto"/>
        <w:right w:val="none" w:sz="0" w:space="0" w:color="auto"/>
      </w:divBdr>
    </w:div>
    <w:div w:id="534124850">
      <w:bodyDiv w:val="1"/>
      <w:marLeft w:val="0"/>
      <w:marRight w:val="0"/>
      <w:marTop w:val="0"/>
      <w:marBottom w:val="0"/>
      <w:divBdr>
        <w:top w:val="none" w:sz="0" w:space="0" w:color="auto"/>
        <w:left w:val="none" w:sz="0" w:space="0" w:color="auto"/>
        <w:bottom w:val="none" w:sz="0" w:space="0" w:color="auto"/>
        <w:right w:val="none" w:sz="0" w:space="0" w:color="auto"/>
      </w:divBdr>
    </w:div>
    <w:div w:id="599417098">
      <w:bodyDiv w:val="1"/>
      <w:marLeft w:val="0"/>
      <w:marRight w:val="0"/>
      <w:marTop w:val="0"/>
      <w:marBottom w:val="0"/>
      <w:divBdr>
        <w:top w:val="none" w:sz="0" w:space="0" w:color="auto"/>
        <w:left w:val="none" w:sz="0" w:space="0" w:color="auto"/>
        <w:bottom w:val="none" w:sz="0" w:space="0" w:color="auto"/>
        <w:right w:val="none" w:sz="0" w:space="0" w:color="auto"/>
      </w:divBdr>
    </w:div>
    <w:div w:id="654262614">
      <w:bodyDiv w:val="1"/>
      <w:marLeft w:val="0"/>
      <w:marRight w:val="0"/>
      <w:marTop w:val="0"/>
      <w:marBottom w:val="0"/>
      <w:divBdr>
        <w:top w:val="none" w:sz="0" w:space="0" w:color="auto"/>
        <w:left w:val="none" w:sz="0" w:space="0" w:color="auto"/>
        <w:bottom w:val="none" w:sz="0" w:space="0" w:color="auto"/>
        <w:right w:val="none" w:sz="0" w:space="0" w:color="auto"/>
      </w:divBdr>
    </w:div>
    <w:div w:id="666321277">
      <w:bodyDiv w:val="1"/>
      <w:marLeft w:val="0"/>
      <w:marRight w:val="0"/>
      <w:marTop w:val="0"/>
      <w:marBottom w:val="0"/>
      <w:divBdr>
        <w:top w:val="none" w:sz="0" w:space="0" w:color="auto"/>
        <w:left w:val="none" w:sz="0" w:space="0" w:color="auto"/>
        <w:bottom w:val="none" w:sz="0" w:space="0" w:color="auto"/>
        <w:right w:val="none" w:sz="0" w:space="0" w:color="auto"/>
      </w:divBdr>
    </w:div>
    <w:div w:id="666591495">
      <w:bodyDiv w:val="1"/>
      <w:marLeft w:val="0"/>
      <w:marRight w:val="0"/>
      <w:marTop w:val="0"/>
      <w:marBottom w:val="0"/>
      <w:divBdr>
        <w:top w:val="none" w:sz="0" w:space="0" w:color="auto"/>
        <w:left w:val="none" w:sz="0" w:space="0" w:color="auto"/>
        <w:bottom w:val="none" w:sz="0" w:space="0" w:color="auto"/>
        <w:right w:val="none" w:sz="0" w:space="0" w:color="auto"/>
      </w:divBdr>
    </w:div>
    <w:div w:id="766458897">
      <w:bodyDiv w:val="1"/>
      <w:marLeft w:val="0"/>
      <w:marRight w:val="0"/>
      <w:marTop w:val="0"/>
      <w:marBottom w:val="0"/>
      <w:divBdr>
        <w:top w:val="none" w:sz="0" w:space="0" w:color="auto"/>
        <w:left w:val="none" w:sz="0" w:space="0" w:color="auto"/>
        <w:bottom w:val="none" w:sz="0" w:space="0" w:color="auto"/>
        <w:right w:val="none" w:sz="0" w:space="0" w:color="auto"/>
      </w:divBdr>
      <w:divsChild>
        <w:div w:id="1749770774">
          <w:marLeft w:val="0"/>
          <w:marRight w:val="0"/>
          <w:marTop w:val="0"/>
          <w:marBottom w:val="0"/>
          <w:divBdr>
            <w:top w:val="none" w:sz="0" w:space="0" w:color="auto"/>
            <w:left w:val="none" w:sz="0" w:space="0" w:color="auto"/>
            <w:bottom w:val="none" w:sz="0" w:space="0" w:color="auto"/>
            <w:right w:val="none" w:sz="0" w:space="0" w:color="auto"/>
          </w:divBdr>
        </w:div>
      </w:divsChild>
    </w:div>
    <w:div w:id="772898272">
      <w:bodyDiv w:val="1"/>
      <w:marLeft w:val="0"/>
      <w:marRight w:val="0"/>
      <w:marTop w:val="0"/>
      <w:marBottom w:val="0"/>
      <w:divBdr>
        <w:top w:val="none" w:sz="0" w:space="0" w:color="auto"/>
        <w:left w:val="none" w:sz="0" w:space="0" w:color="auto"/>
        <w:bottom w:val="none" w:sz="0" w:space="0" w:color="auto"/>
        <w:right w:val="none" w:sz="0" w:space="0" w:color="auto"/>
      </w:divBdr>
      <w:divsChild>
        <w:div w:id="773866817">
          <w:marLeft w:val="0"/>
          <w:marRight w:val="0"/>
          <w:marTop w:val="0"/>
          <w:marBottom w:val="0"/>
          <w:divBdr>
            <w:top w:val="none" w:sz="0" w:space="0" w:color="auto"/>
            <w:left w:val="none" w:sz="0" w:space="0" w:color="auto"/>
            <w:bottom w:val="none" w:sz="0" w:space="0" w:color="auto"/>
            <w:right w:val="none" w:sz="0" w:space="0" w:color="auto"/>
          </w:divBdr>
        </w:div>
      </w:divsChild>
    </w:div>
    <w:div w:id="776869839">
      <w:bodyDiv w:val="1"/>
      <w:marLeft w:val="0"/>
      <w:marRight w:val="0"/>
      <w:marTop w:val="0"/>
      <w:marBottom w:val="0"/>
      <w:divBdr>
        <w:top w:val="none" w:sz="0" w:space="0" w:color="auto"/>
        <w:left w:val="none" w:sz="0" w:space="0" w:color="auto"/>
        <w:bottom w:val="none" w:sz="0" w:space="0" w:color="auto"/>
        <w:right w:val="none" w:sz="0" w:space="0" w:color="auto"/>
      </w:divBdr>
    </w:div>
    <w:div w:id="965624486">
      <w:bodyDiv w:val="1"/>
      <w:marLeft w:val="0"/>
      <w:marRight w:val="0"/>
      <w:marTop w:val="0"/>
      <w:marBottom w:val="0"/>
      <w:divBdr>
        <w:top w:val="none" w:sz="0" w:space="0" w:color="auto"/>
        <w:left w:val="none" w:sz="0" w:space="0" w:color="auto"/>
        <w:bottom w:val="none" w:sz="0" w:space="0" w:color="auto"/>
        <w:right w:val="none" w:sz="0" w:space="0" w:color="auto"/>
      </w:divBdr>
    </w:div>
    <w:div w:id="987368462">
      <w:bodyDiv w:val="1"/>
      <w:marLeft w:val="0"/>
      <w:marRight w:val="0"/>
      <w:marTop w:val="0"/>
      <w:marBottom w:val="0"/>
      <w:divBdr>
        <w:top w:val="none" w:sz="0" w:space="0" w:color="auto"/>
        <w:left w:val="none" w:sz="0" w:space="0" w:color="auto"/>
        <w:bottom w:val="none" w:sz="0" w:space="0" w:color="auto"/>
        <w:right w:val="none" w:sz="0" w:space="0" w:color="auto"/>
      </w:divBdr>
    </w:div>
    <w:div w:id="993874908">
      <w:bodyDiv w:val="1"/>
      <w:marLeft w:val="0"/>
      <w:marRight w:val="0"/>
      <w:marTop w:val="0"/>
      <w:marBottom w:val="0"/>
      <w:divBdr>
        <w:top w:val="none" w:sz="0" w:space="0" w:color="auto"/>
        <w:left w:val="none" w:sz="0" w:space="0" w:color="auto"/>
        <w:bottom w:val="none" w:sz="0" w:space="0" w:color="auto"/>
        <w:right w:val="none" w:sz="0" w:space="0" w:color="auto"/>
      </w:divBdr>
    </w:div>
    <w:div w:id="1063911807">
      <w:bodyDiv w:val="1"/>
      <w:marLeft w:val="0"/>
      <w:marRight w:val="0"/>
      <w:marTop w:val="0"/>
      <w:marBottom w:val="0"/>
      <w:divBdr>
        <w:top w:val="none" w:sz="0" w:space="0" w:color="auto"/>
        <w:left w:val="none" w:sz="0" w:space="0" w:color="auto"/>
        <w:bottom w:val="none" w:sz="0" w:space="0" w:color="auto"/>
        <w:right w:val="none" w:sz="0" w:space="0" w:color="auto"/>
      </w:divBdr>
    </w:div>
    <w:div w:id="1199511403">
      <w:bodyDiv w:val="1"/>
      <w:marLeft w:val="0"/>
      <w:marRight w:val="0"/>
      <w:marTop w:val="0"/>
      <w:marBottom w:val="0"/>
      <w:divBdr>
        <w:top w:val="none" w:sz="0" w:space="0" w:color="auto"/>
        <w:left w:val="none" w:sz="0" w:space="0" w:color="auto"/>
        <w:bottom w:val="none" w:sz="0" w:space="0" w:color="auto"/>
        <w:right w:val="none" w:sz="0" w:space="0" w:color="auto"/>
      </w:divBdr>
    </w:div>
    <w:div w:id="1201670400">
      <w:bodyDiv w:val="1"/>
      <w:marLeft w:val="0"/>
      <w:marRight w:val="0"/>
      <w:marTop w:val="0"/>
      <w:marBottom w:val="0"/>
      <w:divBdr>
        <w:top w:val="none" w:sz="0" w:space="0" w:color="auto"/>
        <w:left w:val="none" w:sz="0" w:space="0" w:color="auto"/>
        <w:bottom w:val="none" w:sz="0" w:space="0" w:color="auto"/>
        <w:right w:val="none" w:sz="0" w:space="0" w:color="auto"/>
      </w:divBdr>
    </w:div>
    <w:div w:id="1355108742">
      <w:bodyDiv w:val="1"/>
      <w:marLeft w:val="0"/>
      <w:marRight w:val="0"/>
      <w:marTop w:val="0"/>
      <w:marBottom w:val="0"/>
      <w:divBdr>
        <w:top w:val="none" w:sz="0" w:space="0" w:color="auto"/>
        <w:left w:val="none" w:sz="0" w:space="0" w:color="auto"/>
        <w:bottom w:val="none" w:sz="0" w:space="0" w:color="auto"/>
        <w:right w:val="none" w:sz="0" w:space="0" w:color="auto"/>
      </w:divBdr>
    </w:div>
    <w:div w:id="1377898698">
      <w:bodyDiv w:val="1"/>
      <w:marLeft w:val="0"/>
      <w:marRight w:val="0"/>
      <w:marTop w:val="0"/>
      <w:marBottom w:val="0"/>
      <w:divBdr>
        <w:top w:val="none" w:sz="0" w:space="0" w:color="auto"/>
        <w:left w:val="none" w:sz="0" w:space="0" w:color="auto"/>
        <w:bottom w:val="none" w:sz="0" w:space="0" w:color="auto"/>
        <w:right w:val="none" w:sz="0" w:space="0" w:color="auto"/>
      </w:divBdr>
    </w:div>
    <w:div w:id="1542671082">
      <w:bodyDiv w:val="1"/>
      <w:marLeft w:val="0"/>
      <w:marRight w:val="0"/>
      <w:marTop w:val="0"/>
      <w:marBottom w:val="0"/>
      <w:divBdr>
        <w:top w:val="none" w:sz="0" w:space="0" w:color="auto"/>
        <w:left w:val="none" w:sz="0" w:space="0" w:color="auto"/>
        <w:bottom w:val="none" w:sz="0" w:space="0" w:color="auto"/>
        <w:right w:val="none" w:sz="0" w:space="0" w:color="auto"/>
      </w:divBdr>
      <w:divsChild>
        <w:div w:id="1750543331">
          <w:marLeft w:val="0"/>
          <w:marRight w:val="0"/>
          <w:marTop w:val="0"/>
          <w:marBottom w:val="0"/>
          <w:divBdr>
            <w:top w:val="none" w:sz="0" w:space="0" w:color="auto"/>
            <w:left w:val="none" w:sz="0" w:space="0" w:color="auto"/>
            <w:bottom w:val="none" w:sz="0" w:space="0" w:color="auto"/>
            <w:right w:val="none" w:sz="0" w:space="0" w:color="auto"/>
          </w:divBdr>
        </w:div>
      </w:divsChild>
    </w:div>
    <w:div w:id="1626500486">
      <w:bodyDiv w:val="1"/>
      <w:marLeft w:val="0"/>
      <w:marRight w:val="0"/>
      <w:marTop w:val="0"/>
      <w:marBottom w:val="0"/>
      <w:divBdr>
        <w:top w:val="none" w:sz="0" w:space="0" w:color="auto"/>
        <w:left w:val="none" w:sz="0" w:space="0" w:color="auto"/>
        <w:bottom w:val="none" w:sz="0" w:space="0" w:color="auto"/>
        <w:right w:val="none" w:sz="0" w:space="0" w:color="auto"/>
      </w:divBdr>
    </w:div>
    <w:div w:id="1663048029">
      <w:bodyDiv w:val="1"/>
      <w:marLeft w:val="0"/>
      <w:marRight w:val="0"/>
      <w:marTop w:val="0"/>
      <w:marBottom w:val="0"/>
      <w:divBdr>
        <w:top w:val="none" w:sz="0" w:space="0" w:color="auto"/>
        <w:left w:val="none" w:sz="0" w:space="0" w:color="auto"/>
        <w:bottom w:val="none" w:sz="0" w:space="0" w:color="auto"/>
        <w:right w:val="none" w:sz="0" w:space="0" w:color="auto"/>
      </w:divBdr>
    </w:div>
    <w:div w:id="1672296946">
      <w:bodyDiv w:val="1"/>
      <w:marLeft w:val="0"/>
      <w:marRight w:val="0"/>
      <w:marTop w:val="0"/>
      <w:marBottom w:val="0"/>
      <w:divBdr>
        <w:top w:val="none" w:sz="0" w:space="0" w:color="auto"/>
        <w:left w:val="none" w:sz="0" w:space="0" w:color="auto"/>
        <w:bottom w:val="none" w:sz="0" w:space="0" w:color="auto"/>
        <w:right w:val="none" w:sz="0" w:space="0" w:color="auto"/>
      </w:divBdr>
    </w:div>
    <w:div w:id="1740246626">
      <w:bodyDiv w:val="1"/>
      <w:marLeft w:val="0"/>
      <w:marRight w:val="0"/>
      <w:marTop w:val="0"/>
      <w:marBottom w:val="0"/>
      <w:divBdr>
        <w:top w:val="none" w:sz="0" w:space="0" w:color="auto"/>
        <w:left w:val="none" w:sz="0" w:space="0" w:color="auto"/>
        <w:bottom w:val="none" w:sz="0" w:space="0" w:color="auto"/>
        <w:right w:val="none" w:sz="0" w:space="0" w:color="auto"/>
      </w:divBdr>
    </w:div>
    <w:div w:id="1770931066">
      <w:bodyDiv w:val="1"/>
      <w:marLeft w:val="0"/>
      <w:marRight w:val="0"/>
      <w:marTop w:val="0"/>
      <w:marBottom w:val="0"/>
      <w:divBdr>
        <w:top w:val="none" w:sz="0" w:space="0" w:color="auto"/>
        <w:left w:val="none" w:sz="0" w:space="0" w:color="auto"/>
        <w:bottom w:val="none" w:sz="0" w:space="0" w:color="auto"/>
        <w:right w:val="none" w:sz="0" w:space="0" w:color="auto"/>
      </w:divBdr>
    </w:div>
    <w:div w:id="1867987851">
      <w:bodyDiv w:val="1"/>
      <w:marLeft w:val="0"/>
      <w:marRight w:val="0"/>
      <w:marTop w:val="0"/>
      <w:marBottom w:val="0"/>
      <w:divBdr>
        <w:top w:val="none" w:sz="0" w:space="0" w:color="auto"/>
        <w:left w:val="none" w:sz="0" w:space="0" w:color="auto"/>
        <w:bottom w:val="none" w:sz="0" w:space="0" w:color="auto"/>
        <w:right w:val="none" w:sz="0" w:space="0" w:color="auto"/>
      </w:divBdr>
      <w:divsChild>
        <w:div w:id="629283090">
          <w:marLeft w:val="0"/>
          <w:marRight w:val="0"/>
          <w:marTop w:val="0"/>
          <w:marBottom w:val="0"/>
          <w:divBdr>
            <w:top w:val="none" w:sz="0" w:space="0" w:color="auto"/>
            <w:left w:val="none" w:sz="0" w:space="0" w:color="auto"/>
            <w:bottom w:val="none" w:sz="0" w:space="0" w:color="auto"/>
            <w:right w:val="none" w:sz="0" w:space="0" w:color="auto"/>
          </w:divBdr>
        </w:div>
      </w:divsChild>
    </w:div>
    <w:div w:id="1938440710">
      <w:bodyDiv w:val="1"/>
      <w:marLeft w:val="0"/>
      <w:marRight w:val="0"/>
      <w:marTop w:val="0"/>
      <w:marBottom w:val="0"/>
      <w:divBdr>
        <w:top w:val="none" w:sz="0" w:space="0" w:color="auto"/>
        <w:left w:val="none" w:sz="0" w:space="0" w:color="auto"/>
        <w:bottom w:val="none" w:sz="0" w:space="0" w:color="auto"/>
        <w:right w:val="none" w:sz="0" w:space="0" w:color="auto"/>
      </w:divBdr>
      <w:divsChild>
        <w:div w:id="752554111">
          <w:marLeft w:val="0"/>
          <w:marRight w:val="0"/>
          <w:marTop w:val="0"/>
          <w:marBottom w:val="0"/>
          <w:divBdr>
            <w:top w:val="none" w:sz="0" w:space="0" w:color="auto"/>
            <w:left w:val="none" w:sz="0" w:space="0" w:color="auto"/>
            <w:bottom w:val="none" w:sz="0" w:space="0" w:color="auto"/>
            <w:right w:val="none" w:sz="0" w:space="0" w:color="auto"/>
          </w:divBdr>
        </w:div>
      </w:divsChild>
    </w:div>
    <w:div w:id="1939948264">
      <w:bodyDiv w:val="1"/>
      <w:marLeft w:val="0"/>
      <w:marRight w:val="0"/>
      <w:marTop w:val="0"/>
      <w:marBottom w:val="0"/>
      <w:divBdr>
        <w:top w:val="none" w:sz="0" w:space="0" w:color="auto"/>
        <w:left w:val="none" w:sz="0" w:space="0" w:color="auto"/>
        <w:bottom w:val="none" w:sz="0" w:space="0" w:color="auto"/>
        <w:right w:val="none" w:sz="0" w:space="0" w:color="auto"/>
      </w:divBdr>
    </w:div>
    <w:div w:id="2031450635">
      <w:bodyDiv w:val="1"/>
      <w:marLeft w:val="0"/>
      <w:marRight w:val="0"/>
      <w:marTop w:val="0"/>
      <w:marBottom w:val="0"/>
      <w:divBdr>
        <w:top w:val="none" w:sz="0" w:space="0" w:color="auto"/>
        <w:left w:val="none" w:sz="0" w:space="0" w:color="auto"/>
        <w:bottom w:val="none" w:sz="0" w:space="0" w:color="auto"/>
        <w:right w:val="none" w:sz="0" w:space="0" w:color="auto"/>
      </w:divBdr>
    </w:div>
    <w:div w:id="2126650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0B1BC-9676-4CCF-A31B-12D9042A4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18</Pages>
  <Words>3494</Words>
  <Characters>19916</Characters>
  <Application>Microsoft Office Word</Application>
  <DocSecurity>0</DocSecurity>
  <Lines>165</Lines>
  <Paragraphs>46</Paragraphs>
  <ScaleCrop>false</ScaleCrop>
  <Company/>
  <LinksUpToDate>false</LinksUpToDate>
  <CharactersWithSpaces>23364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阳 杨</dc:creator>
  <cp:keywords/>
  <dc:description/>
  <cp:lastModifiedBy>阳 杨</cp:lastModifiedBy>
  <cp:revision>21</cp:revision>
  <dcterms:created xsi:type="dcterms:W3CDTF">2025-01-08T19:31:00Z</dcterms:created>
  <dcterms:modified xsi:type="dcterms:W3CDTF">2025-01-09T18:30:00Z</dcterms:modified>
</cp:coreProperties>
</file>