
<file path=[Content_Types].xml><?xml version="1.0" encoding="utf-8"?>
<Types xmlns="http://schemas.openxmlformats.org/package/2006/content-types">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a="http://schemas.openxmlformats.org/drawingml/2006/main" xmlns:r="http://schemas.openxmlformats.org/officeDocument/2006/relationships">
  <w:body>
    <w:p>
      <w:pPr>
        <w:spacing w:after="120" w:before="120" w:line="360" w:lineRule="auto"/>
        <w:ind w:firstLine="0" w:start="0"/>
        <w:jc w:val="start"/>
      </w:pPr>
      <w:r>
        <w:rPr>
          <w:rFonts w:ascii="Arial Bold" w:hAnsi="Arial Bold" w:cs="Arial Bold" w:eastAsia="Arial Bold"/>
          <w:b/>
          <w:bCs/>
          <w:color w:val="000000"/>
          <w:sz w:val="32"/>
          <w:szCs w:val="32"/>
        </w:rPr>
        <w:t xml:space="preserve"> </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center"/>
      </w:pPr>
      <w:r>
        <w:rPr>
          <w:rFonts w:ascii="Arial Bold" w:hAnsi="Arial Bold" w:cs="Arial Bold" w:eastAsia="Arial Bold"/>
          <w:b/>
          <w:bCs/>
          <w:color w:val="000000"/>
          <w:sz w:val="32"/>
          <w:szCs w:val="32"/>
        </w:rPr>
        <w:t>EFFECTIVE CHANGE MANAGEMENT STRATEGIES IN ORGANISATIONS</w:t>
      </w:r>
      <w:r>
        <w:rPr>
          <w:rFonts w:ascii="Arimo" w:hAnsi="Arimo" w:cs="Arimo" w:eastAsia="Arimo"/>
          <w:color w:val="000000"/>
          <w:sz w:val="24"/>
          <w:szCs w:val="24"/>
        </w:rPr>
        <w:t xml:space="preserve">
</w:t>
      </w:r>
    </w:p>
    <w:p>
      <w:pPr>
        <w:spacing w:after="120" w:before="120"/>
      </w:pPr>
      <w:r>
        <w:br w:type="page"/>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6" w:lineRule="auto"/>
        <w:ind w:firstLine="0" w:start="0"/>
        <w:jc w:val="start"/>
      </w:pPr>
      <w:r>
        <w:rPr>
          <w:rFonts w:ascii="Arial Bold" w:hAnsi="Arial Bold" w:cs="Arial Bold" w:eastAsia="Arial Bold"/>
          <w:b/>
          <w:bCs/>
          <w:color w:val="000000"/>
          <w:sz w:val="28"/>
          <w:szCs w:val="28"/>
        </w:rPr>
        <w:t>1.0 Introduction</w:t>
      </w:r>
      <w:r>
        <w:rPr>
          <w:rFonts w:ascii="Arial Bold" w:hAnsi="Arial Bold" w:cs="Arial Bold" w:eastAsia="Arial Bold"/>
          <w:b/>
          <w:bCs/>
          <w:color w:val="000000"/>
          <w:sz w:val="28"/>
          <w:szCs w:val="28"/>
        </w:rPr>
        <w:t xml:space="preserve">
</w:t>
      </w:r>
    </w:p>
    <w:p>
      <w:pPr>
        <w:spacing w:after="120" w:before="120" w:line="360" w:lineRule="auto"/>
        <w:ind w:firstLine="0" w:start="0"/>
        <w:jc w:val="start"/>
      </w:pPr>
      <w:r>
        <w:rPr>
          <w:rFonts w:ascii="Arial" w:hAnsi="Arial" w:cs="Arial" w:eastAsia="Arial"/>
          <w:color w:val="000000"/>
          <w:sz w:val="24"/>
          <w:szCs w:val="24"/>
        </w:rPr>
        <w:t xml:space="preserve">The modern business environment is quick to change and is now an inevitable part of the organisational environment due to the accelerated rate of technological development, globalisation, competition in the market, and fluctuating expectations of the workforce (Agustian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2023). It is becoming necessary that organisations venture beyond just surviving, but also have the ability to maintain long-term growth and competitiveness (Phillips and Klein, 2023). Change management has become one of the important organisational capabilities in this context. Nevertheless, in spite of its acknowledged significance, the majority of the change efforts still fail, and it seems that change management is an elaborate and tricky process (Nadler, 2024).</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Employees can have a strong resistance, which is one of the major problems that lead to unsuccessful change initiatives (Kulkov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 xml:space="preserve">2024). Resistance is usually based on the fear of the unknown, the inconvenience of the old ways of doing things, and the perceived risk to job security or the role in the organisation (Jabri and Jabri, 2022). This emphasises that change is not only a technical and structural process, but it is also a highly human process, which must be sensitive to the perceptions, emotions, and behaviours of the employees. It, therefore, means that organisations should target strategies that deal with these human factors in order to have a successful implementation (Allam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2024).</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Leadership is an important aspect in determining the results of organisational change. The successful leaders are supposed to give clear guidance, explain the objective of change, and encourage the employees to participate in new processes and practices. It has been found that leadership styles focusing on vision, support, and inclusivity would be more effective in reducing resistance and increasing employee commitment (Mwambaa, 2023). Besides leadership, communication is also well known as another key aspect in ensuring successful change. Constant and open communication assists in establishing trust, minimising uncertainty, and making sure that the workers comprehend the importance and usefulness of change programs (Ramos-Macaes and Roman-Portas, 2022).</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In addition, the growing rate of digital transformation has also contributed to the demand for effective change management. The adoption of new technologies, including artificial intelligence, cloud computing, and data analytics, demands organisations to make more than operational changes, including cultural and strategic ones (Omol, 2024). Those organisations that do not respond proactively to such changes will lose their competitive edge, as has been witnessed with some of the high-profile corporate collapses. Although there is a high level of research in this field, no agreement has been reached on the most effective way of handling organisational change. The existing literature indicates that the success of any entity is highly conditional on the nature of change, the dynamic of the industry, and organisational culture (Mizrak, 2024). It means that a one-size-fits-all approach is hardly likely to work, and organisations have to be flexible and situational.</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Therefore, this dissertation will critically examine the major drivers of successful change management that focus specifically on leadership, communication, employee engagement, and organisational preparedness. The investigation of these factors in the light of the actual organisational problems should help the research to offer a deeper insight into how change may be effectively dealt with in a growing, dynamic and uncertain business environment.</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1.1 Research Purpose</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This study aims to critically review the success of change management concepts in modern organisations, with special attention given to the disparity between the theoretical framework and the real practice. Although established frameworks such as Lewin’s and Kotter’s models provide structured guidance, existing literature indicates that organisations rarely apply these models rigidly, instead relying on flexible and context-specific approaches (Phillips and Klein, 2023). This brings about questions on the usefulness and applicability of traditional change management theories in practice and universally. Moreover, the high rates of change initiatives' failure indicate that such critical aspects as the effectiveness of leadership, the quality of the communication, the involvement of employees, and the readiness of the organisations are not effectively managed using model-based approaches individually (Mizrak, 2024). The study is hence required to assess the interaction of these factors in actual organisational contexts and their impact on the end results of change. This research will seek to offer a finer perspective of change management as a non-linear process by synthesising theoretical and empirical knowledge. The results will be added to the academic literature, as they will not only help to resolve discrepancies between the current literature but also provide practical implications to the managers who may wish to adopt more effective and context-relevant change strategies.</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1.2 Research Aim and Objectives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dissertation will aim to critically determine how effective change management strategies lead to organisational success through an assessment of the role of change management leadership, communication, and employee engagement, and the evaluation of whether models available are all applicable or need to be adjusted to a particular organisational setting.</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Objectives:</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To determine some of the important models and strategies of change management applied in organisations.</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To critically evaluate how leadership, communication, and employee engagement are effective in change implementation.</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To discuss the connection between the readiness of organisations and the positive results of change.</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To discuss the question of the existence of a universal change management model or the need to make strategies context-specific.</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1.3 Research Questions</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Arial" w:hAnsi="Arial" w:cs="Arial" w:eastAsia="Arial"/>
          <w:color w:val="000000"/>
          <w:sz w:val="24"/>
          <w:szCs w:val="24"/>
        </w:rPr>
        <w:t>What change management strategies are most frequently associated with successful organisational transformation?</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Arial" w:hAnsi="Arial" w:cs="Arial" w:eastAsia="Arial"/>
          <w:color w:val="000000"/>
          <w:sz w:val="24"/>
          <w:szCs w:val="24"/>
        </w:rPr>
        <w:t>How do leadership style and communication practices influence employee commitment to change?</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Arial" w:hAnsi="Arial" w:cs="Arial" w:eastAsia="Arial"/>
          <w:color w:val="000000"/>
          <w:sz w:val="24"/>
          <w:szCs w:val="24"/>
        </w:rPr>
        <w:t>Why do some change initiatives fail despite following established models?</w:t>
      </w:r>
      <w:r>
        <w:rPr>
          <w:rFonts w:ascii="Arimo" w:hAnsi="Arimo" w:cs="Arimo" w:eastAsia="Arimo"/>
          <w:color w:val="000000"/>
          <w:sz w:val="24"/>
          <w:szCs w:val="24"/>
        </w:rPr>
        <w:t xml:space="preserve">
</w:t>
      </w:r>
    </w:p>
    <w:p>
      <w:pPr>
        <w:numPr>
          <w:ilvl w:val="0"/>
          <w:numId w:val="2"/>
        </w:numPr>
        <w:spacing w:after="0" w:before="0" w:line="360" w:lineRule="auto"/>
        <w:jc w:val="start"/>
      </w:pPr>
      <w:r>
        <w:rPr>
          <w:rFonts w:ascii="Arial" w:hAnsi="Arial" w:cs="Arial" w:eastAsia="Arial"/>
          <w:color w:val="000000"/>
          <w:sz w:val="24"/>
          <w:szCs w:val="24"/>
        </w:rPr>
        <w:t>Is there empirical evidence supporting one preferred change management framework?</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8"/>
          <w:szCs w:val="28"/>
        </w:rPr>
        <w:t>2.0 Literature Review</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Introduction to Change Management within Organisations: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Change management is also well known as a key organisational capability in adapting to dynamic business environments that are influenced by technological innovation, globalisation, and competitive pressures. The current literature points out that effective change management goes beyond structural changes and necessitates the balancing of organisational strategy, organisational culture, and human behaviour (Nadler, 2024). Nevertheless, even with the substantial amount of research, the problem of inconsistency in determining strategies universally effective remains the strongest associated with the differences in contextual settings of organisations and industries.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Leadership and Communication as Critical Success Factors: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Leadership and communication are always highlighted as the key aspects of successful change management. Mwambaa (2023) highlights how transformational leadership can help motivate employees, decrease resistance, and promote an encouraging organisational climate. Leaders are supposed to communicate a clear vision, involve employees in decision-making and lead by example. This relation is also supported by empirical evidence. As Ramos-Macaes and Roman-Portas (2022) show, communication is an important factor that increases the effectiveness of leadership and commitment of the employees, in terms of the successful implementation of the change. On the same note, Petrauskaite-Jociene and Korsakiene (2024) establish that effective communication and transparency in leadership reduce uncertainty and employee engagement. Although it has contributed to these, most studies are restricted by sector-specific samples and have no generalisability. Moreover, the lack of integration between the leadership and structural and technological aspects of change is common.</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Employee Resistance and Engagement:</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issue of resistance to change is still one of the greatest obstacles to effective organisational change. A psychological factor that poses a resistance identified by Jabri and Jabri (2022) includes fear of the unknown, the loss of control and the attachment to the familiar routine. This brings out the need to focus on emotional and behavioural aspects of change. Okolie and Memeh (2022) indicate that participation, training, and motivation, which are employee engagement strategies, can also be used in a significant way to mitigate resistance and increase acceptance. Also, it is important to cultivate a culture of trust and inclusiveness in enhancing resistance to change. </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Digital Transformation and Emerging Change:</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Change management has become more complicated due to the growing role of digital transformation. According to Omol (2024), technological innovation is one of the main drivers of organisational change that necessitates more than operational changes but a cultural one as well. The examples of successful companies like Amazon and Microsoft explain why leadership, agility, and strategic alignment are crucial, and there are examples of failures like Kodak to show that the unwillingness to change technologically can be life-threatening. Kherrazi and Roquilly (2025) also state that the conventional models are still applicable, but should be transformed to fit the digital environment, which may necessitate the combination of several frameworks. Though a lot of research in this field is carried out using case studies, this restricts its external validity.</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Sustainability, Innovation, and Strategic Alignment:</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recent literature has made change management broader to cover sustainability and innovation. Sancak (2023) incorporates ESG in change management, where governance and stakeholder engagement are the primary long-term transformation forces. On the same note, Chychun</w:t>
      </w:r>
      <w:r>
        <w:rPr>
          <w:rFonts w:ascii="Arial Italics" w:hAnsi="Arial Italics" w:cs="Arial Italics" w:eastAsia="Arial Italics"/>
          <w:i/>
          <w:iCs/>
          <w:color w:val="000000"/>
          <w:sz w:val="24"/>
          <w:szCs w:val="24"/>
        </w:rPr>
        <w:t xml:space="preserve"> et al.</w:t>
      </w:r>
      <w:r>
        <w:rPr>
          <w:rFonts w:ascii="Arial" w:hAnsi="Arial" w:cs="Arial" w:eastAsia="Arial"/>
          <w:color w:val="000000"/>
          <w:sz w:val="24"/>
          <w:szCs w:val="24"/>
        </w:rPr>
        <w:t xml:space="preserve"> (2023) emphasise the necessity of bringing together innovation, sustainability, and employee involvement into a single concept. Allam </w:t>
      </w:r>
      <w:r>
        <w:rPr>
          <w:rFonts w:ascii="Arial Italics" w:hAnsi="Arial Italics" w:cs="Arial Italics" w:eastAsia="Arial Italics"/>
          <w:i/>
          <w:iCs/>
          <w:color w:val="000000"/>
          <w:sz w:val="24"/>
          <w:szCs w:val="24"/>
        </w:rPr>
        <w:t>et al.</w:t>
      </w:r>
      <w:r>
        <w:rPr>
          <w:rFonts w:ascii="Arial" w:hAnsi="Arial" w:cs="Arial" w:eastAsia="Arial"/>
          <w:color w:val="000000"/>
          <w:sz w:val="24"/>
          <w:szCs w:val="24"/>
        </w:rPr>
        <w:t xml:space="preserve"> (2024) also emphasise the value of strategic alignment and use case studies to calculate that effective change initiatives are tightly interconnected with organisational aims and executive vision. Nevertheless, these studies tend to concentrate on successful cases, in addition to ignoring failures and hence restricting critical scrutiny.</w:t>
      </w:r>
      <w:r>
        <w:rPr>
          <w:rFonts w:ascii="Arimo" w:hAnsi="Arimo" w:cs="Arimo" w:eastAsia="Arimo"/>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Theoretical Framework:</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classical change management theories give organised methods of changing the organisation. There are the Lewin Three-Step Model and Kotter Eight-Step Model, which have in common the stages of change, the role of leadership, and the alignment of organisational components (Bhavani and Mahalakshmi, 2023; Hayes, 2025). These models provide a logical explanation of change planning and implementation. Roman e</w:t>
      </w:r>
      <w:r>
        <w:rPr>
          <w:rFonts w:ascii="Arial Italics" w:hAnsi="Arial Italics" w:cs="Arial Italics" w:eastAsia="Arial Italics"/>
          <w:i/>
          <w:iCs/>
          <w:color w:val="000000"/>
          <w:sz w:val="24"/>
          <w:szCs w:val="24"/>
        </w:rPr>
        <w:t>t al.</w:t>
      </w:r>
      <w:r>
        <w:rPr>
          <w:rFonts w:ascii="Arial" w:hAnsi="Arial" w:cs="Arial" w:eastAsia="Arial"/>
          <w:color w:val="000000"/>
          <w:sz w:val="24"/>
          <w:szCs w:val="24"/>
        </w:rPr>
        <w:t xml:space="preserve"> (2024) indicate that even though these models have different structures, they are connected by several principles, among which are leadership support, communication, employee involvement, and cultural alignment. Although theoretically extensive, these models are commonly criticised as being too linear and simplistic; they do not reflect the complexity and the non-linear nature of modern organisational change (Mizrak, 2024). Such a limitation brings up the question of whether they can be applied practically in fast-moving settings.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lack of correspondence between theory and practice is a major theme in the literature. Phillips and Klein (2023) emphasise that practitioners tend to stick to formal models, but rather adopt flexible and situation-specific strategies. They find that their empirical evidence shows that organisations focus on effective measures like communication, stakeholder participation, and cultural alignment rather than being strictly adherent to models. Mizrak (2024) upholds the position of dynamic and adaptive models where organisations have to keep changing their strategies in order to adapt to the changes in the environment. A lot of this work has been done on the frequency of use of a strategy as opposed to its effectiveness, and this hinders the determination of which practices actually achieve successful results. Besides, the use of self-reported data is subject to response bias and generalisability.</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8"/>
          <w:szCs w:val="28"/>
        </w:rPr>
        <w:t>3.0 Research Methodology</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3.1 Research Method and Approach</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research method of this study is the qualitative research approach based on the systematic literature review (SLR) to critically evaluate effective change management strategies in organisations (Rosid </w:t>
      </w:r>
      <w:r>
        <w:rPr>
          <w:rFonts w:ascii="Arial Italics" w:hAnsi="Arial Italics" w:cs="Arial Italics" w:eastAsia="Arial Italics"/>
          <w:i/>
          <w:iCs/>
          <w:color w:val="000000"/>
          <w:sz w:val="24"/>
          <w:szCs w:val="24"/>
        </w:rPr>
        <w:t>et al.</w:t>
      </w:r>
      <w:r>
        <w:rPr>
          <w:rFonts w:ascii="Arial" w:hAnsi="Arial" w:cs="Arial" w:eastAsia="Arial"/>
          <w:color w:val="000000"/>
          <w:sz w:val="24"/>
          <w:szCs w:val="24"/>
        </w:rPr>
        <w:t xml:space="preserve"> 2025). The qualitative approach is suitable since the study aims at explaining and generalising the available body of knowledge on intricate organisational behaviours like leadership, communication and employee engagement, and not producing numerical outcomes. They use an indicative approach, according to which the study is informed by current theories and results of change management (Nwachuku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2023). The study analyses the relevance of these defined concepts to the actual organisational policy, especially in bridging the gap that exists between the theory and practice. The systematic literature review offers a structured, transparent and reproducible method of finding and analysing the pertinent studies.</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3.2 Research Philosophy</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study is based on an interpretivist philosophy that aims at interpreting the social and organisational realities through subjective interpretations. Human behaviour, organisational culture and the contexts inherently affect change management, and hence interpretivism is the best-fitting approach to address this study (Bhavani and Mahalakshmi, 2023). This philosophy enables the researcher to critically read the varying views of the literature because there is no objective truth on the subject of effective change management. Rather, situational variables and stakeholder experiences influence the outcomes. Nevertheless, the systematic and transparent review is employed to reduce the possible bias.</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3.3 Data Collection Procedure</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research is based on secondary data, which will be obtained by conducting a search of scholarly literature. The databases, including Google Scholar, Scopus, and ScienceDirect, are used to identify the relevant articles. The search process is guided by a set of keywords, which consists of change management strategies, organisational change, leadership in change, employee resistance, and digital transformation (Chychun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2023). The first pool of about 50 peer-reviewed articles is located. They are then filtered with pre-set inclusion and exclusion parameters in order to make sure they are relevant and of quality.</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515"/>
        <w:gridCol w:w="4515"/>
      </w:tblGrid>
      <w:tr>
        <w:tc>
          <w:tcPr>
            <w:tcW w:w="4515" w:type="dxa"/>
            <w:tcMar>
              <w:top w:w="75"/>
              <w:start w:w="75"/>
              <w:bottom w:w="75"/>
              <w:end w:w="75"/>
            </w:tcMar>
          </w:tcPr>
          <w:p>
            <w:pPr>
              <w:spacing w:after="120" w:before="120" w:line="360" w:lineRule="auto"/>
              <w:ind w:firstLine="0" w:start="0"/>
              <w:jc w:val="center"/>
            </w:pPr>
            <w:r>
              <w:rPr>
                <w:rFonts w:ascii="Arial Bold" w:hAnsi="Arial Bold" w:cs="Arial Bold" w:eastAsia="Arial Bold"/>
                <w:b/>
                <w:bCs/>
                <w:color w:val="000000"/>
                <w:sz w:val="24"/>
                <w:szCs w:val="24"/>
              </w:rPr>
              <w:t>Inclusion criteria:</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tc>
        <w:tc>
          <w:tcPr>
            <w:tcW w:w="4515" w:type="dxa"/>
            <w:tcMar>
              <w:top w:w="75"/>
              <w:start w:w="75"/>
              <w:bottom w:w="75"/>
              <w:end w:w="75"/>
            </w:tcMar>
          </w:tcPr>
          <w:p>
            <w:pPr>
              <w:spacing w:after="120" w:before="120" w:line="360" w:lineRule="auto"/>
              <w:ind w:firstLine="0" w:start="0"/>
              <w:jc w:val="center"/>
            </w:pPr>
            <w:r>
              <w:rPr>
                <w:rFonts w:ascii="Arial Bold" w:hAnsi="Arial Bold" w:cs="Arial Bold" w:eastAsia="Arial Bold"/>
                <w:b/>
                <w:bCs/>
                <w:color w:val="000000"/>
                <w:sz w:val="24"/>
                <w:szCs w:val="24"/>
              </w:rPr>
              <w:t>Exclusion criteria:</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tc>
      </w:tr>
      <w:tr>
        <w:tc>
          <w:tcPr>
            <w:tcW w:w="4515" w:type="dxa"/>
            <w:tcMar>
              <w:top w:w="75"/>
              <w:start w:w="75"/>
              <w:bottom w:w="75"/>
              <w:end w:w="75"/>
            </w:tcMar>
          </w:tcPr>
          <w:p>
            <w:pPr>
              <w:numPr>
                <w:ilvl w:val="0"/>
                <w:numId w:val="3"/>
              </w:numPr>
              <w:spacing w:after="0" w:before="0" w:line="360" w:lineRule="auto"/>
              <w:jc w:val="start"/>
            </w:pPr>
            <w:r>
              <w:rPr>
                <w:rFonts w:ascii="Arial" w:hAnsi="Arial" w:cs="Arial" w:eastAsia="Arial"/>
                <w:color w:val="000000"/>
                <w:sz w:val="24"/>
                <w:szCs w:val="24"/>
              </w:rPr>
              <w:t>Journal articles that have been peer-reviewed in the past years of 2020-2025.</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Arial" w:hAnsi="Arial" w:cs="Arial" w:eastAsia="Arial"/>
                <w:color w:val="000000"/>
                <w:sz w:val="24"/>
                <w:szCs w:val="24"/>
              </w:rPr>
              <w:t>Literature about organisational change management directly.</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Arial" w:hAnsi="Arial" w:cs="Arial" w:eastAsia="Arial"/>
                <w:color w:val="000000"/>
                <w:sz w:val="24"/>
                <w:szCs w:val="24"/>
              </w:rPr>
              <w:t>Articles having explicit research methodology.</w:t>
            </w:r>
            <w:r>
              <w:rPr>
                <w:rFonts w:ascii="Arimo" w:hAnsi="Arimo" w:cs="Arimo" w:eastAsia="Arimo"/>
                <w:color w:val="000000"/>
                <w:sz w:val="24"/>
                <w:szCs w:val="24"/>
              </w:rPr>
              <w:t xml:space="preserve">
</w:t>
            </w:r>
          </w:p>
          <w:p>
            <w:pPr>
              <w:numPr>
                <w:ilvl w:val="0"/>
                <w:numId w:val="3"/>
              </w:numPr>
              <w:spacing w:after="0" w:before="0" w:line="360" w:lineRule="auto"/>
              <w:jc w:val="start"/>
            </w:pPr>
            <w:r>
              <w:rPr>
                <w:rFonts w:ascii="Arial" w:hAnsi="Arial" w:cs="Arial" w:eastAsia="Arial"/>
                <w:color w:val="000000"/>
                <w:sz w:val="24"/>
                <w:szCs w:val="24"/>
              </w:rPr>
              <w:t>English-language publications.</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tc>
        <w:tc>
          <w:tcPr>
            <w:tcW w:w="4515" w:type="dxa"/>
            <w:tcMar>
              <w:top w:w="75"/>
              <w:start w:w="75"/>
              <w:bottom w:w="75"/>
              <w:end w:w="75"/>
            </w:tcMar>
          </w:tcPr>
          <w:p>
            <w:pPr>
              <w:numPr>
                <w:ilvl w:val="0"/>
                <w:numId w:val="4"/>
              </w:numPr>
              <w:spacing w:after="0" w:before="0" w:line="360" w:lineRule="auto"/>
              <w:jc w:val="start"/>
            </w:pPr>
            <w:r>
              <w:rPr>
                <w:rFonts w:ascii="Arial" w:hAnsi="Arial" w:cs="Arial" w:eastAsia="Arial"/>
                <w:color w:val="000000"/>
                <w:sz w:val="24"/>
                <w:szCs w:val="24"/>
              </w:rPr>
              <w:t>Unrelevant or off-topic research.</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Arial" w:hAnsi="Arial" w:cs="Arial" w:eastAsia="Arial"/>
                <w:color w:val="000000"/>
                <w:sz w:val="24"/>
                <w:szCs w:val="24"/>
              </w:rPr>
              <w:t>Non-academic sources or non-peer-reviewed sources.</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Arial" w:hAnsi="Arial" w:cs="Arial" w:eastAsia="Arial"/>
                <w:color w:val="000000"/>
                <w:sz w:val="24"/>
                <w:szCs w:val="24"/>
              </w:rPr>
              <w:t>Duplicate articles</w:t>
            </w:r>
            <w:r>
              <w:rPr>
                <w:rFonts w:ascii="Arimo" w:hAnsi="Arimo" w:cs="Arimo" w:eastAsia="Arimo"/>
                <w:color w:val="000000"/>
                <w:sz w:val="24"/>
                <w:szCs w:val="24"/>
              </w:rPr>
              <w:t xml:space="preserve">
</w:t>
            </w:r>
          </w:p>
          <w:p>
            <w:pPr>
              <w:numPr>
                <w:ilvl w:val="0"/>
                <w:numId w:val="4"/>
              </w:numPr>
              <w:spacing w:after="0" w:before="0" w:line="360" w:lineRule="auto"/>
              <w:jc w:val="start"/>
            </w:pPr>
            <w:r>
              <w:rPr>
                <w:rFonts w:ascii="Arial" w:hAnsi="Arial" w:cs="Arial" w:eastAsia="Arial"/>
                <w:color w:val="000000"/>
                <w:sz w:val="24"/>
                <w:szCs w:val="24"/>
              </w:rPr>
              <w:t>Research with weak methodology.</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tc>
      </w:tr>
    </w:tbl>
    <w:p>
      <w:pPr>
        <w:spacing w:after="120" w:before="120" w:line="360" w:lineRule="auto"/>
        <w:ind w:firstLine="0" w:start="0"/>
        <w:jc w:val="start"/>
      </w:pPr>
      <w:r>
        <w:rPr>
          <w:rFonts w:ascii="Arial" w:hAnsi="Arial" w:cs="Arial" w:eastAsia="Arial"/>
          <w:color w:val="000000"/>
          <w:sz w:val="24"/>
          <w:szCs w:val="24"/>
        </w:rPr>
        <w:t>After this procedure, 15-20 quality articles are picked to be analysed deeply. This systematic sampling improves the validity and reliability of the results.</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6"/>
          <w:szCs w:val="26"/>
        </w:rPr>
        <w:t>3.4 Data Analysis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thematic analysis is used to analyse the selected studies, which helps recognise the common patterns and themes in the literature. This will entail sorting the data in a systematic way and classifying the results into the themes of leadership effectiveness, communication practices, employee engagement, organisational readiness, and contextual adaptability. Thematic analysis makes it possible to critically compare studies and reveal similarities, differences, and gaps in the literature. It is also useful in building a holistic knowledge of effective change management strategies through the incorporation of both theoretical and practical knowledge. Although this research approach offers detailed qualitative data, it is constrained in that it is based on current literature, and there is the possibility of interpretive bias. However, a systematic approach is applied to make the analysis rigorous, transparent and scholarly.</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8"/>
          <w:szCs w:val="28"/>
        </w:rPr>
        <w:t>4.0 Ethical Considerations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In this research, ethical considerations in the process of gathering the data are strictly followed, especially given the fact that it involves a secondary data collection method because the study relies on a systematic literature review. Since no primary data that involves human subjects is gathered, confidentiality and informed consent issues are less explicit; nevertheless, ethical accountability is extremely significant in the choice and utilisation of the existing sources (Cheraghi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 xml:space="preserve">2023). To make sure that all the information is reliable and academically sound, all the data will be acquired in the form of credible and peer-reviewed academic publications and reputable databases. All referencing and citation (Harvard style) will be observed to prevent plagiarism and give due credit to the original authors. The inclusion and exclusion criteria are used in a systematic manner to reduce the selection bias and make the research procedure transparent. One of the most important issues in secondary research is the possibility of misinterpretations or selective reporting of results. In response to this, the study is balanced and objective in nature, making sure that different viewpoints, including contradictory material, are taken into account (Bristol-Alagbariya </w:t>
      </w:r>
      <w:r>
        <w:rPr>
          <w:rFonts w:ascii="Arial Italics" w:hAnsi="Arial Italics" w:cs="Arial Italics" w:eastAsia="Arial Italics"/>
          <w:i/>
          <w:iCs/>
          <w:color w:val="000000"/>
          <w:sz w:val="24"/>
          <w:szCs w:val="24"/>
        </w:rPr>
        <w:t xml:space="preserve">et al. </w:t>
      </w:r>
      <w:r>
        <w:rPr>
          <w:rFonts w:ascii="Arial" w:hAnsi="Arial" w:cs="Arial" w:eastAsia="Arial"/>
          <w:color w:val="000000"/>
          <w:sz w:val="24"/>
          <w:szCs w:val="24"/>
        </w:rPr>
        <w:t>2022). Also, care is observed not to manipulate or distort results to comply with pre-conceived notions. Lastly, the dissertation also upholds scholarly integrity as it substantiates the drawbacks of the utilised data, i.e., bias in original research or non-generalisability. This will make the study ethical, transparent and credible.</w:t>
      </w: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8"/>
          <w:szCs w:val="28"/>
        </w:rPr>
        <w:t>5.0 Project Timeline</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jc w:val="center"/>
      </w:pPr>
      <w:r>
        <w:drawing>
          <wp:anchor simplePos="false" relativeHeight="0" behindDoc="false" locked="false" layoutInCell="true" allowOverlap="true">
            <wp:simplePos x="0" y="0"/>
            <wp:positionH relativeFrom="page">
              <wp:posOffset>742408</wp:posOffset>
            </wp:positionH>
            <wp:positionV relativeFrom="paragraph">
              <wp:posOffset>0</wp:posOffset>
            </wp:positionV>
            <wp:extent cx="6078035" cy="1547794"/>
            <wp:wrapTopAndBottom/>
            <wp:docPr id="0" name="Drawing 0" descr="c4db01dd80318a91876ad8cd71b89d7e.png"/>
            <wp:cNvGraphicFramePr>
              <a:graphicFrameLocks noChangeAspect="true"/>
            </wp:cNvGraphicFramePr>
            <a:graphic>
              <a:graphicData uri="http://schemas.openxmlformats.org/drawingml/2006/picture">
                <pic:pic xmlns:pic="http://schemas.openxmlformats.org/drawingml/2006/picture">
                  <pic:nvPicPr>
                    <pic:cNvPr id="0" name="Picture 0" descr="c4db01dd80318a91876ad8cd71b89d7e.png"/>
                    <pic:cNvPicPr>
                      <a:picLocks noChangeAspect="true"/>
                    </pic:cNvPicPr>
                  </pic:nvPicPr>
                  <pic:blipFill>
                    <a:blip r:embed="rId4"/>
                    <a:srcRect l="0" t="0" r="0" b="0"/>
                    <a:stretch>
                      <a:fillRect/>
                    </a:stretch>
                  </pic:blipFill>
                  <pic:spPr>
                    <a:xfrm flipH="false" flipV="false">
                      <a:off x="0" y="0"/>
                      <a:ext cx="6078035" cy="1547794"/>
                    </a:xfrm>
                    <a:prstGeom prst="rect">
                      <a:avLst/>
                    </a:prstGeom>
                  </pic:spPr>
                </pic:pic>
              </a:graphicData>
            </a:graphic>
          </wp:anchor>
        </w:drawing>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center"/>
      </w:pPr>
      <w:r>
        <w:rPr>
          <w:rFonts w:ascii="Arial" w:hAnsi="Arial" w:cs="Arial" w:eastAsia="Arial"/>
          <w:color w:val="000000"/>
          <w:sz w:val="24"/>
          <w:szCs w:val="24"/>
        </w:rPr>
        <w:t>(Source: Self-created)</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6" w:lineRule="auto"/>
        <w:ind w:firstLine="0" w:start="0"/>
        <w:jc w:val="start"/>
      </w:pPr>
      <w:r>
        <w:rPr>
          <w:rFonts w:ascii="Arial Bold" w:hAnsi="Arial Bold" w:cs="Arial Bold" w:eastAsia="Arial Bold"/>
          <w:b/>
          <w:bCs/>
          <w:color w:val="000000"/>
          <w:sz w:val="28"/>
          <w:szCs w:val="28"/>
        </w:rPr>
        <w:t>Reference List</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Agustian, K., Pohan, A., Zen, A., Wiwin, W. and Malik, A.J., 2023. Human resource management strategies in achieving competitive advantage in business administration. </w:t>
      </w:r>
      <w:r>
        <w:rPr>
          <w:rFonts w:ascii="Arial Italics" w:hAnsi="Arial Italics" w:cs="Arial Italics" w:eastAsia="Arial Italics"/>
          <w:i/>
          <w:iCs/>
          <w:color w:val="000000"/>
          <w:sz w:val="24"/>
          <w:szCs w:val="24"/>
        </w:rPr>
        <w:t>Journal of Contemporary Administration and Management (ADMAN)</w:t>
      </w:r>
      <w:r>
        <w:rPr>
          <w:rFonts w:ascii="Arial" w:hAnsi="Arial" w:cs="Arial" w:eastAsia="Arial"/>
          <w:color w:val="000000"/>
          <w:sz w:val="24"/>
          <w:szCs w:val="24"/>
        </w:rPr>
        <w:t>, </w:t>
      </w:r>
      <w:r>
        <w:rPr>
          <w:rFonts w:ascii="Arial Italics" w:hAnsi="Arial Italics" w:cs="Arial Italics" w:eastAsia="Arial Italics"/>
          <w:i/>
          <w:iCs/>
          <w:color w:val="000000"/>
          <w:sz w:val="24"/>
          <w:szCs w:val="24"/>
        </w:rPr>
        <w:t>1</w:t>
      </w:r>
      <w:r>
        <w:rPr>
          <w:rFonts w:ascii="Arial" w:hAnsi="Arial" w:cs="Arial" w:eastAsia="Arial"/>
          <w:color w:val="000000"/>
          <w:sz w:val="24"/>
          <w:szCs w:val="24"/>
        </w:rPr>
        <w:t>(2), pp.108-117.</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Allam, A.R., Farhan, K.A., Kommineni, H.P., Deming, C. and Boinapalli, N.R., 2024. Effective change management strategies: Lessons learned from successful organizational transformations. </w:t>
      </w:r>
      <w:r>
        <w:rPr>
          <w:rFonts w:ascii="Arial Italics" w:hAnsi="Arial Italics" w:cs="Arial Italics" w:eastAsia="Arial Italics"/>
          <w:i/>
          <w:iCs/>
          <w:color w:val="000000"/>
          <w:sz w:val="24"/>
          <w:szCs w:val="24"/>
        </w:rPr>
        <w:t>American Journal of Trade and Policy</w:t>
      </w:r>
      <w:r>
        <w:rPr>
          <w:rFonts w:ascii="Arial" w:hAnsi="Arial" w:cs="Arial" w:eastAsia="Arial"/>
          <w:color w:val="000000"/>
          <w:sz w:val="24"/>
          <w:szCs w:val="24"/>
        </w:rPr>
        <w:t xml:space="preserve">, </w:t>
      </w:r>
      <w:r>
        <w:rPr>
          <w:rFonts w:ascii="Arial Italics" w:hAnsi="Arial Italics" w:cs="Arial Italics" w:eastAsia="Arial Italics"/>
          <w:i/>
          <w:iCs/>
          <w:color w:val="000000"/>
          <w:sz w:val="24"/>
          <w:szCs w:val="24"/>
        </w:rPr>
        <w:t>11</w:t>
      </w:r>
      <w:r>
        <w:rPr>
          <w:rFonts w:ascii="Arial" w:hAnsi="Arial" w:cs="Arial" w:eastAsia="Arial"/>
          <w:color w:val="000000"/>
          <w:sz w:val="24"/>
          <w:szCs w:val="24"/>
        </w:rPr>
        <w:t>(1), pp.17-30.</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Bhavani, G. and Mahalakshmi, M., 2023. Change management: Strategies for successful organizational transitions. </w:t>
      </w:r>
      <w:r>
        <w:rPr>
          <w:rFonts w:ascii="Arial Italics" w:hAnsi="Arial Italics" w:cs="Arial Italics" w:eastAsia="Arial Italics"/>
          <w:i/>
          <w:iCs/>
          <w:color w:val="000000"/>
          <w:sz w:val="24"/>
          <w:szCs w:val="24"/>
        </w:rPr>
        <w:t>International Journal for Multidisciplinary Research</w:t>
      </w:r>
      <w:r>
        <w:rPr>
          <w:rFonts w:ascii="Arial" w:hAnsi="Arial" w:cs="Arial" w:eastAsia="Arial"/>
          <w:color w:val="000000"/>
          <w:sz w:val="24"/>
          <w:szCs w:val="24"/>
        </w:rPr>
        <w:t>, </w:t>
      </w:r>
      <w:r>
        <w:rPr>
          <w:rFonts w:ascii="Arial Italics" w:hAnsi="Arial Italics" w:cs="Arial Italics" w:eastAsia="Arial Italics"/>
          <w:i/>
          <w:iCs/>
          <w:color w:val="000000"/>
          <w:sz w:val="24"/>
          <w:szCs w:val="24"/>
        </w:rPr>
        <w:t>5</w:t>
      </w:r>
      <w:r>
        <w:rPr>
          <w:rFonts w:ascii="Arial" w:hAnsi="Arial" w:cs="Arial" w:eastAsia="Arial"/>
          <w:color w:val="000000"/>
          <w:sz w:val="24"/>
          <w:szCs w:val="24"/>
        </w:rPr>
        <w:t>(4), pp.1-11.</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Bristol-Alagbariya, B., Ayanponle, O.L. and Ogedengbe, D.E., 2022. Developing and implementing advanced performance management systems for enhanced organizational productivity. </w:t>
      </w:r>
      <w:r>
        <w:rPr>
          <w:rFonts w:ascii="Arial Italics" w:hAnsi="Arial Italics" w:cs="Arial Italics" w:eastAsia="Arial Italics"/>
          <w:i/>
          <w:iCs/>
          <w:color w:val="000000"/>
          <w:sz w:val="24"/>
          <w:szCs w:val="24"/>
        </w:rPr>
        <w:t>World Journal of Advanced Science and Technology</w:t>
      </w:r>
      <w:r>
        <w:rPr>
          <w:rFonts w:ascii="Arial" w:hAnsi="Arial" w:cs="Arial" w:eastAsia="Arial"/>
          <w:color w:val="000000"/>
          <w:sz w:val="24"/>
          <w:szCs w:val="24"/>
        </w:rPr>
        <w:t>, </w:t>
      </w:r>
      <w:r>
        <w:rPr>
          <w:rFonts w:ascii="Arial Italics" w:hAnsi="Arial Italics" w:cs="Arial Italics" w:eastAsia="Arial Italics"/>
          <w:i/>
          <w:iCs/>
          <w:color w:val="000000"/>
          <w:sz w:val="24"/>
          <w:szCs w:val="24"/>
        </w:rPr>
        <w:t>2</w:t>
      </w:r>
      <w:r>
        <w:rPr>
          <w:rFonts w:ascii="Arial" w:hAnsi="Arial" w:cs="Arial" w:eastAsia="Arial"/>
          <w:color w:val="000000"/>
          <w:sz w:val="24"/>
          <w:szCs w:val="24"/>
        </w:rPr>
        <w:t>(1), pp.39-46.</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Cheraghi, R., Ebrahimi, H., Kheibar, N. and Sahebihagh, M.H., 2023. Reasons for resistance to change in nursing: an integrative review. </w:t>
      </w:r>
      <w:r>
        <w:rPr>
          <w:rFonts w:ascii="Arial Italics" w:hAnsi="Arial Italics" w:cs="Arial Italics" w:eastAsia="Arial Italics"/>
          <w:i/>
          <w:iCs/>
          <w:color w:val="000000"/>
          <w:sz w:val="24"/>
          <w:szCs w:val="24"/>
        </w:rPr>
        <w:t>BMC nursing</w:t>
      </w:r>
      <w:r>
        <w:rPr>
          <w:rFonts w:ascii="Arial" w:hAnsi="Arial" w:cs="Arial" w:eastAsia="Arial"/>
          <w:color w:val="000000"/>
          <w:sz w:val="24"/>
          <w:szCs w:val="24"/>
        </w:rPr>
        <w:t xml:space="preserve">, </w:t>
      </w:r>
      <w:r>
        <w:rPr>
          <w:rFonts w:ascii="Arial Italics" w:hAnsi="Arial Italics" w:cs="Arial Italics" w:eastAsia="Arial Italics"/>
          <w:i/>
          <w:iCs/>
          <w:color w:val="000000"/>
          <w:sz w:val="24"/>
          <w:szCs w:val="24"/>
        </w:rPr>
        <w:t>22</w:t>
      </w:r>
      <w:r>
        <w:rPr>
          <w:rFonts w:ascii="Arial" w:hAnsi="Arial" w:cs="Arial" w:eastAsia="Arial"/>
          <w:color w:val="000000"/>
          <w:sz w:val="24"/>
          <w:szCs w:val="24"/>
        </w:rPr>
        <w:t>(1), p.310.</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Chychun, V., Grechanyk, O., Khliebnikova, T., Temchenko, O. and Kravchenko, Н., 2023. Change management models and methods: implementing innovations, ensuring sustainability and engaging staff.</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Hayes, J., 2025. </w:t>
      </w:r>
      <w:r>
        <w:rPr>
          <w:rFonts w:ascii="Arial Italics" w:hAnsi="Arial Italics" w:cs="Arial Italics" w:eastAsia="Arial Italics"/>
          <w:i/>
          <w:iCs/>
          <w:color w:val="000000"/>
          <w:sz w:val="24"/>
          <w:szCs w:val="24"/>
        </w:rPr>
        <w:t>The theory and practice of change management</w:t>
      </w:r>
      <w:r>
        <w:rPr>
          <w:rFonts w:ascii="Arial" w:hAnsi="Arial" w:cs="Arial" w:eastAsia="Arial"/>
          <w:color w:val="000000"/>
          <w:sz w:val="24"/>
          <w:szCs w:val="24"/>
        </w:rPr>
        <w:t>. Bloomsbury Publishing.</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Jabri, M. and Jabri, E., 2022. </w:t>
      </w:r>
      <w:r>
        <w:rPr>
          <w:rFonts w:ascii="Arial Italics" w:hAnsi="Arial Italics" w:cs="Arial Italics" w:eastAsia="Arial Italics"/>
          <w:i/>
          <w:iCs/>
          <w:color w:val="000000"/>
          <w:sz w:val="24"/>
          <w:szCs w:val="24"/>
        </w:rPr>
        <w:t>Managing organizational change</w:t>
      </w:r>
      <w:r>
        <w:rPr>
          <w:rFonts w:ascii="Arial" w:hAnsi="Arial" w:cs="Arial" w:eastAsia="Arial"/>
          <w:color w:val="000000"/>
          <w:sz w:val="24"/>
          <w:szCs w:val="24"/>
        </w:rPr>
        <w:t>. Bloomsbury Publishing.</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Kherrazi, S. and Roquilly, C., 2025. Managing digital transformation in contemporary contexts: Are classical change management frameworks still relevant?. </w:t>
      </w:r>
      <w:r>
        <w:rPr>
          <w:rFonts w:ascii="Arial Italics" w:hAnsi="Arial Italics" w:cs="Arial Italics" w:eastAsia="Arial Italics"/>
          <w:i/>
          <w:iCs/>
          <w:color w:val="000000"/>
          <w:sz w:val="24"/>
          <w:szCs w:val="24"/>
        </w:rPr>
        <w:t>Journal of Change Management</w:t>
      </w:r>
      <w:r>
        <w:rPr>
          <w:rFonts w:ascii="Arial" w:hAnsi="Arial" w:cs="Arial" w:eastAsia="Arial"/>
          <w:color w:val="000000"/>
          <w:sz w:val="24"/>
          <w:szCs w:val="24"/>
        </w:rPr>
        <w:t>, </w:t>
      </w:r>
      <w:r>
        <w:rPr>
          <w:rFonts w:ascii="Arial Italics" w:hAnsi="Arial Italics" w:cs="Arial Italics" w:eastAsia="Arial Italics"/>
          <w:i/>
          <w:iCs/>
          <w:color w:val="000000"/>
          <w:sz w:val="24"/>
          <w:szCs w:val="24"/>
        </w:rPr>
        <w:t>25</w:t>
      </w:r>
      <w:r>
        <w:rPr>
          <w:rFonts w:ascii="Arial" w:hAnsi="Arial" w:cs="Arial" w:eastAsia="Arial"/>
          <w:color w:val="000000"/>
          <w:sz w:val="24"/>
          <w:szCs w:val="24"/>
        </w:rPr>
        <w:t>(2), pp.85-115.</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Kulkov, I., Kulkova, J., Rohrbeck, R., Menvielle, L., Kaartemo, V. and Makkonen, H., 2024. Artificial intelligence</w:t>
      </w:r>
      <w:r>
        <w:rPr>
          <w:rFonts w:ascii="Cambria" w:hAnsi="Cambria" w:cs="Cambria" w:eastAsia="Cambria"/>
          <w:color w:val="000000"/>
          <w:sz w:val="24"/>
          <w:szCs w:val="24"/>
        </w:rPr>
        <w:t>‐</w:t>
      </w:r>
      <w:r>
        <w:rPr>
          <w:rFonts w:ascii="Arial" w:hAnsi="Arial" w:cs="Arial" w:eastAsia="Arial"/>
          <w:color w:val="000000"/>
          <w:sz w:val="24"/>
          <w:szCs w:val="24"/>
        </w:rPr>
        <w:t xml:space="preserve">driven sustainable development: Examining organizational, technical, and processing approaches to achieving global goals. </w:t>
      </w:r>
      <w:r>
        <w:rPr>
          <w:rFonts w:ascii="Arial Italics" w:hAnsi="Arial Italics" w:cs="Arial Italics" w:eastAsia="Arial Italics"/>
          <w:i/>
          <w:iCs/>
          <w:color w:val="000000"/>
          <w:sz w:val="24"/>
          <w:szCs w:val="24"/>
        </w:rPr>
        <w:t>Sustainable Development</w:t>
      </w:r>
      <w:r>
        <w:rPr>
          <w:rFonts w:ascii="Arial" w:hAnsi="Arial" w:cs="Arial" w:eastAsia="Arial"/>
          <w:color w:val="000000"/>
          <w:sz w:val="24"/>
          <w:szCs w:val="24"/>
        </w:rPr>
        <w:t xml:space="preserve">, </w:t>
      </w:r>
      <w:r>
        <w:rPr>
          <w:rFonts w:ascii="Arial Italics" w:hAnsi="Arial Italics" w:cs="Arial Italics" w:eastAsia="Arial Italics"/>
          <w:i/>
          <w:iCs/>
          <w:color w:val="000000"/>
          <w:sz w:val="24"/>
          <w:szCs w:val="24"/>
        </w:rPr>
        <w:t>32</w:t>
      </w:r>
      <w:r>
        <w:rPr>
          <w:rFonts w:ascii="Arial" w:hAnsi="Arial" w:cs="Arial" w:eastAsia="Arial"/>
          <w:color w:val="000000"/>
          <w:sz w:val="24"/>
          <w:szCs w:val="24"/>
        </w:rPr>
        <w:t>(3), pp.2253-2267.</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Mızrak, F., 2024. Effective change management strategies: Exploring dynamic models for organizational transformation. In </w:t>
      </w:r>
      <w:r>
        <w:rPr>
          <w:rFonts w:ascii="Arial Italics" w:hAnsi="Arial Italics" w:cs="Arial Italics" w:eastAsia="Arial Italics"/>
          <w:i/>
          <w:iCs/>
          <w:color w:val="000000"/>
          <w:sz w:val="24"/>
          <w:szCs w:val="24"/>
        </w:rPr>
        <w:t>Perspectives on artificial intelligence in times of turbulence: Theoretical background to applications</w:t>
      </w:r>
      <w:r>
        <w:rPr>
          <w:rFonts w:ascii="Arial" w:hAnsi="Arial" w:cs="Arial" w:eastAsia="Arial"/>
          <w:color w:val="000000"/>
          <w:sz w:val="24"/>
          <w:szCs w:val="24"/>
        </w:rPr>
        <w:t> (pp. 135-162). IGI Global Scientific Publishing.</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Mwamba, J., 2023. Effective Leadership in Change Management: Ensuring Success in Organizational Transformation. </w:t>
      </w:r>
      <w:r>
        <w:rPr>
          <w:rFonts w:ascii="Arial Italics" w:hAnsi="Arial Italics" w:cs="Arial Italics" w:eastAsia="Arial Italics"/>
          <w:i/>
          <w:iCs/>
          <w:color w:val="000000"/>
          <w:sz w:val="24"/>
          <w:szCs w:val="24"/>
        </w:rPr>
        <w:t>Journal of Policy Options</w:t>
      </w:r>
      <w:r>
        <w:rPr>
          <w:rFonts w:ascii="Arial" w:hAnsi="Arial" w:cs="Arial" w:eastAsia="Arial"/>
          <w:color w:val="000000"/>
          <w:sz w:val="24"/>
          <w:szCs w:val="24"/>
        </w:rPr>
        <w:t xml:space="preserve">, </w:t>
      </w:r>
      <w:r>
        <w:rPr>
          <w:rFonts w:ascii="Arial Italics" w:hAnsi="Arial Italics" w:cs="Arial Italics" w:eastAsia="Arial Italics"/>
          <w:i/>
          <w:iCs/>
          <w:color w:val="000000"/>
          <w:sz w:val="24"/>
          <w:szCs w:val="24"/>
        </w:rPr>
        <w:t>6</w:t>
      </w:r>
      <w:r>
        <w:rPr>
          <w:rFonts w:ascii="Arial" w:hAnsi="Arial" w:cs="Arial" w:eastAsia="Arial"/>
          <w:color w:val="000000"/>
          <w:sz w:val="24"/>
          <w:szCs w:val="24"/>
        </w:rPr>
        <w:t>(1), pp.28-38.</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Nadler, D.A., 2024. The effective management of organizational change. In </w:t>
      </w:r>
      <w:r>
        <w:rPr>
          <w:rFonts w:ascii="Arial Italics" w:hAnsi="Arial Italics" w:cs="Arial Italics" w:eastAsia="Arial Italics"/>
          <w:i/>
          <w:iCs/>
          <w:color w:val="000000"/>
          <w:sz w:val="24"/>
          <w:szCs w:val="24"/>
        </w:rPr>
        <w:t>Revitalizing Manufacturing</w:t>
      </w:r>
      <w:r>
        <w:rPr>
          <w:rFonts w:ascii="Arial" w:hAnsi="Arial" w:cs="Arial" w:eastAsia="Arial"/>
          <w:color w:val="000000"/>
          <w:sz w:val="24"/>
          <w:szCs w:val="24"/>
        </w:rPr>
        <w:t> (pp. 185-200). CRC Press.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Nwachuku, A., Okereka, O.P.P. and Mukoro, A., 2023. Models and approaches to change and change management in modern organisations. </w:t>
      </w:r>
      <w:r>
        <w:rPr>
          <w:rFonts w:ascii="Arial Italics" w:hAnsi="Arial Italics" w:cs="Arial Italics" w:eastAsia="Arial Italics"/>
          <w:i/>
          <w:iCs/>
          <w:color w:val="000000"/>
          <w:sz w:val="24"/>
          <w:szCs w:val="24"/>
        </w:rPr>
        <w:t>J-MIND (Jurnal Manajemen Indonesia)</w:t>
      </w:r>
      <w:r>
        <w:rPr>
          <w:rFonts w:ascii="Arial" w:hAnsi="Arial" w:cs="Arial" w:eastAsia="Arial"/>
          <w:color w:val="000000"/>
          <w:sz w:val="24"/>
          <w:szCs w:val="24"/>
        </w:rPr>
        <w:t>, </w:t>
      </w:r>
      <w:r>
        <w:rPr>
          <w:rFonts w:ascii="Arial Italics" w:hAnsi="Arial Italics" w:cs="Arial Italics" w:eastAsia="Arial Italics"/>
          <w:i/>
          <w:iCs/>
          <w:color w:val="000000"/>
          <w:sz w:val="24"/>
          <w:szCs w:val="24"/>
        </w:rPr>
        <w:t>8</w:t>
      </w:r>
      <w:r>
        <w:rPr>
          <w:rFonts w:ascii="Arial" w:hAnsi="Arial" w:cs="Arial" w:eastAsia="Arial"/>
          <w:color w:val="000000"/>
          <w:sz w:val="24"/>
          <w:szCs w:val="24"/>
        </w:rPr>
        <w:t>(2), pp.109-120.</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Okolie, U.C. and Memeh, N.J., 2022. Influence of change management on modern organizational efficiency. </w:t>
      </w:r>
      <w:r>
        <w:rPr>
          <w:rFonts w:ascii="Arial Italics" w:hAnsi="Arial Italics" w:cs="Arial Italics" w:eastAsia="Arial Italics"/>
          <w:i/>
          <w:iCs/>
          <w:color w:val="000000"/>
          <w:sz w:val="24"/>
          <w:szCs w:val="24"/>
        </w:rPr>
        <w:t>Jurnal Riset Ekonomi dan Bisnis</w:t>
      </w:r>
      <w:r>
        <w:rPr>
          <w:rFonts w:ascii="Arial" w:hAnsi="Arial" w:cs="Arial" w:eastAsia="Arial"/>
          <w:color w:val="000000"/>
          <w:sz w:val="24"/>
          <w:szCs w:val="24"/>
        </w:rPr>
        <w:t>, </w:t>
      </w:r>
      <w:r>
        <w:rPr>
          <w:rFonts w:ascii="Arial Italics" w:hAnsi="Arial Italics" w:cs="Arial Italics" w:eastAsia="Arial Italics"/>
          <w:i/>
          <w:iCs/>
          <w:color w:val="000000"/>
          <w:sz w:val="24"/>
          <w:szCs w:val="24"/>
        </w:rPr>
        <w:t>15</w:t>
      </w:r>
      <w:r>
        <w:rPr>
          <w:rFonts w:ascii="Arial" w:hAnsi="Arial" w:cs="Arial" w:eastAsia="Arial"/>
          <w:color w:val="000000"/>
          <w:sz w:val="24"/>
          <w:szCs w:val="24"/>
        </w:rPr>
        <w:t>(3), pp.171-195.</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Omol, E.J., 2024. Organizational digital transformation: from evolution to future trends. </w:t>
      </w:r>
      <w:r>
        <w:rPr>
          <w:rFonts w:ascii="Arial Italics" w:hAnsi="Arial Italics" w:cs="Arial Italics" w:eastAsia="Arial Italics"/>
          <w:i/>
          <w:iCs/>
          <w:color w:val="000000"/>
          <w:sz w:val="24"/>
          <w:szCs w:val="24"/>
        </w:rPr>
        <w:t>Digital Transformation and Society</w:t>
      </w:r>
      <w:r>
        <w:rPr>
          <w:rFonts w:ascii="Arial" w:hAnsi="Arial" w:cs="Arial" w:eastAsia="Arial"/>
          <w:color w:val="000000"/>
          <w:sz w:val="24"/>
          <w:szCs w:val="24"/>
        </w:rPr>
        <w:t>, </w:t>
      </w:r>
      <w:r>
        <w:rPr>
          <w:rFonts w:ascii="Arial Italics" w:hAnsi="Arial Italics" w:cs="Arial Italics" w:eastAsia="Arial Italics"/>
          <w:i/>
          <w:iCs/>
          <w:color w:val="000000"/>
          <w:sz w:val="24"/>
          <w:szCs w:val="24"/>
        </w:rPr>
        <w:t>3</w:t>
      </w:r>
      <w:r>
        <w:rPr>
          <w:rFonts w:ascii="Arial" w:hAnsi="Arial" w:cs="Arial" w:eastAsia="Arial"/>
          <w:color w:val="000000"/>
          <w:sz w:val="24"/>
          <w:szCs w:val="24"/>
        </w:rPr>
        <w:t>(3), pp.240-256.</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Petrauskaitė-Jocienė, V. and Korsakienė, R., 2024. The factors impacting employee commitment to organizational change. </w:t>
      </w:r>
      <w:r>
        <w:rPr>
          <w:rFonts w:ascii="Arial Italics" w:hAnsi="Arial Italics" w:cs="Arial Italics" w:eastAsia="Arial Italics"/>
          <w:i/>
          <w:iCs/>
          <w:color w:val="000000"/>
          <w:sz w:val="24"/>
          <w:szCs w:val="24"/>
        </w:rPr>
        <w:t>Business: Theory and Practice</w:t>
      </w:r>
      <w:r>
        <w:rPr>
          <w:rFonts w:ascii="Arial" w:hAnsi="Arial" w:cs="Arial" w:eastAsia="Arial"/>
          <w:color w:val="000000"/>
          <w:sz w:val="24"/>
          <w:szCs w:val="24"/>
        </w:rPr>
        <w:t>, </w:t>
      </w:r>
      <w:r>
        <w:rPr>
          <w:rFonts w:ascii="Arial Italics" w:hAnsi="Arial Italics" w:cs="Arial Italics" w:eastAsia="Arial Italics"/>
          <w:i/>
          <w:iCs/>
          <w:color w:val="000000"/>
          <w:sz w:val="24"/>
          <w:szCs w:val="24"/>
        </w:rPr>
        <w:t>25</w:t>
      </w:r>
      <w:r>
        <w:rPr>
          <w:rFonts w:ascii="Arial" w:hAnsi="Arial" w:cs="Arial" w:eastAsia="Arial"/>
          <w:color w:val="000000"/>
          <w:sz w:val="24"/>
          <w:szCs w:val="24"/>
        </w:rPr>
        <w:t>(2), pp.488-501.</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Phillips, J. and Klein, J.D., 2023. Change management: From theory to practice. </w:t>
      </w:r>
      <w:r>
        <w:rPr>
          <w:rFonts w:ascii="Arial Italics" w:hAnsi="Arial Italics" w:cs="Arial Italics" w:eastAsia="Arial Italics"/>
          <w:i/>
          <w:iCs/>
          <w:color w:val="000000"/>
          <w:sz w:val="24"/>
          <w:szCs w:val="24"/>
        </w:rPr>
        <w:t>TechTrends</w:t>
      </w:r>
      <w:r>
        <w:rPr>
          <w:rFonts w:ascii="Arial" w:hAnsi="Arial" w:cs="Arial" w:eastAsia="Arial"/>
          <w:color w:val="000000"/>
          <w:sz w:val="24"/>
          <w:szCs w:val="24"/>
        </w:rPr>
        <w:t>, </w:t>
      </w:r>
      <w:r>
        <w:rPr>
          <w:rFonts w:ascii="Arial Italics" w:hAnsi="Arial Italics" w:cs="Arial Italics" w:eastAsia="Arial Italics"/>
          <w:i/>
          <w:iCs/>
          <w:color w:val="000000"/>
          <w:sz w:val="24"/>
          <w:szCs w:val="24"/>
        </w:rPr>
        <w:t>67</w:t>
      </w:r>
      <w:r>
        <w:rPr>
          <w:rFonts w:ascii="Arial" w:hAnsi="Arial" w:cs="Arial" w:eastAsia="Arial"/>
          <w:color w:val="000000"/>
          <w:sz w:val="24"/>
          <w:szCs w:val="24"/>
        </w:rPr>
        <w:t>(1), pp.189-197.</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Ramos-Maçães, M.A. and Román-Portas, M., 2022. The effects of organizational communication, leadership, and employee commitment in organizational change in the hospitality sector. </w:t>
      </w:r>
      <w:r>
        <w:rPr>
          <w:rFonts w:ascii="Arial Italics" w:hAnsi="Arial Italics" w:cs="Arial Italics" w:eastAsia="Arial Italics"/>
          <w:i/>
          <w:iCs/>
          <w:color w:val="000000"/>
          <w:sz w:val="24"/>
          <w:szCs w:val="24"/>
        </w:rPr>
        <w:t>Communication &amp; Society</w:t>
      </w:r>
      <w:r>
        <w:rPr>
          <w:rFonts w:ascii="Arial" w:hAnsi="Arial" w:cs="Arial" w:eastAsia="Arial"/>
          <w:color w:val="000000"/>
          <w:sz w:val="24"/>
          <w:szCs w:val="24"/>
        </w:rPr>
        <w:t>, pp.89-106.</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Roman, C.T., Manolica, A. and Bulat, C.I., 2024. Qualitative analysis of change management models. </w:t>
      </w:r>
      <w:r>
        <w:rPr>
          <w:rFonts w:ascii="Arial Italics" w:hAnsi="Arial Italics" w:cs="Arial Italics" w:eastAsia="Arial Italics"/>
          <w:i/>
          <w:iCs/>
          <w:color w:val="000000"/>
          <w:sz w:val="24"/>
          <w:szCs w:val="24"/>
        </w:rPr>
        <w:t>Ovidius University Annals, Economic Sciences Series, XXIV (2024)</w:t>
      </w:r>
      <w:r>
        <w:rPr>
          <w:rFonts w:ascii="Arial" w:hAnsi="Arial" w:cs="Arial" w:eastAsia="Arial"/>
          <w:color w:val="000000"/>
          <w:sz w:val="24"/>
          <w:szCs w:val="24"/>
        </w:rPr>
        <w:t>, </w:t>
      </w:r>
      <w:r>
        <w:rPr>
          <w:rFonts w:ascii="Arial Italics" w:hAnsi="Arial Italics" w:cs="Arial Italics" w:eastAsia="Arial Italics"/>
          <w:i/>
          <w:iCs/>
          <w:color w:val="000000"/>
          <w:sz w:val="24"/>
          <w:szCs w:val="24"/>
        </w:rPr>
        <w:t>1</w:t>
      </w:r>
      <w:r>
        <w:rPr>
          <w:rFonts w:ascii="Arial" w:hAnsi="Arial" w:cs="Arial" w:eastAsia="Arial"/>
          <w:color w:val="000000"/>
          <w:sz w:val="24"/>
          <w:szCs w:val="24"/>
        </w:rPr>
        <w:t>, pp.502-508.</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Rosid, A., Judijanto, L., Stiadi, M. and Mohamad, M.T., 2025. Contemporary marketing management strategies: navigating complexity and challenges in the dynamic industry era. </w:t>
      </w:r>
      <w:r>
        <w:rPr>
          <w:rFonts w:ascii="Arial Italics" w:hAnsi="Arial Italics" w:cs="Arial Italics" w:eastAsia="Arial Italics"/>
          <w:i/>
          <w:iCs/>
          <w:color w:val="000000"/>
          <w:sz w:val="24"/>
          <w:szCs w:val="24"/>
        </w:rPr>
        <w:t>INTERNATIONAL JOURNAL OF FINANCIAL ECONOMICS</w:t>
      </w:r>
      <w:r>
        <w:rPr>
          <w:rFonts w:ascii="Arial" w:hAnsi="Arial" w:cs="Arial" w:eastAsia="Arial"/>
          <w:color w:val="000000"/>
          <w:sz w:val="24"/>
          <w:szCs w:val="24"/>
        </w:rPr>
        <w:t>, </w:t>
      </w:r>
      <w:r>
        <w:rPr>
          <w:rFonts w:ascii="Arial Italics" w:hAnsi="Arial Italics" w:cs="Arial Italics" w:eastAsia="Arial Italics"/>
          <w:i/>
          <w:iCs/>
          <w:color w:val="000000"/>
          <w:sz w:val="24"/>
          <w:szCs w:val="24"/>
        </w:rPr>
        <w:t>1</w:t>
      </w:r>
      <w:r>
        <w:rPr>
          <w:rFonts w:ascii="Arial" w:hAnsi="Arial" w:cs="Arial" w:eastAsia="Arial"/>
          <w:color w:val="000000"/>
          <w:sz w:val="24"/>
          <w:szCs w:val="24"/>
        </w:rPr>
        <w:t>(8), pp.271-284.</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Bold Italics">
    <w:panose1 w:val="020B0704020202090204"/>
    <w:charset w:characterSet="1"/>
    <w:embedBoldItalic r:id="rId2"/>
  </w:font>
  <w:font w:name="Arimo Italics">
    <w:panose1 w:val="020B0604020202090204"/>
    <w:charset w:characterSet="1"/>
    <w:embedItalic r:id="rId3"/>
  </w:font>
  <w:font w:name="Arimo">
    <w:panose1 w:val="020B0604020202020204"/>
    <w:charset w:characterSet="1"/>
    <w:embedRegular r:id="rId4"/>
  </w:font>
  <w:font w:name="Arial Bold">
    <w:panose1 w:val="020B0704020202020204"/>
    <w:charset w:characterSet="1"/>
  </w:font>
  <w:font w:name="Arial Italics">
    <w:panose1 w:val="020B0604020202090204"/>
    <w:charset w:characterSet="1"/>
  </w:font>
  <w:font w:name="Arial">
    <w:panose1 w:val="020B0604020202020204"/>
    <w:charset w:characterSet="1"/>
  </w:font>
  <w:font w:name="Cambria">
    <w:panose1 w:val="02040503050406030204"/>
    <w:charset w:characterSet="1"/>
  </w:font>
</w:fonts>
</file>

<file path=word/numbering.xml><?xml version="1.0" encoding="utf-8"?>
<w:numbering xmlns:w="http://schemas.openxmlformats.org/wordprocessingml/2006/main">
  <w:abstractNum w:abstractNumId="1">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2">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3">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4">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embedTrueTypeFonts/>
  <w:doNotShadeFormData/>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numbering.xml" Type="http://schemas.openxmlformats.org/officeDocument/2006/relationships/numbering"/><Relationship Id="rId4" Target="media/image1.png" Type="http://schemas.openxmlformats.org/officeDocument/2006/relationships/image"/></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2026-03-19T20:02:35Z</dcterms:created>
  <dc:creator>Apache POI</dc:creator>
  <dc:title>DOC-20260319-WA0010..docx</dc:title>
</cp:coreProperties>
</file>