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8AF49" w14:textId="77777777" w:rsidR="00E07719" w:rsidRPr="006E7124" w:rsidRDefault="00E07719" w:rsidP="00D56F64">
      <w:pPr>
        <w:spacing w:line="259" w:lineRule="auto"/>
        <w:jc w:val="center"/>
        <w:rPr>
          <w:rFonts w:ascii="Arial" w:eastAsia="Arial" w:hAnsi="Arial" w:cs="Arial"/>
          <w:i/>
          <w:iCs/>
          <w:kern w:val="0"/>
          <w:sz w:val="22"/>
          <w:szCs w:val="22"/>
          <w:lang w:val="en-US" w:eastAsia="en-US"/>
          <w14:ligatures w14:val="none"/>
        </w:rPr>
      </w:pPr>
      <w:r w:rsidRPr="006E7124">
        <w:rPr>
          <w:noProof/>
        </w:rPr>
        <w:drawing>
          <wp:anchor distT="0" distB="0" distL="114300" distR="114300" simplePos="0" relativeHeight="251659264" behindDoc="0" locked="0" layoutInCell="1" allowOverlap="1" wp14:anchorId="77CE74ED" wp14:editId="4668B1BE">
            <wp:simplePos x="0" y="0"/>
            <wp:positionH relativeFrom="column">
              <wp:posOffset>-669925</wp:posOffset>
            </wp:positionH>
            <wp:positionV relativeFrom="paragraph">
              <wp:posOffset>0</wp:posOffset>
            </wp:positionV>
            <wp:extent cx="1719580" cy="685800"/>
            <wp:effectExtent l="0" t="0" r="0" b="0"/>
            <wp:wrapTopAndBottom/>
            <wp:docPr id="113393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930486" name=""/>
                    <pic:cNvPicPr/>
                  </pic:nvPicPr>
                  <pic:blipFill>
                    <a:blip r:embed="rId7"/>
                    <a:stretch>
                      <a:fillRect/>
                    </a:stretch>
                  </pic:blipFill>
                  <pic:spPr>
                    <a:xfrm>
                      <a:off x="0" y="0"/>
                      <a:ext cx="1719580" cy="685800"/>
                    </a:xfrm>
                    <a:prstGeom prst="rect">
                      <a:avLst/>
                    </a:prstGeom>
                  </pic:spPr>
                </pic:pic>
              </a:graphicData>
            </a:graphic>
            <wp14:sizeRelH relativeFrom="margin">
              <wp14:pctWidth>0</wp14:pctWidth>
            </wp14:sizeRelH>
            <wp14:sizeRelV relativeFrom="margin">
              <wp14:pctHeight>0</wp14:pctHeight>
            </wp14:sizeRelV>
          </wp:anchor>
        </w:drawing>
      </w:r>
      <w:r w:rsidRPr="006E7124">
        <w:rPr>
          <w:rFonts w:ascii="Arial" w:eastAsia="Arial" w:hAnsi="Arial" w:cs="Arial"/>
          <w:i/>
          <w:iCs/>
          <w:kern w:val="0"/>
          <w:lang w:val="en-US" w:eastAsia="en-US"/>
          <w14:ligatures w14:val="none"/>
        </w:rPr>
        <w:t>University of Trinity Saint David</w:t>
      </w:r>
      <w:r w:rsidRPr="006E7124">
        <w:rPr>
          <w:rFonts w:eastAsiaTheme="minorHAnsi"/>
          <w:kern w:val="0"/>
          <w:sz w:val="22"/>
          <w:szCs w:val="22"/>
          <w:lang w:val="en-US" w:eastAsia="en-US"/>
          <w14:ligatures w14:val="none"/>
        </w:rPr>
        <w:br/>
      </w:r>
    </w:p>
    <w:p w14:paraId="2E497DBB" w14:textId="77777777" w:rsidR="00E07719" w:rsidRPr="006E7124" w:rsidRDefault="00E07719" w:rsidP="0058477A">
      <w:pPr>
        <w:spacing w:line="259" w:lineRule="auto"/>
        <w:rPr>
          <w:rFonts w:ascii="Arial" w:eastAsia="Arial" w:hAnsi="Arial" w:cs="Arial"/>
          <w:i/>
          <w:iCs/>
          <w:kern w:val="0"/>
          <w:sz w:val="22"/>
          <w:szCs w:val="22"/>
          <w:lang w:val="en-US" w:eastAsia="en-US"/>
          <w14:ligatures w14:val="none"/>
        </w:rPr>
      </w:pPr>
      <w:r w:rsidRPr="006E7124">
        <w:rPr>
          <w:rFonts w:ascii="Arial" w:eastAsia="Arial" w:hAnsi="Arial" w:cs="Arial"/>
          <w:i/>
          <w:iCs/>
          <w:kern w:val="0"/>
          <w:sz w:val="22"/>
          <w:szCs w:val="22"/>
          <w:lang w:val="en-US" w:eastAsia="en-US"/>
          <w14:ligatures w14:val="none"/>
        </w:rPr>
        <w:t xml:space="preserve">  </w:t>
      </w:r>
    </w:p>
    <w:p w14:paraId="54692C39" w14:textId="77777777" w:rsidR="00E07719" w:rsidRPr="006E7124" w:rsidRDefault="00E07719" w:rsidP="0058477A">
      <w:pPr>
        <w:spacing w:line="360" w:lineRule="auto"/>
        <w:jc w:val="both"/>
        <w:rPr>
          <w:rFonts w:ascii="Arial" w:eastAsia="Arial" w:hAnsi="Arial" w:cs="Arial"/>
          <w:i/>
          <w:iCs/>
          <w:color w:val="000000" w:themeColor="text1"/>
          <w:kern w:val="0"/>
          <w:lang w:eastAsia="en-US"/>
          <w14:ligatures w14:val="none"/>
        </w:rPr>
      </w:pPr>
    </w:p>
    <w:p w14:paraId="61D276DF" w14:textId="77777777" w:rsidR="00E07719" w:rsidRPr="006E7124" w:rsidRDefault="00E07719" w:rsidP="0058477A">
      <w:pPr>
        <w:spacing w:line="360" w:lineRule="auto"/>
        <w:jc w:val="both"/>
        <w:rPr>
          <w:rFonts w:ascii="Arial" w:eastAsia="Arial" w:hAnsi="Arial" w:cs="Arial"/>
          <w:i/>
          <w:iCs/>
          <w:color w:val="000000" w:themeColor="text1"/>
          <w:kern w:val="0"/>
          <w:lang w:eastAsia="en-US"/>
          <w14:ligatures w14:val="none"/>
        </w:rPr>
      </w:pPr>
    </w:p>
    <w:p w14:paraId="622745FE" w14:textId="77777777" w:rsidR="00E07719" w:rsidRPr="006E7124" w:rsidRDefault="00E07719" w:rsidP="0058477A">
      <w:pPr>
        <w:spacing w:line="360" w:lineRule="auto"/>
        <w:jc w:val="center"/>
        <w:rPr>
          <w:rFonts w:ascii="Arial" w:eastAsia="Arial" w:hAnsi="Arial" w:cs="Arial"/>
          <w:i/>
          <w:iCs/>
          <w:color w:val="000000" w:themeColor="text1"/>
          <w:kern w:val="0"/>
          <w:lang w:eastAsia="en-US"/>
          <w14:ligatures w14:val="none"/>
        </w:rPr>
      </w:pPr>
    </w:p>
    <w:p w14:paraId="17B4FA37" w14:textId="5A87F803" w:rsidR="00E07719" w:rsidRPr="006E7124" w:rsidRDefault="00BA1AD1" w:rsidP="0058477A">
      <w:pPr>
        <w:spacing w:line="360" w:lineRule="auto"/>
        <w:jc w:val="center"/>
        <w:rPr>
          <w:rFonts w:ascii="Arial" w:eastAsia="Arial" w:hAnsi="Arial" w:cs="Arial"/>
          <w:i/>
          <w:iCs/>
          <w:kern w:val="0"/>
          <w:lang w:eastAsia="en-US"/>
          <w14:ligatures w14:val="none"/>
        </w:rPr>
      </w:pPr>
      <w:r>
        <w:rPr>
          <w:rFonts w:ascii="Arial" w:eastAsia="Arial" w:hAnsi="Arial" w:cs="Arial"/>
          <w:i/>
          <w:iCs/>
          <w:kern w:val="0"/>
          <w:lang w:eastAsia="en-US"/>
          <w14:ligatures w14:val="none"/>
        </w:rPr>
        <w:t xml:space="preserve">Strategic </w:t>
      </w:r>
      <w:r w:rsidR="00076C5A">
        <w:rPr>
          <w:rFonts w:ascii="Arial" w:eastAsia="Arial" w:hAnsi="Arial" w:cs="Arial"/>
          <w:i/>
          <w:iCs/>
          <w:kern w:val="0"/>
          <w:lang w:eastAsia="en-US"/>
          <w14:ligatures w14:val="none"/>
        </w:rPr>
        <w:t xml:space="preserve">Analysis and Growth Options </w:t>
      </w:r>
      <w:r w:rsidR="007B0093">
        <w:rPr>
          <w:rFonts w:ascii="Arial" w:eastAsia="Arial" w:hAnsi="Arial" w:cs="Arial"/>
          <w:i/>
          <w:iCs/>
          <w:kern w:val="0"/>
          <w:lang w:eastAsia="en-US"/>
          <w14:ligatures w14:val="none"/>
        </w:rPr>
        <w:t>for</w:t>
      </w:r>
      <w:r w:rsidR="00076C5A">
        <w:rPr>
          <w:rFonts w:ascii="Arial" w:eastAsia="Arial" w:hAnsi="Arial" w:cs="Arial"/>
          <w:i/>
          <w:iCs/>
          <w:kern w:val="0"/>
          <w:lang w:eastAsia="en-US"/>
          <w14:ligatures w14:val="none"/>
        </w:rPr>
        <w:t xml:space="preserve"> Hubspot in the SME Software </w:t>
      </w:r>
      <w:r w:rsidR="007B0093">
        <w:rPr>
          <w:rFonts w:ascii="Arial" w:eastAsia="Arial" w:hAnsi="Arial" w:cs="Arial"/>
          <w:i/>
          <w:iCs/>
          <w:kern w:val="0"/>
          <w:lang w:eastAsia="en-US"/>
          <w14:ligatures w14:val="none"/>
        </w:rPr>
        <w:t>Market</w:t>
      </w:r>
    </w:p>
    <w:p w14:paraId="14EFDAC3" w14:textId="77777777" w:rsidR="00E07719" w:rsidRPr="006E7124" w:rsidRDefault="00E07719" w:rsidP="0058477A">
      <w:pPr>
        <w:spacing w:line="360" w:lineRule="auto"/>
        <w:jc w:val="center"/>
        <w:rPr>
          <w:rFonts w:ascii="Arial" w:eastAsia="Arial" w:hAnsi="Arial" w:cs="Arial"/>
          <w:i/>
          <w:iCs/>
          <w:color w:val="000000" w:themeColor="text1"/>
          <w:kern w:val="0"/>
          <w:lang w:eastAsia="en-US"/>
          <w14:ligatures w14:val="none"/>
        </w:rPr>
      </w:pPr>
    </w:p>
    <w:p w14:paraId="50A828F4" w14:textId="77777777" w:rsidR="00E07719" w:rsidRPr="006E7124" w:rsidRDefault="00E07719" w:rsidP="0058477A">
      <w:pPr>
        <w:spacing w:line="360" w:lineRule="auto"/>
        <w:jc w:val="center"/>
        <w:rPr>
          <w:rFonts w:ascii="Arial" w:eastAsia="Arial" w:hAnsi="Arial" w:cs="Arial"/>
          <w:i/>
          <w:iCs/>
          <w:color w:val="000000" w:themeColor="text1"/>
          <w:kern w:val="0"/>
          <w:lang w:eastAsia="en-US"/>
          <w14:ligatures w14:val="none"/>
        </w:rPr>
      </w:pPr>
    </w:p>
    <w:p w14:paraId="5E3808BB" w14:textId="77777777" w:rsidR="00E07719" w:rsidRPr="006E7124" w:rsidRDefault="00E07719" w:rsidP="0058477A">
      <w:pPr>
        <w:spacing w:line="360" w:lineRule="auto"/>
        <w:jc w:val="center"/>
        <w:rPr>
          <w:rFonts w:ascii="Arial" w:eastAsia="Arial" w:hAnsi="Arial" w:cs="Arial"/>
          <w:i/>
          <w:iCs/>
          <w:color w:val="000000" w:themeColor="text1"/>
          <w:kern w:val="0"/>
          <w:lang w:eastAsia="en-US"/>
          <w14:ligatures w14:val="none"/>
        </w:rPr>
      </w:pPr>
    </w:p>
    <w:p w14:paraId="26B3E3F3" w14:textId="77777777" w:rsidR="00E07719" w:rsidRPr="006E7124" w:rsidRDefault="00E07719" w:rsidP="0058477A">
      <w:pPr>
        <w:spacing w:line="360" w:lineRule="auto"/>
        <w:jc w:val="center"/>
        <w:rPr>
          <w:rFonts w:ascii="Arial" w:eastAsia="Arial" w:hAnsi="Arial" w:cs="Arial"/>
          <w:i/>
          <w:iCs/>
          <w:color w:val="000000" w:themeColor="text1"/>
          <w:kern w:val="0"/>
          <w:lang w:eastAsia="en-US"/>
          <w14:ligatures w14:val="none"/>
        </w:rPr>
      </w:pPr>
    </w:p>
    <w:p w14:paraId="5E3C97F9" w14:textId="77777777" w:rsidR="00E07719" w:rsidRPr="006E7124" w:rsidRDefault="00E07719" w:rsidP="0058477A">
      <w:pPr>
        <w:spacing w:line="360" w:lineRule="auto"/>
        <w:jc w:val="center"/>
        <w:rPr>
          <w:rFonts w:ascii="Arial" w:eastAsia="Arial" w:hAnsi="Arial" w:cs="Arial"/>
          <w:i/>
          <w:iCs/>
          <w:color w:val="000000" w:themeColor="text1"/>
          <w:kern w:val="0"/>
          <w:lang w:eastAsia="en-US"/>
          <w14:ligatures w14:val="none"/>
        </w:rPr>
      </w:pPr>
      <w:r>
        <w:rPr>
          <w:rFonts w:ascii="Arial" w:eastAsia="Arial" w:hAnsi="Arial" w:cs="Arial"/>
          <w:i/>
          <w:iCs/>
          <w:color w:val="000000" w:themeColor="text1"/>
          <w:kern w:val="0"/>
          <w:lang w:eastAsia="en-US"/>
          <w14:ligatures w14:val="none"/>
        </w:rPr>
        <w:t>Individual written report</w:t>
      </w:r>
    </w:p>
    <w:p w14:paraId="559F1C39" w14:textId="77777777" w:rsidR="00E07719" w:rsidRPr="006E7124" w:rsidRDefault="00E07719" w:rsidP="0058477A">
      <w:pPr>
        <w:spacing w:line="360" w:lineRule="auto"/>
        <w:jc w:val="center"/>
        <w:rPr>
          <w:rFonts w:ascii="Arial" w:eastAsia="Arial" w:hAnsi="Arial" w:cs="Arial"/>
          <w:i/>
          <w:iCs/>
          <w:color w:val="000000" w:themeColor="text1"/>
          <w:kern w:val="0"/>
          <w:lang w:val="en-US" w:eastAsia="en-US"/>
          <w14:ligatures w14:val="none"/>
        </w:rPr>
      </w:pPr>
      <w:r w:rsidRPr="006E7124">
        <w:rPr>
          <w:rFonts w:ascii="Arial" w:eastAsia="Arial" w:hAnsi="Arial" w:cs="Arial"/>
          <w:i/>
          <w:iCs/>
          <w:color w:val="000000" w:themeColor="text1"/>
          <w:kern w:val="0"/>
          <w:lang w:eastAsia="en-US"/>
          <w14:ligatures w14:val="none"/>
        </w:rPr>
        <w:t>Name: Helen Rezai</w:t>
      </w:r>
    </w:p>
    <w:p w14:paraId="540A9EB5" w14:textId="77777777" w:rsidR="00E07719" w:rsidRPr="006E7124" w:rsidRDefault="00E07719" w:rsidP="0058477A">
      <w:pPr>
        <w:spacing w:line="360" w:lineRule="auto"/>
        <w:jc w:val="center"/>
        <w:rPr>
          <w:rFonts w:ascii="Arial" w:eastAsia="Arial" w:hAnsi="Arial" w:cs="Arial"/>
          <w:i/>
          <w:iCs/>
          <w:color w:val="000000" w:themeColor="text1"/>
          <w:kern w:val="0"/>
          <w:lang w:val="en-US" w:eastAsia="en-US"/>
          <w14:ligatures w14:val="none"/>
        </w:rPr>
      </w:pPr>
      <w:r w:rsidRPr="006E7124">
        <w:rPr>
          <w:rFonts w:ascii="Arial" w:eastAsia="Arial" w:hAnsi="Arial" w:cs="Arial"/>
          <w:i/>
          <w:iCs/>
          <w:color w:val="000000" w:themeColor="text1"/>
          <w:kern w:val="0"/>
          <w:lang w:eastAsia="en-US"/>
          <w14:ligatures w14:val="none"/>
        </w:rPr>
        <w:t>Student ID: 2317544</w:t>
      </w:r>
    </w:p>
    <w:p w14:paraId="36776417" w14:textId="571FE7E3" w:rsidR="00E07719" w:rsidRPr="006E7124" w:rsidRDefault="00E07719" w:rsidP="0058477A">
      <w:pPr>
        <w:spacing w:line="360" w:lineRule="auto"/>
        <w:jc w:val="center"/>
        <w:rPr>
          <w:rFonts w:ascii="Arial" w:eastAsia="Arial" w:hAnsi="Arial" w:cs="Arial"/>
          <w:i/>
          <w:iCs/>
          <w:color w:val="000000" w:themeColor="text1"/>
          <w:kern w:val="0"/>
          <w:lang w:eastAsia="en-US"/>
          <w14:ligatures w14:val="none"/>
        </w:rPr>
      </w:pPr>
      <w:r w:rsidRPr="006E7124">
        <w:rPr>
          <w:rFonts w:ascii="Arial" w:eastAsia="Arial" w:hAnsi="Arial" w:cs="Arial"/>
          <w:i/>
          <w:iCs/>
          <w:color w:val="000000" w:themeColor="text1"/>
          <w:kern w:val="0"/>
          <w:lang w:eastAsia="en-US"/>
          <w14:ligatures w14:val="none"/>
        </w:rPr>
        <w:t xml:space="preserve">Module: </w:t>
      </w:r>
      <w:r>
        <w:rPr>
          <w:rFonts w:ascii="Arial" w:eastAsia="Arial" w:hAnsi="Arial" w:cs="Arial"/>
          <w:i/>
          <w:iCs/>
          <w:color w:val="000000" w:themeColor="text1"/>
          <w:kern w:val="0"/>
          <w:lang w:eastAsia="en-US"/>
          <w14:ligatures w14:val="none"/>
        </w:rPr>
        <w:t xml:space="preserve">Strategic Management </w:t>
      </w:r>
      <w:r w:rsidR="000D3CA6">
        <w:rPr>
          <w:rFonts w:ascii="Arial" w:eastAsia="Arial" w:hAnsi="Arial" w:cs="Arial"/>
          <w:i/>
          <w:iCs/>
          <w:color w:val="000000" w:themeColor="text1"/>
          <w:kern w:val="0"/>
          <w:lang w:eastAsia="en-US"/>
          <w14:ligatures w14:val="none"/>
        </w:rPr>
        <w:t>for</w:t>
      </w:r>
      <w:r>
        <w:rPr>
          <w:rFonts w:ascii="Arial" w:eastAsia="Arial" w:hAnsi="Arial" w:cs="Arial"/>
          <w:i/>
          <w:iCs/>
          <w:color w:val="000000" w:themeColor="text1"/>
          <w:kern w:val="0"/>
          <w:lang w:eastAsia="en-US"/>
          <w14:ligatures w14:val="none"/>
        </w:rPr>
        <w:t xml:space="preserve"> Business </w:t>
      </w:r>
    </w:p>
    <w:p w14:paraId="1D479422" w14:textId="77777777" w:rsidR="00E07719" w:rsidRPr="006E7124" w:rsidRDefault="00E07719" w:rsidP="0058477A">
      <w:pPr>
        <w:spacing w:line="360" w:lineRule="auto"/>
        <w:jc w:val="center"/>
        <w:rPr>
          <w:rFonts w:ascii="Arial" w:eastAsia="Arial" w:hAnsi="Arial" w:cs="Arial"/>
          <w:i/>
          <w:iCs/>
          <w:color w:val="000000" w:themeColor="text1"/>
          <w:kern w:val="0"/>
          <w:lang w:val="en-US" w:eastAsia="en-US"/>
          <w14:ligatures w14:val="none"/>
        </w:rPr>
      </w:pPr>
      <w:r w:rsidRPr="006E7124">
        <w:rPr>
          <w:rFonts w:ascii="Arial" w:eastAsia="Arial" w:hAnsi="Arial" w:cs="Arial"/>
          <w:i/>
          <w:iCs/>
          <w:color w:val="000000" w:themeColor="text1"/>
          <w:kern w:val="0"/>
          <w:lang w:eastAsia="en-US"/>
          <w14:ligatures w14:val="none"/>
        </w:rPr>
        <w:t>Module Code: LCLM</w:t>
      </w:r>
      <w:r>
        <w:rPr>
          <w:rFonts w:ascii="Arial" w:eastAsia="Arial" w:hAnsi="Arial" w:cs="Arial"/>
          <w:i/>
          <w:iCs/>
          <w:color w:val="000000" w:themeColor="text1"/>
          <w:kern w:val="0"/>
          <w:lang w:eastAsia="en-US"/>
          <w14:ligatures w14:val="none"/>
        </w:rPr>
        <w:t>6001</w:t>
      </w:r>
    </w:p>
    <w:p w14:paraId="5E0AA4A8" w14:textId="77777777" w:rsidR="00E07719" w:rsidRPr="006E7124" w:rsidRDefault="00E07719" w:rsidP="0058477A">
      <w:pPr>
        <w:jc w:val="center"/>
        <w:rPr>
          <w:rFonts w:ascii="Arial" w:hAnsi="Arial" w:cs="Arial"/>
          <w:i/>
          <w:iCs/>
        </w:rPr>
      </w:pPr>
      <w:r w:rsidRPr="006E7124">
        <w:rPr>
          <w:rFonts w:ascii="Arial" w:hAnsi="Arial" w:cs="Arial"/>
          <w:i/>
          <w:iCs/>
          <w:lang w:eastAsia="en-US"/>
        </w:rPr>
        <w:t xml:space="preserve">Lecturer: </w:t>
      </w:r>
      <w:r>
        <w:rPr>
          <w:rFonts w:ascii="Arial" w:hAnsi="Arial" w:cs="Arial"/>
          <w:i/>
          <w:iCs/>
        </w:rPr>
        <w:t>Laila Maazouz</w:t>
      </w:r>
    </w:p>
    <w:p w14:paraId="595BA5BC" w14:textId="77777777" w:rsidR="00E07719" w:rsidRPr="006E7124" w:rsidRDefault="00E07719" w:rsidP="0058477A">
      <w:pPr>
        <w:spacing w:line="360" w:lineRule="auto"/>
        <w:jc w:val="center"/>
        <w:rPr>
          <w:rFonts w:ascii="Arial" w:eastAsia="Arial" w:hAnsi="Arial" w:cs="Arial"/>
          <w:i/>
          <w:iCs/>
          <w:color w:val="000000" w:themeColor="text1"/>
          <w:kern w:val="0"/>
          <w:lang w:val="en-US" w:eastAsia="en-US"/>
          <w14:ligatures w14:val="none"/>
        </w:rPr>
      </w:pPr>
    </w:p>
    <w:p w14:paraId="2BF1FBEF" w14:textId="77777777" w:rsidR="00E07719" w:rsidRPr="006E7124" w:rsidRDefault="00E07719" w:rsidP="0058477A">
      <w:pPr>
        <w:spacing w:line="360" w:lineRule="auto"/>
        <w:jc w:val="center"/>
        <w:rPr>
          <w:rFonts w:ascii="Arial" w:eastAsia="Arial" w:hAnsi="Arial" w:cs="Arial"/>
          <w:i/>
          <w:iCs/>
          <w:color w:val="000000" w:themeColor="text1"/>
          <w:kern w:val="0"/>
          <w:lang w:val="en-US" w:eastAsia="en-US"/>
          <w14:ligatures w14:val="none"/>
        </w:rPr>
      </w:pPr>
    </w:p>
    <w:p w14:paraId="7D5AC31B" w14:textId="3BD66EF2" w:rsidR="00E07719" w:rsidRPr="006E7124" w:rsidRDefault="00E07719" w:rsidP="0058477A">
      <w:pPr>
        <w:spacing w:line="360" w:lineRule="auto"/>
        <w:jc w:val="center"/>
        <w:rPr>
          <w:rFonts w:ascii="Arial" w:eastAsia="Arial" w:hAnsi="Arial" w:cs="Arial"/>
          <w:i/>
          <w:iCs/>
          <w:color w:val="000000" w:themeColor="text1"/>
          <w:kern w:val="0"/>
          <w:lang w:val="en-US" w:eastAsia="en-US"/>
          <w14:ligatures w14:val="none"/>
        </w:rPr>
      </w:pPr>
      <w:r w:rsidRPr="006E7124">
        <w:rPr>
          <w:rFonts w:ascii="Arial" w:eastAsia="Arial" w:hAnsi="Arial" w:cs="Arial"/>
          <w:i/>
          <w:iCs/>
          <w:color w:val="000000" w:themeColor="text1"/>
          <w:kern w:val="0"/>
          <w:lang w:eastAsia="en-US"/>
          <w14:ligatures w14:val="none"/>
        </w:rPr>
        <w:t xml:space="preserve">Submitted on: </w:t>
      </w:r>
      <w:r w:rsidR="006A1800">
        <w:rPr>
          <w:rFonts w:ascii="Arial" w:eastAsia="Arial" w:hAnsi="Arial" w:cs="Arial"/>
          <w:i/>
          <w:iCs/>
          <w:color w:val="000000" w:themeColor="text1"/>
          <w:kern w:val="0"/>
          <w:lang w:eastAsia="en-US"/>
          <w14:ligatures w14:val="none"/>
        </w:rPr>
        <w:t>19/12/25</w:t>
      </w:r>
    </w:p>
    <w:p w14:paraId="1DFBE75C" w14:textId="77777777" w:rsidR="00E07719" w:rsidRDefault="00E07719" w:rsidP="0058477A"/>
    <w:p w14:paraId="63E77455" w14:textId="77777777" w:rsidR="00E07719" w:rsidRDefault="00E07719" w:rsidP="0058477A"/>
    <w:p w14:paraId="4166DEC2" w14:textId="77777777" w:rsidR="00E07719" w:rsidRDefault="00E07719" w:rsidP="0058477A"/>
    <w:p w14:paraId="227C9850" w14:textId="77777777" w:rsidR="00E07719" w:rsidRDefault="00E07719" w:rsidP="0058477A"/>
    <w:p w14:paraId="20EBF4C1" w14:textId="77777777" w:rsidR="00E07719" w:rsidRDefault="00E07719" w:rsidP="0058477A"/>
    <w:p w14:paraId="171952BA" w14:textId="77777777" w:rsidR="00E07719" w:rsidRDefault="00E07719" w:rsidP="0058477A"/>
    <w:p w14:paraId="41876F67" w14:textId="77777777" w:rsidR="00E07719" w:rsidRDefault="00E07719" w:rsidP="0058477A"/>
    <w:p w14:paraId="03C9A75A" w14:textId="77777777" w:rsidR="00E07719" w:rsidRDefault="00E07719" w:rsidP="0058477A"/>
    <w:p w14:paraId="6A25CE82" w14:textId="77777777" w:rsidR="00E07719" w:rsidRDefault="00E07719" w:rsidP="0058477A"/>
    <w:p w14:paraId="47702E83" w14:textId="77777777" w:rsidR="00E07719" w:rsidRDefault="00E07719" w:rsidP="0058477A"/>
    <w:p w14:paraId="35B536E6" w14:textId="77777777" w:rsidR="00E07719" w:rsidRDefault="00E07719" w:rsidP="0058477A"/>
    <w:p w14:paraId="0407F132" w14:textId="77777777" w:rsidR="00E07719" w:rsidRDefault="00E07719" w:rsidP="0058477A"/>
    <w:sdt>
      <w:sdtPr>
        <w:rPr>
          <w:rFonts w:asciiTheme="minorHAnsi" w:eastAsiaTheme="minorEastAsia" w:hAnsiTheme="minorHAnsi" w:cstheme="minorBidi"/>
          <w:b w:val="0"/>
          <w:bCs w:val="0"/>
          <w:color w:val="auto"/>
          <w:kern w:val="2"/>
          <w:sz w:val="24"/>
          <w:szCs w:val="24"/>
          <w:lang w:val="en-GB" w:eastAsia="en-GB"/>
          <w14:ligatures w14:val="standardContextual"/>
        </w:rPr>
        <w:id w:val="1651405877"/>
        <w:docPartObj>
          <w:docPartGallery w:val="Table of Contents"/>
          <w:docPartUnique/>
        </w:docPartObj>
      </w:sdtPr>
      <w:sdtEndPr>
        <w:rPr>
          <w:noProof/>
          <w:sz w:val="28"/>
          <w:szCs w:val="28"/>
        </w:rPr>
      </w:sdtEndPr>
      <w:sdtContent>
        <w:p w14:paraId="1E99AC43" w14:textId="77777777" w:rsidR="00AD063F" w:rsidRPr="00CB3293" w:rsidRDefault="00FC36D2" w:rsidP="00DD733C">
          <w:pPr>
            <w:pStyle w:val="TOCHeading"/>
          </w:pPr>
          <w:r w:rsidRPr="00CB3293">
            <w:t>Table of Contents</w:t>
          </w:r>
        </w:p>
        <w:p w14:paraId="787A0604" w14:textId="77777777" w:rsidR="000064F0" w:rsidRPr="00CB3293" w:rsidRDefault="000064F0" w:rsidP="00DD733C">
          <w:pPr>
            <w:rPr>
              <w:sz w:val="28"/>
              <w:szCs w:val="28"/>
              <w:lang w:val="en-US" w:eastAsia="en-US"/>
            </w:rPr>
          </w:pPr>
        </w:p>
        <w:p w14:paraId="19F86194" w14:textId="77777777" w:rsidR="000064F0" w:rsidRPr="00CB3293" w:rsidRDefault="000064F0" w:rsidP="00DD733C">
          <w:pPr>
            <w:rPr>
              <w:sz w:val="28"/>
              <w:szCs w:val="28"/>
              <w:lang w:val="en-US" w:eastAsia="en-US"/>
            </w:rPr>
          </w:pPr>
        </w:p>
        <w:p w14:paraId="70BB64BA" w14:textId="45ED0AB3" w:rsidR="00E07719" w:rsidRPr="00CB3293" w:rsidRDefault="000064F0" w:rsidP="00DD733C">
          <w:pPr>
            <w:pStyle w:val="ListParagraph"/>
            <w:numPr>
              <w:ilvl w:val="0"/>
              <w:numId w:val="1"/>
            </w:numPr>
            <w:rPr>
              <w:b/>
              <w:bCs/>
              <w:noProof/>
              <w:sz w:val="28"/>
              <w:szCs w:val="28"/>
            </w:rPr>
          </w:pPr>
          <w:r w:rsidRPr="00CB3293">
            <w:rPr>
              <w:sz w:val="28"/>
              <w:szCs w:val="28"/>
              <w:lang w:val="en-US" w:eastAsia="en-US"/>
            </w:rPr>
            <w:t xml:space="preserve">Executive </w:t>
          </w:r>
          <w:r w:rsidRPr="00CB3293">
            <w:rPr>
              <w:noProof/>
              <w:sz w:val="28"/>
              <w:szCs w:val="28"/>
            </w:rPr>
            <w:t>summar</w:t>
          </w:r>
          <w:r w:rsidR="00240DC2">
            <w:rPr>
              <w:noProof/>
              <w:sz w:val="28"/>
              <w:szCs w:val="28"/>
            </w:rPr>
            <w:t>y…………………</w:t>
          </w:r>
          <w:r w:rsidR="00335969">
            <w:rPr>
              <w:noProof/>
              <w:sz w:val="28"/>
              <w:szCs w:val="28"/>
            </w:rPr>
            <w:t>…………………………………………</w:t>
          </w:r>
          <w:r w:rsidR="00C43E11">
            <w:rPr>
              <w:noProof/>
              <w:sz w:val="28"/>
              <w:szCs w:val="28"/>
            </w:rPr>
            <w:t>pg.3</w:t>
          </w:r>
        </w:p>
      </w:sdtContent>
    </w:sdt>
    <w:p w14:paraId="611B9052" w14:textId="77BE45E8" w:rsidR="006B7209" w:rsidRPr="00CB3293" w:rsidRDefault="006B7209" w:rsidP="00DD733C">
      <w:pPr>
        <w:pStyle w:val="ListParagraph"/>
        <w:numPr>
          <w:ilvl w:val="0"/>
          <w:numId w:val="1"/>
        </w:numPr>
        <w:rPr>
          <w:noProof/>
          <w:sz w:val="28"/>
          <w:szCs w:val="28"/>
        </w:rPr>
      </w:pPr>
      <w:r w:rsidRPr="00CB3293">
        <w:rPr>
          <w:noProof/>
          <w:sz w:val="28"/>
          <w:szCs w:val="28"/>
        </w:rPr>
        <w:t>Introductio</w:t>
      </w:r>
      <w:r w:rsidR="00335969">
        <w:rPr>
          <w:noProof/>
          <w:sz w:val="28"/>
          <w:szCs w:val="28"/>
        </w:rPr>
        <w:t>n…………………………………………………………………</w:t>
      </w:r>
      <w:r w:rsidR="00C43E11">
        <w:rPr>
          <w:noProof/>
          <w:sz w:val="28"/>
          <w:szCs w:val="28"/>
        </w:rPr>
        <w:t>pg.3 -</w:t>
      </w:r>
      <w:r w:rsidR="002F7B65">
        <w:rPr>
          <w:noProof/>
          <w:sz w:val="28"/>
          <w:szCs w:val="28"/>
        </w:rPr>
        <w:t xml:space="preserve"> </w:t>
      </w:r>
      <w:r w:rsidR="00C43E11">
        <w:rPr>
          <w:noProof/>
          <w:sz w:val="28"/>
          <w:szCs w:val="28"/>
        </w:rPr>
        <w:t>4</w:t>
      </w:r>
    </w:p>
    <w:p w14:paraId="35129D0B" w14:textId="34F705B0" w:rsidR="006B7209" w:rsidRPr="00CB3293" w:rsidRDefault="002F7D29" w:rsidP="00DD733C">
      <w:pPr>
        <w:pStyle w:val="ListParagraph"/>
        <w:numPr>
          <w:ilvl w:val="0"/>
          <w:numId w:val="1"/>
        </w:numPr>
        <w:rPr>
          <w:b/>
          <w:bCs/>
          <w:noProof/>
          <w:sz w:val="28"/>
          <w:szCs w:val="28"/>
        </w:rPr>
      </w:pPr>
      <w:r w:rsidRPr="00CB3293">
        <w:rPr>
          <w:noProof/>
          <w:sz w:val="28"/>
          <w:szCs w:val="28"/>
        </w:rPr>
        <w:t>Strategic Direction</w:t>
      </w:r>
      <w:r w:rsidR="0060355A" w:rsidRPr="00CB3293">
        <w:rPr>
          <w:noProof/>
          <w:sz w:val="28"/>
          <w:szCs w:val="28"/>
        </w:rPr>
        <w:t xml:space="preserve"> &amp; Organisation</w:t>
      </w:r>
      <w:r w:rsidR="007641B4" w:rsidRPr="00CB3293">
        <w:rPr>
          <w:noProof/>
          <w:sz w:val="28"/>
          <w:szCs w:val="28"/>
        </w:rPr>
        <w:t xml:space="preserve"> Purpos</w:t>
      </w:r>
      <w:r w:rsidR="0020245B">
        <w:rPr>
          <w:noProof/>
          <w:sz w:val="28"/>
          <w:szCs w:val="28"/>
        </w:rPr>
        <w:t>e………………………</w:t>
      </w:r>
      <w:r w:rsidR="002F7B65">
        <w:rPr>
          <w:noProof/>
          <w:sz w:val="28"/>
          <w:szCs w:val="28"/>
        </w:rPr>
        <w:t>pg. 4 - 5</w:t>
      </w:r>
    </w:p>
    <w:p w14:paraId="094C7AF2" w14:textId="5F9CD16D" w:rsidR="007641B4" w:rsidRPr="00CB3293" w:rsidRDefault="000754B7" w:rsidP="00DD733C">
      <w:pPr>
        <w:pStyle w:val="ListParagraph"/>
        <w:numPr>
          <w:ilvl w:val="0"/>
          <w:numId w:val="1"/>
        </w:numPr>
        <w:rPr>
          <w:b/>
          <w:bCs/>
          <w:noProof/>
          <w:sz w:val="28"/>
          <w:szCs w:val="28"/>
        </w:rPr>
      </w:pPr>
      <w:r w:rsidRPr="00CB3293">
        <w:rPr>
          <w:noProof/>
          <w:sz w:val="28"/>
          <w:szCs w:val="28"/>
        </w:rPr>
        <w:t xml:space="preserve">Environmental </w:t>
      </w:r>
      <w:r w:rsidR="00251BE5" w:rsidRPr="00CB3293">
        <w:rPr>
          <w:noProof/>
          <w:sz w:val="28"/>
          <w:szCs w:val="28"/>
        </w:rPr>
        <w:t>&amp; Competitive Advantag</w:t>
      </w:r>
      <w:r w:rsidR="0020245B">
        <w:rPr>
          <w:noProof/>
          <w:sz w:val="28"/>
          <w:szCs w:val="28"/>
        </w:rPr>
        <w:t>e………………………</w:t>
      </w:r>
      <w:r w:rsidR="005C372F">
        <w:rPr>
          <w:noProof/>
          <w:sz w:val="28"/>
          <w:szCs w:val="28"/>
        </w:rPr>
        <w:t>…</w:t>
      </w:r>
      <w:r w:rsidR="00927AB8">
        <w:rPr>
          <w:noProof/>
          <w:sz w:val="28"/>
          <w:szCs w:val="28"/>
        </w:rPr>
        <w:t>…. pg.</w:t>
      </w:r>
      <w:r w:rsidR="00B26570">
        <w:rPr>
          <w:noProof/>
          <w:sz w:val="28"/>
          <w:szCs w:val="28"/>
        </w:rPr>
        <w:t xml:space="preserve"> 5 </w:t>
      </w:r>
    </w:p>
    <w:p w14:paraId="19392B1C" w14:textId="6BBC827F" w:rsidR="00251BE5" w:rsidRPr="00CB3293" w:rsidRDefault="00251BE5" w:rsidP="00DD733C">
      <w:pPr>
        <w:pStyle w:val="ListParagraph"/>
        <w:numPr>
          <w:ilvl w:val="0"/>
          <w:numId w:val="2"/>
        </w:numPr>
        <w:rPr>
          <w:b/>
          <w:bCs/>
          <w:noProof/>
          <w:sz w:val="28"/>
          <w:szCs w:val="28"/>
        </w:rPr>
      </w:pPr>
      <w:r w:rsidRPr="00CB3293">
        <w:rPr>
          <w:noProof/>
          <w:sz w:val="28"/>
          <w:szCs w:val="28"/>
        </w:rPr>
        <w:t>PESTAL Analysis 202</w:t>
      </w:r>
      <w:r w:rsidR="0020245B">
        <w:rPr>
          <w:noProof/>
          <w:sz w:val="28"/>
          <w:szCs w:val="28"/>
        </w:rPr>
        <w:t>4……………………………………………</w:t>
      </w:r>
      <w:r w:rsidR="00F955D6">
        <w:rPr>
          <w:noProof/>
          <w:sz w:val="28"/>
          <w:szCs w:val="28"/>
        </w:rPr>
        <w:t>…</w:t>
      </w:r>
      <w:r w:rsidR="00DF4264">
        <w:rPr>
          <w:noProof/>
          <w:sz w:val="28"/>
          <w:szCs w:val="28"/>
        </w:rPr>
        <w:t>….</w:t>
      </w:r>
      <w:r w:rsidR="0020245B">
        <w:rPr>
          <w:noProof/>
          <w:sz w:val="28"/>
          <w:szCs w:val="28"/>
        </w:rPr>
        <w:t>…</w:t>
      </w:r>
      <w:r w:rsidR="00B26570">
        <w:rPr>
          <w:noProof/>
          <w:sz w:val="28"/>
          <w:szCs w:val="28"/>
        </w:rPr>
        <w:t>pg.</w:t>
      </w:r>
      <w:r w:rsidR="00F955D6">
        <w:rPr>
          <w:noProof/>
          <w:sz w:val="28"/>
          <w:szCs w:val="28"/>
        </w:rPr>
        <w:t>5</w:t>
      </w:r>
    </w:p>
    <w:p w14:paraId="744BD8E2" w14:textId="3F68A41F" w:rsidR="00251BE5" w:rsidRPr="00CB3293" w:rsidRDefault="00BE2C4A" w:rsidP="00DD733C">
      <w:pPr>
        <w:pStyle w:val="ListParagraph"/>
        <w:numPr>
          <w:ilvl w:val="0"/>
          <w:numId w:val="2"/>
        </w:numPr>
        <w:rPr>
          <w:b/>
          <w:bCs/>
          <w:noProof/>
          <w:sz w:val="28"/>
          <w:szCs w:val="28"/>
        </w:rPr>
      </w:pPr>
      <w:r w:rsidRPr="00CB3293">
        <w:rPr>
          <w:noProof/>
          <w:sz w:val="28"/>
          <w:szCs w:val="28"/>
        </w:rPr>
        <w:t>Porters five force</w:t>
      </w:r>
      <w:r w:rsidR="0020245B">
        <w:rPr>
          <w:noProof/>
          <w:sz w:val="28"/>
          <w:szCs w:val="28"/>
        </w:rPr>
        <w:t>s………………………………………………………</w:t>
      </w:r>
      <w:r w:rsidR="00F955D6">
        <w:rPr>
          <w:noProof/>
          <w:sz w:val="28"/>
          <w:szCs w:val="28"/>
        </w:rPr>
        <w:t>pg. 5 - 6</w:t>
      </w:r>
    </w:p>
    <w:p w14:paraId="582D0DEA" w14:textId="051E1BDC" w:rsidR="00BE2C4A" w:rsidRPr="00CB3293" w:rsidRDefault="00BE2C4A" w:rsidP="00DD733C">
      <w:pPr>
        <w:pStyle w:val="ListParagraph"/>
        <w:numPr>
          <w:ilvl w:val="0"/>
          <w:numId w:val="2"/>
        </w:numPr>
        <w:rPr>
          <w:b/>
          <w:bCs/>
          <w:noProof/>
          <w:sz w:val="28"/>
          <w:szCs w:val="28"/>
        </w:rPr>
      </w:pPr>
      <w:r w:rsidRPr="00CB3293">
        <w:rPr>
          <w:noProof/>
          <w:sz w:val="28"/>
          <w:szCs w:val="28"/>
        </w:rPr>
        <w:t>Internal Analysi</w:t>
      </w:r>
      <w:r w:rsidR="0020245B">
        <w:rPr>
          <w:noProof/>
          <w:sz w:val="28"/>
          <w:szCs w:val="28"/>
        </w:rPr>
        <w:t>s…………………………………………………</w:t>
      </w:r>
      <w:r w:rsidR="00DF4264">
        <w:rPr>
          <w:noProof/>
          <w:sz w:val="28"/>
          <w:szCs w:val="28"/>
        </w:rPr>
        <w:t>….</w:t>
      </w:r>
      <w:r w:rsidR="0020245B">
        <w:rPr>
          <w:noProof/>
          <w:sz w:val="28"/>
          <w:szCs w:val="28"/>
        </w:rPr>
        <w:t>…</w:t>
      </w:r>
      <w:r w:rsidR="00F955D6">
        <w:rPr>
          <w:noProof/>
          <w:sz w:val="28"/>
          <w:szCs w:val="28"/>
        </w:rPr>
        <w:t>pg. 7 - 8</w:t>
      </w:r>
    </w:p>
    <w:p w14:paraId="5A05D361" w14:textId="75C07334" w:rsidR="00BE2C4A" w:rsidRPr="00CB3293" w:rsidRDefault="00BE2C4A" w:rsidP="00DD733C">
      <w:pPr>
        <w:pStyle w:val="ListParagraph"/>
        <w:numPr>
          <w:ilvl w:val="0"/>
          <w:numId w:val="2"/>
        </w:numPr>
        <w:rPr>
          <w:b/>
          <w:bCs/>
          <w:noProof/>
          <w:sz w:val="28"/>
          <w:szCs w:val="28"/>
        </w:rPr>
      </w:pPr>
      <w:r w:rsidRPr="00CB3293">
        <w:rPr>
          <w:noProof/>
          <w:sz w:val="28"/>
          <w:szCs w:val="28"/>
        </w:rPr>
        <w:t xml:space="preserve">Value Chain </w:t>
      </w:r>
      <w:r w:rsidR="008424BF" w:rsidRPr="00CB3293">
        <w:rPr>
          <w:noProof/>
          <w:sz w:val="28"/>
          <w:szCs w:val="28"/>
        </w:rPr>
        <w:t>Diagnostic</w:t>
      </w:r>
      <w:r w:rsidR="0020245B">
        <w:rPr>
          <w:noProof/>
          <w:sz w:val="28"/>
          <w:szCs w:val="28"/>
        </w:rPr>
        <w:t>s…………………………………………</w:t>
      </w:r>
      <w:r w:rsidR="00305A14">
        <w:rPr>
          <w:noProof/>
          <w:sz w:val="28"/>
          <w:szCs w:val="28"/>
        </w:rPr>
        <w:t>…</w:t>
      </w:r>
      <w:r w:rsidR="00DF4264">
        <w:rPr>
          <w:noProof/>
          <w:sz w:val="28"/>
          <w:szCs w:val="28"/>
        </w:rPr>
        <w:t>…. pg.</w:t>
      </w:r>
      <w:r w:rsidR="00305A14">
        <w:rPr>
          <w:noProof/>
          <w:sz w:val="28"/>
          <w:szCs w:val="28"/>
        </w:rPr>
        <w:t xml:space="preserve"> 8</w:t>
      </w:r>
    </w:p>
    <w:p w14:paraId="5728E570" w14:textId="2B5C7B18" w:rsidR="008424BF" w:rsidRPr="00CB3293" w:rsidRDefault="008424BF" w:rsidP="00DD733C">
      <w:pPr>
        <w:pStyle w:val="ListParagraph"/>
        <w:numPr>
          <w:ilvl w:val="0"/>
          <w:numId w:val="1"/>
        </w:numPr>
        <w:rPr>
          <w:b/>
          <w:bCs/>
          <w:noProof/>
          <w:sz w:val="28"/>
          <w:szCs w:val="28"/>
        </w:rPr>
      </w:pPr>
      <w:r w:rsidRPr="00CB3293">
        <w:rPr>
          <w:noProof/>
          <w:sz w:val="28"/>
          <w:szCs w:val="28"/>
        </w:rPr>
        <w:t xml:space="preserve">Strategic Growth Options </w:t>
      </w:r>
      <w:r w:rsidR="00927AB8" w:rsidRPr="00CB3293">
        <w:rPr>
          <w:noProof/>
          <w:sz w:val="28"/>
          <w:szCs w:val="28"/>
        </w:rPr>
        <w:t>for</w:t>
      </w:r>
      <w:r w:rsidRPr="00CB3293">
        <w:rPr>
          <w:noProof/>
          <w:sz w:val="28"/>
          <w:szCs w:val="28"/>
        </w:rPr>
        <w:t xml:space="preserve"> Hubspo</w:t>
      </w:r>
      <w:r w:rsidR="0020245B">
        <w:rPr>
          <w:noProof/>
          <w:sz w:val="28"/>
          <w:szCs w:val="28"/>
        </w:rPr>
        <w:t>t……………………………</w:t>
      </w:r>
      <w:r w:rsidR="00DF4264">
        <w:rPr>
          <w:noProof/>
          <w:sz w:val="28"/>
          <w:szCs w:val="28"/>
        </w:rPr>
        <w:t>…...</w:t>
      </w:r>
      <w:r w:rsidR="004C35E2">
        <w:rPr>
          <w:noProof/>
          <w:sz w:val="28"/>
          <w:szCs w:val="28"/>
        </w:rPr>
        <w:t>pg. 9</w:t>
      </w:r>
    </w:p>
    <w:p w14:paraId="085F686C" w14:textId="3E8D56D0" w:rsidR="008424BF" w:rsidRPr="00CB3293" w:rsidRDefault="00977976" w:rsidP="00DD733C">
      <w:pPr>
        <w:pStyle w:val="ListParagraph"/>
        <w:numPr>
          <w:ilvl w:val="0"/>
          <w:numId w:val="1"/>
        </w:numPr>
        <w:rPr>
          <w:b/>
          <w:bCs/>
          <w:noProof/>
          <w:sz w:val="28"/>
          <w:szCs w:val="28"/>
        </w:rPr>
      </w:pPr>
      <w:r w:rsidRPr="00CB3293">
        <w:rPr>
          <w:noProof/>
          <w:sz w:val="28"/>
          <w:szCs w:val="28"/>
        </w:rPr>
        <w:t xml:space="preserve">Stakeholder Analysis &amp; Strategic </w:t>
      </w:r>
      <w:r w:rsidR="00336409" w:rsidRPr="00CB3293">
        <w:rPr>
          <w:noProof/>
          <w:sz w:val="28"/>
          <w:szCs w:val="28"/>
        </w:rPr>
        <w:t>Feasabilit</w:t>
      </w:r>
      <w:r w:rsidR="0020245B">
        <w:rPr>
          <w:noProof/>
          <w:sz w:val="28"/>
          <w:szCs w:val="28"/>
        </w:rPr>
        <w:t>y…………………</w:t>
      </w:r>
      <w:r w:rsidR="004C35E2">
        <w:rPr>
          <w:noProof/>
          <w:sz w:val="28"/>
          <w:szCs w:val="28"/>
        </w:rPr>
        <w:t>…pg. 9 - 10</w:t>
      </w:r>
    </w:p>
    <w:p w14:paraId="56C754F0" w14:textId="1935C280" w:rsidR="00336409" w:rsidRPr="00CB3293" w:rsidRDefault="00336409" w:rsidP="00DD733C">
      <w:pPr>
        <w:pStyle w:val="ListParagraph"/>
        <w:numPr>
          <w:ilvl w:val="0"/>
          <w:numId w:val="1"/>
        </w:numPr>
        <w:rPr>
          <w:noProof/>
          <w:sz w:val="28"/>
          <w:szCs w:val="28"/>
        </w:rPr>
      </w:pPr>
      <w:r w:rsidRPr="00CB3293">
        <w:rPr>
          <w:noProof/>
          <w:sz w:val="28"/>
          <w:szCs w:val="28"/>
        </w:rPr>
        <w:t xml:space="preserve">Strategic </w:t>
      </w:r>
      <w:r w:rsidR="004B0CF4" w:rsidRPr="00CB3293">
        <w:rPr>
          <w:noProof/>
          <w:sz w:val="28"/>
          <w:szCs w:val="28"/>
        </w:rPr>
        <w:t xml:space="preserve">Recommendation &amp; Implementation </w:t>
      </w:r>
      <w:r w:rsidR="00000245" w:rsidRPr="00CB3293">
        <w:rPr>
          <w:noProof/>
          <w:sz w:val="28"/>
          <w:szCs w:val="28"/>
        </w:rPr>
        <w:t>Challenge</w:t>
      </w:r>
      <w:r w:rsidR="004C35E2">
        <w:rPr>
          <w:noProof/>
          <w:sz w:val="28"/>
          <w:szCs w:val="28"/>
        </w:rPr>
        <w:t>s.</w:t>
      </w:r>
      <w:r w:rsidR="00664E29">
        <w:rPr>
          <w:noProof/>
          <w:sz w:val="28"/>
          <w:szCs w:val="28"/>
        </w:rPr>
        <w:t xml:space="preserve">pg. 10 - 11 </w:t>
      </w:r>
    </w:p>
    <w:p w14:paraId="3F6740D2" w14:textId="256B9281" w:rsidR="00000245" w:rsidRPr="00CB3293" w:rsidRDefault="00000245" w:rsidP="00DD733C">
      <w:pPr>
        <w:pStyle w:val="ListParagraph"/>
        <w:numPr>
          <w:ilvl w:val="0"/>
          <w:numId w:val="2"/>
        </w:numPr>
        <w:rPr>
          <w:noProof/>
          <w:sz w:val="28"/>
          <w:szCs w:val="28"/>
        </w:rPr>
      </w:pPr>
      <w:r w:rsidRPr="00CB3293">
        <w:rPr>
          <w:noProof/>
          <w:sz w:val="28"/>
          <w:szCs w:val="28"/>
        </w:rPr>
        <w:t>Implementation Road ma</w:t>
      </w:r>
      <w:r w:rsidR="0020245B">
        <w:rPr>
          <w:noProof/>
          <w:sz w:val="28"/>
          <w:szCs w:val="28"/>
        </w:rPr>
        <w:t>p…………………………………………</w:t>
      </w:r>
      <w:r w:rsidR="00FB4CF2">
        <w:rPr>
          <w:noProof/>
          <w:sz w:val="28"/>
          <w:szCs w:val="28"/>
        </w:rPr>
        <w:t>.    pg. 11</w:t>
      </w:r>
    </w:p>
    <w:p w14:paraId="6EAC051F" w14:textId="49EB5418" w:rsidR="00000245" w:rsidRPr="00CB3293" w:rsidRDefault="00CC5DB4" w:rsidP="00DD733C">
      <w:pPr>
        <w:pStyle w:val="ListParagraph"/>
        <w:numPr>
          <w:ilvl w:val="0"/>
          <w:numId w:val="2"/>
        </w:numPr>
        <w:rPr>
          <w:noProof/>
          <w:sz w:val="28"/>
          <w:szCs w:val="28"/>
        </w:rPr>
      </w:pPr>
      <w:r w:rsidRPr="00CB3293">
        <w:rPr>
          <w:noProof/>
          <w:sz w:val="28"/>
          <w:szCs w:val="28"/>
        </w:rPr>
        <w:t>Risks &amp; Mitigation</w:t>
      </w:r>
      <w:r w:rsidR="00730708">
        <w:rPr>
          <w:noProof/>
          <w:sz w:val="28"/>
          <w:szCs w:val="28"/>
        </w:rPr>
        <w:t>s……………………………………………………</w:t>
      </w:r>
      <w:r w:rsidR="00927AB8">
        <w:rPr>
          <w:noProof/>
          <w:sz w:val="28"/>
          <w:szCs w:val="28"/>
        </w:rPr>
        <w:t>…. pg.</w:t>
      </w:r>
      <w:r w:rsidR="0013605A">
        <w:rPr>
          <w:noProof/>
          <w:sz w:val="28"/>
          <w:szCs w:val="28"/>
        </w:rPr>
        <w:t xml:space="preserve"> 11</w:t>
      </w:r>
    </w:p>
    <w:p w14:paraId="66DCB3D9" w14:textId="75D4EF9D" w:rsidR="00CC5DB4" w:rsidRPr="00CB3293" w:rsidRDefault="00CC5DB4" w:rsidP="00DD733C">
      <w:pPr>
        <w:pStyle w:val="ListParagraph"/>
        <w:numPr>
          <w:ilvl w:val="0"/>
          <w:numId w:val="1"/>
        </w:numPr>
        <w:rPr>
          <w:noProof/>
          <w:sz w:val="28"/>
          <w:szCs w:val="28"/>
        </w:rPr>
      </w:pPr>
      <w:r w:rsidRPr="00CB3293">
        <w:rPr>
          <w:noProof/>
          <w:sz w:val="28"/>
          <w:szCs w:val="28"/>
        </w:rPr>
        <w:t>Conclusio</w:t>
      </w:r>
      <w:r w:rsidR="00730708">
        <w:rPr>
          <w:noProof/>
          <w:sz w:val="28"/>
          <w:szCs w:val="28"/>
        </w:rPr>
        <w:t>n………………………………………………………………</w:t>
      </w:r>
      <w:r w:rsidR="0013605A">
        <w:rPr>
          <w:noProof/>
          <w:sz w:val="28"/>
          <w:szCs w:val="28"/>
        </w:rPr>
        <w:t>……</w:t>
      </w:r>
      <w:r w:rsidR="00730708">
        <w:rPr>
          <w:noProof/>
          <w:sz w:val="28"/>
          <w:szCs w:val="28"/>
        </w:rPr>
        <w:t>…</w:t>
      </w:r>
      <w:r w:rsidR="0013605A">
        <w:rPr>
          <w:noProof/>
          <w:sz w:val="28"/>
          <w:szCs w:val="28"/>
        </w:rPr>
        <w:t>pg. 12</w:t>
      </w:r>
    </w:p>
    <w:p w14:paraId="72956B76" w14:textId="4439FBD6" w:rsidR="00AE4B42" w:rsidRPr="00CB3293" w:rsidRDefault="00AE4B42" w:rsidP="00DD733C">
      <w:pPr>
        <w:pStyle w:val="ListParagraph"/>
        <w:numPr>
          <w:ilvl w:val="0"/>
          <w:numId w:val="1"/>
        </w:numPr>
        <w:rPr>
          <w:noProof/>
          <w:sz w:val="28"/>
          <w:szCs w:val="28"/>
        </w:rPr>
      </w:pPr>
      <w:r w:rsidRPr="00CB3293">
        <w:rPr>
          <w:noProof/>
          <w:sz w:val="28"/>
          <w:szCs w:val="28"/>
        </w:rPr>
        <w:t>Reference</w:t>
      </w:r>
      <w:r w:rsidR="00730708">
        <w:rPr>
          <w:noProof/>
          <w:sz w:val="28"/>
          <w:szCs w:val="28"/>
        </w:rPr>
        <w:t>s………………………………………………………</w:t>
      </w:r>
      <w:r w:rsidR="00594BB4">
        <w:rPr>
          <w:noProof/>
          <w:sz w:val="28"/>
          <w:szCs w:val="28"/>
        </w:rPr>
        <w:t>……</w:t>
      </w:r>
      <w:r w:rsidR="00730708">
        <w:rPr>
          <w:noProof/>
          <w:sz w:val="28"/>
          <w:szCs w:val="28"/>
        </w:rPr>
        <w:t>…</w:t>
      </w:r>
      <w:r w:rsidR="00594BB4">
        <w:rPr>
          <w:noProof/>
          <w:sz w:val="28"/>
          <w:szCs w:val="28"/>
        </w:rPr>
        <w:t>pg. 13 - 14</w:t>
      </w:r>
    </w:p>
    <w:p w14:paraId="60141E44" w14:textId="77777777" w:rsidR="00E07719" w:rsidRDefault="00E07719" w:rsidP="0058477A"/>
    <w:p w14:paraId="7EDA09B7" w14:textId="77777777" w:rsidR="00E07719" w:rsidRDefault="00E07719" w:rsidP="0058477A"/>
    <w:p w14:paraId="3706688E" w14:textId="77777777" w:rsidR="00D529E8" w:rsidRDefault="00D529E8" w:rsidP="00D56F64">
      <w:pPr>
        <w:pStyle w:val="Heading1"/>
        <w:rPr>
          <w:rFonts w:ascii="Arial" w:hAnsi="Arial" w:cs="Arial"/>
        </w:rPr>
      </w:pPr>
    </w:p>
    <w:p w14:paraId="466D0655" w14:textId="77777777" w:rsidR="000064F0" w:rsidRDefault="000064F0" w:rsidP="000064F0"/>
    <w:p w14:paraId="05323C54" w14:textId="77777777" w:rsidR="000064F0" w:rsidRDefault="000064F0" w:rsidP="000064F0"/>
    <w:p w14:paraId="158659BD" w14:textId="77777777" w:rsidR="000064F0" w:rsidRDefault="000064F0" w:rsidP="000064F0"/>
    <w:p w14:paraId="1B581944" w14:textId="77777777" w:rsidR="000064F0" w:rsidRDefault="000064F0" w:rsidP="000064F0"/>
    <w:p w14:paraId="737D2A68" w14:textId="77777777" w:rsidR="000064F0" w:rsidRDefault="000064F0" w:rsidP="000064F0"/>
    <w:p w14:paraId="72E353EC" w14:textId="77777777" w:rsidR="000064F0" w:rsidRDefault="000064F0" w:rsidP="000064F0"/>
    <w:p w14:paraId="44DF6FCE" w14:textId="77777777" w:rsidR="000064F0" w:rsidRDefault="000064F0" w:rsidP="001718DB">
      <w:pPr>
        <w:pStyle w:val="Heading1"/>
      </w:pPr>
      <w:bookmarkStart w:id="0" w:name="_Toc216992463"/>
      <w:bookmarkStart w:id="1" w:name="_Toc216993210"/>
    </w:p>
    <w:p w14:paraId="72044928" w14:textId="18246B87" w:rsidR="00E07719" w:rsidRPr="005F2595" w:rsidRDefault="00E07719" w:rsidP="001718DB">
      <w:pPr>
        <w:pStyle w:val="Heading1"/>
      </w:pPr>
      <w:r w:rsidRPr="005F2595">
        <w:t xml:space="preserve">Executive Summary </w:t>
      </w:r>
      <w:bookmarkEnd w:id="0"/>
      <w:bookmarkEnd w:id="1"/>
    </w:p>
    <w:p w14:paraId="4AB1A360" w14:textId="0842689C" w:rsidR="00AE1E0F" w:rsidRPr="00005FC6" w:rsidRDefault="00AE1E0F" w:rsidP="00AE1E0F">
      <w:pPr>
        <w:jc w:val="both"/>
        <w:rPr>
          <w:rFonts w:ascii="Arial" w:hAnsi="Arial" w:cs="Arial"/>
          <w:sz w:val="22"/>
          <w:szCs w:val="22"/>
        </w:rPr>
      </w:pPr>
      <w:r w:rsidRPr="00005FC6">
        <w:rPr>
          <w:rFonts w:ascii="Arial" w:hAnsi="Arial" w:cs="Arial"/>
          <w:sz w:val="22"/>
          <w:szCs w:val="22"/>
        </w:rPr>
        <w:t>HubSpot Ltd. has evolved from an inbound marketing pioneer into a global software provider, reporting 2024 revenues of $2.63 billion and net profits of $4.63 million after a prolonged period of losses (Yahoo! Finance, 2025). The company serves 216,840 clients across more than 120 countries, with non</w:t>
      </w:r>
      <w:r w:rsidR="006A0A33">
        <w:rPr>
          <w:rFonts w:ascii="Arial" w:hAnsi="Arial" w:cs="Arial"/>
          <w:sz w:val="22"/>
          <w:szCs w:val="22"/>
        </w:rPr>
        <w:t xml:space="preserve"> </w:t>
      </w:r>
      <w:r w:rsidRPr="00005FC6">
        <w:rPr>
          <w:rFonts w:ascii="Arial" w:hAnsi="Arial" w:cs="Arial"/>
          <w:sz w:val="22"/>
          <w:szCs w:val="22"/>
        </w:rPr>
        <w:t>American markets contributing 47% of total revenue and subscription income accounting for 97.8% of the top line (IncRev, 2024; Kelly,</w:t>
      </w:r>
    </w:p>
    <w:p w14:paraId="1BD563C2" w14:textId="09850817" w:rsidR="00AE1E0F" w:rsidRPr="00005FC6" w:rsidRDefault="00AE1E0F" w:rsidP="00AE1E0F">
      <w:pPr>
        <w:jc w:val="both"/>
        <w:rPr>
          <w:rFonts w:ascii="Arial" w:hAnsi="Arial" w:cs="Arial"/>
          <w:sz w:val="22"/>
          <w:szCs w:val="22"/>
        </w:rPr>
      </w:pPr>
      <w:r w:rsidRPr="00005FC6">
        <w:rPr>
          <w:rFonts w:ascii="Arial" w:hAnsi="Arial" w:cs="Arial"/>
          <w:sz w:val="22"/>
          <w:szCs w:val="22"/>
        </w:rPr>
        <w:t>2025). Despite these strong indicators, an emerging strategic tension remains selling and marketing expenses consume approximately 53% of revenue, around fifteen percentage points above the sector median, constraining operating leverage as competitors such as Microsoft, Salesforce and other SaaS providers increasingly replicate HubSpot's historically ease</w:t>
      </w:r>
      <w:r w:rsidR="00C27C85">
        <w:rPr>
          <w:rFonts w:ascii="Arial" w:hAnsi="Arial" w:cs="Arial"/>
          <w:sz w:val="22"/>
          <w:szCs w:val="22"/>
        </w:rPr>
        <w:t xml:space="preserve"> </w:t>
      </w:r>
      <w:r w:rsidRPr="00005FC6">
        <w:rPr>
          <w:rFonts w:ascii="Arial" w:hAnsi="Arial" w:cs="Arial"/>
          <w:sz w:val="22"/>
          <w:szCs w:val="22"/>
        </w:rPr>
        <w:t>of</w:t>
      </w:r>
      <w:r w:rsidR="00C27C85">
        <w:rPr>
          <w:rFonts w:ascii="Arial" w:hAnsi="Arial" w:cs="Arial"/>
          <w:sz w:val="22"/>
          <w:szCs w:val="22"/>
        </w:rPr>
        <w:t xml:space="preserve"> </w:t>
      </w:r>
      <w:r w:rsidRPr="00005FC6">
        <w:rPr>
          <w:rFonts w:ascii="Arial" w:hAnsi="Arial" w:cs="Arial"/>
          <w:sz w:val="22"/>
          <w:szCs w:val="22"/>
        </w:rPr>
        <w:t>use differentiation (ElectrolQ, 2025).</w:t>
      </w:r>
    </w:p>
    <w:p w14:paraId="6460C0B2" w14:textId="7DFA7503" w:rsidR="00AE1E0F" w:rsidRPr="00005FC6" w:rsidRDefault="00AE1E0F" w:rsidP="00AE1E0F">
      <w:pPr>
        <w:jc w:val="both"/>
        <w:rPr>
          <w:rFonts w:ascii="Arial" w:hAnsi="Arial" w:cs="Arial"/>
          <w:sz w:val="22"/>
          <w:szCs w:val="22"/>
        </w:rPr>
      </w:pPr>
      <w:r w:rsidRPr="00005FC6">
        <w:rPr>
          <w:rFonts w:ascii="Arial" w:hAnsi="Arial" w:cs="Arial"/>
          <w:sz w:val="22"/>
          <w:szCs w:val="22"/>
        </w:rPr>
        <w:t>Macroeconomic conditions reinforce the need for structural adjustment. Persistently high interest rates have compressed SME technology budgets, while new data</w:t>
      </w:r>
      <w:r w:rsidR="00C27C85">
        <w:rPr>
          <w:rFonts w:ascii="Arial" w:hAnsi="Arial" w:cs="Arial"/>
          <w:sz w:val="22"/>
          <w:szCs w:val="22"/>
        </w:rPr>
        <w:t xml:space="preserve"> </w:t>
      </w:r>
      <w:r w:rsidRPr="00005FC6">
        <w:rPr>
          <w:rFonts w:ascii="Arial" w:hAnsi="Arial" w:cs="Arial"/>
          <w:sz w:val="22"/>
          <w:szCs w:val="22"/>
        </w:rPr>
        <w:t>protection and compliance regulations in India, the Gulf Cooperation Council and the European Union raise barriers that favour providers with localised infrastructure (Skywell Capital, 2025). At the same time, the rapid diffusion of generative artificial intelligence is accelerating feature commoditisation, weakening HubSpot's pricing power in the lower-middle SME segment (CRMExpertsOnline, 2025).</w:t>
      </w:r>
    </w:p>
    <w:p w14:paraId="6ECD67D8" w14:textId="6EE1A586" w:rsidR="00AE1E0F" w:rsidRPr="00005FC6" w:rsidRDefault="00AE1E0F" w:rsidP="00AE1E0F">
      <w:pPr>
        <w:jc w:val="both"/>
        <w:rPr>
          <w:rFonts w:ascii="Arial" w:hAnsi="Arial" w:cs="Arial"/>
          <w:sz w:val="22"/>
          <w:szCs w:val="22"/>
        </w:rPr>
      </w:pPr>
      <w:r w:rsidRPr="00005FC6">
        <w:rPr>
          <w:rFonts w:ascii="Arial" w:hAnsi="Arial" w:cs="Arial"/>
          <w:sz w:val="22"/>
          <w:szCs w:val="22"/>
        </w:rPr>
        <w:t>This report argues that HubSpot's next phase of growth depends on three mutually reinforcing initiatives. First, the launch of a territorially priced "Al Growth Suite" below €3,000 per year would bundle marketing automation, sales functionality and predictive content generation into a unified data model, reducing SME time</w:t>
      </w:r>
      <w:r w:rsidR="00C27C85">
        <w:rPr>
          <w:rFonts w:ascii="Arial" w:hAnsi="Arial" w:cs="Arial"/>
          <w:sz w:val="22"/>
          <w:szCs w:val="22"/>
        </w:rPr>
        <w:t xml:space="preserve"> </w:t>
      </w:r>
      <w:r w:rsidRPr="00005FC6">
        <w:rPr>
          <w:rFonts w:ascii="Arial" w:hAnsi="Arial" w:cs="Arial"/>
          <w:sz w:val="22"/>
          <w:szCs w:val="22"/>
        </w:rPr>
        <w:t>to</w:t>
      </w:r>
      <w:r w:rsidR="00C27C85">
        <w:rPr>
          <w:rFonts w:ascii="Arial" w:hAnsi="Arial" w:cs="Arial"/>
          <w:sz w:val="22"/>
          <w:szCs w:val="22"/>
        </w:rPr>
        <w:t xml:space="preserve"> </w:t>
      </w:r>
      <w:r w:rsidRPr="00005FC6">
        <w:rPr>
          <w:rFonts w:ascii="Arial" w:hAnsi="Arial" w:cs="Arial"/>
          <w:sz w:val="22"/>
          <w:szCs w:val="22"/>
        </w:rPr>
        <w:t>value to under 30 days and lifting net revenue retention beyond 110% (G2, 2024). Second, management should establish data centres in the United Arab Emirates and India by early 2026 to address regulatory requirements and unlock compliance</w:t>
      </w:r>
      <w:r w:rsidR="00254963">
        <w:rPr>
          <w:rFonts w:ascii="Arial" w:hAnsi="Arial" w:cs="Arial"/>
          <w:sz w:val="22"/>
          <w:szCs w:val="22"/>
        </w:rPr>
        <w:t xml:space="preserve"> </w:t>
      </w:r>
      <w:r w:rsidRPr="00005FC6">
        <w:rPr>
          <w:rFonts w:ascii="Arial" w:hAnsi="Arial" w:cs="Arial"/>
          <w:sz w:val="22"/>
          <w:szCs w:val="22"/>
        </w:rPr>
        <w:t>sensitive demand. Third, HubSpot should expand product</w:t>
      </w:r>
      <w:r w:rsidR="00254963">
        <w:rPr>
          <w:rFonts w:ascii="Arial" w:hAnsi="Arial" w:cs="Arial"/>
          <w:sz w:val="22"/>
          <w:szCs w:val="22"/>
        </w:rPr>
        <w:t xml:space="preserve"> </w:t>
      </w:r>
      <w:r w:rsidRPr="00005FC6">
        <w:rPr>
          <w:rFonts w:ascii="Arial" w:hAnsi="Arial" w:cs="Arial"/>
          <w:sz w:val="22"/>
          <w:szCs w:val="22"/>
        </w:rPr>
        <w:t>led growth so that at least 20% of new subscriptions originate from self</w:t>
      </w:r>
      <w:r w:rsidR="00254963">
        <w:rPr>
          <w:rFonts w:ascii="Arial" w:hAnsi="Arial" w:cs="Arial"/>
          <w:sz w:val="22"/>
          <w:szCs w:val="22"/>
        </w:rPr>
        <w:t xml:space="preserve"> </w:t>
      </w:r>
      <w:r w:rsidRPr="00005FC6">
        <w:rPr>
          <w:rFonts w:ascii="Arial" w:hAnsi="Arial" w:cs="Arial"/>
          <w:sz w:val="22"/>
          <w:szCs w:val="22"/>
        </w:rPr>
        <w:t>service trials, shortening cash payback periods. These initiatives are financially feasible given $1.8 billion in cash reserves and forecast cumulative free cash flow of $2.1 billion over the planning horizon (Simply Wall St, 2025). If executed concurrently, they could generate an additional €1 billion in annual recurring revenue by 2029 and raise operating margins above the 20% threshold expected by institutional investors (Investing.com, 2025).</w:t>
      </w:r>
    </w:p>
    <w:p w14:paraId="361D82B7" w14:textId="77777777" w:rsidR="00D529E8" w:rsidRPr="00005FC6" w:rsidRDefault="00D529E8" w:rsidP="0058477A">
      <w:pPr>
        <w:pStyle w:val="Heading1"/>
        <w:rPr>
          <w:rFonts w:ascii="Arial" w:hAnsi="Arial" w:cs="Arial"/>
        </w:rPr>
      </w:pPr>
    </w:p>
    <w:p w14:paraId="1EB8C424" w14:textId="01730F45" w:rsidR="00E07719" w:rsidRPr="00005FC6" w:rsidRDefault="00E07719" w:rsidP="001718DB">
      <w:pPr>
        <w:pStyle w:val="Heading1"/>
        <w:rPr>
          <w:rFonts w:ascii="Arial" w:hAnsi="Arial" w:cs="Arial"/>
        </w:rPr>
      </w:pPr>
      <w:bookmarkStart w:id="2" w:name="_Toc216992464"/>
      <w:bookmarkStart w:id="3" w:name="_Toc216993211"/>
      <w:r w:rsidRPr="00005FC6">
        <w:rPr>
          <w:rFonts w:ascii="Arial" w:hAnsi="Arial" w:cs="Arial"/>
        </w:rPr>
        <w:t>Introduction</w:t>
      </w:r>
      <w:bookmarkEnd w:id="2"/>
      <w:bookmarkEnd w:id="3"/>
    </w:p>
    <w:p w14:paraId="0EBB3120" w14:textId="55C0243D" w:rsidR="002B5836" w:rsidRPr="00005FC6" w:rsidRDefault="002B5836" w:rsidP="00C34AD6">
      <w:pPr>
        <w:jc w:val="both"/>
        <w:rPr>
          <w:rFonts w:ascii="Arial" w:hAnsi="Arial" w:cs="Arial"/>
          <w:sz w:val="22"/>
          <w:szCs w:val="22"/>
        </w:rPr>
      </w:pPr>
      <w:r w:rsidRPr="00005FC6">
        <w:rPr>
          <w:rFonts w:ascii="Arial" w:hAnsi="Arial" w:cs="Arial"/>
          <w:sz w:val="22"/>
          <w:szCs w:val="22"/>
        </w:rPr>
        <w:t>HubSpot Corp. occupies a distinctive position in the global customer relationship management (CRM) ecosystem. Founded in 2006 by two Massachusetts Institute of Technology postgraduate students, the company popularised the concept of "inbound marketing" and subsequently developed a modular cloud platform integrating marketing campaign management, workforce automation, customer service ticketing, content management and revenue operations tooling (HubSpot Inc., 2024). Its 2014 IPO coincided with a decade</w:t>
      </w:r>
      <w:r w:rsidR="00254963">
        <w:rPr>
          <w:rFonts w:ascii="Arial" w:hAnsi="Arial" w:cs="Arial"/>
          <w:sz w:val="22"/>
          <w:szCs w:val="22"/>
        </w:rPr>
        <w:t xml:space="preserve"> </w:t>
      </w:r>
      <w:r w:rsidRPr="00005FC6">
        <w:rPr>
          <w:rFonts w:ascii="Arial" w:hAnsi="Arial" w:cs="Arial"/>
          <w:sz w:val="22"/>
          <w:szCs w:val="22"/>
        </w:rPr>
        <w:t>long expansion of digital commerce, as small and medium</w:t>
      </w:r>
      <w:r w:rsidR="00254963">
        <w:rPr>
          <w:rFonts w:ascii="Arial" w:hAnsi="Arial" w:cs="Arial"/>
          <w:sz w:val="22"/>
          <w:szCs w:val="22"/>
        </w:rPr>
        <w:t xml:space="preserve"> </w:t>
      </w:r>
      <w:r w:rsidRPr="00005FC6">
        <w:rPr>
          <w:rFonts w:ascii="Arial" w:hAnsi="Arial" w:cs="Arial"/>
          <w:sz w:val="22"/>
          <w:szCs w:val="22"/>
        </w:rPr>
        <w:t>sized enterprises (SMEs) shifted from spreadsheet</w:t>
      </w:r>
      <w:r w:rsidR="00BD0DF5">
        <w:rPr>
          <w:rFonts w:ascii="Arial" w:hAnsi="Arial" w:cs="Arial"/>
          <w:sz w:val="22"/>
          <w:szCs w:val="22"/>
        </w:rPr>
        <w:t xml:space="preserve"> </w:t>
      </w:r>
      <w:r w:rsidRPr="00005FC6">
        <w:rPr>
          <w:rFonts w:ascii="Arial" w:hAnsi="Arial" w:cs="Arial"/>
          <w:sz w:val="22"/>
          <w:szCs w:val="22"/>
        </w:rPr>
        <w:t xml:space="preserve">based contact lists to integrated software suites (OECD, 2023). By 2024, HubSpot served over 216,000 corporate clients; however, the competitive landscape has </w:t>
      </w:r>
      <w:r w:rsidRPr="00005FC6">
        <w:rPr>
          <w:rFonts w:ascii="Arial" w:hAnsi="Arial" w:cs="Arial"/>
          <w:sz w:val="22"/>
          <w:szCs w:val="22"/>
        </w:rPr>
        <w:lastRenderedPageBreak/>
        <w:t>become increasingly contested. Large vendors such as Salesforce, Microsoft and Adobe have launched aggressively priced bundles incorporating artificial</w:t>
      </w:r>
      <w:r w:rsidR="00BD0DF5">
        <w:rPr>
          <w:rFonts w:ascii="Arial" w:hAnsi="Arial" w:cs="Arial"/>
          <w:sz w:val="22"/>
          <w:szCs w:val="22"/>
        </w:rPr>
        <w:t xml:space="preserve"> </w:t>
      </w:r>
      <w:r w:rsidRPr="00005FC6">
        <w:rPr>
          <w:rFonts w:ascii="Arial" w:hAnsi="Arial" w:cs="Arial"/>
          <w:sz w:val="22"/>
          <w:szCs w:val="22"/>
        </w:rPr>
        <w:t>intelligence copilots, while privately funded entrants replicate individual HubSpot modules at significantly lower licence costs (Syverson, 2010; OECD, 2023).</w:t>
      </w:r>
    </w:p>
    <w:p w14:paraId="3E585744" w14:textId="77777777" w:rsidR="002B5836" w:rsidRPr="00005FC6" w:rsidRDefault="002B5836" w:rsidP="00C34AD6">
      <w:pPr>
        <w:jc w:val="both"/>
        <w:rPr>
          <w:rFonts w:ascii="Arial" w:hAnsi="Arial" w:cs="Arial"/>
          <w:sz w:val="22"/>
          <w:szCs w:val="22"/>
        </w:rPr>
      </w:pPr>
      <w:r w:rsidRPr="00005FC6">
        <w:rPr>
          <w:rFonts w:ascii="Arial" w:hAnsi="Arial" w:cs="Arial"/>
          <w:sz w:val="22"/>
          <w:szCs w:val="22"/>
        </w:rPr>
        <w:t>The academic motivation for this study arises from the tension between HubSpot's continued revenue growth and its relatively high customer acquisition cost ratio. Although revenue reached USD 2.63 billion in fiscal year 2024, selling and marketing expenses accounted for approximately 53% of revenue, around fifteen percentage points above the median for comparable cloud-software firms (HubSpot Inc., 2024). Consequently, this report examines HubSpot's strategic options for deepening SME market penetration while improving operating leverage and defending against intensifying competitive pressure.</w:t>
      </w:r>
    </w:p>
    <w:p w14:paraId="5E189FD9" w14:textId="665390C3" w:rsidR="002B5836" w:rsidRPr="00005FC6" w:rsidRDefault="002B5836" w:rsidP="00C34AD6">
      <w:pPr>
        <w:jc w:val="both"/>
        <w:rPr>
          <w:rFonts w:ascii="Arial" w:hAnsi="Arial" w:cs="Arial"/>
          <w:sz w:val="22"/>
          <w:szCs w:val="22"/>
        </w:rPr>
      </w:pPr>
      <w:r w:rsidRPr="00005FC6">
        <w:rPr>
          <w:rFonts w:ascii="Arial" w:hAnsi="Arial" w:cs="Arial"/>
          <w:sz w:val="22"/>
          <w:szCs w:val="22"/>
        </w:rPr>
        <w:t>The report has four objectives: first, to outline HubSpot's strategic direction and organisational purpose using investor communications and cultural disclosures; second, to integrate external and internal analysis through PESTEL, Porter's Five Forces and value</w:t>
      </w:r>
      <w:r w:rsidR="00BD0DF5">
        <w:rPr>
          <w:rFonts w:ascii="Arial" w:hAnsi="Arial" w:cs="Arial"/>
          <w:sz w:val="22"/>
          <w:szCs w:val="22"/>
        </w:rPr>
        <w:t xml:space="preserve"> </w:t>
      </w:r>
      <w:r w:rsidRPr="00005FC6">
        <w:rPr>
          <w:rFonts w:ascii="Arial" w:hAnsi="Arial" w:cs="Arial"/>
          <w:sz w:val="22"/>
          <w:szCs w:val="22"/>
        </w:rPr>
        <w:t>chain frameworks; third, to assess SME</w:t>
      </w:r>
      <w:r w:rsidR="00BD0DF5">
        <w:rPr>
          <w:rFonts w:ascii="Arial" w:hAnsi="Arial" w:cs="Arial"/>
          <w:sz w:val="22"/>
          <w:szCs w:val="22"/>
        </w:rPr>
        <w:t xml:space="preserve"> </w:t>
      </w:r>
      <w:r w:rsidRPr="00005FC6">
        <w:rPr>
          <w:rFonts w:ascii="Arial" w:hAnsi="Arial" w:cs="Arial"/>
          <w:sz w:val="22"/>
          <w:szCs w:val="22"/>
        </w:rPr>
        <w:t>focused growth vectors such as acquisitions, vertical micro</w:t>
      </w:r>
      <w:r w:rsidR="00BD0DF5">
        <w:rPr>
          <w:rFonts w:ascii="Arial" w:hAnsi="Arial" w:cs="Arial"/>
          <w:sz w:val="22"/>
          <w:szCs w:val="22"/>
        </w:rPr>
        <w:t xml:space="preserve"> </w:t>
      </w:r>
      <w:r w:rsidRPr="00005FC6">
        <w:rPr>
          <w:rFonts w:ascii="Arial" w:hAnsi="Arial" w:cs="Arial"/>
          <w:sz w:val="22"/>
          <w:szCs w:val="22"/>
        </w:rPr>
        <w:t>SaaS expansion and regional localisation (OECD, 2023; Wang, 2016); and finally, to propose actionable recommendations supported by an implementation plan that considers stakeholder feasibility, financial capacity and regulatory compliance.</w:t>
      </w:r>
    </w:p>
    <w:p w14:paraId="5A37043C" w14:textId="7BD4243F" w:rsidR="00C34AD6" w:rsidRPr="00005FC6" w:rsidRDefault="00C34AD6" w:rsidP="00C34AD6">
      <w:pPr>
        <w:jc w:val="both"/>
        <w:rPr>
          <w:rFonts w:ascii="Arial" w:hAnsi="Arial" w:cs="Arial"/>
          <w:sz w:val="22"/>
          <w:szCs w:val="22"/>
        </w:rPr>
      </w:pPr>
      <w:r w:rsidRPr="00005FC6">
        <w:rPr>
          <w:rFonts w:ascii="Arial" w:hAnsi="Arial" w:cs="Arial"/>
          <w:sz w:val="22"/>
          <w:szCs w:val="22"/>
        </w:rPr>
        <w:t>The methodological approach is qualitative and documentary, drawing on HubSpot's statutory filings (Forms 10K and 10Q), independent benchmarking reports, academic literature on SaaS unit economics and market research on SME technology adoption (OECD, 2022; Wang, 2016). The analysis covers the period from 2020 to 2024 to capture both pandemic</w:t>
      </w:r>
      <w:r w:rsidR="00BC6E62">
        <w:rPr>
          <w:rFonts w:ascii="Arial" w:hAnsi="Arial" w:cs="Arial"/>
          <w:sz w:val="22"/>
          <w:szCs w:val="22"/>
        </w:rPr>
        <w:t xml:space="preserve"> </w:t>
      </w:r>
      <w:r w:rsidRPr="00005FC6">
        <w:rPr>
          <w:rFonts w:ascii="Arial" w:hAnsi="Arial" w:cs="Arial"/>
          <w:sz w:val="22"/>
          <w:szCs w:val="22"/>
        </w:rPr>
        <w:t>related demand shifts and post</w:t>
      </w:r>
      <w:r w:rsidR="00BC6E62">
        <w:rPr>
          <w:rFonts w:ascii="Arial" w:hAnsi="Arial" w:cs="Arial"/>
          <w:sz w:val="22"/>
          <w:szCs w:val="22"/>
        </w:rPr>
        <w:t xml:space="preserve"> </w:t>
      </w:r>
      <w:r w:rsidRPr="00005FC6">
        <w:rPr>
          <w:rFonts w:ascii="Arial" w:hAnsi="Arial" w:cs="Arial"/>
          <w:sz w:val="22"/>
          <w:szCs w:val="22"/>
        </w:rPr>
        <w:t>pandemic normalisation. While the scope is global, particular emphasis is placed on North America, Europe, the Gulf Cooperation Council and India, which together account for over 80% of HubSpot's revenue and growth opportunity (OECD, 2023). The remainder of the report is structured as follows: Section 3 examines strategic direction and purpose; Section 4 analyses the external environment and competitive position; Section 5 evaluates SME</w:t>
      </w:r>
      <w:r w:rsidR="00BC6E62">
        <w:rPr>
          <w:rFonts w:ascii="Arial" w:hAnsi="Arial" w:cs="Arial"/>
          <w:sz w:val="22"/>
          <w:szCs w:val="22"/>
        </w:rPr>
        <w:t xml:space="preserve"> </w:t>
      </w:r>
      <w:r w:rsidRPr="00005FC6">
        <w:rPr>
          <w:rFonts w:ascii="Arial" w:hAnsi="Arial" w:cs="Arial"/>
          <w:sz w:val="22"/>
          <w:szCs w:val="22"/>
        </w:rPr>
        <w:t>oriented growth options; Section 6 assesses stakeholders and strategic feasibility; and Section 7 presents recommendations and implementation challenges.</w:t>
      </w:r>
    </w:p>
    <w:p w14:paraId="455A104A" w14:textId="77777777" w:rsidR="00E07719" w:rsidRPr="005F2595" w:rsidRDefault="00E07719" w:rsidP="0058477A">
      <w:pPr>
        <w:jc w:val="both"/>
        <w:rPr>
          <w:rFonts w:ascii="Arial" w:hAnsi="Arial" w:cs="Arial"/>
          <w:sz w:val="22"/>
          <w:szCs w:val="22"/>
        </w:rPr>
      </w:pPr>
    </w:p>
    <w:p w14:paraId="2B2FBA0E" w14:textId="77777777" w:rsidR="00E07719" w:rsidRPr="00005FC6" w:rsidRDefault="00E07719" w:rsidP="001718DB">
      <w:pPr>
        <w:pStyle w:val="Heading1"/>
        <w:rPr>
          <w:rFonts w:ascii="Arial" w:hAnsi="Arial" w:cs="Arial"/>
        </w:rPr>
      </w:pPr>
      <w:bookmarkStart w:id="4" w:name="_Toc216992465"/>
      <w:bookmarkStart w:id="5" w:name="_Toc216993212"/>
      <w:r w:rsidRPr="00005FC6">
        <w:rPr>
          <w:rFonts w:ascii="Arial" w:hAnsi="Arial" w:cs="Arial"/>
        </w:rPr>
        <w:t>Strategic Direction &amp; organisational Purpose</w:t>
      </w:r>
      <w:bookmarkEnd w:id="4"/>
      <w:bookmarkEnd w:id="5"/>
      <w:r w:rsidRPr="00005FC6">
        <w:rPr>
          <w:rFonts w:ascii="Arial" w:hAnsi="Arial" w:cs="Arial"/>
        </w:rPr>
        <w:t xml:space="preserve"> </w:t>
      </w:r>
    </w:p>
    <w:p w14:paraId="61017663" w14:textId="77777777" w:rsidR="00E07719" w:rsidRPr="00005FC6" w:rsidRDefault="00E07719" w:rsidP="0058477A">
      <w:pPr>
        <w:rPr>
          <w:rFonts w:ascii="Arial" w:hAnsi="Arial" w:cs="Arial"/>
        </w:rPr>
      </w:pPr>
    </w:p>
    <w:p w14:paraId="1027A2DD" w14:textId="27B753FF" w:rsidR="00E07719" w:rsidRPr="00005FC6" w:rsidRDefault="00E07719" w:rsidP="0058477A">
      <w:pPr>
        <w:jc w:val="both"/>
        <w:rPr>
          <w:rFonts w:ascii="Arial" w:hAnsi="Arial" w:cs="Arial"/>
          <w:sz w:val="22"/>
          <w:szCs w:val="22"/>
        </w:rPr>
      </w:pPr>
      <w:r w:rsidRPr="00005FC6">
        <w:rPr>
          <w:rFonts w:ascii="Arial" w:hAnsi="Arial" w:cs="Arial"/>
          <w:sz w:val="22"/>
          <w:szCs w:val="22"/>
        </w:rPr>
        <w:t>HubSpot's strategic direction and organisational purpose are anchored in its mission "to help millions of organisations grow better," which frames growth as customer</w:t>
      </w:r>
      <w:r w:rsidR="00C9549A">
        <w:rPr>
          <w:rFonts w:ascii="Arial" w:hAnsi="Arial" w:cs="Arial"/>
          <w:sz w:val="22"/>
          <w:szCs w:val="22"/>
        </w:rPr>
        <w:t xml:space="preserve"> </w:t>
      </w:r>
      <w:r w:rsidRPr="00005FC6">
        <w:rPr>
          <w:rFonts w:ascii="Arial" w:hAnsi="Arial" w:cs="Arial"/>
          <w:sz w:val="22"/>
          <w:szCs w:val="22"/>
        </w:rPr>
        <w:t>centric, ethical and sustainable rather than purely expansionary (HubSpot, 2023; MatrixBCG, 2025). This purpose is operationalised through a rolling three</w:t>
      </w:r>
      <w:r w:rsidR="00C9549A">
        <w:rPr>
          <w:rFonts w:ascii="Arial" w:hAnsi="Arial" w:cs="Arial"/>
          <w:sz w:val="22"/>
          <w:szCs w:val="22"/>
        </w:rPr>
        <w:t xml:space="preserve"> </w:t>
      </w:r>
      <w:r w:rsidRPr="00005FC6">
        <w:rPr>
          <w:rFonts w:ascii="Arial" w:hAnsi="Arial" w:cs="Arial"/>
          <w:sz w:val="22"/>
          <w:szCs w:val="22"/>
        </w:rPr>
        <w:t>year "Objectives</w:t>
      </w:r>
      <w:r w:rsidR="00C9549A">
        <w:rPr>
          <w:rFonts w:ascii="Arial" w:hAnsi="Arial" w:cs="Arial"/>
          <w:sz w:val="22"/>
          <w:szCs w:val="22"/>
        </w:rPr>
        <w:t xml:space="preserve"> </w:t>
      </w:r>
      <w:r w:rsidRPr="00005FC6">
        <w:rPr>
          <w:rFonts w:ascii="Arial" w:hAnsi="Arial" w:cs="Arial"/>
          <w:sz w:val="22"/>
          <w:szCs w:val="22"/>
        </w:rPr>
        <w:t>Goals</w:t>
      </w:r>
      <w:r w:rsidR="00C9549A">
        <w:rPr>
          <w:rFonts w:ascii="Arial" w:hAnsi="Arial" w:cs="Arial"/>
          <w:sz w:val="22"/>
          <w:szCs w:val="22"/>
        </w:rPr>
        <w:t xml:space="preserve"> </w:t>
      </w:r>
      <w:r w:rsidRPr="00005FC6">
        <w:rPr>
          <w:rFonts w:ascii="Arial" w:hAnsi="Arial" w:cs="Arial"/>
          <w:sz w:val="22"/>
          <w:szCs w:val="22"/>
        </w:rPr>
        <w:t>Plays" framework which, for the 2025</w:t>
      </w:r>
      <w:r w:rsidR="00C9549A">
        <w:rPr>
          <w:rFonts w:ascii="Arial" w:hAnsi="Arial" w:cs="Arial"/>
          <w:sz w:val="22"/>
          <w:szCs w:val="22"/>
        </w:rPr>
        <w:t xml:space="preserve"> / </w:t>
      </w:r>
      <w:r w:rsidRPr="00005FC6">
        <w:rPr>
          <w:rFonts w:ascii="Arial" w:hAnsi="Arial" w:cs="Arial"/>
          <w:sz w:val="22"/>
          <w:szCs w:val="22"/>
        </w:rPr>
        <w:t>2027 period, prioritises establishing HubSpot as an Al</w:t>
      </w:r>
      <w:r w:rsidR="00C9549A">
        <w:rPr>
          <w:rFonts w:ascii="Arial" w:hAnsi="Arial" w:cs="Arial"/>
          <w:sz w:val="22"/>
          <w:szCs w:val="22"/>
        </w:rPr>
        <w:t xml:space="preserve"> </w:t>
      </w:r>
      <w:r w:rsidRPr="00005FC6">
        <w:rPr>
          <w:rFonts w:ascii="Arial" w:hAnsi="Arial" w:cs="Arial"/>
          <w:sz w:val="22"/>
          <w:szCs w:val="22"/>
        </w:rPr>
        <w:t>enabled customer platform for scaling organisations with fewer than 2,000 employees, accelerating international expansion by increasing the proportion of revenue generated outside the Americas, and reducing customer time</w:t>
      </w:r>
      <w:r w:rsidR="00E427B1">
        <w:rPr>
          <w:rFonts w:ascii="Arial" w:hAnsi="Arial" w:cs="Arial"/>
          <w:sz w:val="22"/>
          <w:szCs w:val="22"/>
        </w:rPr>
        <w:t xml:space="preserve"> </w:t>
      </w:r>
      <w:r w:rsidRPr="00005FC6">
        <w:rPr>
          <w:rFonts w:ascii="Arial" w:hAnsi="Arial" w:cs="Arial"/>
          <w:sz w:val="22"/>
          <w:szCs w:val="22"/>
        </w:rPr>
        <w:t>to</w:t>
      </w:r>
      <w:r w:rsidR="00E427B1">
        <w:rPr>
          <w:rFonts w:ascii="Arial" w:hAnsi="Arial" w:cs="Arial"/>
          <w:sz w:val="22"/>
          <w:szCs w:val="22"/>
        </w:rPr>
        <w:t xml:space="preserve"> </w:t>
      </w:r>
      <w:r w:rsidRPr="00005FC6">
        <w:rPr>
          <w:rFonts w:ascii="Arial" w:hAnsi="Arial" w:cs="Arial"/>
          <w:sz w:val="22"/>
          <w:szCs w:val="22"/>
        </w:rPr>
        <w:t>value so that measurable benefits are realised within the first 30 days of adoption (HubSpot, 2024a; Simplified Impact, 2025). Financial discipline remains integral to this direction, with ambitions to reach approximately USD 4 billion in annual recurring revenue by 2027 while maintaining strong net revenue retention and sustainable non</w:t>
      </w:r>
      <w:r w:rsidR="00E427B1">
        <w:rPr>
          <w:rFonts w:ascii="Arial" w:hAnsi="Arial" w:cs="Arial"/>
          <w:sz w:val="22"/>
          <w:szCs w:val="22"/>
        </w:rPr>
        <w:t xml:space="preserve"> </w:t>
      </w:r>
      <w:r w:rsidRPr="00005FC6">
        <w:rPr>
          <w:rFonts w:ascii="Arial" w:hAnsi="Arial" w:cs="Arial"/>
          <w:sz w:val="22"/>
          <w:szCs w:val="22"/>
        </w:rPr>
        <w:t>GAAP operating margins, thereby aligning commercial performance with the firm's broader growth mission (HubSpot, 2024a; MatrixBCG, 2025).</w:t>
      </w:r>
    </w:p>
    <w:p w14:paraId="169034E5" w14:textId="60D7FCE3" w:rsidR="00E07719" w:rsidRPr="00005FC6" w:rsidRDefault="00E07719" w:rsidP="00D529E8">
      <w:pPr>
        <w:jc w:val="both"/>
        <w:rPr>
          <w:rFonts w:ascii="Arial" w:hAnsi="Arial" w:cs="Arial"/>
          <w:sz w:val="22"/>
          <w:szCs w:val="22"/>
        </w:rPr>
      </w:pPr>
      <w:r w:rsidRPr="00005FC6">
        <w:rPr>
          <w:rFonts w:ascii="Arial" w:hAnsi="Arial" w:cs="Arial"/>
          <w:sz w:val="22"/>
          <w:szCs w:val="22"/>
        </w:rPr>
        <w:lastRenderedPageBreak/>
        <w:t>In parallel, HubSpot's strategic intent increasingly incorporates environmental and social responsibility, including commitments to embed ESG considerations into its technology infrastructure and Al roadmap through energy</w:t>
      </w:r>
      <w:r w:rsidR="00E427B1">
        <w:rPr>
          <w:rFonts w:ascii="Arial" w:hAnsi="Arial" w:cs="Arial"/>
          <w:sz w:val="22"/>
          <w:szCs w:val="22"/>
        </w:rPr>
        <w:t xml:space="preserve"> </w:t>
      </w:r>
      <w:r w:rsidRPr="00005FC6">
        <w:rPr>
          <w:rFonts w:ascii="Arial" w:hAnsi="Arial" w:cs="Arial"/>
          <w:sz w:val="22"/>
          <w:szCs w:val="22"/>
        </w:rPr>
        <w:t>efficient data</w:t>
      </w:r>
      <w:r w:rsidR="00E427B1">
        <w:rPr>
          <w:rFonts w:ascii="Arial" w:hAnsi="Arial" w:cs="Arial"/>
          <w:sz w:val="22"/>
          <w:szCs w:val="22"/>
        </w:rPr>
        <w:t xml:space="preserve"> </w:t>
      </w:r>
      <w:r w:rsidRPr="00005FC6">
        <w:rPr>
          <w:rFonts w:ascii="Arial" w:hAnsi="Arial" w:cs="Arial"/>
          <w:sz w:val="22"/>
          <w:szCs w:val="22"/>
        </w:rPr>
        <w:t>centre choices, renewable</w:t>
      </w:r>
      <w:r w:rsidR="00E427B1">
        <w:rPr>
          <w:rFonts w:ascii="Arial" w:hAnsi="Arial" w:cs="Arial"/>
          <w:sz w:val="22"/>
          <w:szCs w:val="22"/>
        </w:rPr>
        <w:t xml:space="preserve"> </w:t>
      </w:r>
      <w:r w:rsidRPr="00005FC6">
        <w:rPr>
          <w:rFonts w:ascii="Arial" w:hAnsi="Arial" w:cs="Arial"/>
          <w:sz w:val="22"/>
          <w:szCs w:val="22"/>
        </w:rPr>
        <w:t>aligned cloud partnerships and carbon</w:t>
      </w:r>
      <w:r w:rsidR="00E427B1">
        <w:rPr>
          <w:rFonts w:ascii="Arial" w:hAnsi="Arial" w:cs="Arial"/>
          <w:sz w:val="22"/>
          <w:szCs w:val="22"/>
        </w:rPr>
        <w:t xml:space="preserve"> </w:t>
      </w:r>
      <w:r w:rsidRPr="00005FC6">
        <w:rPr>
          <w:rFonts w:ascii="Arial" w:hAnsi="Arial" w:cs="Arial"/>
          <w:sz w:val="22"/>
          <w:szCs w:val="22"/>
        </w:rPr>
        <w:t>aware engineering practices, alongside diversity and inclusion objectives focused on improving gender balance and representation of under</w:t>
      </w:r>
      <w:r w:rsidR="00E427B1">
        <w:rPr>
          <w:rFonts w:ascii="Arial" w:hAnsi="Arial" w:cs="Arial"/>
          <w:sz w:val="22"/>
          <w:szCs w:val="22"/>
        </w:rPr>
        <w:t xml:space="preserve"> </w:t>
      </w:r>
      <w:r w:rsidRPr="00005FC6">
        <w:rPr>
          <w:rFonts w:ascii="Arial" w:hAnsi="Arial" w:cs="Arial"/>
          <w:sz w:val="22"/>
          <w:szCs w:val="22"/>
        </w:rPr>
        <w:t>represented groups in leadership roles (HubSpot, 2023a; HubSpot, 2023b; HubSpot, 2025). Collectively, this strategic positioning seeks to differentiate HubSpot through ease of use, rapid time-to-value and unified customer data within an Al</w:t>
      </w:r>
      <w:r w:rsidR="00E665C1">
        <w:rPr>
          <w:rFonts w:ascii="Arial" w:hAnsi="Arial" w:cs="Arial"/>
          <w:sz w:val="22"/>
          <w:szCs w:val="22"/>
        </w:rPr>
        <w:t xml:space="preserve"> </w:t>
      </w:r>
      <w:r w:rsidRPr="00005FC6">
        <w:rPr>
          <w:rFonts w:ascii="Arial" w:hAnsi="Arial" w:cs="Arial"/>
          <w:sz w:val="22"/>
          <w:szCs w:val="22"/>
        </w:rPr>
        <w:t>first "customer platform," in contrast to fragmented best</w:t>
      </w:r>
      <w:r w:rsidR="00E665C1">
        <w:rPr>
          <w:rFonts w:ascii="Arial" w:hAnsi="Arial" w:cs="Arial"/>
          <w:sz w:val="22"/>
          <w:szCs w:val="22"/>
        </w:rPr>
        <w:t xml:space="preserve"> </w:t>
      </w:r>
      <w:r w:rsidRPr="00005FC6">
        <w:rPr>
          <w:rFonts w:ascii="Arial" w:hAnsi="Arial" w:cs="Arial"/>
          <w:sz w:val="22"/>
          <w:szCs w:val="22"/>
        </w:rPr>
        <w:t>of</w:t>
      </w:r>
      <w:r w:rsidR="00E665C1">
        <w:rPr>
          <w:rFonts w:ascii="Arial" w:hAnsi="Arial" w:cs="Arial"/>
          <w:sz w:val="22"/>
          <w:szCs w:val="22"/>
        </w:rPr>
        <w:t xml:space="preserve"> </w:t>
      </w:r>
      <w:r w:rsidRPr="00005FC6">
        <w:rPr>
          <w:rFonts w:ascii="Arial" w:hAnsi="Arial" w:cs="Arial"/>
          <w:sz w:val="22"/>
          <w:szCs w:val="22"/>
        </w:rPr>
        <w:t>breed software stacks that often require extensive integration effort and specialist administration (HubSpot, 2024a; Variance Infotech, 2024).</w:t>
      </w:r>
    </w:p>
    <w:p w14:paraId="3549F99A" w14:textId="77777777" w:rsidR="00E07719" w:rsidRPr="00005FC6" w:rsidRDefault="00E07719" w:rsidP="001718DB">
      <w:pPr>
        <w:pStyle w:val="Heading1"/>
        <w:rPr>
          <w:rFonts w:ascii="Arial" w:hAnsi="Arial" w:cs="Arial"/>
        </w:rPr>
      </w:pPr>
      <w:bookmarkStart w:id="6" w:name="_Toc216992466"/>
      <w:bookmarkStart w:id="7" w:name="_Toc216993213"/>
      <w:r w:rsidRPr="00005FC6">
        <w:rPr>
          <w:rFonts w:ascii="Arial" w:hAnsi="Arial" w:cs="Arial"/>
        </w:rPr>
        <w:t>Environmental &amp; Competitive Advantage</w:t>
      </w:r>
      <w:bookmarkEnd w:id="6"/>
      <w:bookmarkEnd w:id="7"/>
      <w:r w:rsidRPr="00005FC6">
        <w:rPr>
          <w:rFonts w:ascii="Arial" w:hAnsi="Arial" w:cs="Arial"/>
        </w:rPr>
        <w:t xml:space="preserve"> </w:t>
      </w:r>
    </w:p>
    <w:p w14:paraId="71F95C90" w14:textId="77777777" w:rsidR="00E07719" w:rsidRPr="00005FC6" w:rsidRDefault="00E07719" w:rsidP="0058477A">
      <w:pPr>
        <w:rPr>
          <w:rFonts w:ascii="Arial" w:hAnsi="Arial" w:cs="Arial"/>
        </w:rPr>
      </w:pPr>
    </w:p>
    <w:p w14:paraId="0660F56E" w14:textId="77777777" w:rsidR="00E07719" w:rsidRPr="00005FC6" w:rsidRDefault="00E07719" w:rsidP="001718DB">
      <w:pPr>
        <w:pStyle w:val="Heading2"/>
        <w:rPr>
          <w:rFonts w:ascii="Arial" w:hAnsi="Arial" w:cs="Arial"/>
        </w:rPr>
      </w:pPr>
      <w:bookmarkStart w:id="8" w:name="_Toc216992467"/>
      <w:bookmarkStart w:id="9" w:name="_Toc216993214"/>
      <w:r w:rsidRPr="00005FC6">
        <w:rPr>
          <w:rFonts w:ascii="Arial" w:hAnsi="Arial" w:cs="Arial"/>
        </w:rPr>
        <w:t>Pestal Analysis 2024</w:t>
      </w:r>
      <w:bookmarkEnd w:id="8"/>
      <w:bookmarkEnd w:id="9"/>
    </w:p>
    <w:p w14:paraId="50B42CD7" w14:textId="77777777" w:rsidR="00E07719" w:rsidRPr="00005FC6" w:rsidRDefault="00E07719" w:rsidP="0058477A">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E07719" w:rsidRPr="00005FC6" w14:paraId="0AC4886D" w14:textId="77777777" w:rsidTr="0058477A">
        <w:tc>
          <w:tcPr>
            <w:tcW w:w="3005" w:type="dxa"/>
          </w:tcPr>
          <w:p w14:paraId="2B291092" w14:textId="77777777" w:rsidR="00E07719" w:rsidRPr="00005FC6" w:rsidRDefault="00E07719" w:rsidP="0058477A">
            <w:pPr>
              <w:rPr>
                <w:rFonts w:ascii="Arial" w:hAnsi="Arial" w:cs="Arial"/>
              </w:rPr>
            </w:pPr>
            <w:r w:rsidRPr="00005FC6">
              <w:rPr>
                <w:rFonts w:ascii="Arial" w:hAnsi="Arial" w:cs="Arial"/>
              </w:rPr>
              <w:t>Factor</w:t>
            </w:r>
          </w:p>
        </w:tc>
        <w:tc>
          <w:tcPr>
            <w:tcW w:w="3005" w:type="dxa"/>
          </w:tcPr>
          <w:p w14:paraId="616D6A0F" w14:textId="77777777" w:rsidR="00E07719" w:rsidRPr="00005FC6" w:rsidRDefault="00E07719" w:rsidP="0058477A">
            <w:pPr>
              <w:rPr>
                <w:rFonts w:ascii="Arial" w:hAnsi="Arial" w:cs="Arial"/>
              </w:rPr>
            </w:pPr>
            <w:r w:rsidRPr="00005FC6">
              <w:rPr>
                <w:rFonts w:ascii="Arial" w:hAnsi="Arial" w:cs="Arial"/>
              </w:rPr>
              <w:t>Key Evidence (2024)</w:t>
            </w:r>
          </w:p>
        </w:tc>
        <w:tc>
          <w:tcPr>
            <w:tcW w:w="3006" w:type="dxa"/>
          </w:tcPr>
          <w:p w14:paraId="3D8AA40E" w14:textId="77777777" w:rsidR="00E07719" w:rsidRPr="00005FC6" w:rsidRDefault="00E07719" w:rsidP="0058477A">
            <w:pPr>
              <w:rPr>
                <w:rFonts w:ascii="Arial" w:hAnsi="Arial" w:cs="Arial"/>
              </w:rPr>
            </w:pPr>
            <w:r w:rsidRPr="00005FC6">
              <w:rPr>
                <w:rStyle w:val="s1"/>
                <w:rFonts w:ascii="Arial" w:hAnsi="Arial" w:cs="Arial"/>
                <w:sz w:val="24"/>
                <w:szCs w:val="24"/>
              </w:rPr>
              <w:t>Implication for HubSpot</w:t>
            </w:r>
          </w:p>
        </w:tc>
      </w:tr>
      <w:tr w:rsidR="00E07719" w:rsidRPr="00005FC6" w14:paraId="0DC0A492" w14:textId="77777777" w:rsidTr="0058477A">
        <w:tc>
          <w:tcPr>
            <w:tcW w:w="3005" w:type="dxa"/>
          </w:tcPr>
          <w:p w14:paraId="30B2812F" w14:textId="77777777" w:rsidR="00E07719" w:rsidRPr="00005FC6" w:rsidRDefault="00E07719" w:rsidP="0058477A">
            <w:pPr>
              <w:rPr>
                <w:rFonts w:ascii="Arial" w:hAnsi="Arial" w:cs="Arial"/>
              </w:rPr>
            </w:pPr>
            <w:r w:rsidRPr="00005FC6">
              <w:rPr>
                <w:rFonts w:ascii="Arial" w:hAnsi="Arial" w:cs="Arial"/>
              </w:rPr>
              <w:t>Political</w:t>
            </w:r>
          </w:p>
        </w:tc>
        <w:tc>
          <w:tcPr>
            <w:tcW w:w="3005" w:type="dxa"/>
          </w:tcPr>
          <w:p w14:paraId="4B12BBC5" w14:textId="33CC1D2C" w:rsidR="00E07719" w:rsidRPr="00005FC6" w:rsidRDefault="00E07719" w:rsidP="0058477A">
            <w:pPr>
              <w:rPr>
                <w:rFonts w:ascii="Arial" w:hAnsi="Arial" w:cs="Arial"/>
              </w:rPr>
            </w:pPr>
            <w:r w:rsidRPr="00005FC6">
              <w:rPr>
                <w:rFonts w:ascii="Arial" w:hAnsi="Arial" w:cs="Arial"/>
              </w:rPr>
              <w:t>US</w:t>
            </w:r>
            <w:r w:rsidR="00E665C1">
              <w:rPr>
                <w:rFonts w:ascii="Arial" w:hAnsi="Arial" w:cs="Arial"/>
              </w:rPr>
              <w:t xml:space="preserve"> / </w:t>
            </w:r>
            <w:r w:rsidRPr="00005FC6">
              <w:rPr>
                <w:rFonts w:ascii="Arial" w:hAnsi="Arial" w:cs="Arial"/>
              </w:rPr>
              <w:t>EU data transfer uncertainty, India’s 2024 data law</w:t>
            </w:r>
          </w:p>
        </w:tc>
        <w:tc>
          <w:tcPr>
            <w:tcW w:w="3006" w:type="dxa"/>
          </w:tcPr>
          <w:p w14:paraId="28BA4A49" w14:textId="77777777" w:rsidR="00E07719" w:rsidRPr="00005FC6" w:rsidRDefault="00E07719" w:rsidP="0058477A">
            <w:pPr>
              <w:pStyle w:val="p2"/>
              <w:rPr>
                <w:rFonts w:ascii="Arial" w:hAnsi="Arial" w:cs="Arial"/>
                <w:sz w:val="24"/>
                <w:szCs w:val="24"/>
              </w:rPr>
            </w:pPr>
            <w:r w:rsidRPr="00005FC6">
              <w:rPr>
                <w:rStyle w:val="s1"/>
                <w:rFonts w:ascii="Arial" w:hAnsi="Arial" w:cs="Arial"/>
                <w:sz w:val="24"/>
                <w:szCs w:val="24"/>
              </w:rPr>
              <w:t>Needs regional data residency, higher compliance costs</w:t>
            </w:r>
          </w:p>
        </w:tc>
      </w:tr>
      <w:tr w:rsidR="00E07719" w:rsidRPr="00005FC6" w14:paraId="08228B6F" w14:textId="77777777" w:rsidTr="0058477A">
        <w:tc>
          <w:tcPr>
            <w:tcW w:w="3005" w:type="dxa"/>
          </w:tcPr>
          <w:p w14:paraId="3276248B" w14:textId="77777777" w:rsidR="00E07719" w:rsidRPr="00005FC6" w:rsidRDefault="00E07719" w:rsidP="0058477A">
            <w:pPr>
              <w:rPr>
                <w:rFonts w:ascii="Arial" w:hAnsi="Arial" w:cs="Arial"/>
              </w:rPr>
            </w:pPr>
            <w:r w:rsidRPr="00005FC6">
              <w:rPr>
                <w:rFonts w:ascii="Arial" w:hAnsi="Arial" w:cs="Arial"/>
              </w:rPr>
              <w:t>Economical</w:t>
            </w:r>
          </w:p>
        </w:tc>
        <w:tc>
          <w:tcPr>
            <w:tcW w:w="3005" w:type="dxa"/>
          </w:tcPr>
          <w:p w14:paraId="7964C87A" w14:textId="77777777" w:rsidR="00E07719" w:rsidRPr="00005FC6" w:rsidRDefault="00E07719" w:rsidP="0058477A">
            <w:pPr>
              <w:rPr>
                <w:rFonts w:ascii="Arial" w:hAnsi="Arial" w:cs="Arial"/>
              </w:rPr>
            </w:pPr>
            <w:r w:rsidRPr="00005FC6">
              <w:rPr>
                <w:rFonts w:ascii="Arial" w:hAnsi="Arial" w:cs="Arial"/>
              </w:rPr>
              <w:t xml:space="preserve">3.2% Global GDP forecast, high rates squeezing SME IT budgets </w:t>
            </w:r>
          </w:p>
        </w:tc>
        <w:tc>
          <w:tcPr>
            <w:tcW w:w="3006" w:type="dxa"/>
          </w:tcPr>
          <w:p w14:paraId="2A6BE450" w14:textId="5224740B" w:rsidR="00E07719" w:rsidRPr="00005FC6" w:rsidRDefault="00E07719" w:rsidP="0058477A">
            <w:pPr>
              <w:rPr>
                <w:rFonts w:ascii="Arial" w:hAnsi="Arial" w:cs="Arial"/>
              </w:rPr>
            </w:pPr>
            <w:r w:rsidRPr="00005FC6">
              <w:rPr>
                <w:rStyle w:val="s1"/>
                <w:rFonts w:ascii="Arial" w:hAnsi="Arial" w:cs="Arial"/>
                <w:sz w:val="24"/>
                <w:szCs w:val="24"/>
              </w:rPr>
              <w:t>Must prove ROl in 6</w:t>
            </w:r>
            <w:r w:rsidR="00E665C1">
              <w:rPr>
                <w:rStyle w:val="s1"/>
                <w:rFonts w:ascii="Arial" w:hAnsi="Arial" w:cs="Arial"/>
                <w:sz w:val="24"/>
                <w:szCs w:val="24"/>
              </w:rPr>
              <w:t>/</w:t>
            </w:r>
            <w:r w:rsidRPr="00005FC6">
              <w:rPr>
                <w:rStyle w:val="s1"/>
                <w:rFonts w:ascii="Arial" w:hAnsi="Arial" w:cs="Arial"/>
                <w:sz w:val="24"/>
                <w:szCs w:val="24"/>
              </w:rPr>
              <w:t>9 months, risk of subscription churn</w:t>
            </w:r>
          </w:p>
        </w:tc>
      </w:tr>
      <w:tr w:rsidR="00E07719" w:rsidRPr="00005FC6" w14:paraId="63320C27" w14:textId="77777777" w:rsidTr="0058477A">
        <w:tc>
          <w:tcPr>
            <w:tcW w:w="3005" w:type="dxa"/>
          </w:tcPr>
          <w:p w14:paraId="304BE7E8" w14:textId="77777777" w:rsidR="00E07719" w:rsidRPr="00005FC6" w:rsidRDefault="00E07719" w:rsidP="0058477A">
            <w:pPr>
              <w:rPr>
                <w:rFonts w:ascii="Arial" w:hAnsi="Arial" w:cs="Arial"/>
              </w:rPr>
            </w:pPr>
            <w:r w:rsidRPr="00005FC6">
              <w:rPr>
                <w:rFonts w:ascii="Arial" w:hAnsi="Arial" w:cs="Arial"/>
              </w:rPr>
              <w:t>Social</w:t>
            </w:r>
          </w:p>
        </w:tc>
        <w:tc>
          <w:tcPr>
            <w:tcW w:w="3005" w:type="dxa"/>
          </w:tcPr>
          <w:p w14:paraId="6B0C8D2A" w14:textId="77777777" w:rsidR="00E07719" w:rsidRPr="00005FC6" w:rsidRDefault="00E07719" w:rsidP="0058477A">
            <w:pPr>
              <w:pStyle w:val="p2"/>
              <w:rPr>
                <w:rFonts w:ascii="Arial" w:hAnsi="Arial" w:cs="Arial"/>
                <w:sz w:val="24"/>
                <w:szCs w:val="24"/>
              </w:rPr>
            </w:pPr>
            <w:r w:rsidRPr="00005FC6">
              <w:rPr>
                <w:rStyle w:val="s1"/>
                <w:rFonts w:ascii="Arial" w:hAnsi="Arial" w:cs="Arial"/>
                <w:sz w:val="24"/>
                <w:szCs w:val="24"/>
              </w:rPr>
              <w:t>65% of Gen Z prefer self service,</w:t>
            </w:r>
          </w:p>
          <w:p w14:paraId="5B9074F3" w14:textId="77777777" w:rsidR="00E07719" w:rsidRPr="00005FC6" w:rsidRDefault="00E07719" w:rsidP="0058477A">
            <w:pPr>
              <w:rPr>
                <w:rFonts w:ascii="Arial" w:hAnsi="Arial" w:cs="Arial"/>
              </w:rPr>
            </w:pPr>
            <w:r w:rsidRPr="00005FC6">
              <w:rPr>
                <w:rStyle w:val="s1"/>
                <w:rFonts w:ascii="Arial" w:hAnsi="Arial" w:cs="Arial"/>
                <w:sz w:val="24"/>
                <w:szCs w:val="24"/>
              </w:rPr>
              <w:t>creator SMEs +14% YoY</w:t>
            </w:r>
          </w:p>
        </w:tc>
        <w:tc>
          <w:tcPr>
            <w:tcW w:w="3006" w:type="dxa"/>
          </w:tcPr>
          <w:p w14:paraId="4FE36F4F" w14:textId="77777777" w:rsidR="00E07719" w:rsidRPr="00005FC6" w:rsidRDefault="00E07719" w:rsidP="0058477A">
            <w:pPr>
              <w:rPr>
                <w:rFonts w:ascii="Arial" w:hAnsi="Arial" w:cs="Arial"/>
              </w:rPr>
            </w:pPr>
            <w:r w:rsidRPr="00005FC6">
              <w:rPr>
                <w:rStyle w:val="s1"/>
                <w:rFonts w:ascii="Arial" w:hAnsi="Arial" w:cs="Arial"/>
                <w:sz w:val="24"/>
                <w:szCs w:val="24"/>
              </w:rPr>
              <w:t>Strong demand for low code, content led CRM</w:t>
            </w:r>
          </w:p>
        </w:tc>
      </w:tr>
      <w:tr w:rsidR="00E07719" w:rsidRPr="00005FC6" w14:paraId="5C1677CC" w14:textId="77777777" w:rsidTr="0058477A">
        <w:tc>
          <w:tcPr>
            <w:tcW w:w="3005" w:type="dxa"/>
          </w:tcPr>
          <w:p w14:paraId="120927EF" w14:textId="77777777" w:rsidR="00E07719" w:rsidRPr="00005FC6" w:rsidRDefault="00E07719" w:rsidP="0058477A">
            <w:pPr>
              <w:rPr>
                <w:rFonts w:ascii="Arial" w:hAnsi="Arial" w:cs="Arial"/>
              </w:rPr>
            </w:pPr>
            <w:r w:rsidRPr="00005FC6">
              <w:rPr>
                <w:rFonts w:ascii="Arial" w:hAnsi="Arial" w:cs="Arial"/>
              </w:rPr>
              <w:t>Technological</w:t>
            </w:r>
          </w:p>
        </w:tc>
        <w:tc>
          <w:tcPr>
            <w:tcW w:w="3005" w:type="dxa"/>
          </w:tcPr>
          <w:p w14:paraId="044DC7A8" w14:textId="77777777" w:rsidR="00E07719" w:rsidRPr="00005FC6" w:rsidRDefault="00E07719" w:rsidP="0058477A">
            <w:pPr>
              <w:rPr>
                <w:rFonts w:ascii="Arial" w:hAnsi="Arial" w:cs="Arial"/>
              </w:rPr>
            </w:pPr>
            <w:r w:rsidRPr="00005FC6">
              <w:rPr>
                <w:rStyle w:val="s1"/>
                <w:rFonts w:ascii="Arial" w:hAnsi="Arial" w:cs="Arial"/>
                <w:sz w:val="24"/>
                <w:szCs w:val="24"/>
              </w:rPr>
              <w:t>Generative Al market forecast at $135bn by 2030</w:t>
            </w:r>
          </w:p>
        </w:tc>
        <w:tc>
          <w:tcPr>
            <w:tcW w:w="3006" w:type="dxa"/>
          </w:tcPr>
          <w:p w14:paraId="36F1249D" w14:textId="77777777" w:rsidR="00E07719" w:rsidRPr="00005FC6" w:rsidRDefault="00E07719" w:rsidP="0058477A">
            <w:pPr>
              <w:rPr>
                <w:rFonts w:ascii="Arial" w:hAnsi="Arial" w:cs="Arial"/>
              </w:rPr>
            </w:pPr>
            <w:r w:rsidRPr="00005FC6">
              <w:rPr>
                <w:rStyle w:val="s1"/>
                <w:rFonts w:ascii="Arial" w:hAnsi="Arial" w:cs="Arial"/>
                <w:sz w:val="24"/>
                <w:szCs w:val="24"/>
              </w:rPr>
              <w:t>Al is a hygiene factor; models risk becoming commoditised</w:t>
            </w:r>
          </w:p>
        </w:tc>
      </w:tr>
      <w:tr w:rsidR="00E07719" w:rsidRPr="00005FC6" w14:paraId="73CED9BB" w14:textId="77777777" w:rsidTr="0058477A">
        <w:tc>
          <w:tcPr>
            <w:tcW w:w="3005" w:type="dxa"/>
          </w:tcPr>
          <w:p w14:paraId="64FEA200" w14:textId="77777777" w:rsidR="00E07719" w:rsidRPr="00005FC6" w:rsidRDefault="00E07719" w:rsidP="0058477A">
            <w:pPr>
              <w:rPr>
                <w:rFonts w:ascii="Arial" w:hAnsi="Arial" w:cs="Arial"/>
              </w:rPr>
            </w:pPr>
            <w:r w:rsidRPr="00005FC6">
              <w:rPr>
                <w:rFonts w:ascii="Arial" w:hAnsi="Arial" w:cs="Arial"/>
              </w:rPr>
              <w:t>Environmental</w:t>
            </w:r>
          </w:p>
        </w:tc>
        <w:tc>
          <w:tcPr>
            <w:tcW w:w="3005" w:type="dxa"/>
          </w:tcPr>
          <w:p w14:paraId="1799D27D" w14:textId="77777777" w:rsidR="00E07719" w:rsidRPr="00005FC6" w:rsidRDefault="00E07719" w:rsidP="0058477A">
            <w:pPr>
              <w:pStyle w:val="p2"/>
              <w:rPr>
                <w:rFonts w:ascii="Arial" w:hAnsi="Arial" w:cs="Arial"/>
                <w:sz w:val="24"/>
                <w:szCs w:val="24"/>
              </w:rPr>
            </w:pPr>
            <w:r w:rsidRPr="00005FC6">
              <w:rPr>
                <w:rStyle w:val="s1"/>
                <w:rFonts w:ascii="Arial" w:hAnsi="Arial" w:cs="Arial"/>
                <w:sz w:val="24"/>
                <w:szCs w:val="24"/>
              </w:rPr>
              <w:t>EU CSRD to mandate Scope 3</w:t>
            </w:r>
          </w:p>
          <w:p w14:paraId="032CBBE3" w14:textId="77777777" w:rsidR="00E07719" w:rsidRPr="00005FC6" w:rsidRDefault="00E07719" w:rsidP="0058477A">
            <w:pPr>
              <w:rPr>
                <w:rFonts w:ascii="Arial" w:hAnsi="Arial" w:cs="Arial"/>
              </w:rPr>
            </w:pPr>
            <w:r w:rsidRPr="00005FC6">
              <w:rPr>
                <w:rStyle w:val="s1"/>
                <w:rFonts w:ascii="Arial" w:hAnsi="Arial" w:cs="Arial"/>
                <w:sz w:val="24"/>
                <w:szCs w:val="24"/>
              </w:rPr>
              <w:t>disclosure from 2025</w:t>
            </w:r>
          </w:p>
        </w:tc>
        <w:tc>
          <w:tcPr>
            <w:tcW w:w="3006" w:type="dxa"/>
          </w:tcPr>
          <w:p w14:paraId="6630A8F6" w14:textId="77777777" w:rsidR="00E07719" w:rsidRPr="00005FC6" w:rsidRDefault="00E07719" w:rsidP="0058477A">
            <w:pPr>
              <w:rPr>
                <w:rFonts w:ascii="Arial" w:hAnsi="Arial" w:cs="Arial"/>
              </w:rPr>
            </w:pPr>
            <w:r w:rsidRPr="00005FC6">
              <w:rPr>
                <w:rStyle w:val="s1"/>
                <w:rFonts w:ascii="Arial" w:hAnsi="Arial" w:cs="Arial"/>
                <w:sz w:val="24"/>
                <w:szCs w:val="24"/>
              </w:rPr>
              <w:t>Opportunity to offer "green" hosting and carbon tools</w:t>
            </w:r>
          </w:p>
        </w:tc>
      </w:tr>
      <w:tr w:rsidR="00E07719" w:rsidRPr="00005FC6" w14:paraId="616124BB" w14:textId="77777777" w:rsidTr="0058477A">
        <w:tc>
          <w:tcPr>
            <w:tcW w:w="3005" w:type="dxa"/>
          </w:tcPr>
          <w:p w14:paraId="6183CF25" w14:textId="77777777" w:rsidR="00E07719" w:rsidRPr="00005FC6" w:rsidRDefault="00E07719" w:rsidP="0058477A">
            <w:pPr>
              <w:rPr>
                <w:rFonts w:ascii="Arial" w:hAnsi="Arial" w:cs="Arial"/>
              </w:rPr>
            </w:pPr>
            <w:r w:rsidRPr="00005FC6">
              <w:rPr>
                <w:rFonts w:ascii="Arial" w:hAnsi="Arial" w:cs="Arial"/>
              </w:rPr>
              <w:t>Legal</w:t>
            </w:r>
          </w:p>
        </w:tc>
        <w:tc>
          <w:tcPr>
            <w:tcW w:w="3005" w:type="dxa"/>
          </w:tcPr>
          <w:p w14:paraId="18AEB428" w14:textId="77777777" w:rsidR="00E07719" w:rsidRPr="00005FC6" w:rsidRDefault="00E07719" w:rsidP="0058477A">
            <w:pPr>
              <w:rPr>
                <w:rFonts w:ascii="Arial" w:hAnsi="Arial" w:cs="Arial"/>
              </w:rPr>
            </w:pPr>
            <w:r w:rsidRPr="00005FC6">
              <w:rPr>
                <w:rStyle w:val="s1"/>
                <w:rFonts w:ascii="Arial" w:hAnsi="Arial" w:cs="Arial"/>
                <w:sz w:val="24"/>
                <w:szCs w:val="24"/>
              </w:rPr>
              <w:t>EU AI Act 2024, GDPR fines up to 4% of revenue</w:t>
            </w:r>
          </w:p>
        </w:tc>
        <w:tc>
          <w:tcPr>
            <w:tcW w:w="3006" w:type="dxa"/>
          </w:tcPr>
          <w:p w14:paraId="014223B9" w14:textId="77777777" w:rsidR="00E07719" w:rsidRPr="00005FC6" w:rsidRDefault="00E07719" w:rsidP="0058477A">
            <w:pPr>
              <w:rPr>
                <w:rFonts w:ascii="Arial" w:hAnsi="Arial" w:cs="Arial"/>
              </w:rPr>
            </w:pPr>
            <w:r w:rsidRPr="00005FC6">
              <w:rPr>
                <w:rStyle w:val="s1"/>
                <w:rFonts w:ascii="Arial" w:hAnsi="Arial" w:cs="Arial"/>
                <w:sz w:val="24"/>
                <w:szCs w:val="24"/>
              </w:rPr>
              <w:t>Requires explainable Al, consent tracking, DPA templates</w:t>
            </w:r>
          </w:p>
        </w:tc>
      </w:tr>
    </w:tbl>
    <w:p w14:paraId="66CB006F" w14:textId="77777777" w:rsidR="00E07719" w:rsidRPr="00005FC6" w:rsidRDefault="00E07719" w:rsidP="0058477A">
      <w:pPr>
        <w:rPr>
          <w:rFonts w:ascii="Arial" w:hAnsi="Arial" w:cs="Arial"/>
        </w:rPr>
      </w:pPr>
    </w:p>
    <w:p w14:paraId="14DC9A36" w14:textId="77777777" w:rsidR="00E07719" w:rsidRPr="00005FC6" w:rsidRDefault="00E07719" w:rsidP="0058477A">
      <w:pPr>
        <w:rPr>
          <w:rFonts w:ascii="Arial" w:hAnsi="Arial" w:cs="Arial"/>
        </w:rPr>
      </w:pPr>
    </w:p>
    <w:p w14:paraId="6E14D511" w14:textId="77777777" w:rsidR="00E07719" w:rsidRPr="00005FC6" w:rsidRDefault="00E07719" w:rsidP="009F129C">
      <w:pPr>
        <w:pStyle w:val="Heading2"/>
        <w:rPr>
          <w:rFonts w:ascii="Arial" w:hAnsi="Arial" w:cs="Arial"/>
          <w:kern w:val="0"/>
          <w14:ligatures w14:val="none"/>
        </w:rPr>
      </w:pPr>
      <w:bookmarkStart w:id="10" w:name="_Toc216992468"/>
      <w:bookmarkStart w:id="11" w:name="_Toc216993215"/>
      <w:r w:rsidRPr="00005FC6">
        <w:rPr>
          <w:rStyle w:val="s1"/>
          <w:rFonts w:ascii="Arial" w:hAnsi="Arial" w:cs="Arial"/>
          <w:sz w:val="32"/>
          <w:szCs w:val="32"/>
        </w:rPr>
        <w:t>Porter's Five Forces</w:t>
      </w:r>
      <w:bookmarkEnd w:id="10"/>
      <w:bookmarkEnd w:id="11"/>
    </w:p>
    <w:p w14:paraId="303EEA02" w14:textId="77777777" w:rsidR="00E07719" w:rsidRPr="00005FC6" w:rsidRDefault="00E07719" w:rsidP="0058477A">
      <w:pPr>
        <w:pStyle w:val="Heading2"/>
        <w:rPr>
          <w:rFonts w:ascii="Arial" w:hAnsi="Arial" w:cs="Arial"/>
        </w:rPr>
      </w:pPr>
      <w:r w:rsidRPr="00005FC6">
        <w:rPr>
          <w:rFonts w:ascii="Arial" w:hAnsi="Arial" w:cs="Arial"/>
        </w:rPr>
        <w:t xml:space="preserve"> </w:t>
      </w:r>
    </w:p>
    <w:p w14:paraId="78A419BA" w14:textId="77777777" w:rsidR="00E07719" w:rsidRPr="00005FC6" w:rsidRDefault="00E07719" w:rsidP="0058477A">
      <w:pPr>
        <w:pStyle w:val="p1"/>
        <w:rPr>
          <w:rStyle w:val="s1"/>
          <w:rFonts w:ascii="Arial" w:hAnsi="Arial" w:cs="Arial"/>
          <w:sz w:val="24"/>
          <w:szCs w:val="24"/>
        </w:rPr>
      </w:pPr>
      <w:r w:rsidRPr="00005FC6">
        <w:rPr>
          <w:rStyle w:val="s1"/>
          <w:rFonts w:ascii="Arial" w:hAnsi="Arial" w:cs="Arial"/>
          <w:sz w:val="24"/>
          <w:szCs w:val="24"/>
        </w:rPr>
        <w:t>Threat of new entrants – High</w:t>
      </w:r>
    </w:p>
    <w:p w14:paraId="4A7BEDF4" w14:textId="77777777" w:rsidR="00E07719" w:rsidRPr="00005FC6" w:rsidRDefault="00E07719" w:rsidP="0058477A">
      <w:pPr>
        <w:jc w:val="both"/>
        <w:rPr>
          <w:rFonts w:ascii="Arial" w:hAnsi="Arial" w:cs="Arial"/>
          <w:sz w:val="22"/>
          <w:szCs w:val="22"/>
        </w:rPr>
      </w:pPr>
      <w:r w:rsidRPr="00005FC6">
        <w:rPr>
          <w:rFonts w:ascii="Arial" w:hAnsi="Arial" w:cs="Arial"/>
          <w:sz w:val="22"/>
          <w:szCs w:val="22"/>
        </w:rPr>
        <w:t xml:space="preserve">The threat of new entrants is strong since low code, Al enabled "wrappers" like Clay and Attio may rebuild fundamental CRM procedures in months, removing product duplication as a major barrier to entry (Author, 2024). Furthermore, continued martech venture financing of around US$7.4 billion in 2024 provides a steady stream of well capitalised start ups that may experiment with specialised services and undercut incumbents on price or specialised features (Author, 2024). This combination of accessible technology and sufficient money </w:t>
      </w:r>
      <w:r w:rsidRPr="00005FC6">
        <w:rPr>
          <w:rFonts w:ascii="Arial" w:hAnsi="Arial" w:cs="Arial"/>
          <w:sz w:val="22"/>
          <w:szCs w:val="22"/>
        </w:rPr>
        <w:lastRenderedPageBreak/>
        <w:t>increases the danger of fragmentation and shortens innovation cycles in the CRM sector (Author, 2024).</w:t>
      </w:r>
    </w:p>
    <w:p w14:paraId="0F648D60" w14:textId="77777777" w:rsidR="00E07719" w:rsidRPr="00005FC6" w:rsidRDefault="00E07719" w:rsidP="0058477A">
      <w:pPr>
        <w:jc w:val="both"/>
        <w:rPr>
          <w:rFonts w:ascii="Arial" w:hAnsi="Arial" w:cs="Arial"/>
          <w:sz w:val="22"/>
          <w:szCs w:val="22"/>
        </w:rPr>
      </w:pPr>
    </w:p>
    <w:p w14:paraId="1F904649" w14:textId="77777777" w:rsidR="00E07719" w:rsidRPr="00005FC6" w:rsidRDefault="00E07719" w:rsidP="0058477A">
      <w:pPr>
        <w:pStyle w:val="p1"/>
        <w:rPr>
          <w:rFonts w:ascii="Arial" w:hAnsi="Arial" w:cs="Arial"/>
          <w:sz w:val="24"/>
          <w:szCs w:val="24"/>
        </w:rPr>
      </w:pPr>
      <w:r w:rsidRPr="00005FC6">
        <w:rPr>
          <w:rStyle w:val="s1"/>
          <w:rFonts w:ascii="Arial" w:hAnsi="Arial" w:cs="Arial"/>
          <w:sz w:val="24"/>
          <w:szCs w:val="24"/>
        </w:rPr>
        <w:t>Bargaining power of buyers - Moderate to high</w:t>
      </w:r>
    </w:p>
    <w:p w14:paraId="7CE53103" w14:textId="77777777" w:rsidR="00E07719" w:rsidRPr="00005FC6" w:rsidRDefault="00E07719" w:rsidP="0058477A">
      <w:pPr>
        <w:jc w:val="both"/>
        <w:rPr>
          <w:rFonts w:ascii="Arial" w:hAnsi="Arial" w:cs="Arial"/>
          <w:sz w:val="22"/>
          <w:szCs w:val="22"/>
        </w:rPr>
      </w:pPr>
      <w:r w:rsidRPr="00005FC6">
        <w:rPr>
          <w:rFonts w:ascii="Arial" w:hAnsi="Arial" w:cs="Arial"/>
          <w:sz w:val="22"/>
          <w:szCs w:val="22"/>
        </w:rPr>
        <w:t>Buyer bargaining power ranges from moderate to high because SME clients typically analyse many suppliers before purchasing and compare total cost of ownership across solutions, increasing price competition and forcing providers to distinguish clearly on value (Author, 2024). Data migration tooling, integration platforms, and common APIs have lowered technical switching frictions, allowing clients to shift systems with less disruption than previous generations of CRM (Author, 2024). However, as companies integrate sales, marketing, and service processes on a single platform, process reliance, user training, and ecosystem integration generate considerable exit obstacles that eventually counterbalance buyer leverage (Author, 2024).</w:t>
      </w:r>
    </w:p>
    <w:p w14:paraId="7F963FC4" w14:textId="77777777" w:rsidR="00E07719" w:rsidRPr="00005FC6" w:rsidRDefault="00E07719" w:rsidP="0058477A">
      <w:pPr>
        <w:jc w:val="both"/>
        <w:rPr>
          <w:rFonts w:ascii="Arial" w:hAnsi="Arial" w:cs="Arial"/>
          <w:sz w:val="22"/>
          <w:szCs w:val="22"/>
        </w:rPr>
      </w:pPr>
    </w:p>
    <w:p w14:paraId="42192FD3" w14:textId="77777777" w:rsidR="00E07719" w:rsidRPr="00005FC6" w:rsidRDefault="00E07719" w:rsidP="0058477A">
      <w:pPr>
        <w:pStyle w:val="p1"/>
        <w:rPr>
          <w:rStyle w:val="s1"/>
          <w:rFonts w:ascii="Arial" w:hAnsi="Arial" w:cs="Arial"/>
          <w:sz w:val="24"/>
          <w:szCs w:val="24"/>
        </w:rPr>
      </w:pPr>
      <w:r w:rsidRPr="00005FC6">
        <w:rPr>
          <w:rStyle w:val="s1"/>
          <w:rFonts w:ascii="Arial" w:hAnsi="Arial" w:cs="Arial"/>
          <w:sz w:val="24"/>
          <w:szCs w:val="24"/>
        </w:rPr>
        <w:t>Power of suppliers – Low</w:t>
      </w:r>
    </w:p>
    <w:p w14:paraId="5B4C8199" w14:textId="77777777" w:rsidR="00E07719" w:rsidRPr="00005FC6" w:rsidRDefault="00E07719" w:rsidP="0058477A">
      <w:pPr>
        <w:jc w:val="both"/>
        <w:rPr>
          <w:rFonts w:ascii="Arial" w:hAnsi="Arial" w:cs="Arial"/>
          <w:sz w:val="22"/>
          <w:szCs w:val="22"/>
        </w:rPr>
      </w:pPr>
      <w:r w:rsidRPr="00005FC6">
        <w:rPr>
          <w:rFonts w:ascii="Arial" w:hAnsi="Arial" w:cs="Arial"/>
          <w:sz w:val="22"/>
          <w:szCs w:val="22"/>
        </w:rPr>
        <w:t>Supplier power is minimal since cloud infrastructure from hyperscalers like AWS, Google Cloud, and Microsoft Azure is generally commoditised, with broadly comparable dependability, performance, and cost, allowing HubSpot to multi home and negotiate beneficial contracts (Author, 2024). Similarly, access to foundation Al models via API from vendors like as OpenAl and Anthropic is subject to intense competition and regular price reductions, limiting the amount to which any single supplier may raise costs without threatening substitution (Author, 2024). Because these upstream technologies are flexible, HubSpot may simply swap or combine suppliers, limiting supplier impact (Author, 2024).</w:t>
      </w:r>
    </w:p>
    <w:p w14:paraId="2114C385" w14:textId="77777777" w:rsidR="00E07719" w:rsidRPr="00005FC6" w:rsidRDefault="00E07719" w:rsidP="0058477A">
      <w:pPr>
        <w:jc w:val="both"/>
        <w:rPr>
          <w:rFonts w:ascii="Arial" w:hAnsi="Arial" w:cs="Arial"/>
          <w:sz w:val="22"/>
          <w:szCs w:val="22"/>
        </w:rPr>
      </w:pPr>
    </w:p>
    <w:p w14:paraId="349D7F3D" w14:textId="77777777" w:rsidR="00E07719" w:rsidRPr="00005FC6" w:rsidRDefault="00E07719" w:rsidP="0058477A">
      <w:pPr>
        <w:pStyle w:val="p1"/>
        <w:rPr>
          <w:rStyle w:val="s1"/>
          <w:rFonts w:ascii="Arial" w:hAnsi="Arial" w:cs="Arial"/>
          <w:sz w:val="24"/>
          <w:szCs w:val="24"/>
        </w:rPr>
      </w:pPr>
      <w:r w:rsidRPr="00005FC6">
        <w:rPr>
          <w:rStyle w:val="s1"/>
          <w:rFonts w:ascii="Arial" w:hAnsi="Arial" w:cs="Arial"/>
          <w:sz w:val="24"/>
          <w:szCs w:val="24"/>
        </w:rPr>
        <w:t>Threat of substitutes – High</w:t>
      </w:r>
    </w:p>
    <w:p w14:paraId="19270A4C" w14:textId="2271B222" w:rsidR="00E07719" w:rsidRPr="00005FC6" w:rsidRDefault="00E07719" w:rsidP="00F3415D">
      <w:pPr>
        <w:jc w:val="both"/>
        <w:rPr>
          <w:rFonts w:ascii="Arial" w:hAnsi="Arial" w:cs="Arial"/>
          <w:sz w:val="22"/>
          <w:szCs w:val="22"/>
        </w:rPr>
      </w:pPr>
      <w:r w:rsidRPr="00005FC6">
        <w:rPr>
          <w:rFonts w:ascii="Arial" w:hAnsi="Arial" w:cs="Arial"/>
          <w:sz w:val="22"/>
          <w:szCs w:val="22"/>
        </w:rPr>
        <w:t>The threat of substitutes is high because vertical SaaS platforms such as Mindbody in wellness and Clio in legal services now embed CRM, scheduling, billing and marketing automation capabilities directly into industry specific workflows (Author, 2024). For many SMEs, these integrated solutions are "good enough" and reduce the need for a separate</w:t>
      </w:r>
      <w:r w:rsidR="00F3415D" w:rsidRPr="00005FC6">
        <w:rPr>
          <w:rFonts w:ascii="Arial" w:hAnsi="Arial" w:cs="Arial"/>
          <w:sz w:val="22"/>
          <w:szCs w:val="22"/>
        </w:rPr>
        <w:t xml:space="preserve"> </w:t>
      </w:r>
      <w:r w:rsidRPr="00005FC6">
        <w:rPr>
          <w:rFonts w:ascii="Arial" w:hAnsi="Arial" w:cs="Arial"/>
          <w:sz w:val="22"/>
          <w:szCs w:val="22"/>
        </w:rPr>
        <w:t>horizontal CRM, particularly when they offer superior fit with sector regulations and niche processes (Author, 2024). As these vertical platforms deepen their ecosystems with third party apps and analytics, they increasingly capture customer data and relationship management functions that might otherwise have been served by HubSpot (Author, 2024).</w:t>
      </w:r>
    </w:p>
    <w:p w14:paraId="09C2D5DC" w14:textId="77777777" w:rsidR="00E07719" w:rsidRPr="00005FC6" w:rsidRDefault="00E07719" w:rsidP="0058477A">
      <w:pPr>
        <w:jc w:val="both"/>
        <w:rPr>
          <w:rFonts w:ascii="Arial" w:hAnsi="Arial" w:cs="Arial"/>
          <w:sz w:val="22"/>
          <w:szCs w:val="22"/>
        </w:rPr>
      </w:pPr>
    </w:p>
    <w:p w14:paraId="12932102" w14:textId="77777777" w:rsidR="00E07719" w:rsidRPr="00005FC6" w:rsidRDefault="00E07719" w:rsidP="0058477A">
      <w:pPr>
        <w:pStyle w:val="p1"/>
        <w:rPr>
          <w:rFonts w:ascii="Arial" w:hAnsi="Arial" w:cs="Arial"/>
          <w:sz w:val="24"/>
          <w:szCs w:val="24"/>
        </w:rPr>
      </w:pPr>
      <w:r w:rsidRPr="00005FC6">
        <w:rPr>
          <w:rStyle w:val="s1"/>
          <w:rFonts w:ascii="Arial" w:hAnsi="Arial" w:cs="Arial"/>
          <w:sz w:val="24"/>
          <w:szCs w:val="24"/>
        </w:rPr>
        <w:t>Industry rivalry - Very high</w:t>
      </w:r>
    </w:p>
    <w:p w14:paraId="3165F32A" w14:textId="77777777" w:rsidR="00E07719" w:rsidRPr="00005FC6" w:rsidRDefault="00E07719" w:rsidP="0058477A">
      <w:pPr>
        <w:jc w:val="both"/>
        <w:rPr>
          <w:rFonts w:ascii="Arial" w:hAnsi="Arial" w:cs="Arial"/>
        </w:rPr>
      </w:pPr>
      <w:r w:rsidRPr="00005FC6">
        <w:rPr>
          <w:rFonts w:ascii="Arial" w:hAnsi="Arial" w:cs="Arial"/>
        </w:rPr>
        <w:t>Industry rivalry is very high, with major enterprise vendors such as Salesforce, Microsoft, Adobe, SAP, Zoho and Pipedrive all launching Al assistants in 2024, which accelerates feature convergence and reduces opportunities for sustainable differentiation based solely on functionality (Author, 2024). This intensified competition has coincided with an estimated 7% decline in blended ARPU across the CRM sector, signalling growing price discounting, bundling and freemium strategies as firms attempt to defend or expand market share (Author, 2024). In this context, success increasingly depends on ecosystem depth, customer success capabilities and perceived ease of use, rather than on any single product feature (Author, 2024).</w:t>
      </w:r>
    </w:p>
    <w:p w14:paraId="1FC8515B" w14:textId="77777777" w:rsidR="00E07719" w:rsidRPr="00005FC6" w:rsidRDefault="00E07719" w:rsidP="0058477A">
      <w:pPr>
        <w:rPr>
          <w:rFonts w:ascii="Arial" w:hAnsi="Arial" w:cs="Arial"/>
          <w:sz w:val="22"/>
          <w:szCs w:val="22"/>
        </w:rPr>
      </w:pPr>
    </w:p>
    <w:p w14:paraId="62E5D271" w14:textId="77777777" w:rsidR="00E07719" w:rsidRPr="00005FC6" w:rsidRDefault="00E07719" w:rsidP="009F129C">
      <w:pPr>
        <w:pStyle w:val="Heading2"/>
        <w:rPr>
          <w:rFonts w:ascii="Arial" w:hAnsi="Arial" w:cs="Arial"/>
          <w:kern w:val="0"/>
          <w14:ligatures w14:val="none"/>
        </w:rPr>
      </w:pPr>
      <w:bookmarkStart w:id="12" w:name="_Toc216992469"/>
      <w:bookmarkStart w:id="13" w:name="_Toc216993216"/>
      <w:r w:rsidRPr="00005FC6">
        <w:rPr>
          <w:rStyle w:val="s1"/>
          <w:rFonts w:ascii="Arial" w:hAnsi="Arial" w:cs="Arial"/>
          <w:sz w:val="32"/>
          <w:szCs w:val="32"/>
        </w:rPr>
        <w:lastRenderedPageBreak/>
        <w:t>Internal Analysis</w:t>
      </w:r>
      <w:bookmarkEnd w:id="12"/>
      <w:bookmarkEnd w:id="13"/>
    </w:p>
    <w:p w14:paraId="25C736B5" w14:textId="77777777" w:rsidR="00E07719" w:rsidRPr="00005FC6" w:rsidRDefault="00E07719" w:rsidP="0058477A">
      <w:pPr>
        <w:pStyle w:val="p1"/>
        <w:rPr>
          <w:rStyle w:val="s1"/>
          <w:rFonts w:ascii="Arial" w:hAnsi="Arial" w:cs="Arial"/>
          <w:sz w:val="24"/>
          <w:szCs w:val="24"/>
        </w:rPr>
      </w:pPr>
      <w:r w:rsidRPr="00005FC6">
        <w:rPr>
          <w:rStyle w:val="s1"/>
          <w:rFonts w:ascii="Arial" w:hAnsi="Arial" w:cs="Arial"/>
          <w:sz w:val="24"/>
          <w:szCs w:val="24"/>
        </w:rPr>
        <w:t xml:space="preserve">HubSpot SWOT Analysis (2024) </w:t>
      </w:r>
    </w:p>
    <w:p w14:paraId="668A88AE" w14:textId="77777777" w:rsidR="00E07719" w:rsidRPr="00005FC6" w:rsidRDefault="00E07719" w:rsidP="0058477A">
      <w:pPr>
        <w:pStyle w:val="p1"/>
        <w:rPr>
          <w:rStyle w:val="s1"/>
          <w:rFonts w:ascii="Arial" w:hAnsi="Arial" w:cs="Arial"/>
          <w:sz w:val="24"/>
          <w:szCs w:val="24"/>
        </w:rPr>
      </w:pPr>
    </w:p>
    <w:p w14:paraId="6BAA6DA0" w14:textId="77777777" w:rsidR="00E07719" w:rsidRPr="00005FC6" w:rsidRDefault="00E07719" w:rsidP="0058477A">
      <w:pPr>
        <w:pStyle w:val="p1"/>
        <w:rPr>
          <w:rStyle w:val="s1"/>
          <w:rFonts w:ascii="Arial" w:hAnsi="Arial" w:cs="Arial"/>
          <w:sz w:val="24"/>
          <w:szCs w:val="24"/>
        </w:rPr>
      </w:pPr>
    </w:p>
    <w:p w14:paraId="043C7AFB" w14:textId="77777777" w:rsidR="00E07719" w:rsidRPr="00005FC6" w:rsidRDefault="00E07719" w:rsidP="0058477A">
      <w:pPr>
        <w:pStyle w:val="p1"/>
        <w:rPr>
          <w:rFonts w:ascii="Arial" w:hAnsi="Arial" w:cs="Arial"/>
          <w:sz w:val="26"/>
          <w:szCs w:val="26"/>
        </w:rPr>
      </w:pPr>
      <w:r w:rsidRPr="00005FC6">
        <w:rPr>
          <w:rStyle w:val="s1"/>
          <w:rFonts w:ascii="Arial" w:hAnsi="Arial" w:cs="Arial"/>
          <w:sz w:val="26"/>
          <w:szCs w:val="26"/>
        </w:rPr>
        <w:t>Strengths</w:t>
      </w:r>
    </w:p>
    <w:p w14:paraId="1F469938" w14:textId="1FAC3BA3" w:rsidR="00E07719" w:rsidRPr="00005FC6" w:rsidRDefault="00E07719" w:rsidP="0058477A">
      <w:pPr>
        <w:jc w:val="both"/>
        <w:rPr>
          <w:rFonts w:ascii="Arial" w:hAnsi="Arial" w:cs="Arial"/>
        </w:rPr>
      </w:pPr>
      <w:r w:rsidRPr="00005FC6">
        <w:rPr>
          <w:rFonts w:ascii="Arial" w:hAnsi="Arial" w:cs="Arial"/>
        </w:rPr>
        <w:t>HubSpot benefits from an all</w:t>
      </w:r>
      <w:r w:rsidR="004C724A">
        <w:rPr>
          <w:rFonts w:ascii="Arial" w:hAnsi="Arial" w:cs="Arial"/>
        </w:rPr>
        <w:t xml:space="preserve"> </w:t>
      </w:r>
      <w:r w:rsidRPr="00005FC6">
        <w:rPr>
          <w:rFonts w:ascii="Arial" w:hAnsi="Arial" w:cs="Arial"/>
        </w:rPr>
        <w:t>in-one data model that provides a single source of truth, substantially reducing integration complexity for customers relative to multi</w:t>
      </w:r>
      <w:r w:rsidR="004C724A">
        <w:rPr>
          <w:rFonts w:ascii="Arial" w:hAnsi="Arial" w:cs="Arial"/>
        </w:rPr>
        <w:t xml:space="preserve"> </w:t>
      </w:r>
      <w:r w:rsidRPr="00005FC6">
        <w:rPr>
          <w:rFonts w:ascii="Arial" w:hAnsi="Arial" w:cs="Arial"/>
        </w:rPr>
        <w:t>stack architectures (Author, 2024). Its freemium go</w:t>
      </w:r>
      <w:r w:rsidR="000A5130">
        <w:rPr>
          <w:rFonts w:ascii="Arial" w:hAnsi="Arial" w:cs="Arial"/>
        </w:rPr>
        <w:t xml:space="preserve"> </w:t>
      </w:r>
      <w:r w:rsidRPr="00005FC6">
        <w:rPr>
          <w:rFonts w:ascii="Arial" w:hAnsi="Arial" w:cs="Arial"/>
        </w:rPr>
        <w:t>to</w:t>
      </w:r>
      <w:r w:rsidR="000A5130">
        <w:rPr>
          <w:rFonts w:ascii="Arial" w:hAnsi="Arial" w:cs="Arial"/>
        </w:rPr>
        <w:t xml:space="preserve"> </w:t>
      </w:r>
      <w:r w:rsidRPr="00005FC6">
        <w:rPr>
          <w:rFonts w:ascii="Arial" w:hAnsi="Arial" w:cs="Arial"/>
        </w:rPr>
        <w:t>market engine is highly effective, with around 45% of new paying customers originating from free tools, creating a low</w:t>
      </w:r>
      <w:r w:rsidR="000A5130">
        <w:rPr>
          <w:rFonts w:ascii="Arial" w:hAnsi="Arial" w:cs="Arial"/>
        </w:rPr>
        <w:t xml:space="preserve"> </w:t>
      </w:r>
      <w:r w:rsidRPr="00005FC6">
        <w:rPr>
          <w:rFonts w:ascii="Arial" w:hAnsi="Arial" w:cs="Arial"/>
        </w:rPr>
        <w:t>friction conversion funnel (Author, 2024). Strong brand equity in inbound marketing is reinforced by a community of more than 500,000 certified professionals, who amplify word</w:t>
      </w:r>
      <w:r w:rsidR="000A5130">
        <w:rPr>
          <w:rFonts w:ascii="Arial" w:hAnsi="Arial" w:cs="Arial"/>
        </w:rPr>
        <w:t xml:space="preserve"> </w:t>
      </w:r>
      <w:r w:rsidRPr="00005FC6">
        <w:rPr>
          <w:rFonts w:ascii="Arial" w:hAnsi="Arial" w:cs="Arial"/>
        </w:rPr>
        <w:t>of</w:t>
      </w:r>
      <w:r w:rsidR="000A5130">
        <w:rPr>
          <w:rFonts w:ascii="Arial" w:hAnsi="Arial" w:cs="Arial"/>
        </w:rPr>
        <w:t xml:space="preserve"> </w:t>
      </w:r>
      <w:r w:rsidRPr="00005FC6">
        <w:rPr>
          <w:rFonts w:ascii="Arial" w:hAnsi="Arial" w:cs="Arial"/>
        </w:rPr>
        <w:t>mouth and ecosystem adoption (Author, 2024). Net revenue retention of approximately 110% indicates that expansion from existing customers more than offsets churn, supporting durable, compounding growth (Author, 2024). The firm is also financially resilient, holding roughly US$1.8 billion in cash, carrying no debt and being guided by management towards a free</w:t>
      </w:r>
      <w:r w:rsidR="000A5130">
        <w:rPr>
          <w:rFonts w:ascii="Arial" w:hAnsi="Arial" w:cs="Arial"/>
        </w:rPr>
        <w:t xml:space="preserve"> </w:t>
      </w:r>
      <w:r w:rsidRPr="00005FC6">
        <w:rPr>
          <w:rFonts w:ascii="Arial" w:hAnsi="Arial" w:cs="Arial"/>
        </w:rPr>
        <w:t>cash</w:t>
      </w:r>
      <w:r w:rsidR="000A5130">
        <w:rPr>
          <w:rFonts w:ascii="Arial" w:hAnsi="Arial" w:cs="Arial"/>
        </w:rPr>
        <w:t xml:space="preserve"> </w:t>
      </w:r>
      <w:r w:rsidRPr="00005FC6">
        <w:rPr>
          <w:rFonts w:ascii="Arial" w:hAnsi="Arial" w:cs="Arial"/>
        </w:rPr>
        <w:t>flow margin of about 22%, which provides capacity for continued investment and selective acquisitions (Author, 2024). The company is also financially resilient, with over US$1.8 billion in cash, no debt, and management aiming for a free</w:t>
      </w:r>
      <w:r w:rsidR="007D715E">
        <w:rPr>
          <w:rFonts w:ascii="Arial" w:hAnsi="Arial" w:cs="Arial"/>
        </w:rPr>
        <w:t xml:space="preserve"> </w:t>
      </w:r>
      <w:r w:rsidRPr="00005FC6">
        <w:rPr>
          <w:rFonts w:ascii="Arial" w:hAnsi="Arial" w:cs="Arial"/>
        </w:rPr>
        <w:t>cash</w:t>
      </w:r>
      <w:r w:rsidR="007D715E">
        <w:rPr>
          <w:rFonts w:ascii="Arial" w:hAnsi="Arial" w:cs="Arial"/>
        </w:rPr>
        <w:t xml:space="preserve"> </w:t>
      </w:r>
      <w:r w:rsidRPr="00005FC6">
        <w:rPr>
          <w:rFonts w:ascii="Arial" w:hAnsi="Arial" w:cs="Arial"/>
        </w:rPr>
        <w:t>flow margin of around 22%, which allows for sustained investment and selected acquisitions (Author, 2024).</w:t>
      </w:r>
    </w:p>
    <w:p w14:paraId="7270CF5C" w14:textId="77777777" w:rsidR="00E07719" w:rsidRPr="00005FC6" w:rsidRDefault="00E07719" w:rsidP="0058477A">
      <w:pPr>
        <w:rPr>
          <w:rFonts w:ascii="Arial" w:hAnsi="Arial" w:cs="Arial"/>
        </w:rPr>
      </w:pPr>
    </w:p>
    <w:p w14:paraId="6CCFEA57" w14:textId="77777777" w:rsidR="00E07719" w:rsidRPr="00005FC6" w:rsidRDefault="00E07719" w:rsidP="0058477A">
      <w:pPr>
        <w:pStyle w:val="p1"/>
        <w:rPr>
          <w:rStyle w:val="s1"/>
          <w:rFonts w:ascii="Arial" w:hAnsi="Arial" w:cs="Arial"/>
          <w:sz w:val="24"/>
          <w:szCs w:val="24"/>
        </w:rPr>
      </w:pPr>
      <w:r w:rsidRPr="00005FC6">
        <w:rPr>
          <w:rStyle w:val="s1"/>
          <w:rFonts w:ascii="Arial" w:hAnsi="Arial" w:cs="Arial"/>
          <w:sz w:val="24"/>
          <w:szCs w:val="24"/>
        </w:rPr>
        <w:t xml:space="preserve">Weakness </w:t>
      </w:r>
    </w:p>
    <w:p w14:paraId="7F5DF76C" w14:textId="77777777" w:rsidR="00E07719" w:rsidRPr="00005FC6" w:rsidRDefault="00E07719" w:rsidP="0058477A">
      <w:pPr>
        <w:jc w:val="both"/>
        <w:rPr>
          <w:rStyle w:val="s1"/>
          <w:rFonts w:ascii="Arial" w:hAnsi="Arial" w:cs="Arial"/>
          <w:sz w:val="24"/>
          <w:szCs w:val="24"/>
        </w:rPr>
      </w:pPr>
      <w:r w:rsidRPr="00005FC6">
        <w:rPr>
          <w:rFonts w:ascii="Arial" w:hAnsi="Arial" w:cs="Arial"/>
        </w:rPr>
        <w:t>Despite its breadth, HubSpot has little vertical depth, frequently depending on partners to fulfil sector specific compliance needs such as HIPAA and PCI, which might reduce its value proposition in regulated sectors (Author, 2024). Sales and marketing expenditures remain high at roughly 53% of sales, much more than Salesforce's estimated 38%, indicating efficiency gaps in customer acquisition and brand investment (Author, 2024). As the client base advances, certain firms with more than 5,000 people notice workflow and scalability limitations, indicating architectural restrictions at the very top of the market (Author, 2024). Another problem is localisation, with only eight languages supported compared to around forty five for SAP, limiting adoption in non English speaking countries (Author, 2024). The organisation has privacy and resilience risks since 78% of customer data is hosted in AWS US East, making it vulnerable to regional disruptions and jurisdictional scrutiny (Author, 2024).</w:t>
      </w:r>
    </w:p>
    <w:p w14:paraId="52E9F91F" w14:textId="77777777" w:rsidR="00E07719" w:rsidRPr="00005FC6" w:rsidRDefault="00E07719" w:rsidP="0058477A">
      <w:pPr>
        <w:jc w:val="both"/>
        <w:rPr>
          <w:rStyle w:val="s1"/>
          <w:rFonts w:ascii="Arial" w:hAnsi="Arial" w:cs="Arial"/>
          <w:sz w:val="24"/>
          <w:szCs w:val="24"/>
        </w:rPr>
      </w:pPr>
    </w:p>
    <w:p w14:paraId="75070315" w14:textId="77777777" w:rsidR="00E07719" w:rsidRPr="00005FC6" w:rsidRDefault="00E07719" w:rsidP="0058477A">
      <w:pPr>
        <w:rPr>
          <w:rStyle w:val="s1"/>
          <w:rFonts w:ascii="Arial" w:hAnsi="Arial" w:cs="Arial"/>
          <w:sz w:val="24"/>
          <w:szCs w:val="24"/>
        </w:rPr>
      </w:pPr>
      <w:r w:rsidRPr="00005FC6">
        <w:rPr>
          <w:rStyle w:val="s1"/>
          <w:rFonts w:ascii="Arial" w:hAnsi="Arial" w:cs="Arial"/>
          <w:sz w:val="24"/>
          <w:szCs w:val="24"/>
        </w:rPr>
        <w:t xml:space="preserve">Opportunities </w:t>
      </w:r>
    </w:p>
    <w:p w14:paraId="290E4141" w14:textId="092F7CCF" w:rsidR="00E07719" w:rsidRPr="00005FC6" w:rsidRDefault="00E07719" w:rsidP="0058477A">
      <w:pPr>
        <w:jc w:val="both"/>
        <w:rPr>
          <w:rFonts w:ascii="Arial" w:hAnsi="Arial" w:cs="Arial"/>
        </w:rPr>
      </w:pPr>
      <w:r w:rsidRPr="00005FC6">
        <w:rPr>
          <w:rFonts w:ascii="Arial" w:hAnsi="Arial" w:cs="Arial"/>
        </w:rPr>
        <w:t>There is a great chance to generate Al driven micro</w:t>
      </w:r>
      <w:r w:rsidR="007D715E">
        <w:rPr>
          <w:rFonts w:ascii="Arial" w:hAnsi="Arial" w:cs="Arial"/>
        </w:rPr>
        <w:t xml:space="preserve"> </w:t>
      </w:r>
      <w:r w:rsidRPr="00005FC6">
        <w:rPr>
          <w:rFonts w:ascii="Arial" w:hAnsi="Arial" w:cs="Arial"/>
        </w:rPr>
        <w:t xml:space="preserve">verticals by using generative Al to produce sector specific templates for sectors like legal, medical spas, and SaaS, hence increasing product relevance without completely rewriting the main platform (Author, 2024). Embedded fintech is another growth vector, allowing HubSpot to cross sell payments and expense cards to SME clients and capture an anticipated 0.6% of payment flows (Author, 2024). Expanding the data centre footprint, notably by establishing facilities in the UAE and India, will enable the company to meet expanding data sovereignty and residency requirements in high growth regions (Author, 2024). </w:t>
      </w:r>
      <w:r w:rsidRPr="00005FC6">
        <w:rPr>
          <w:rFonts w:ascii="Arial" w:hAnsi="Arial" w:cs="Arial"/>
        </w:rPr>
        <w:lastRenderedPageBreak/>
        <w:t>HubSpot may differentiate itself on ESG by offering carbon footprint indicators at the campaign level, appealing to sustainable firms and aligning with upcoming disclosure requirements (Author, 2024). Furthermore, an M&amp;A "roll up" approach centred on acquiring European vertical plug ins, such as translation expert Redokun, might speed increase feature depth and local market adaptability (Author, 2024).</w:t>
      </w:r>
    </w:p>
    <w:p w14:paraId="22EA216C" w14:textId="77777777" w:rsidR="00E07719" w:rsidRPr="00005FC6" w:rsidRDefault="00E07719" w:rsidP="0058477A">
      <w:pPr>
        <w:jc w:val="both"/>
        <w:rPr>
          <w:rFonts w:ascii="Arial" w:hAnsi="Arial" w:cs="Arial"/>
        </w:rPr>
      </w:pPr>
    </w:p>
    <w:p w14:paraId="0B10F8AA" w14:textId="77777777" w:rsidR="00E07719" w:rsidRPr="00005FC6" w:rsidRDefault="00E07719" w:rsidP="0058477A">
      <w:pPr>
        <w:rPr>
          <w:rStyle w:val="s1"/>
          <w:rFonts w:ascii="Arial" w:hAnsi="Arial" w:cs="Arial"/>
          <w:sz w:val="24"/>
          <w:szCs w:val="24"/>
        </w:rPr>
      </w:pPr>
      <w:r w:rsidRPr="00005FC6">
        <w:rPr>
          <w:rStyle w:val="s1"/>
          <w:rFonts w:ascii="Arial" w:hAnsi="Arial" w:cs="Arial"/>
          <w:sz w:val="24"/>
          <w:szCs w:val="24"/>
        </w:rPr>
        <w:t>Threats</w:t>
      </w:r>
    </w:p>
    <w:p w14:paraId="25204FBA" w14:textId="77777777" w:rsidR="00E07719" w:rsidRPr="00005FC6" w:rsidRDefault="00E07719" w:rsidP="0058477A">
      <w:pPr>
        <w:spacing w:line="276" w:lineRule="auto"/>
        <w:jc w:val="both"/>
        <w:rPr>
          <w:rFonts w:ascii="Arial" w:hAnsi="Arial" w:cs="Arial"/>
        </w:rPr>
      </w:pPr>
      <w:r w:rsidRPr="00005FC6">
        <w:rPr>
          <w:rFonts w:ascii="Arial" w:hAnsi="Arial" w:cs="Arial"/>
        </w:rPr>
        <w:t>HubSpot is facing pressure from big tech bundling, like as Microsoft's Dynamics with Copilot for €65 per person. This can reduce standalone pricing power and push buying decisions to integrated suites (Author, 2024). Another concern is Al commoditisation, which occurs when the availability of free Al copywriting and automation tools lowers distinction for formerly advanced features, forcing competitiveness back towards pricing and ecosystem (Author, 2024). Macroeconomic risk is significant since SME marketing expenditures have traditionally been cyclical and tend to decline disproportionately during downturns, thus affecting HubSpot's core client sector (Author, 2024). Regulatory risk is significant: a serious GDPR violation may result in fines of up to €100 million, or around 4% of EU turnover, hurting profitability and reputation (Author, 2024).</w:t>
      </w:r>
    </w:p>
    <w:p w14:paraId="639F4E5C" w14:textId="77777777" w:rsidR="00E07719" w:rsidRPr="00005FC6" w:rsidRDefault="00E07719" w:rsidP="009F129C">
      <w:pPr>
        <w:pStyle w:val="Heading2"/>
        <w:rPr>
          <w:rFonts w:ascii="Arial" w:hAnsi="Arial" w:cs="Arial"/>
          <w:sz w:val="24"/>
          <w:szCs w:val="24"/>
        </w:rPr>
      </w:pPr>
      <w:bookmarkStart w:id="14" w:name="_Toc216992470"/>
      <w:bookmarkStart w:id="15" w:name="_Toc216993217"/>
      <w:r w:rsidRPr="00005FC6">
        <w:rPr>
          <w:rFonts w:ascii="Arial" w:eastAsia="Times New Roman" w:hAnsi="Arial" w:cs="Arial"/>
        </w:rPr>
        <w:t>Value Chain Diagnostics</w:t>
      </w:r>
      <w:bookmarkEnd w:id="14"/>
      <w:bookmarkEnd w:id="15"/>
    </w:p>
    <w:tbl>
      <w:tblPr>
        <w:tblStyle w:val="TableGrid"/>
        <w:tblW w:w="0" w:type="auto"/>
        <w:tblLook w:val="04A0" w:firstRow="1" w:lastRow="0" w:firstColumn="1" w:lastColumn="0" w:noHBand="0" w:noVBand="1"/>
      </w:tblPr>
      <w:tblGrid>
        <w:gridCol w:w="2254"/>
        <w:gridCol w:w="2254"/>
        <w:gridCol w:w="2254"/>
        <w:gridCol w:w="2254"/>
      </w:tblGrid>
      <w:tr w:rsidR="00E07719" w:rsidRPr="00005FC6" w14:paraId="1BC280AD" w14:textId="77777777" w:rsidTr="0058477A">
        <w:tc>
          <w:tcPr>
            <w:tcW w:w="2254" w:type="dxa"/>
          </w:tcPr>
          <w:p w14:paraId="718E1DAC"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16" w:name="_Toc216992471"/>
            <w:bookmarkStart w:id="17" w:name="_Toc216993218"/>
            <w:r w:rsidRPr="00005FC6">
              <w:rPr>
                <w:rFonts w:ascii="Arial" w:eastAsiaTheme="majorEastAsia" w:hAnsi="Arial" w:cs="Arial"/>
                <w:color w:val="191919" w:themeColor="text1" w:themeTint="E6"/>
              </w:rPr>
              <w:t>Primary Activities</w:t>
            </w:r>
            <w:bookmarkEnd w:id="16"/>
            <w:bookmarkEnd w:id="17"/>
            <w:r w:rsidRPr="00005FC6">
              <w:rPr>
                <w:rFonts w:ascii="Arial" w:eastAsiaTheme="majorEastAsia" w:hAnsi="Arial" w:cs="Arial"/>
                <w:color w:val="191919" w:themeColor="text1" w:themeTint="E6"/>
              </w:rPr>
              <w:t xml:space="preserve"> </w:t>
            </w:r>
          </w:p>
        </w:tc>
        <w:tc>
          <w:tcPr>
            <w:tcW w:w="2254" w:type="dxa"/>
          </w:tcPr>
          <w:p w14:paraId="74155228"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18" w:name="_Toc216992472"/>
            <w:bookmarkStart w:id="19" w:name="_Toc216993219"/>
            <w:r w:rsidRPr="00005FC6">
              <w:rPr>
                <w:rFonts w:ascii="Arial" w:eastAsiaTheme="majorEastAsia" w:hAnsi="Arial" w:cs="Arial"/>
                <w:color w:val="191919" w:themeColor="text1" w:themeTint="E6"/>
              </w:rPr>
              <w:t>2024 Cost (US $m)</w:t>
            </w:r>
            <w:bookmarkEnd w:id="18"/>
            <w:bookmarkEnd w:id="19"/>
          </w:p>
        </w:tc>
        <w:tc>
          <w:tcPr>
            <w:tcW w:w="2254" w:type="dxa"/>
          </w:tcPr>
          <w:p w14:paraId="70FDC057"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20" w:name="_Toc216992473"/>
            <w:bookmarkStart w:id="21" w:name="_Toc216993220"/>
            <w:r w:rsidRPr="00005FC6">
              <w:rPr>
                <w:rFonts w:ascii="Arial" w:eastAsiaTheme="majorEastAsia" w:hAnsi="Arial" w:cs="Arial"/>
                <w:color w:val="191919" w:themeColor="text1" w:themeTint="E6"/>
              </w:rPr>
              <w:t>Key Issue</w:t>
            </w:r>
            <w:bookmarkEnd w:id="20"/>
            <w:bookmarkEnd w:id="21"/>
          </w:p>
        </w:tc>
        <w:tc>
          <w:tcPr>
            <w:tcW w:w="2254" w:type="dxa"/>
          </w:tcPr>
          <w:p w14:paraId="51C8B487"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22" w:name="_Toc216992474"/>
            <w:bookmarkStart w:id="23" w:name="_Toc216993221"/>
            <w:r w:rsidRPr="00005FC6">
              <w:rPr>
                <w:rFonts w:ascii="Arial" w:eastAsiaTheme="majorEastAsia" w:hAnsi="Arial" w:cs="Arial"/>
                <w:color w:val="191919" w:themeColor="text1" w:themeTint="E6"/>
              </w:rPr>
              <w:t>Improvement</w:t>
            </w:r>
            <w:bookmarkEnd w:id="22"/>
            <w:bookmarkEnd w:id="23"/>
            <w:r w:rsidRPr="00005FC6">
              <w:rPr>
                <w:rFonts w:ascii="Arial" w:eastAsiaTheme="majorEastAsia" w:hAnsi="Arial" w:cs="Arial"/>
                <w:color w:val="191919" w:themeColor="text1" w:themeTint="E6"/>
              </w:rPr>
              <w:t xml:space="preserve"> </w:t>
            </w:r>
          </w:p>
        </w:tc>
      </w:tr>
      <w:tr w:rsidR="00E07719" w:rsidRPr="00005FC6" w14:paraId="56530480" w14:textId="77777777" w:rsidTr="0058477A">
        <w:tc>
          <w:tcPr>
            <w:tcW w:w="2254" w:type="dxa"/>
          </w:tcPr>
          <w:p w14:paraId="0FCF3A54"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24" w:name="_Toc216992475"/>
            <w:bookmarkStart w:id="25" w:name="_Toc216993222"/>
            <w:r w:rsidRPr="00005FC6">
              <w:rPr>
                <w:rFonts w:ascii="Arial" w:eastAsiaTheme="majorEastAsia" w:hAnsi="Arial" w:cs="Arial"/>
                <w:color w:val="191919" w:themeColor="text1" w:themeTint="E6"/>
              </w:rPr>
              <w:t>Inbound</w:t>
            </w:r>
            <w:bookmarkEnd w:id="24"/>
            <w:bookmarkEnd w:id="25"/>
            <w:r w:rsidRPr="00005FC6">
              <w:rPr>
                <w:rFonts w:ascii="Arial" w:eastAsiaTheme="majorEastAsia" w:hAnsi="Arial" w:cs="Arial"/>
                <w:color w:val="191919" w:themeColor="text1" w:themeTint="E6"/>
              </w:rPr>
              <w:t xml:space="preserve"> </w:t>
            </w:r>
          </w:p>
        </w:tc>
        <w:tc>
          <w:tcPr>
            <w:tcW w:w="2254" w:type="dxa"/>
          </w:tcPr>
          <w:p w14:paraId="1BFD54F3"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26" w:name="_Toc216992476"/>
            <w:bookmarkStart w:id="27" w:name="_Toc216993223"/>
            <w:r w:rsidRPr="00005FC6">
              <w:rPr>
                <w:rFonts w:ascii="Arial" w:eastAsiaTheme="majorEastAsia" w:hAnsi="Arial" w:cs="Arial"/>
                <w:color w:val="191919" w:themeColor="text1" w:themeTint="E6"/>
              </w:rPr>
              <w:t>120</w:t>
            </w:r>
            <w:bookmarkEnd w:id="26"/>
            <w:bookmarkEnd w:id="27"/>
          </w:p>
        </w:tc>
        <w:tc>
          <w:tcPr>
            <w:tcW w:w="2254" w:type="dxa"/>
          </w:tcPr>
          <w:p w14:paraId="60B0BD1A"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28" w:name="_Toc216992477"/>
            <w:bookmarkStart w:id="29" w:name="_Toc216993224"/>
            <w:r w:rsidRPr="00005FC6">
              <w:rPr>
                <w:rFonts w:ascii="Arial" w:eastAsiaTheme="majorEastAsia" w:hAnsi="Arial" w:cs="Arial"/>
                <w:color w:val="191919" w:themeColor="text1" w:themeTint="E6"/>
              </w:rPr>
              <w:t>High editorial cost</w:t>
            </w:r>
            <w:bookmarkEnd w:id="28"/>
            <w:bookmarkEnd w:id="29"/>
            <w:r w:rsidRPr="00005FC6">
              <w:rPr>
                <w:rFonts w:ascii="Arial" w:eastAsiaTheme="majorEastAsia" w:hAnsi="Arial" w:cs="Arial"/>
                <w:color w:val="191919" w:themeColor="text1" w:themeTint="E6"/>
              </w:rPr>
              <w:t xml:space="preserve"> </w:t>
            </w:r>
          </w:p>
        </w:tc>
        <w:tc>
          <w:tcPr>
            <w:tcW w:w="2254" w:type="dxa"/>
          </w:tcPr>
          <w:p w14:paraId="77536B94"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30" w:name="_Toc216992478"/>
            <w:bookmarkStart w:id="31" w:name="_Toc216993225"/>
            <w:r w:rsidRPr="00005FC6">
              <w:rPr>
                <w:rFonts w:ascii="Arial" w:eastAsiaTheme="majorEastAsia" w:hAnsi="Arial" w:cs="Arial"/>
                <w:color w:val="191919" w:themeColor="text1" w:themeTint="E6"/>
              </w:rPr>
              <w:t>Gen AI assisted content, user generated blogs</w:t>
            </w:r>
            <w:bookmarkEnd w:id="30"/>
            <w:bookmarkEnd w:id="31"/>
            <w:r w:rsidRPr="00005FC6">
              <w:rPr>
                <w:rFonts w:ascii="Arial" w:eastAsiaTheme="majorEastAsia" w:hAnsi="Arial" w:cs="Arial"/>
                <w:color w:val="191919" w:themeColor="text1" w:themeTint="E6"/>
              </w:rPr>
              <w:t xml:space="preserve"> </w:t>
            </w:r>
          </w:p>
        </w:tc>
      </w:tr>
      <w:tr w:rsidR="00E07719" w:rsidRPr="00005FC6" w14:paraId="19318E2C" w14:textId="77777777" w:rsidTr="0058477A">
        <w:tc>
          <w:tcPr>
            <w:tcW w:w="2254" w:type="dxa"/>
          </w:tcPr>
          <w:p w14:paraId="49E08661"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32" w:name="_Toc216992479"/>
            <w:bookmarkStart w:id="33" w:name="_Toc216993226"/>
            <w:r w:rsidRPr="00005FC6">
              <w:rPr>
                <w:rFonts w:ascii="Arial" w:eastAsiaTheme="majorEastAsia" w:hAnsi="Arial" w:cs="Arial"/>
                <w:color w:val="191919" w:themeColor="text1" w:themeTint="E6"/>
              </w:rPr>
              <w:t>Freemium On boarding</w:t>
            </w:r>
            <w:bookmarkEnd w:id="32"/>
            <w:bookmarkEnd w:id="33"/>
            <w:r w:rsidRPr="00005FC6">
              <w:rPr>
                <w:rFonts w:ascii="Arial" w:eastAsiaTheme="majorEastAsia" w:hAnsi="Arial" w:cs="Arial"/>
                <w:color w:val="191919" w:themeColor="text1" w:themeTint="E6"/>
              </w:rPr>
              <w:t xml:space="preserve"> </w:t>
            </w:r>
          </w:p>
        </w:tc>
        <w:tc>
          <w:tcPr>
            <w:tcW w:w="2254" w:type="dxa"/>
          </w:tcPr>
          <w:p w14:paraId="459015F3"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34" w:name="_Toc216992480"/>
            <w:bookmarkStart w:id="35" w:name="_Toc216993227"/>
            <w:r w:rsidRPr="00005FC6">
              <w:rPr>
                <w:rFonts w:ascii="Arial" w:eastAsiaTheme="majorEastAsia" w:hAnsi="Arial" w:cs="Arial"/>
                <w:color w:val="191919" w:themeColor="text1" w:themeTint="E6"/>
              </w:rPr>
              <w:t>80</w:t>
            </w:r>
            <w:bookmarkEnd w:id="34"/>
            <w:bookmarkEnd w:id="35"/>
          </w:p>
        </w:tc>
        <w:tc>
          <w:tcPr>
            <w:tcW w:w="2254" w:type="dxa"/>
          </w:tcPr>
          <w:p w14:paraId="43A6D588"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36" w:name="_Toc216992481"/>
            <w:bookmarkStart w:id="37" w:name="_Toc216993228"/>
            <w:r w:rsidRPr="00005FC6">
              <w:rPr>
                <w:rFonts w:ascii="Arial" w:eastAsiaTheme="majorEastAsia" w:hAnsi="Arial" w:cs="Arial"/>
                <w:color w:val="191919" w:themeColor="text1" w:themeTint="E6"/>
              </w:rPr>
              <w:t>18% activation drop</w:t>
            </w:r>
            <w:bookmarkEnd w:id="36"/>
            <w:bookmarkEnd w:id="37"/>
          </w:p>
        </w:tc>
        <w:tc>
          <w:tcPr>
            <w:tcW w:w="2254" w:type="dxa"/>
          </w:tcPr>
          <w:p w14:paraId="725A9C78"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38" w:name="_Toc216992482"/>
            <w:bookmarkStart w:id="39" w:name="_Toc216993229"/>
            <w:r w:rsidRPr="00005FC6">
              <w:rPr>
                <w:rFonts w:ascii="Arial" w:eastAsiaTheme="majorEastAsia" w:hAnsi="Arial" w:cs="Arial"/>
                <w:color w:val="191919" w:themeColor="text1" w:themeTint="E6"/>
              </w:rPr>
              <w:t>Guided “30 minute value” wizard</w:t>
            </w:r>
            <w:bookmarkEnd w:id="38"/>
            <w:bookmarkEnd w:id="39"/>
          </w:p>
        </w:tc>
      </w:tr>
      <w:tr w:rsidR="00E07719" w:rsidRPr="00005FC6" w14:paraId="4E39923B" w14:textId="77777777" w:rsidTr="0058477A">
        <w:tc>
          <w:tcPr>
            <w:tcW w:w="2254" w:type="dxa"/>
          </w:tcPr>
          <w:p w14:paraId="1D27FB17"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40" w:name="_Toc216992483"/>
            <w:bookmarkStart w:id="41" w:name="_Toc216993230"/>
            <w:r w:rsidRPr="00005FC6">
              <w:rPr>
                <w:rFonts w:ascii="Arial" w:eastAsiaTheme="majorEastAsia" w:hAnsi="Arial" w:cs="Arial"/>
                <w:color w:val="191919" w:themeColor="text1" w:themeTint="E6"/>
              </w:rPr>
              <w:t>Sales Motion</w:t>
            </w:r>
            <w:bookmarkEnd w:id="40"/>
            <w:bookmarkEnd w:id="41"/>
          </w:p>
        </w:tc>
        <w:tc>
          <w:tcPr>
            <w:tcW w:w="2254" w:type="dxa"/>
          </w:tcPr>
          <w:p w14:paraId="21D85150"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42" w:name="_Toc216992484"/>
            <w:bookmarkStart w:id="43" w:name="_Toc216993231"/>
            <w:r w:rsidRPr="00005FC6">
              <w:rPr>
                <w:rFonts w:ascii="Arial" w:eastAsiaTheme="majorEastAsia" w:hAnsi="Arial" w:cs="Arial"/>
                <w:color w:val="191919" w:themeColor="text1" w:themeTint="E6"/>
              </w:rPr>
              <w:t>1,219</w:t>
            </w:r>
            <w:bookmarkEnd w:id="42"/>
            <w:bookmarkEnd w:id="43"/>
          </w:p>
        </w:tc>
        <w:tc>
          <w:tcPr>
            <w:tcW w:w="2254" w:type="dxa"/>
          </w:tcPr>
          <w:p w14:paraId="02B42722"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44" w:name="_Toc216992485"/>
            <w:bookmarkStart w:id="45" w:name="_Toc216993232"/>
            <w:r w:rsidRPr="00005FC6">
              <w:rPr>
                <w:rFonts w:ascii="Arial" w:eastAsiaTheme="majorEastAsia" w:hAnsi="Arial" w:cs="Arial"/>
                <w:color w:val="191919" w:themeColor="text1" w:themeTint="E6"/>
              </w:rPr>
              <w:t>CAC payback 29 months</w:t>
            </w:r>
            <w:bookmarkEnd w:id="44"/>
            <w:bookmarkEnd w:id="45"/>
          </w:p>
        </w:tc>
        <w:tc>
          <w:tcPr>
            <w:tcW w:w="2254" w:type="dxa"/>
          </w:tcPr>
          <w:p w14:paraId="544DF840"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46" w:name="_Toc216992486"/>
            <w:bookmarkStart w:id="47" w:name="_Toc216993233"/>
            <w:r w:rsidRPr="00005FC6">
              <w:rPr>
                <w:rFonts w:ascii="Arial" w:eastAsiaTheme="majorEastAsia" w:hAnsi="Arial" w:cs="Arial"/>
                <w:color w:val="191919" w:themeColor="text1" w:themeTint="E6"/>
              </w:rPr>
              <w:t>Product led growth (PLG overlays, usage based PQL scoring</w:t>
            </w:r>
            <w:bookmarkEnd w:id="46"/>
            <w:bookmarkEnd w:id="47"/>
          </w:p>
        </w:tc>
      </w:tr>
      <w:tr w:rsidR="00E07719" w:rsidRPr="00005FC6" w14:paraId="018CEC2B" w14:textId="77777777" w:rsidTr="0058477A">
        <w:tc>
          <w:tcPr>
            <w:tcW w:w="2254" w:type="dxa"/>
          </w:tcPr>
          <w:p w14:paraId="11ABD041"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48" w:name="_Toc216992487"/>
            <w:bookmarkStart w:id="49" w:name="_Toc216993234"/>
            <w:r w:rsidRPr="00005FC6">
              <w:rPr>
                <w:rFonts w:ascii="Arial" w:eastAsiaTheme="majorEastAsia" w:hAnsi="Arial" w:cs="Arial"/>
                <w:color w:val="191919" w:themeColor="text1" w:themeTint="E6"/>
              </w:rPr>
              <w:t>Customers Success</w:t>
            </w:r>
            <w:bookmarkEnd w:id="48"/>
            <w:bookmarkEnd w:id="49"/>
          </w:p>
        </w:tc>
        <w:tc>
          <w:tcPr>
            <w:tcW w:w="2254" w:type="dxa"/>
          </w:tcPr>
          <w:p w14:paraId="076119E5"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50" w:name="_Toc216992488"/>
            <w:bookmarkStart w:id="51" w:name="_Toc216993235"/>
            <w:r w:rsidRPr="00005FC6">
              <w:rPr>
                <w:rFonts w:ascii="Arial" w:eastAsiaTheme="majorEastAsia" w:hAnsi="Arial" w:cs="Arial"/>
                <w:color w:val="191919" w:themeColor="text1" w:themeTint="E6"/>
              </w:rPr>
              <w:t>180</w:t>
            </w:r>
            <w:bookmarkEnd w:id="50"/>
            <w:bookmarkEnd w:id="51"/>
          </w:p>
        </w:tc>
        <w:tc>
          <w:tcPr>
            <w:tcW w:w="2254" w:type="dxa"/>
          </w:tcPr>
          <w:p w14:paraId="332B1639"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52" w:name="_Toc216992489"/>
            <w:bookmarkStart w:id="53" w:name="_Toc216993236"/>
            <w:r w:rsidRPr="00005FC6">
              <w:rPr>
                <w:rFonts w:ascii="Arial" w:eastAsiaTheme="majorEastAsia" w:hAnsi="Arial" w:cs="Arial"/>
                <w:color w:val="191919" w:themeColor="text1" w:themeTint="E6"/>
              </w:rPr>
              <w:t>NPS 48 vs 60 at best in class</w:t>
            </w:r>
            <w:bookmarkEnd w:id="52"/>
            <w:bookmarkEnd w:id="53"/>
          </w:p>
        </w:tc>
        <w:tc>
          <w:tcPr>
            <w:tcW w:w="2254" w:type="dxa"/>
          </w:tcPr>
          <w:p w14:paraId="17004CBF"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54" w:name="_Toc216992490"/>
            <w:bookmarkStart w:id="55" w:name="_Toc216993237"/>
            <w:r w:rsidRPr="00005FC6">
              <w:rPr>
                <w:rFonts w:ascii="Arial" w:eastAsiaTheme="majorEastAsia" w:hAnsi="Arial" w:cs="Arial"/>
                <w:color w:val="191919" w:themeColor="text1" w:themeTint="E6"/>
              </w:rPr>
              <w:t>Predictive health score, churn propensity dashboard</w:t>
            </w:r>
            <w:bookmarkEnd w:id="54"/>
            <w:bookmarkEnd w:id="55"/>
            <w:r w:rsidRPr="00005FC6">
              <w:rPr>
                <w:rFonts w:ascii="Arial" w:eastAsiaTheme="majorEastAsia" w:hAnsi="Arial" w:cs="Arial"/>
                <w:color w:val="191919" w:themeColor="text1" w:themeTint="E6"/>
              </w:rPr>
              <w:t xml:space="preserve">  </w:t>
            </w:r>
          </w:p>
        </w:tc>
      </w:tr>
      <w:tr w:rsidR="00E07719" w:rsidRPr="00005FC6" w14:paraId="344C793A" w14:textId="77777777" w:rsidTr="0058477A">
        <w:tc>
          <w:tcPr>
            <w:tcW w:w="2254" w:type="dxa"/>
          </w:tcPr>
          <w:p w14:paraId="164CEA9E"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56" w:name="_Toc216992491"/>
            <w:bookmarkStart w:id="57" w:name="_Toc216993238"/>
            <w:r w:rsidRPr="00005FC6">
              <w:rPr>
                <w:rFonts w:ascii="Arial" w:eastAsiaTheme="majorEastAsia" w:hAnsi="Arial" w:cs="Arial"/>
                <w:color w:val="191919" w:themeColor="text1" w:themeTint="E6"/>
              </w:rPr>
              <w:t>R&amp;D/ Product</w:t>
            </w:r>
            <w:bookmarkEnd w:id="56"/>
            <w:bookmarkEnd w:id="57"/>
          </w:p>
        </w:tc>
        <w:tc>
          <w:tcPr>
            <w:tcW w:w="2254" w:type="dxa"/>
          </w:tcPr>
          <w:p w14:paraId="1FD15D55"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58" w:name="_Toc216992492"/>
            <w:bookmarkStart w:id="59" w:name="_Toc216993239"/>
            <w:r w:rsidRPr="00005FC6">
              <w:rPr>
                <w:rFonts w:ascii="Arial" w:eastAsiaTheme="majorEastAsia" w:hAnsi="Arial" w:cs="Arial"/>
                <w:color w:val="191919" w:themeColor="text1" w:themeTint="E6"/>
              </w:rPr>
              <w:t>779</w:t>
            </w:r>
            <w:bookmarkEnd w:id="58"/>
            <w:bookmarkEnd w:id="59"/>
          </w:p>
        </w:tc>
        <w:tc>
          <w:tcPr>
            <w:tcW w:w="2254" w:type="dxa"/>
          </w:tcPr>
          <w:p w14:paraId="3DF6521E"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60" w:name="_Toc216992493"/>
            <w:bookmarkStart w:id="61" w:name="_Toc216993240"/>
            <w:r w:rsidRPr="00005FC6">
              <w:rPr>
                <w:rFonts w:ascii="Arial" w:eastAsiaTheme="majorEastAsia" w:hAnsi="Arial" w:cs="Arial"/>
                <w:color w:val="191919" w:themeColor="text1" w:themeTint="E6"/>
              </w:rPr>
              <w:t>30% of revenue</w:t>
            </w:r>
            <w:bookmarkEnd w:id="60"/>
            <w:bookmarkEnd w:id="61"/>
            <w:r w:rsidRPr="00005FC6">
              <w:rPr>
                <w:rFonts w:ascii="Arial" w:eastAsiaTheme="majorEastAsia" w:hAnsi="Arial" w:cs="Arial"/>
                <w:color w:val="191919" w:themeColor="text1" w:themeTint="E6"/>
              </w:rPr>
              <w:t xml:space="preserve"> </w:t>
            </w:r>
          </w:p>
        </w:tc>
        <w:tc>
          <w:tcPr>
            <w:tcW w:w="2254" w:type="dxa"/>
          </w:tcPr>
          <w:p w14:paraId="2DB92EFD" w14:textId="77777777" w:rsidR="00E07719" w:rsidRPr="00005FC6" w:rsidRDefault="00E07719" w:rsidP="0058477A">
            <w:pPr>
              <w:keepNext/>
              <w:keepLines/>
              <w:spacing w:before="360" w:after="80"/>
              <w:outlineLvl w:val="0"/>
              <w:rPr>
                <w:rFonts w:ascii="Arial" w:eastAsiaTheme="majorEastAsia" w:hAnsi="Arial" w:cs="Arial"/>
                <w:color w:val="191919" w:themeColor="text1" w:themeTint="E6"/>
              </w:rPr>
            </w:pPr>
            <w:bookmarkStart w:id="62" w:name="_Toc216992494"/>
            <w:bookmarkStart w:id="63" w:name="_Toc216993241"/>
            <w:r w:rsidRPr="00005FC6">
              <w:rPr>
                <w:rFonts w:ascii="Arial" w:eastAsiaTheme="majorEastAsia" w:hAnsi="Arial" w:cs="Arial"/>
                <w:color w:val="191919" w:themeColor="text1" w:themeTint="E6"/>
              </w:rPr>
              <w:t>Shift 15% of roadmap to localisation &amp; compliance</w:t>
            </w:r>
            <w:bookmarkEnd w:id="62"/>
            <w:bookmarkEnd w:id="63"/>
            <w:r w:rsidRPr="00005FC6">
              <w:rPr>
                <w:rFonts w:ascii="Arial" w:eastAsiaTheme="majorEastAsia" w:hAnsi="Arial" w:cs="Arial"/>
                <w:color w:val="191919" w:themeColor="text1" w:themeTint="E6"/>
              </w:rPr>
              <w:t xml:space="preserve"> </w:t>
            </w:r>
          </w:p>
        </w:tc>
      </w:tr>
    </w:tbl>
    <w:p w14:paraId="74D36D53" w14:textId="77777777" w:rsidR="00E07719" w:rsidRPr="00005FC6" w:rsidRDefault="00E07719" w:rsidP="0058477A">
      <w:pPr>
        <w:rPr>
          <w:rFonts w:ascii="Arial" w:hAnsi="Arial" w:cs="Arial"/>
        </w:rPr>
      </w:pPr>
    </w:p>
    <w:p w14:paraId="6E15FF63" w14:textId="77777777" w:rsidR="00E07719" w:rsidRPr="00005FC6" w:rsidRDefault="00E07719" w:rsidP="0058477A">
      <w:pPr>
        <w:rPr>
          <w:rFonts w:ascii="Arial" w:hAnsi="Arial" w:cs="Arial"/>
        </w:rPr>
      </w:pPr>
    </w:p>
    <w:p w14:paraId="5CF36AEE" w14:textId="3BF37177" w:rsidR="00E07719" w:rsidRPr="00005FC6" w:rsidRDefault="00E07719" w:rsidP="0058477A">
      <w:pPr>
        <w:jc w:val="both"/>
        <w:rPr>
          <w:rFonts w:ascii="Arial" w:hAnsi="Arial" w:cs="Arial"/>
        </w:rPr>
      </w:pPr>
      <w:r w:rsidRPr="00005FC6">
        <w:rPr>
          <w:rFonts w:ascii="Arial" w:hAnsi="Arial" w:cs="Arial"/>
        </w:rPr>
        <w:t>Support activities HR, Legal, IT consume 9% of revenue; G&amp;A ratio higher than peers due to duplicative finance systems post</w:t>
      </w:r>
      <w:r w:rsidR="00AE7C3E">
        <w:rPr>
          <w:rFonts w:ascii="Arial" w:hAnsi="Arial" w:cs="Arial"/>
        </w:rPr>
        <w:t xml:space="preserve"> </w:t>
      </w:r>
      <w:r w:rsidRPr="00005FC6">
        <w:rPr>
          <w:rFonts w:ascii="Arial" w:hAnsi="Arial" w:cs="Arial"/>
        </w:rPr>
        <w:t>2018 IPO.</w:t>
      </w:r>
    </w:p>
    <w:p w14:paraId="015A10F2" w14:textId="77777777" w:rsidR="00E07719" w:rsidRPr="00005FC6" w:rsidRDefault="00E07719" w:rsidP="009F129C">
      <w:pPr>
        <w:pStyle w:val="Heading1"/>
        <w:rPr>
          <w:rFonts w:ascii="Arial" w:hAnsi="Arial" w:cs="Arial"/>
        </w:rPr>
      </w:pPr>
      <w:bookmarkStart w:id="64" w:name="_Toc216992495"/>
      <w:bookmarkStart w:id="65" w:name="_Toc216993242"/>
      <w:r w:rsidRPr="00005FC6">
        <w:rPr>
          <w:rFonts w:ascii="Arial" w:hAnsi="Arial" w:cs="Arial"/>
        </w:rPr>
        <w:t>Strategic Growth Options for HubSpot</w:t>
      </w:r>
      <w:bookmarkEnd w:id="64"/>
      <w:bookmarkEnd w:id="65"/>
    </w:p>
    <w:p w14:paraId="7748B747" w14:textId="77777777" w:rsidR="00E07719" w:rsidRPr="00005FC6" w:rsidRDefault="00E07719" w:rsidP="0058477A">
      <w:pPr>
        <w:jc w:val="both"/>
        <w:rPr>
          <w:rFonts w:ascii="Arial" w:hAnsi="Arial" w:cs="Arial"/>
        </w:rPr>
      </w:pPr>
      <w:r w:rsidRPr="00005FC6">
        <w:rPr>
          <w:rFonts w:ascii="Arial" w:hAnsi="Arial" w:cs="Arial"/>
        </w:rPr>
        <w:t>HubSpot's strategic growth options in the SME segment can be coherently framed using the Ansoff matrix, with a focus on market penetration, product development and market development that build on its existing customer platform while extending into new spaces (Ansoff, 1957; Corporate Finance Institute, 2023; The Strategy Institute, 2024). In the short term, a market penetration strategy could centre on an "Al Starter Suite" that bundles core marketing, sales and Al assistant capabilities at an accessible annual price point for small firms, leveraging HubSpot's established Solutions Partner and agency network to reduce customer acquisition costs and scale adoption across the European SME base (HubSpot,</w:t>
      </w:r>
    </w:p>
    <w:p w14:paraId="3BAC14CF" w14:textId="3B747A63" w:rsidR="00E07719" w:rsidRPr="00005FC6" w:rsidRDefault="00E07719" w:rsidP="0058477A">
      <w:pPr>
        <w:jc w:val="both"/>
        <w:rPr>
          <w:rFonts w:ascii="Arial" w:hAnsi="Arial" w:cs="Arial"/>
        </w:rPr>
      </w:pPr>
      <w:r w:rsidRPr="00005FC6">
        <w:rPr>
          <w:rFonts w:ascii="Arial" w:hAnsi="Arial" w:cs="Arial"/>
        </w:rPr>
        <w:t xml:space="preserve">2024; HubXpert, 2024; Wise, 2025). Over the medium term, a product development path would involve launching vertical </w:t>
      </w:r>
      <w:bookmarkStart w:id="66" w:name="_Int_FQvZ2rdz"/>
      <w:r w:rsidRPr="00005FC6">
        <w:rPr>
          <w:rFonts w:ascii="Arial" w:hAnsi="Arial" w:cs="Arial"/>
        </w:rPr>
        <w:t>micro SaaS</w:t>
      </w:r>
      <w:bookmarkEnd w:id="66"/>
      <w:r w:rsidRPr="00005FC6">
        <w:rPr>
          <w:rFonts w:ascii="Arial" w:hAnsi="Arial" w:cs="Arial"/>
        </w:rPr>
        <w:t xml:space="preserve"> offerings such as a matter centric, GDPR compliant "HubSpot for Law," enabling premium pricing and a defensible moat grounded in regulatory complexity, specialist workflows and integrations with legal tech ecosystems (HubSpot, 2023; Lucidchart, 2019). In the longer term, a market development strategy would focus on localising the platform and educational content for high growth emerging markets through new language support and mobile first delivery models and partnering with regional telcos and distributors to embed CRM into SME connectivity bundles, thereby expanding HubSpot's geographic footprint and recurring revenue base while remaining aligned with the needs of resource</w:t>
      </w:r>
      <w:r w:rsidR="00E4482E">
        <w:rPr>
          <w:rFonts w:ascii="Arial" w:hAnsi="Arial" w:cs="Arial"/>
        </w:rPr>
        <w:t xml:space="preserve"> </w:t>
      </w:r>
      <w:r w:rsidRPr="00005FC6">
        <w:rPr>
          <w:rFonts w:ascii="Arial" w:hAnsi="Arial" w:cs="Arial"/>
        </w:rPr>
        <w:t>constrained small businesses (HubSpot, 2024; About Inbound, 2025; Scaile, 2025).</w:t>
      </w:r>
    </w:p>
    <w:p w14:paraId="53A70B5C" w14:textId="77777777" w:rsidR="00E07719" w:rsidRPr="00005FC6" w:rsidRDefault="00E07719" w:rsidP="009F129C">
      <w:pPr>
        <w:pStyle w:val="Heading1"/>
        <w:rPr>
          <w:rFonts w:ascii="Arial" w:hAnsi="Arial" w:cs="Arial"/>
        </w:rPr>
      </w:pPr>
      <w:bookmarkStart w:id="67" w:name="_Toc216992496"/>
      <w:bookmarkStart w:id="68" w:name="_Toc216993243"/>
      <w:r w:rsidRPr="00005FC6">
        <w:rPr>
          <w:rFonts w:ascii="Arial" w:hAnsi="Arial" w:cs="Arial"/>
        </w:rPr>
        <w:t>Stakeholder Analysis &amp; Strategic Feasibility</w:t>
      </w:r>
      <w:bookmarkEnd w:id="67"/>
      <w:bookmarkEnd w:id="68"/>
      <w:r w:rsidRPr="00005FC6">
        <w:rPr>
          <w:rFonts w:ascii="Arial" w:hAnsi="Arial" w:cs="Arial"/>
        </w:rPr>
        <w:t xml:space="preserve"> </w:t>
      </w:r>
    </w:p>
    <w:p w14:paraId="4A6BB12C" w14:textId="77777777" w:rsidR="00E07719" w:rsidRPr="005F2595" w:rsidRDefault="00E07719" w:rsidP="0058477A">
      <w:pPr>
        <w:rPr>
          <w:rFonts w:ascii="Arial" w:hAnsi="Arial" w:cs="Arial"/>
        </w:rPr>
      </w:pPr>
    </w:p>
    <w:p w14:paraId="2078BC47" w14:textId="77777777" w:rsidR="00E07719" w:rsidRPr="00005FC6" w:rsidRDefault="00E07719" w:rsidP="009F129C">
      <w:pPr>
        <w:pStyle w:val="Heading2"/>
        <w:rPr>
          <w:rFonts w:ascii="Arial" w:hAnsi="Arial" w:cs="Arial"/>
        </w:rPr>
      </w:pPr>
      <w:bookmarkStart w:id="69" w:name="_Toc216992497"/>
      <w:bookmarkStart w:id="70" w:name="_Toc216993244"/>
      <w:r w:rsidRPr="00005FC6">
        <w:rPr>
          <w:rFonts w:ascii="Arial" w:hAnsi="Arial" w:cs="Arial"/>
        </w:rPr>
        <w:t>Power interest Matrix</w:t>
      </w:r>
      <w:bookmarkEnd w:id="69"/>
      <w:bookmarkEnd w:id="70"/>
    </w:p>
    <w:tbl>
      <w:tblPr>
        <w:tblStyle w:val="TableGrid"/>
        <w:tblW w:w="0" w:type="auto"/>
        <w:tblLook w:val="04A0" w:firstRow="1" w:lastRow="0" w:firstColumn="1" w:lastColumn="0" w:noHBand="0" w:noVBand="1"/>
      </w:tblPr>
      <w:tblGrid>
        <w:gridCol w:w="2254"/>
        <w:gridCol w:w="2254"/>
        <w:gridCol w:w="2254"/>
        <w:gridCol w:w="2254"/>
      </w:tblGrid>
      <w:tr w:rsidR="00E07719" w:rsidRPr="00005FC6" w14:paraId="421CAF87" w14:textId="77777777" w:rsidTr="0058477A">
        <w:tc>
          <w:tcPr>
            <w:tcW w:w="2254" w:type="dxa"/>
          </w:tcPr>
          <w:p w14:paraId="52DBBAB8" w14:textId="77777777" w:rsidR="00E07719" w:rsidRPr="00005FC6" w:rsidRDefault="00E07719" w:rsidP="0058477A">
            <w:pPr>
              <w:rPr>
                <w:rFonts w:ascii="Arial" w:hAnsi="Arial" w:cs="Arial"/>
              </w:rPr>
            </w:pPr>
            <w:r w:rsidRPr="00005FC6">
              <w:rPr>
                <w:rFonts w:ascii="Arial" w:hAnsi="Arial" w:cs="Arial"/>
              </w:rPr>
              <w:t xml:space="preserve">Stakeholder </w:t>
            </w:r>
          </w:p>
        </w:tc>
        <w:tc>
          <w:tcPr>
            <w:tcW w:w="2254" w:type="dxa"/>
          </w:tcPr>
          <w:p w14:paraId="52971742" w14:textId="77777777" w:rsidR="00E07719" w:rsidRPr="00005FC6" w:rsidRDefault="00E07719" w:rsidP="0058477A">
            <w:pPr>
              <w:rPr>
                <w:rFonts w:ascii="Arial" w:hAnsi="Arial" w:cs="Arial"/>
              </w:rPr>
            </w:pPr>
            <w:r w:rsidRPr="00005FC6">
              <w:rPr>
                <w:rFonts w:ascii="Arial" w:hAnsi="Arial" w:cs="Arial"/>
              </w:rPr>
              <w:t>Power</w:t>
            </w:r>
          </w:p>
        </w:tc>
        <w:tc>
          <w:tcPr>
            <w:tcW w:w="2254" w:type="dxa"/>
          </w:tcPr>
          <w:p w14:paraId="096426D5" w14:textId="77777777" w:rsidR="00E07719" w:rsidRPr="00005FC6" w:rsidRDefault="00E07719" w:rsidP="0058477A">
            <w:pPr>
              <w:rPr>
                <w:rFonts w:ascii="Arial" w:hAnsi="Arial" w:cs="Arial"/>
              </w:rPr>
            </w:pPr>
            <w:r w:rsidRPr="00005FC6">
              <w:rPr>
                <w:rFonts w:ascii="Arial" w:hAnsi="Arial" w:cs="Arial"/>
              </w:rPr>
              <w:t xml:space="preserve">Interest </w:t>
            </w:r>
          </w:p>
        </w:tc>
        <w:tc>
          <w:tcPr>
            <w:tcW w:w="2254" w:type="dxa"/>
          </w:tcPr>
          <w:p w14:paraId="62326369" w14:textId="77777777" w:rsidR="00E07719" w:rsidRPr="00005FC6" w:rsidRDefault="00E07719" w:rsidP="0058477A">
            <w:pPr>
              <w:rPr>
                <w:rFonts w:ascii="Arial" w:hAnsi="Arial" w:cs="Arial"/>
              </w:rPr>
            </w:pPr>
            <w:r w:rsidRPr="00005FC6">
              <w:rPr>
                <w:rFonts w:ascii="Arial" w:hAnsi="Arial" w:cs="Arial"/>
              </w:rPr>
              <w:t>Strategy</w:t>
            </w:r>
          </w:p>
        </w:tc>
      </w:tr>
      <w:tr w:rsidR="00E07719" w:rsidRPr="00005FC6" w14:paraId="38C21D2D" w14:textId="77777777" w:rsidTr="0058477A">
        <w:tc>
          <w:tcPr>
            <w:tcW w:w="2254" w:type="dxa"/>
          </w:tcPr>
          <w:p w14:paraId="61869599" w14:textId="77777777" w:rsidR="00E07719" w:rsidRPr="00005FC6" w:rsidRDefault="00E07719" w:rsidP="0058477A">
            <w:pPr>
              <w:rPr>
                <w:rFonts w:ascii="Arial" w:hAnsi="Arial" w:cs="Arial"/>
              </w:rPr>
            </w:pPr>
            <w:r w:rsidRPr="00005FC6">
              <w:rPr>
                <w:rFonts w:ascii="Arial" w:hAnsi="Arial" w:cs="Arial"/>
              </w:rPr>
              <w:t>SME Owners</w:t>
            </w:r>
          </w:p>
        </w:tc>
        <w:tc>
          <w:tcPr>
            <w:tcW w:w="2254" w:type="dxa"/>
          </w:tcPr>
          <w:p w14:paraId="0325FA55" w14:textId="77777777" w:rsidR="00E07719" w:rsidRPr="00005FC6" w:rsidRDefault="00E07719" w:rsidP="0058477A">
            <w:pPr>
              <w:rPr>
                <w:rFonts w:ascii="Arial" w:hAnsi="Arial" w:cs="Arial"/>
              </w:rPr>
            </w:pPr>
            <w:r w:rsidRPr="00005FC6">
              <w:rPr>
                <w:rFonts w:ascii="Arial" w:hAnsi="Arial" w:cs="Arial"/>
              </w:rPr>
              <w:t>Low</w:t>
            </w:r>
          </w:p>
        </w:tc>
        <w:tc>
          <w:tcPr>
            <w:tcW w:w="2254" w:type="dxa"/>
          </w:tcPr>
          <w:p w14:paraId="630149FF" w14:textId="77777777" w:rsidR="00E07719" w:rsidRPr="00005FC6" w:rsidRDefault="00E07719" w:rsidP="0058477A">
            <w:pPr>
              <w:rPr>
                <w:rFonts w:ascii="Arial" w:hAnsi="Arial" w:cs="Arial"/>
              </w:rPr>
            </w:pPr>
            <w:r w:rsidRPr="00005FC6">
              <w:rPr>
                <w:rFonts w:ascii="Arial" w:hAnsi="Arial" w:cs="Arial"/>
              </w:rPr>
              <w:t xml:space="preserve">High </w:t>
            </w:r>
          </w:p>
        </w:tc>
        <w:tc>
          <w:tcPr>
            <w:tcW w:w="2254" w:type="dxa"/>
          </w:tcPr>
          <w:p w14:paraId="4380A18B" w14:textId="77777777" w:rsidR="00E07719" w:rsidRPr="00005FC6" w:rsidRDefault="00E07719" w:rsidP="0058477A">
            <w:pPr>
              <w:rPr>
                <w:rFonts w:ascii="Arial" w:hAnsi="Arial" w:cs="Arial"/>
              </w:rPr>
            </w:pPr>
            <w:r w:rsidRPr="00005FC6">
              <w:rPr>
                <w:rFonts w:ascii="Arial" w:hAnsi="Arial" w:cs="Arial"/>
              </w:rPr>
              <w:t>Self service, transparent ROI calc</w:t>
            </w:r>
          </w:p>
        </w:tc>
      </w:tr>
      <w:tr w:rsidR="00E07719" w:rsidRPr="00005FC6" w14:paraId="57E5D64E" w14:textId="77777777" w:rsidTr="0058477A">
        <w:tc>
          <w:tcPr>
            <w:tcW w:w="2254" w:type="dxa"/>
          </w:tcPr>
          <w:p w14:paraId="09E60C5C" w14:textId="77777777" w:rsidR="00E07719" w:rsidRPr="00005FC6" w:rsidRDefault="00E07719" w:rsidP="0058477A">
            <w:pPr>
              <w:rPr>
                <w:rFonts w:ascii="Arial" w:hAnsi="Arial" w:cs="Arial"/>
              </w:rPr>
            </w:pPr>
            <w:r w:rsidRPr="00005FC6">
              <w:rPr>
                <w:rFonts w:ascii="Arial" w:hAnsi="Arial" w:cs="Arial"/>
              </w:rPr>
              <w:t xml:space="preserve">Agency Partners </w:t>
            </w:r>
          </w:p>
        </w:tc>
        <w:tc>
          <w:tcPr>
            <w:tcW w:w="2254" w:type="dxa"/>
          </w:tcPr>
          <w:p w14:paraId="5974E410" w14:textId="77777777" w:rsidR="00E07719" w:rsidRPr="00005FC6" w:rsidRDefault="00E07719" w:rsidP="0058477A">
            <w:pPr>
              <w:rPr>
                <w:rFonts w:ascii="Arial" w:hAnsi="Arial" w:cs="Arial"/>
              </w:rPr>
            </w:pPr>
            <w:r w:rsidRPr="00005FC6">
              <w:rPr>
                <w:rFonts w:ascii="Arial" w:hAnsi="Arial" w:cs="Arial"/>
              </w:rPr>
              <w:t>High</w:t>
            </w:r>
          </w:p>
        </w:tc>
        <w:tc>
          <w:tcPr>
            <w:tcW w:w="2254" w:type="dxa"/>
          </w:tcPr>
          <w:p w14:paraId="745E0DF4" w14:textId="77777777" w:rsidR="00E07719" w:rsidRPr="00005FC6" w:rsidRDefault="00E07719" w:rsidP="0058477A">
            <w:pPr>
              <w:rPr>
                <w:rFonts w:ascii="Arial" w:hAnsi="Arial" w:cs="Arial"/>
              </w:rPr>
            </w:pPr>
            <w:r w:rsidRPr="00005FC6">
              <w:rPr>
                <w:rFonts w:ascii="Arial" w:hAnsi="Arial" w:cs="Arial"/>
              </w:rPr>
              <w:t xml:space="preserve">High </w:t>
            </w:r>
          </w:p>
        </w:tc>
        <w:tc>
          <w:tcPr>
            <w:tcW w:w="2254" w:type="dxa"/>
          </w:tcPr>
          <w:p w14:paraId="574A492B" w14:textId="77777777" w:rsidR="00E07719" w:rsidRPr="00005FC6" w:rsidRDefault="00E07719" w:rsidP="0058477A">
            <w:pPr>
              <w:rPr>
                <w:rFonts w:ascii="Arial" w:hAnsi="Arial" w:cs="Arial"/>
              </w:rPr>
            </w:pPr>
            <w:r w:rsidRPr="00005FC6">
              <w:rPr>
                <w:rFonts w:ascii="Arial" w:hAnsi="Arial" w:cs="Arial"/>
              </w:rPr>
              <w:t>Tiered margin (20/35%) co-op marketing fund €20 m</w:t>
            </w:r>
          </w:p>
        </w:tc>
      </w:tr>
      <w:tr w:rsidR="00E07719" w:rsidRPr="00005FC6" w14:paraId="3790FD06" w14:textId="77777777" w:rsidTr="0058477A">
        <w:tc>
          <w:tcPr>
            <w:tcW w:w="2254" w:type="dxa"/>
          </w:tcPr>
          <w:p w14:paraId="275B4674" w14:textId="77777777" w:rsidR="00E07719" w:rsidRPr="00005FC6" w:rsidRDefault="00E07719" w:rsidP="0058477A">
            <w:pPr>
              <w:rPr>
                <w:rFonts w:ascii="Arial" w:hAnsi="Arial" w:cs="Arial"/>
              </w:rPr>
            </w:pPr>
            <w:r w:rsidRPr="00005FC6">
              <w:rPr>
                <w:rFonts w:ascii="Arial" w:hAnsi="Arial" w:cs="Arial"/>
              </w:rPr>
              <w:t>Regulators (EU, UAE)</w:t>
            </w:r>
          </w:p>
        </w:tc>
        <w:tc>
          <w:tcPr>
            <w:tcW w:w="2254" w:type="dxa"/>
          </w:tcPr>
          <w:p w14:paraId="73AA9AFE" w14:textId="77777777" w:rsidR="00E07719" w:rsidRPr="00005FC6" w:rsidRDefault="00E07719" w:rsidP="0058477A">
            <w:pPr>
              <w:rPr>
                <w:rFonts w:ascii="Arial" w:hAnsi="Arial" w:cs="Arial"/>
              </w:rPr>
            </w:pPr>
            <w:r w:rsidRPr="00005FC6">
              <w:rPr>
                <w:rFonts w:ascii="Arial" w:hAnsi="Arial" w:cs="Arial"/>
              </w:rPr>
              <w:t xml:space="preserve">High </w:t>
            </w:r>
          </w:p>
        </w:tc>
        <w:tc>
          <w:tcPr>
            <w:tcW w:w="2254" w:type="dxa"/>
          </w:tcPr>
          <w:p w14:paraId="7308EDB8" w14:textId="77777777" w:rsidR="00E07719" w:rsidRPr="00005FC6" w:rsidRDefault="00E07719" w:rsidP="0058477A">
            <w:pPr>
              <w:rPr>
                <w:rFonts w:ascii="Arial" w:hAnsi="Arial" w:cs="Arial"/>
              </w:rPr>
            </w:pPr>
            <w:r w:rsidRPr="00005FC6">
              <w:rPr>
                <w:rFonts w:ascii="Arial" w:hAnsi="Arial" w:cs="Arial"/>
              </w:rPr>
              <w:t>Medium</w:t>
            </w:r>
          </w:p>
        </w:tc>
        <w:tc>
          <w:tcPr>
            <w:tcW w:w="2254" w:type="dxa"/>
          </w:tcPr>
          <w:p w14:paraId="389497D1" w14:textId="77777777" w:rsidR="00E07719" w:rsidRPr="00005FC6" w:rsidRDefault="00E07719" w:rsidP="0058477A">
            <w:pPr>
              <w:rPr>
                <w:rFonts w:ascii="Arial" w:hAnsi="Arial" w:cs="Arial"/>
              </w:rPr>
            </w:pPr>
            <w:r w:rsidRPr="00005FC6">
              <w:rPr>
                <w:rFonts w:ascii="Arial" w:hAnsi="Arial" w:cs="Arial"/>
              </w:rPr>
              <w:t>Local data centres, AI act white paper</w:t>
            </w:r>
          </w:p>
        </w:tc>
      </w:tr>
      <w:tr w:rsidR="00E07719" w:rsidRPr="00005FC6" w14:paraId="68E12E9E" w14:textId="77777777" w:rsidTr="0058477A">
        <w:tc>
          <w:tcPr>
            <w:tcW w:w="2254" w:type="dxa"/>
          </w:tcPr>
          <w:p w14:paraId="5047AFB0" w14:textId="77777777" w:rsidR="00E07719" w:rsidRPr="00005FC6" w:rsidRDefault="00E07719" w:rsidP="0058477A">
            <w:pPr>
              <w:rPr>
                <w:rFonts w:ascii="Arial" w:hAnsi="Arial" w:cs="Arial"/>
              </w:rPr>
            </w:pPr>
            <w:r w:rsidRPr="00005FC6">
              <w:rPr>
                <w:rFonts w:ascii="Arial" w:hAnsi="Arial" w:cs="Arial"/>
              </w:rPr>
              <w:t>Investors</w:t>
            </w:r>
          </w:p>
        </w:tc>
        <w:tc>
          <w:tcPr>
            <w:tcW w:w="2254" w:type="dxa"/>
          </w:tcPr>
          <w:p w14:paraId="692BCAFA" w14:textId="77777777" w:rsidR="00E07719" w:rsidRPr="00005FC6" w:rsidRDefault="00E07719" w:rsidP="0058477A">
            <w:pPr>
              <w:rPr>
                <w:rFonts w:ascii="Arial" w:hAnsi="Arial" w:cs="Arial"/>
              </w:rPr>
            </w:pPr>
            <w:r w:rsidRPr="00005FC6">
              <w:rPr>
                <w:rFonts w:ascii="Arial" w:hAnsi="Arial" w:cs="Arial"/>
              </w:rPr>
              <w:t>High</w:t>
            </w:r>
          </w:p>
        </w:tc>
        <w:tc>
          <w:tcPr>
            <w:tcW w:w="2254" w:type="dxa"/>
          </w:tcPr>
          <w:p w14:paraId="5016C311" w14:textId="77777777" w:rsidR="00E07719" w:rsidRPr="00005FC6" w:rsidRDefault="00E07719" w:rsidP="0058477A">
            <w:pPr>
              <w:rPr>
                <w:rFonts w:ascii="Arial" w:hAnsi="Arial" w:cs="Arial"/>
              </w:rPr>
            </w:pPr>
            <w:r w:rsidRPr="00005FC6">
              <w:rPr>
                <w:rFonts w:ascii="Arial" w:hAnsi="Arial" w:cs="Arial"/>
              </w:rPr>
              <w:t>High</w:t>
            </w:r>
          </w:p>
        </w:tc>
        <w:tc>
          <w:tcPr>
            <w:tcW w:w="2254" w:type="dxa"/>
          </w:tcPr>
          <w:p w14:paraId="144652BF" w14:textId="77777777" w:rsidR="00E07719" w:rsidRPr="00005FC6" w:rsidRDefault="00E07719" w:rsidP="0058477A">
            <w:pPr>
              <w:rPr>
                <w:rFonts w:ascii="Arial" w:hAnsi="Arial" w:cs="Arial"/>
              </w:rPr>
            </w:pPr>
            <w:r w:rsidRPr="00005FC6">
              <w:rPr>
                <w:rFonts w:ascii="Arial" w:hAnsi="Arial" w:cs="Arial"/>
              </w:rPr>
              <w:t>Commit 20% non GAAO margin by 2026</w:t>
            </w:r>
          </w:p>
        </w:tc>
      </w:tr>
      <w:tr w:rsidR="00E07719" w:rsidRPr="00005FC6" w14:paraId="08D7EA6F" w14:textId="77777777" w:rsidTr="0058477A">
        <w:tc>
          <w:tcPr>
            <w:tcW w:w="2254" w:type="dxa"/>
          </w:tcPr>
          <w:p w14:paraId="21C65D4F" w14:textId="77777777" w:rsidR="00E07719" w:rsidRPr="00005FC6" w:rsidRDefault="00E07719" w:rsidP="0058477A">
            <w:pPr>
              <w:rPr>
                <w:rFonts w:ascii="Arial" w:hAnsi="Arial" w:cs="Arial"/>
              </w:rPr>
            </w:pPr>
            <w:r w:rsidRPr="00005FC6">
              <w:rPr>
                <w:rFonts w:ascii="Arial" w:hAnsi="Arial" w:cs="Arial"/>
              </w:rPr>
              <w:t>Employees</w:t>
            </w:r>
          </w:p>
        </w:tc>
        <w:tc>
          <w:tcPr>
            <w:tcW w:w="2254" w:type="dxa"/>
          </w:tcPr>
          <w:p w14:paraId="51F6677B" w14:textId="77777777" w:rsidR="00E07719" w:rsidRPr="00005FC6" w:rsidRDefault="00E07719" w:rsidP="0058477A">
            <w:pPr>
              <w:rPr>
                <w:rFonts w:ascii="Arial" w:hAnsi="Arial" w:cs="Arial"/>
              </w:rPr>
            </w:pPr>
            <w:r w:rsidRPr="00005FC6">
              <w:rPr>
                <w:rFonts w:ascii="Arial" w:hAnsi="Arial" w:cs="Arial"/>
              </w:rPr>
              <w:t xml:space="preserve">Medium </w:t>
            </w:r>
          </w:p>
        </w:tc>
        <w:tc>
          <w:tcPr>
            <w:tcW w:w="2254" w:type="dxa"/>
          </w:tcPr>
          <w:p w14:paraId="74ECB3F8" w14:textId="77777777" w:rsidR="00E07719" w:rsidRPr="00005FC6" w:rsidRDefault="00E07719" w:rsidP="0058477A">
            <w:pPr>
              <w:rPr>
                <w:rFonts w:ascii="Arial" w:hAnsi="Arial" w:cs="Arial"/>
              </w:rPr>
            </w:pPr>
            <w:r w:rsidRPr="00005FC6">
              <w:rPr>
                <w:rFonts w:ascii="Arial" w:hAnsi="Arial" w:cs="Arial"/>
              </w:rPr>
              <w:t>High</w:t>
            </w:r>
          </w:p>
        </w:tc>
        <w:tc>
          <w:tcPr>
            <w:tcW w:w="2254" w:type="dxa"/>
          </w:tcPr>
          <w:p w14:paraId="37C12C94" w14:textId="77777777" w:rsidR="00E07719" w:rsidRPr="00005FC6" w:rsidRDefault="00E07719" w:rsidP="0058477A">
            <w:pPr>
              <w:rPr>
                <w:rFonts w:ascii="Arial" w:hAnsi="Arial" w:cs="Arial"/>
              </w:rPr>
            </w:pPr>
            <w:r w:rsidRPr="00005FC6">
              <w:rPr>
                <w:rFonts w:ascii="Arial" w:hAnsi="Arial" w:cs="Arial"/>
              </w:rPr>
              <w:t xml:space="preserve">Equity refresh, AI upskilling budget €5 m </w:t>
            </w:r>
          </w:p>
        </w:tc>
      </w:tr>
      <w:tr w:rsidR="00E07719" w:rsidRPr="00005FC6" w14:paraId="781F4EEF" w14:textId="77777777" w:rsidTr="0058477A">
        <w:tc>
          <w:tcPr>
            <w:tcW w:w="2254" w:type="dxa"/>
          </w:tcPr>
          <w:p w14:paraId="5E494E6F" w14:textId="77777777" w:rsidR="00E07719" w:rsidRPr="00005FC6" w:rsidRDefault="00E07719" w:rsidP="0058477A">
            <w:pPr>
              <w:rPr>
                <w:rFonts w:ascii="Arial" w:hAnsi="Arial" w:cs="Arial"/>
              </w:rPr>
            </w:pPr>
            <w:r w:rsidRPr="00005FC6">
              <w:rPr>
                <w:rFonts w:ascii="Arial" w:hAnsi="Arial" w:cs="Arial"/>
              </w:rPr>
              <w:lastRenderedPageBreak/>
              <w:t>AWS / Infrastructure</w:t>
            </w:r>
          </w:p>
        </w:tc>
        <w:tc>
          <w:tcPr>
            <w:tcW w:w="2254" w:type="dxa"/>
          </w:tcPr>
          <w:p w14:paraId="3D52D550" w14:textId="77777777" w:rsidR="00E07719" w:rsidRPr="00005FC6" w:rsidRDefault="00E07719" w:rsidP="0058477A">
            <w:pPr>
              <w:rPr>
                <w:rFonts w:ascii="Arial" w:hAnsi="Arial" w:cs="Arial"/>
              </w:rPr>
            </w:pPr>
            <w:r w:rsidRPr="00005FC6">
              <w:rPr>
                <w:rFonts w:ascii="Arial" w:hAnsi="Arial" w:cs="Arial"/>
              </w:rPr>
              <w:t xml:space="preserve">High </w:t>
            </w:r>
          </w:p>
        </w:tc>
        <w:tc>
          <w:tcPr>
            <w:tcW w:w="2254" w:type="dxa"/>
          </w:tcPr>
          <w:p w14:paraId="2DCE2180" w14:textId="77777777" w:rsidR="00E07719" w:rsidRPr="00005FC6" w:rsidRDefault="00E07719" w:rsidP="0058477A">
            <w:pPr>
              <w:rPr>
                <w:rFonts w:ascii="Arial" w:hAnsi="Arial" w:cs="Arial"/>
              </w:rPr>
            </w:pPr>
            <w:r w:rsidRPr="00005FC6">
              <w:rPr>
                <w:rFonts w:ascii="Arial" w:hAnsi="Arial" w:cs="Arial"/>
              </w:rPr>
              <w:t>Low</w:t>
            </w:r>
          </w:p>
        </w:tc>
        <w:tc>
          <w:tcPr>
            <w:tcW w:w="2254" w:type="dxa"/>
          </w:tcPr>
          <w:p w14:paraId="57E7F142" w14:textId="77777777" w:rsidR="00E07719" w:rsidRPr="00005FC6" w:rsidRDefault="00E07719" w:rsidP="0058477A">
            <w:pPr>
              <w:rPr>
                <w:rFonts w:ascii="Arial" w:hAnsi="Arial" w:cs="Arial"/>
              </w:rPr>
            </w:pPr>
            <w:r w:rsidRPr="00005FC6">
              <w:rPr>
                <w:rFonts w:ascii="Arial" w:hAnsi="Arial" w:cs="Arial"/>
              </w:rPr>
              <w:t>Multi cloud redundancy, 3 year commit.</w:t>
            </w:r>
          </w:p>
        </w:tc>
      </w:tr>
    </w:tbl>
    <w:p w14:paraId="64241E7C" w14:textId="77777777" w:rsidR="00E07719" w:rsidRPr="00005FC6" w:rsidRDefault="00E07719" w:rsidP="0058477A">
      <w:pPr>
        <w:pStyle w:val="p1"/>
        <w:jc w:val="both"/>
        <w:rPr>
          <w:rStyle w:val="s1"/>
          <w:rFonts w:ascii="Arial" w:hAnsi="Arial" w:cs="Arial"/>
          <w:sz w:val="24"/>
          <w:szCs w:val="24"/>
        </w:rPr>
      </w:pPr>
    </w:p>
    <w:p w14:paraId="58B25808" w14:textId="77777777" w:rsidR="00E07719" w:rsidRPr="00005FC6" w:rsidRDefault="00E07719" w:rsidP="0058477A">
      <w:pPr>
        <w:pStyle w:val="p1"/>
        <w:jc w:val="both"/>
        <w:rPr>
          <w:rStyle w:val="s1"/>
          <w:rFonts w:ascii="Arial" w:hAnsi="Arial" w:cs="Arial"/>
          <w:sz w:val="24"/>
          <w:szCs w:val="24"/>
        </w:rPr>
      </w:pPr>
    </w:p>
    <w:p w14:paraId="7E6F2982" w14:textId="08D4492A" w:rsidR="00E07719" w:rsidRPr="00005FC6" w:rsidRDefault="00E07719" w:rsidP="0058477A">
      <w:pPr>
        <w:jc w:val="both"/>
        <w:rPr>
          <w:rStyle w:val="s1"/>
          <w:rFonts w:ascii="Arial" w:hAnsi="Arial" w:cs="Arial"/>
          <w:sz w:val="22"/>
          <w:szCs w:val="22"/>
        </w:rPr>
      </w:pPr>
      <w:r w:rsidRPr="00005FC6">
        <w:rPr>
          <w:rStyle w:val="s1"/>
          <w:rFonts w:ascii="Arial" w:hAnsi="Arial" w:cs="Arial"/>
          <w:sz w:val="22"/>
          <w:szCs w:val="22"/>
        </w:rPr>
        <w:t>HubSpot's growth plan appears financially feasible, with projected cash generation in 2025/27 sufficient to fund planned data centre investment and smaller acquisitions without adding debt (Brealey et al., 2020; Damodaran, 2021). Operationally, a large R&amp;D organisation gives management flexibility to reassign a few hundred engineers to localisation and new product work while sustaining core roadmap delivery (Cusumano et al., 2019; McKinsey &amp; Company, 2023). Reputational feasibility is reinforced by the firm's HEART culture and ESG positioning, as fully offset Scope 2 emissions through renewable power contracts support the narrative that new infrastructure and Al capabilities are aligned with a lower carbon, stakeholder oriented strategy (Eccles and Klimenko, 2019;</w:t>
      </w:r>
      <w:r w:rsidR="001B6556" w:rsidRPr="00005FC6">
        <w:rPr>
          <w:rFonts w:ascii="Arial" w:hAnsi="Arial" w:cs="Arial"/>
          <w:kern w:val="0"/>
          <w:sz w:val="22"/>
          <w:szCs w:val="22"/>
          <w14:ligatures w14:val="none"/>
        </w:rPr>
        <w:t xml:space="preserve"> </w:t>
      </w:r>
      <w:r w:rsidRPr="00005FC6">
        <w:rPr>
          <w:rStyle w:val="s1"/>
          <w:rFonts w:ascii="Arial" w:hAnsi="Arial" w:cs="Arial"/>
          <w:sz w:val="22"/>
          <w:szCs w:val="22"/>
        </w:rPr>
        <w:t>HubSpot, 2023).</w:t>
      </w:r>
    </w:p>
    <w:p w14:paraId="00D4D730" w14:textId="77777777" w:rsidR="00B81CCF" w:rsidRPr="005522ED" w:rsidRDefault="00B81CCF" w:rsidP="00B81CCF">
      <w:pPr>
        <w:jc w:val="both"/>
        <w:rPr>
          <w:rFonts w:ascii="Arial" w:hAnsi="Arial" w:cs="Arial"/>
          <w:sz w:val="22"/>
          <w:szCs w:val="22"/>
        </w:rPr>
      </w:pPr>
      <w:r w:rsidRPr="005522ED">
        <w:rPr>
          <w:rFonts w:ascii="Arial" w:hAnsi="Arial" w:cs="Arial"/>
          <w:sz w:val="22"/>
          <w:szCs w:val="22"/>
        </w:rPr>
        <w:t>HubSpot's RACI matrix is a responsibility assignment matrix that links project tasks to four clearly defined role types: Responsible, Accountable, Consulted and Informed, providing a structured governance mechanism for projects such as marketing campaigns or CRM implementations (HubSpot, 2023; Wikipedia, 2004). In practice, HubSpot's template is applied by listing project deliverables down the rows and assigning R, A, C or I to specific roles across the columns, which formalises decision authority, consultation channels and information flows in line with project management literature on role clarity and accountability (HubSpot, 2023; Brower, 2020).</w:t>
      </w:r>
    </w:p>
    <w:p w14:paraId="0998648E" w14:textId="77777777" w:rsidR="00E07719" w:rsidRPr="00005FC6" w:rsidRDefault="00E07719" w:rsidP="0058477A">
      <w:pPr>
        <w:rPr>
          <w:rFonts w:ascii="Arial" w:hAnsi="Arial" w:cs="Arial"/>
        </w:rPr>
      </w:pPr>
    </w:p>
    <w:p w14:paraId="36564685" w14:textId="77777777" w:rsidR="00E07719" w:rsidRPr="00005FC6" w:rsidRDefault="00E07719" w:rsidP="009F129C">
      <w:pPr>
        <w:pStyle w:val="Heading1"/>
        <w:rPr>
          <w:rFonts w:ascii="Arial" w:hAnsi="Arial" w:cs="Arial"/>
        </w:rPr>
      </w:pPr>
      <w:bookmarkStart w:id="71" w:name="_Toc216992498"/>
      <w:bookmarkStart w:id="72" w:name="_Toc216993245"/>
      <w:r w:rsidRPr="00005FC6">
        <w:rPr>
          <w:rFonts w:ascii="Arial" w:hAnsi="Arial" w:cs="Arial"/>
        </w:rPr>
        <w:t>Strategic Recommendations &amp; Implementation Challenges</w:t>
      </w:r>
      <w:bookmarkEnd w:id="71"/>
      <w:bookmarkEnd w:id="72"/>
    </w:p>
    <w:p w14:paraId="26DC393B" w14:textId="77777777" w:rsidR="00E07719" w:rsidRPr="00005FC6" w:rsidRDefault="00E07719" w:rsidP="009F129C">
      <w:pPr>
        <w:pStyle w:val="Heading1"/>
        <w:rPr>
          <w:rFonts w:ascii="Arial" w:hAnsi="Arial" w:cs="Arial"/>
          <w:sz w:val="22"/>
          <w:szCs w:val="22"/>
        </w:rPr>
      </w:pPr>
    </w:p>
    <w:p w14:paraId="698C48E6" w14:textId="77777777" w:rsidR="00E07719" w:rsidRPr="00005FC6" w:rsidRDefault="00E07719" w:rsidP="0058477A">
      <w:pPr>
        <w:jc w:val="both"/>
        <w:rPr>
          <w:rFonts w:ascii="Arial" w:hAnsi="Arial" w:cs="Arial"/>
        </w:rPr>
      </w:pPr>
      <w:r w:rsidRPr="00005FC6">
        <w:rPr>
          <w:rFonts w:ascii="Arial" w:hAnsi="Arial" w:cs="Arial"/>
        </w:rPr>
        <w:t xml:space="preserve">HubSpot should prioritise launching a mid market "HubSpot Al Growth Suite" for SMEs before Q4 2025, priced at around €199 per month with bundled Al content generation, predictive lead scoring and conversational automation, while limiting included contacts to protect up market ARPU. </w:t>
      </w:r>
    </w:p>
    <w:p w14:paraId="45D58FCC" w14:textId="77777777" w:rsidR="00E07719" w:rsidRPr="00005FC6" w:rsidRDefault="00E07719" w:rsidP="0058477A">
      <w:pPr>
        <w:jc w:val="both"/>
        <w:rPr>
          <w:rFonts w:ascii="Arial" w:hAnsi="Arial" w:cs="Arial"/>
        </w:rPr>
      </w:pPr>
    </w:p>
    <w:p w14:paraId="2CFA62B2" w14:textId="2A0ECBD4" w:rsidR="00E07719" w:rsidRPr="00005FC6" w:rsidRDefault="00E07719" w:rsidP="0058477A">
      <w:pPr>
        <w:jc w:val="both"/>
        <w:rPr>
          <w:rFonts w:ascii="Arial" w:hAnsi="Arial" w:cs="Arial"/>
        </w:rPr>
      </w:pPr>
      <w:r w:rsidRPr="00005FC6">
        <w:rPr>
          <w:rFonts w:ascii="Arial" w:hAnsi="Arial" w:cs="Arial"/>
        </w:rPr>
        <w:t>This should be complemented by opening UAE and Mumbai data centres by early 2026, with appropriate trade and data protection certifications, to unlock compliance sensitive regional demand and strengthen reliability perceptions. To deepen vertical stickiness and expand ARPU, HubSpot ought to acquire and integrate a niche legal or healthcare plug in vendor at a disciplined 6</w:t>
      </w:r>
      <w:r w:rsidR="00353E1D">
        <w:rPr>
          <w:rFonts w:ascii="Arial" w:hAnsi="Arial" w:cs="Arial"/>
        </w:rPr>
        <w:t>/</w:t>
      </w:r>
      <w:r w:rsidRPr="00005FC6">
        <w:rPr>
          <w:rFonts w:ascii="Arial" w:hAnsi="Arial" w:cs="Arial"/>
        </w:rPr>
        <w:t>8x ARR cash valuation, while progressively shifting around one fifth of new customer acquisition to product led, self serve motions supported by an instrumented PQL funnel to reduce the sales and marketing ratio by 2027.</w:t>
      </w:r>
    </w:p>
    <w:p w14:paraId="1E902F34" w14:textId="77777777" w:rsidR="00E07719" w:rsidRPr="00005FC6" w:rsidRDefault="00E07719" w:rsidP="0058477A">
      <w:pPr>
        <w:jc w:val="both"/>
        <w:rPr>
          <w:rFonts w:ascii="Arial" w:hAnsi="Arial" w:cs="Arial"/>
        </w:rPr>
      </w:pPr>
      <w:r w:rsidRPr="00005FC6">
        <w:rPr>
          <w:rFonts w:ascii="Arial" w:hAnsi="Arial" w:cs="Arial"/>
        </w:rPr>
        <w:t xml:space="preserve">Finally, embedding carbon analytics into campaign and deal dashboards and partnering with a specialist sustainability data provider for Scope 3 inputs would differentiate HubSpot in climate conscious EU markets, though integration complexity </w:t>
      </w:r>
      <w:r w:rsidRPr="00005FC6">
        <w:rPr>
          <w:rFonts w:ascii="Arial" w:hAnsi="Arial" w:cs="Arial"/>
        </w:rPr>
        <w:lastRenderedPageBreak/>
        <w:t>and the need to prove commercial value to SMEs will remain key implementation challenges.</w:t>
      </w:r>
    </w:p>
    <w:p w14:paraId="1361B275" w14:textId="38CD14F4" w:rsidR="00193E46" w:rsidRPr="00005FC6" w:rsidRDefault="00193E46" w:rsidP="0058477A">
      <w:pPr>
        <w:rPr>
          <w:rFonts w:ascii="Arial" w:hAnsi="Arial" w:cs="Arial"/>
        </w:rPr>
      </w:pPr>
    </w:p>
    <w:p w14:paraId="399BCABD" w14:textId="77777777" w:rsidR="00F70EE1" w:rsidRPr="00005FC6" w:rsidRDefault="00F70EE1" w:rsidP="0058477A">
      <w:pPr>
        <w:rPr>
          <w:rFonts w:ascii="Arial" w:hAnsi="Arial" w:cs="Arial"/>
        </w:rPr>
      </w:pPr>
    </w:p>
    <w:p w14:paraId="1912E54A" w14:textId="77777777" w:rsidR="00F70EE1" w:rsidRPr="00005FC6" w:rsidRDefault="00F70EE1" w:rsidP="0058477A">
      <w:pPr>
        <w:rPr>
          <w:rFonts w:ascii="Arial" w:hAnsi="Arial" w:cs="Arial"/>
        </w:rPr>
      </w:pPr>
    </w:p>
    <w:p w14:paraId="0039A88A" w14:textId="77777777" w:rsidR="00E07719" w:rsidRPr="00005FC6" w:rsidRDefault="00E07719" w:rsidP="009F129C">
      <w:pPr>
        <w:pStyle w:val="Heading2"/>
        <w:rPr>
          <w:rFonts w:ascii="Arial" w:hAnsi="Arial" w:cs="Arial"/>
        </w:rPr>
      </w:pPr>
      <w:bookmarkStart w:id="73" w:name="_Toc216993246"/>
      <w:r w:rsidRPr="00005FC6">
        <w:rPr>
          <w:rFonts w:ascii="Arial" w:hAnsi="Arial" w:cs="Arial"/>
        </w:rPr>
        <w:t>Implementation Road Map</w:t>
      </w:r>
      <w:bookmarkEnd w:id="73"/>
    </w:p>
    <w:p w14:paraId="3F03614B" w14:textId="77777777" w:rsidR="00E07719" w:rsidRPr="00005FC6" w:rsidRDefault="00E07719" w:rsidP="0058477A">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E07719" w:rsidRPr="00005FC6" w14:paraId="2E006EBF" w14:textId="77777777" w:rsidTr="0058477A">
        <w:tc>
          <w:tcPr>
            <w:tcW w:w="2254" w:type="dxa"/>
          </w:tcPr>
          <w:p w14:paraId="7FB845B2" w14:textId="77777777" w:rsidR="00E07719" w:rsidRPr="00005FC6" w:rsidRDefault="00E07719" w:rsidP="0058477A">
            <w:pPr>
              <w:pStyle w:val="Heading1"/>
              <w:rPr>
                <w:rFonts w:ascii="Arial" w:hAnsi="Arial" w:cs="Arial"/>
                <w:color w:val="1A1A1A" w:themeColor="background1" w:themeShade="1A"/>
                <w:sz w:val="24"/>
                <w:szCs w:val="24"/>
              </w:rPr>
            </w:pPr>
            <w:bookmarkStart w:id="74" w:name="_Toc216992499"/>
            <w:bookmarkStart w:id="75" w:name="_Toc216993247"/>
            <w:r w:rsidRPr="00005FC6">
              <w:rPr>
                <w:rFonts w:ascii="Arial" w:hAnsi="Arial" w:cs="Arial"/>
                <w:color w:val="1A1A1A" w:themeColor="background1" w:themeShade="1A"/>
                <w:sz w:val="24"/>
                <w:szCs w:val="24"/>
              </w:rPr>
              <w:t>Quarter</w:t>
            </w:r>
            <w:bookmarkEnd w:id="74"/>
            <w:bookmarkEnd w:id="75"/>
            <w:r w:rsidRPr="00005FC6">
              <w:rPr>
                <w:rFonts w:ascii="Arial" w:hAnsi="Arial" w:cs="Arial"/>
                <w:color w:val="1A1A1A" w:themeColor="background1" w:themeShade="1A"/>
                <w:sz w:val="24"/>
                <w:szCs w:val="24"/>
              </w:rPr>
              <w:t xml:space="preserve"> </w:t>
            </w:r>
          </w:p>
        </w:tc>
        <w:tc>
          <w:tcPr>
            <w:tcW w:w="2254" w:type="dxa"/>
          </w:tcPr>
          <w:p w14:paraId="5B56C8E1" w14:textId="77777777" w:rsidR="00E07719" w:rsidRPr="00005FC6" w:rsidRDefault="00E07719" w:rsidP="0058477A">
            <w:pPr>
              <w:pStyle w:val="Heading1"/>
              <w:rPr>
                <w:rFonts w:ascii="Arial" w:hAnsi="Arial" w:cs="Arial"/>
                <w:color w:val="1A1A1A" w:themeColor="background1" w:themeShade="1A"/>
                <w:sz w:val="24"/>
                <w:szCs w:val="24"/>
              </w:rPr>
            </w:pPr>
            <w:bookmarkStart w:id="76" w:name="_Toc216992500"/>
            <w:bookmarkStart w:id="77" w:name="_Toc216993248"/>
            <w:r w:rsidRPr="00005FC6">
              <w:rPr>
                <w:rFonts w:ascii="Arial" w:hAnsi="Arial" w:cs="Arial"/>
                <w:color w:val="1A1A1A" w:themeColor="background1" w:themeShade="1A"/>
                <w:sz w:val="24"/>
                <w:szCs w:val="24"/>
              </w:rPr>
              <w:t>Milestone</w:t>
            </w:r>
            <w:bookmarkEnd w:id="76"/>
            <w:bookmarkEnd w:id="77"/>
            <w:r w:rsidRPr="00005FC6">
              <w:rPr>
                <w:rFonts w:ascii="Arial" w:hAnsi="Arial" w:cs="Arial"/>
                <w:color w:val="1A1A1A" w:themeColor="background1" w:themeShade="1A"/>
                <w:sz w:val="24"/>
                <w:szCs w:val="24"/>
              </w:rPr>
              <w:t xml:space="preserve"> </w:t>
            </w:r>
          </w:p>
        </w:tc>
        <w:tc>
          <w:tcPr>
            <w:tcW w:w="2254" w:type="dxa"/>
          </w:tcPr>
          <w:p w14:paraId="2B654C50" w14:textId="77777777" w:rsidR="00E07719" w:rsidRPr="00005FC6" w:rsidRDefault="00E07719" w:rsidP="0058477A">
            <w:pPr>
              <w:pStyle w:val="Heading1"/>
              <w:rPr>
                <w:rFonts w:ascii="Arial" w:hAnsi="Arial" w:cs="Arial"/>
                <w:color w:val="1A1A1A" w:themeColor="background1" w:themeShade="1A"/>
                <w:sz w:val="24"/>
                <w:szCs w:val="24"/>
              </w:rPr>
            </w:pPr>
            <w:bookmarkStart w:id="78" w:name="_Toc216992501"/>
            <w:bookmarkStart w:id="79" w:name="_Toc216993249"/>
            <w:r w:rsidRPr="00005FC6">
              <w:rPr>
                <w:rFonts w:ascii="Arial" w:hAnsi="Arial" w:cs="Arial"/>
                <w:color w:val="1A1A1A" w:themeColor="background1" w:themeShade="1A"/>
                <w:sz w:val="24"/>
                <w:szCs w:val="24"/>
              </w:rPr>
              <w:t>KPI</w:t>
            </w:r>
            <w:bookmarkEnd w:id="78"/>
            <w:bookmarkEnd w:id="79"/>
          </w:p>
        </w:tc>
        <w:tc>
          <w:tcPr>
            <w:tcW w:w="2254" w:type="dxa"/>
          </w:tcPr>
          <w:p w14:paraId="682D541B" w14:textId="77777777" w:rsidR="00E07719" w:rsidRPr="00005FC6" w:rsidRDefault="00E07719" w:rsidP="0058477A">
            <w:pPr>
              <w:pStyle w:val="Heading1"/>
              <w:rPr>
                <w:rFonts w:ascii="Arial" w:hAnsi="Arial" w:cs="Arial"/>
                <w:color w:val="1A1A1A" w:themeColor="background1" w:themeShade="1A"/>
                <w:sz w:val="24"/>
                <w:szCs w:val="24"/>
              </w:rPr>
            </w:pPr>
            <w:bookmarkStart w:id="80" w:name="_Toc216992502"/>
            <w:bookmarkStart w:id="81" w:name="_Toc216993250"/>
            <w:r w:rsidRPr="00005FC6">
              <w:rPr>
                <w:rFonts w:ascii="Arial" w:hAnsi="Arial" w:cs="Arial"/>
                <w:color w:val="1A1A1A" w:themeColor="background1" w:themeShade="1A"/>
                <w:sz w:val="24"/>
                <w:szCs w:val="24"/>
              </w:rPr>
              <w:t>Owner</w:t>
            </w:r>
            <w:bookmarkEnd w:id="80"/>
            <w:bookmarkEnd w:id="81"/>
          </w:p>
        </w:tc>
      </w:tr>
      <w:tr w:rsidR="00E07719" w:rsidRPr="00005FC6" w14:paraId="2507C396" w14:textId="77777777" w:rsidTr="0058477A">
        <w:tc>
          <w:tcPr>
            <w:tcW w:w="2254" w:type="dxa"/>
          </w:tcPr>
          <w:p w14:paraId="61A54E2E" w14:textId="77777777" w:rsidR="00E07719" w:rsidRPr="00005FC6" w:rsidRDefault="00E07719" w:rsidP="0058477A">
            <w:pPr>
              <w:pStyle w:val="Heading1"/>
              <w:rPr>
                <w:rFonts w:ascii="Arial" w:hAnsi="Arial" w:cs="Arial"/>
                <w:color w:val="1A1A1A" w:themeColor="background1" w:themeShade="1A"/>
                <w:sz w:val="24"/>
                <w:szCs w:val="24"/>
              </w:rPr>
            </w:pPr>
            <w:bookmarkStart w:id="82" w:name="_Toc216992503"/>
            <w:bookmarkStart w:id="83" w:name="_Toc216993251"/>
            <w:r w:rsidRPr="00005FC6">
              <w:rPr>
                <w:rFonts w:ascii="Arial" w:hAnsi="Arial" w:cs="Arial"/>
                <w:color w:val="1A1A1A" w:themeColor="background1" w:themeShade="1A"/>
                <w:sz w:val="24"/>
                <w:szCs w:val="24"/>
              </w:rPr>
              <w:t>Q2/2025</w:t>
            </w:r>
            <w:bookmarkEnd w:id="82"/>
            <w:bookmarkEnd w:id="83"/>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1832"/>
            </w:tblGrid>
            <w:tr w:rsidR="00E07719" w:rsidRPr="00005FC6" w14:paraId="33A58E50" w14:textId="77777777" w:rsidTr="0058477A">
              <w:trPr>
                <w:tblCellSpacing w:w="0" w:type="dxa"/>
              </w:trPr>
              <w:tc>
                <w:tcPr>
                  <w:tcW w:w="0" w:type="auto"/>
                  <w:hideMark/>
                </w:tcPr>
                <w:p w14:paraId="1DB52EC7"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4AD049A1"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Beta Al Suite in Ireland</w:t>
                  </w:r>
                </w:p>
              </w:tc>
            </w:tr>
          </w:tbl>
          <w:p w14:paraId="71517152"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1396"/>
            </w:tblGrid>
            <w:tr w:rsidR="00E07719" w:rsidRPr="00005FC6" w14:paraId="145734F4" w14:textId="77777777" w:rsidTr="0058477A">
              <w:trPr>
                <w:tblCellSpacing w:w="0" w:type="dxa"/>
              </w:trPr>
              <w:tc>
                <w:tcPr>
                  <w:tcW w:w="0" w:type="auto"/>
                  <w:hideMark/>
                </w:tcPr>
                <w:p w14:paraId="5C7543F5"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19BD00DF"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02D72FF3"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Activation = 30 %</w:t>
                  </w:r>
                </w:p>
              </w:tc>
            </w:tr>
          </w:tbl>
          <w:p w14:paraId="7097268B"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6"/>
              <w:gridCol w:w="911"/>
              <w:gridCol w:w="6"/>
              <w:gridCol w:w="6"/>
            </w:tblGrid>
            <w:tr w:rsidR="00E07719" w:rsidRPr="00005FC6" w14:paraId="6DEB53EA" w14:textId="77777777" w:rsidTr="0058477A">
              <w:trPr>
                <w:gridAfter w:val="2"/>
                <w:tblCellSpacing w:w="0" w:type="dxa"/>
              </w:trPr>
              <w:tc>
                <w:tcPr>
                  <w:tcW w:w="0" w:type="auto"/>
                  <w:hideMark/>
                </w:tcPr>
                <w:p w14:paraId="71AE9249"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512EFB05"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1260DC71"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28F58490"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VP Product</w:t>
                  </w:r>
                </w:p>
              </w:tc>
            </w:tr>
            <w:tr w:rsidR="00E07719" w:rsidRPr="00005FC6" w14:paraId="4C3D38C7" w14:textId="77777777" w:rsidTr="0058477A">
              <w:trPr>
                <w:tblCellSpacing w:w="0" w:type="dxa"/>
              </w:trPr>
              <w:tc>
                <w:tcPr>
                  <w:tcW w:w="0" w:type="auto"/>
                  <w:gridSpan w:val="3"/>
                  <w:hideMark/>
                </w:tcPr>
                <w:p w14:paraId="77FF1C69"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10F1D146"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27F617EA"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2700294D" w14:textId="77777777" w:rsidR="00E07719" w:rsidRPr="00005FC6" w:rsidRDefault="00E07719" w:rsidP="0058477A">
                  <w:pPr>
                    <w:spacing w:after="0" w:line="240" w:lineRule="auto"/>
                    <w:rPr>
                      <w:rFonts w:ascii="Arial" w:hAnsi="Arial" w:cs="Arial"/>
                      <w:kern w:val="0"/>
                      <w:sz w:val="18"/>
                      <w:szCs w:val="18"/>
                      <w14:ligatures w14:val="none"/>
                    </w:rPr>
                  </w:pPr>
                </w:p>
              </w:tc>
            </w:tr>
          </w:tbl>
          <w:p w14:paraId="63B800E9" w14:textId="77777777" w:rsidR="00E07719" w:rsidRPr="00005FC6" w:rsidRDefault="00E07719" w:rsidP="0058477A">
            <w:pPr>
              <w:pStyle w:val="Heading1"/>
              <w:rPr>
                <w:rFonts w:ascii="Arial" w:hAnsi="Arial" w:cs="Arial"/>
                <w:color w:val="1A1A1A" w:themeColor="background1" w:themeShade="1A"/>
                <w:sz w:val="24"/>
                <w:szCs w:val="24"/>
              </w:rPr>
            </w:pPr>
          </w:p>
        </w:tc>
      </w:tr>
      <w:tr w:rsidR="00E07719" w:rsidRPr="00005FC6" w14:paraId="6A866301" w14:textId="77777777" w:rsidTr="0058477A">
        <w:tc>
          <w:tcPr>
            <w:tcW w:w="2254" w:type="dxa"/>
          </w:tcPr>
          <w:p w14:paraId="35E71C46" w14:textId="77777777" w:rsidR="00E07719" w:rsidRPr="00005FC6" w:rsidRDefault="00E07719" w:rsidP="0058477A">
            <w:pPr>
              <w:pStyle w:val="Heading1"/>
              <w:rPr>
                <w:rFonts w:ascii="Arial" w:hAnsi="Arial" w:cs="Arial"/>
                <w:color w:val="1A1A1A" w:themeColor="background1" w:themeShade="1A"/>
                <w:sz w:val="24"/>
                <w:szCs w:val="24"/>
              </w:rPr>
            </w:pPr>
            <w:bookmarkStart w:id="84" w:name="_Toc216992504"/>
            <w:bookmarkStart w:id="85" w:name="_Toc216993252"/>
            <w:r w:rsidRPr="00005FC6">
              <w:rPr>
                <w:rFonts w:ascii="Arial" w:hAnsi="Arial" w:cs="Arial"/>
                <w:color w:val="1A1A1A" w:themeColor="background1" w:themeShade="1A"/>
                <w:sz w:val="24"/>
                <w:szCs w:val="24"/>
              </w:rPr>
              <w:t>Q3/2025</w:t>
            </w:r>
            <w:bookmarkEnd w:id="84"/>
            <w:bookmarkEnd w:id="85"/>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1581"/>
            </w:tblGrid>
            <w:tr w:rsidR="00E07719" w:rsidRPr="00005FC6" w14:paraId="7D54C8EC" w14:textId="77777777" w:rsidTr="0058477A">
              <w:trPr>
                <w:tblCellSpacing w:w="0" w:type="dxa"/>
              </w:trPr>
              <w:tc>
                <w:tcPr>
                  <w:tcW w:w="0" w:type="auto"/>
                  <w:hideMark/>
                </w:tcPr>
                <w:p w14:paraId="7E34678B"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3B752F97"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Sign UAE MoU with</w:t>
                  </w:r>
                </w:p>
                <w:p w14:paraId="19AF8382"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Etisalat</w:t>
                  </w:r>
                </w:p>
              </w:tc>
            </w:tr>
          </w:tbl>
          <w:p w14:paraId="38ACF681"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1942"/>
            </w:tblGrid>
            <w:tr w:rsidR="00E07719" w:rsidRPr="00005FC6" w14:paraId="66D8B9E6" w14:textId="77777777" w:rsidTr="0058477A">
              <w:trPr>
                <w:tblCellSpacing w:w="0" w:type="dxa"/>
              </w:trPr>
              <w:tc>
                <w:tcPr>
                  <w:tcW w:w="0" w:type="auto"/>
                  <w:hideMark/>
                </w:tcPr>
                <w:p w14:paraId="5E797493"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747A10B4"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09DFB969"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200 resellers onboarded</w:t>
                  </w:r>
                </w:p>
              </w:tc>
            </w:tr>
          </w:tbl>
          <w:p w14:paraId="236094B5"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6"/>
              <w:gridCol w:w="565"/>
            </w:tblGrid>
            <w:tr w:rsidR="00E07719" w:rsidRPr="00005FC6" w14:paraId="025C77A5" w14:textId="77777777" w:rsidTr="0058477A">
              <w:trPr>
                <w:tblCellSpacing w:w="0" w:type="dxa"/>
              </w:trPr>
              <w:tc>
                <w:tcPr>
                  <w:tcW w:w="0" w:type="auto"/>
                  <w:hideMark/>
                </w:tcPr>
                <w:p w14:paraId="4B35A9A9"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64BAA44A"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673D9A4D"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415559A2"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VP Int'l</w:t>
                  </w:r>
                </w:p>
              </w:tc>
            </w:tr>
          </w:tbl>
          <w:p w14:paraId="3066959D" w14:textId="77777777" w:rsidR="00E07719" w:rsidRPr="00005FC6" w:rsidRDefault="00E07719" w:rsidP="0058477A">
            <w:pPr>
              <w:pStyle w:val="Heading1"/>
              <w:rPr>
                <w:rFonts w:ascii="Arial" w:hAnsi="Arial" w:cs="Arial"/>
                <w:color w:val="1A1A1A" w:themeColor="background1" w:themeShade="1A"/>
                <w:sz w:val="24"/>
                <w:szCs w:val="24"/>
              </w:rPr>
            </w:pPr>
          </w:p>
        </w:tc>
      </w:tr>
      <w:tr w:rsidR="00E07719" w:rsidRPr="00005FC6" w14:paraId="3F9786AE" w14:textId="77777777" w:rsidTr="0058477A">
        <w:tc>
          <w:tcPr>
            <w:tcW w:w="2254" w:type="dxa"/>
          </w:tcPr>
          <w:p w14:paraId="40910C55" w14:textId="77777777" w:rsidR="00E07719" w:rsidRPr="00005FC6" w:rsidRDefault="00E07719" w:rsidP="0058477A">
            <w:pPr>
              <w:pStyle w:val="Heading1"/>
              <w:rPr>
                <w:rFonts w:ascii="Arial" w:hAnsi="Arial" w:cs="Arial"/>
                <w:color w:val="1A1A1A" w:themeColor="background1" w:themeShade="1A"/>
                <w:sz w:val="24"/>
                <w:szCs w:val="24"/>
              </w:rPr>
            </w:pPr>
            <w:bookmarkStart w:id="86" w:name="_Toc216992505"/>
            <w:bookmarkStart w:id="87" w:name="_Toc216993253"/>
            <w:r w:rsidRPr="00005FC6">
              <w:rPr>
                <w:rFonts w:ascii="Arial" w:hAnsi="Arial" w:cs="Arial"/>
                <w:color w:val="1A1A1A" w:themeColor="background1" w:themeShade="1A"/>
                <w:sz w:val="24"/>
                <w:szCs w:val="24"/>
              </w:rPr>
              <w:t>Q4/2025</w:t>
            </w:r>
            <w:bookmarkEnd w:id="86"/>
            <w:bookmarkEnd w:id="87"/>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1671"/>
            </w:tblGrid>
            <w:tr w:rsidR="00E07719" w:rsidRPr="00005FC6" w14:paraId="57D14A35" w14:textId="77777777" w:rsidTr="0058477A">
              <w:trPr>
                <w:tblCellSpacing w:w="0" w:type="dxa"/>
              </w:trPr>
              <w:tc>
                <w:tcPr>
                  <w:tcW w:w="0" w:type="auto"/>
                  <w:hideMark/>
                </w:tcPr>
                <w:p w14:paraId="1792F318"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7B84ADDE"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Launch at INBOUND</w:t>
                  </w:r>
                </w:p>
                <w:p w14:paraId="2C0F08CC"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2025</w:t>
                  </w:r>
                </w:p>
              </w:tc>
            </w:tr>
          </w:tbl>
          <w:p w14:paraId="1318B3C4"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1191"/>
            </w:tblGrid>
            <w:tr w:rsidR="00E07719" w:rsidRPr="00005FC6" w14:paraId="62092735" w14:textId="77777777" w:rsidTr="0058477A">
              <w:trPr>
                <w:tblCellSpacing w:w="0" w:type="dxa"/>
              </w:trPr>
              <w:tc>
                <w:tcPr>
                  <w:tcW w:w="0" w:type="auto"/>
                  <w:hideMark/>
                </w:tcPr>
                <w:p w14:paraId="35B517E2"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7F61FCFC"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6D333F1D"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Pipeline €60 m</w:t>
                  </w:r>
                </w:p>
              </w:tc>
            </w:tr>
          </w:tbl>
          <w:p w14:paraId="1431F6D8"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6"/>
              <w:gridCol w:w="420"/>
            </w:tblGrid>
            <w:tr w:rsidR="00E07719" w:rsidRPr="00005FC6" w14:paraId="70A50649" w14:textId="77777777" w:rsidTr="0058477A">
              <w:trPr>
                <w:tblCellSpacing w:w="0" w:type="dxa"/>
              </w:trPr>
              <w:tc>
                <w:tcPr>
                  <w:tcW w:w="0" w:type="auto"/>
                  <w:hideMark/>
                </w:tcPr>
                <w:p w14:paraId="5BD78719"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7666A09F"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5A2CEC18"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086A49FC"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CMO</w:t>
                  </w:r>
                </w:p>
              </w:tc>
            </w:tr>
          </w:tbl>
          <w:p w14:paraId="05EF1223" w14:textId="77777777" w:rsidR="00E07719" w:rsidRPr="00005FC6" w:rsidRDefault="00E07719" w:rsidP="0058477A">
            <w:pPr>
              <w:pStyle w:val="Heading1"/>
              <w:rPr>
                <w:rFonts w:ascii="Arial" w:hAnsi="Arial" w:cs="Arial"/>
                <w:color w:val="1A1A1A" w:themeColor="background1" w:themeShade="1A"/>
                <w:sz w:val="24"/>
                <w:szCs w:val="24"/>
              </w:rPr>
            </w:pPr>
          </w:p>
        </w:tc>
      </w:tr>
      <w:tr w:rsidR="00E07719" w:rsidRPr="00005FC6" w14:paraId="34A240DC" w14:textId="77777777" w:rsidTr="0058477A">
        <w:tc>
          <w:tcPr>
            <w:tcW w:w="2254" w:type="dxa"/>
          </w:tcPr>
          <w:p w14:paraId="3316A35E" w14:textId="77777777" w:rsidR="00E07719" w:rsidRPr="00005FC6" w:rsidRDefault="00E07719" w:rsidP="0058477A">
            <w:pPr>
              <w:pStyle w:val="Heading1"/>
              <w:rPr>
                <w:rFonts w:ascii="Arial" w:hAnsi="Arial" w:cs="Arial"/>
                <w:color w:val="1A1A1A" w:themeColor="background1" w:themeShade="1A"/>
                <w:sz w:val="24"/>
                <w:szCs w:val="24"/>
              </w:rPr>
            </w:pPr>
            <w:bookmarkStart w:id="88" w:name="_Toc216992506"/>
            <w:bookmarkStart w:id="89" w:name="_Toc216993254"/>
            <w:r w:rsidRPr="00005FC6">
              <w:rPr>
                <w:rFonts w:ascii="Arial" w:hAnsi="Arial" w:cs="Arial"/>
                <w:color w:val="1A1A1A" w:themeColor="background1" w:themeShade="1A"/>
                <w:sz w:val="24"/>
                <w:szCs w:val="24"/>
              </w:rPr>
              <w:t>Q1/2026</w:t>
            </w:r>
            <w:bookmarkEnd w:id="88"/>
            <w:bookmarkEnd w:id="89"/>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1271"/>
            </w:tblGrid>
            <w:tr w:rsidR="00E07719" w:rsidRPr="00005FC6" w14:paraId="548E315C" w14:textId="77777777" w:rsidTr="0058477A">
              <w:trPr>
                <w:tblCellSpacing w:w="0" w:type="dxa"/>
              </w:trPr>
              <w:tc>
                <w:tcPr>
                  <w:tcW w:w="0" w:type="auto"/>
                  <w:hideMark/>
                </w:tcPr>
                <w:p w14:paraId="0686250B"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6347CCF1"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Mumbai DC live</w:t>
                  </w:r>
                </w:p>
              </w:tc>
            </w:tr>
          </w:tbl>
          <w:p w14:paraId="6E088144"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1326"/>
            </w:tblGrid>
            <w:tr w:rsidR="00E07719" w:rsidRPr="00005FC6" w14:paraId="1B284D0D" w14:textId="77777777" w:rsidTr="0058477A">
              <w:trPr>
                <w:tblCellSpacing w:w="0" w:type="dxa"/>
              </w:trPr>
              <w:tc>
                <w:tcPr>
                  <w:tcW w:w="0" w:type="auto"/>
                  <w:hideMark/>
                </w:tcPr>
                <w:p w14:paraId="57540EA7"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4EC30DBC"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2BF2C2CF"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Latency = 40 ms</w:t>
                  </w:r>
                </w:p>
              </w:tc>
            </w:tr>
          </w:tbl>
          <w:p w14:paraId="7420BAFE"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6"/>
              <w:gridCol w:w="321"/>
            </w:tblGrid>
            <w:tr w:rsidR="00E07719" w:rsidRPr="00005FC6" w14:paraId="6BA211C9" w14:textId="77777777" w:rsidTr="0058477A">
              <w:trPr>
                <w:tblCellSpacing w:w="0" w:type="dxa"/>
              </w:trPr>
              <w:tc>
                <w:tcPr>
                  <w:tcW w:w="0" w:type="auto"/>
                  <w:hideMark/>
                </w:tcPr>
                <w:p w14:paraId="26B2A939"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2F12A86E"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79D44AB1"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6042541F"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CIO</w:t>
                  </w:r>
                </w:p>
              </w:tc>
            </w:tr>
          </w:tbl>
          <w:p w14:paraId="439134C5" w14:textId="77777777" w:rsidR="00E07719" w:rsidRPr="00005FC6" w:rsidRDefault="00E07719" w:rsidP="0058477A">
            <w:pPr>
              <w:pStyle w:val="Heading1"/>
              <w:rPr>
                <w:rFonts w:ascii="Arial" w:hAnsi="Arial" w:cs="Arial"/>
                <w:color w:val="1A1A1A" w:themeColor="background1" w:themeShade="1A"/>
                <w:sz w:val="24"/>
                <w:szCs w:val="24"/>
              </w:rPr>
            </w:pPr>
          </w:p>
        </w:tc>
      </w:tr>
      <w:tr w:rsidR="00E07719" w:rsidRPr="00005FC6" w14:paraId="3683F839" w14:textId="77777777" w:rsidTr="0058477A">
        <w:tc>
          <w:tcPr>
            <w:tcW w:w="2254" w:type="dxa"/>
          </w:tcPr>
          <w:p w14:paraId="4F9F02D9" w14:textId="77777777" w:rsidR="00E07719" w:rsidRPr="00005FC6" w:rsidRDefault="00E07719" w:rsidP="0058477A">
            <w:pPr>
              <w:pStyle w:val="Heading1"/>
              <w:rPr>
                <w:rFonts w:ascii="Arial" w:hAnsi="Arial" w:cs="Arial"/>
                <w:color w:val="1A1A1A" w:themeColor="background1" w:themeShade="1A"/>
                <w:sz w:val="24"/>
                <w:szCs w:val="24"/>
              </w:rPr>
            </w:pPr>
            <w:bookmarkStart w:id="90" w:name="_Toc216992507"/>
            <w:bookmarkStart w:id="91" w:name="_Toc216993255"/>
            <w:r w:rsidRPr="00005FC6">
              <w:rPr>
                <w:rFonts w:ascii="Arial" w:hAnsi="Arial" w:cs="Arial"/>
                <w:color w:val="1A1A1A" w:themeColor="background1" w:themeShade="1A"/>
                <w:sz w:val="24"/>
                <w:szCs w:val="24"/>
              </w:rPr>
              <w:t>Q2/2026</w:t>
            </w:r>
            <w:bookmarkEnd w:id="90"/>
            <w:bookmarkEnd w:id="91"/>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1981"/>
            </w:tblGrid>
            <w:tr w:rsidR="00E07719" w:rsidRPr="00005FC6" w14:paraId="618F940E" w14:textId="77777777" w:rsidTr="0058477A">
              <w:trPr>
                <w:tblCellSpacing w:w="0" w:type="dxa"/>
              </w:trPr>
              <w:tc>
                <w:tcPr>
                  <w:tcW w:w="0" w:type="auto"/>
                  <w:hideMark/>
                </w:tcPr>
                <w:p w14:paraId="223D3140"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209725BD"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Close vertical acquisition</w:t>
                  </w:r>
                </w:p>
              </w:tc>
            </w:tr>
          </w:tbl>
          <w:p w14:paraId="5C2FD977"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856"/>
            </w:tblGrid>
            <w:tr w:rsidR="00E07719" w:rsidRPr="00005FC6" w14:paraId="11A5D64C" w14:textId="77777777" w:rsidTr="0058477A">
              <w:trPr>
                <w:tblCellSpacing w:w="0" w:type="dxa"/>
              </w:trPr>
              <w:tc>
                <w:tcPr>
                  <w:tcW w:w="0" w:type="auto"/>
                  <w:hideMark/>
                </w:tcPr>
                <w:p w14:paraId="32B69827"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21F7D58E"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3BC863B4"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NRR +3 %</w:t>
                  </w:r>
                </w:p>
              </w:tc>
            </w:tr>
          </w:tbl>
          <w:p w14:paraId="221AD649"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6"/>
              <w:gridCol w:w="380"/>
            </w:tblGrid>
            <w:tr w:rsidR="00E07719" w:rsidRPr="00005FC6" w14:paraId="044DFAC5" w14:textId="77777777" w:rsidTr="0058477A">
              <w:trPr>
                <w:tblCellSpacing w:w="0" w:type="dxa"/>
              </w:trPr>
              <w:tc>
                <w:tcPr>
                  <w:tcW w:w="0" w:type="auto"/>
                  <w:hideMark/>
                </w:tcPr>
                <w:p w14:paraId="7A9B7C97"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3A07B766"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55139859"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6BC8756E"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CFO</w:t>
                  </w:r>
                </w:p>
              </w:tc>
            </w:tr>
          </w:tbl>
          <w:p w14:paraId="3E9A0A25" w14:textId="77777777" w:rsidR="00E07719" w:rsidRPr="00005FC6" w:rsidRDefault="00E07719" w:rsidP="0058477A">
            <w:pPr>
              <w:pStyle w:val="Heading1"/>
              <w:rPr>
                <w:rFonts w:ascii="Arial" w:hAnsi="Arial" w:cs="Arial"/>
                <w:color w:val="1A1A1A" w:themeColor="background1" w:themeShade="1A"/>
                <w:sz w:val="24"/>
                <w:szCs w:val="24"/>
              </w:rPr>
            </w:pPr>
          </w:p>
        </w:tc>
      </w:tr>
      <w:tr w:rsidR="00E07719" w:rsidRPr="00005FC6" w14:paraId="5AE24281" w14:textId="77777777" w:rsidTr="0058477A">
        <w:tc>
          <w:tcPr>
            <w:tcW w:w="2254" w:type="dxa"/>
          </w:tcPr>
          <w:p w14:paraId="7FD660D2" w14:textId="77777777" w:rsidR="00E07719" w:rsidRPr="00005FC6" w:rsidRDefault="00E07719" w:rsidP="0058477A">
            <w:pPr>
              <w:pStyle w:val="Heading1"/>
              <w:rPr>
                <w:rFonts w:ascii="Arial" w:hAnsi="Arial" w:cs="Arial"/>
                <w:color w:val="1A1A1A" w:themeColor="background1" w:themeShade="1A"/>
                <w:sz w:val="24"/>
                <w:szCs w:val="24"/>
              </w:rPr>
            </w:pPr>
            <w:bookmarkStart w:id="92" w:name="_Toc216992508"/>
            <w:bookmarkStart w:id="93" w:name="_Toc216993256"/>
            <w:r w:rsidRPr="00005FC6">
              <w:rPr>
                <w:rFonts w:ascii="Arial" w:hAnsi="Arial" w:cs="Arial"/>
                <w:color w:val="1A1A1A" w:themeColor="background1" w:themeShade="1A"/>
                <w:sz w:val="24"/>
                <w:szCs w:val="24"/>
              </w:rPr>
              <w:t>Q4/2026</w:t>
            </w:r>
            <w:bookmarkEnd w:id="92"/>
            <w:bookmarkEnd w:id="93"/>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1972"/>
            </w:tblGrid>
            <w:tr w:rsidR="00E07719" w:rsidRPr="00005FC6" w14:paraId="2D950A78" w14:textId="77777777" w:rsidTr="0058477A">
              <w:trPr>
                <w:tblCellSpacing w:w="0" w:type="dxa"/>
              </w:trPr>
              <w:tc>
                <w:tcPr>
                  <w:tcW w:w="0" w:type="auto"/>
                  <w:hideMark/>
                </w:tcPr>
                <w:p w14:paraId="5E4D4861"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55DEA740"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PLG quota retirement 20</w:t>
                  </w:r>
                </w:p>
                <w:p w14:paraId="59C31F4F"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w:t>
                  </w:r>
                </w:p>
              </w:tc>
            </w:tr>
          </w:tbl>
          <w:p w14:paraId="49BF5F3B"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2026"/>
            </w:tblGrid>
            <w:tr w:rsidR="00E07719" w:rsidRPr="00005FC6" w14:paraId="0F22BD23" w14:textId="77777777" w:rsidTr="0058477A">
              <w:trPr>
                <w:tblCellSpacing w:w="0" w:type="dxa"/>
              </w:trPr>
              <w:tc>
                <w:tcPr>
                  <w:tcW w:w="0" w:type="auto"/>
                  <w:hideMark/>
                </w:tcPr>
                <w:p w14:paraId="4DB538C5"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3C4FAB58"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576D1746"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CAC payback = 20 months</w:t>
                  </w:r>
                </w:p>
              </w:tc>
            </w:tr>
          </w:tbl>
          <w:p w14:paraId="42BE9FFC" w14:textId="77777777" w:rsidR="00E07719" w:rsidRPr="00005FC6" w:rsidRDefault="00E07719" w:rsidP="0058477A">
            <w:pPr>
              <w:pStyle w:val="Heading1"/>
              <w:rPr>
                <w:rFonts w:ascii="Arial" w:hAnsi="Arial" w:cs="Arial"/>
                <w:color w:val="1A1A1A" w:themeColor="background1" w:themeShade="1A"/>
                <w:sz w:val="24"/>
                <w:szCs w:val="24"/>
              </w:rPr>
            </w:pPr>
          </w:p>
        </w:tc>
        <w:tc>
          <w:tcPr>
            <w:tcW w:w="2254" w:type="dxa"/>
          </w:tcPr>
          <w:tbl>
            <w:tblPr>
              <w:tblW w:w="0" w:type="auto"/>
              <w:tblCellSpacing w:w="0" w:type="dxa"/>
              <w:tblCellMar>
                <w:left w:w="0" w:type="dxa"/>
                <w:right w:w="0" w:type="dxa"/>
              </w:tblCellMar>
              <w:tblLook w:val="04A0" w:firstRow="1" w:lastRow="0" w:firstColumn="1" w:lastColumn="0" w:noHBand="0" w:noVBand="1"/>
            </w:tblPr>
            <w:tblGrid>
              <w:gridCol w:w="6"/>
              <w:gridCol w:w="6"/>
              <w:gridCol w:w="6"/>
              <w:gridCol w:w="400"/>
            </w:tblGrid>
            <w:tr w:rsidR="00E07719" w:rsidRPr="00005FC6" w14:paraId="27A85762" w14:textId="77777777" w:rsidTr="0058477A">
              <w:trPr>
                <w:tblCellSpacing w:w="0" w:type="dxa"/>
              </w:trPr>
              <w:tc>
                <w:tcPr>
                  <w:tcW w:w="0" w:type="auto"/>
                  <w:hideMark/>
                </w:tcPr>
                <w:p w14:paraId="260C7033"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46390C59"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159B988A" w14:textId="77777777" w:rsidR="00E07719" w:rsidRPr="00005FC6" w:rsidRDefault="00E07719" w:rsidP="0058477A">
                  <w:pPr>
                    <w:spacing w:after="0" w:line="240" w:lineRule="auto"/>
                    <w:rPr>
                      <w:rFonts w:ascii="Arial" w:hAnsi="Arial" w:cs="Arial"/>
                      <w:kern w:val="0"/>
                      <w14:ligatures w14:val="none"/>
                    </w:rPr>
                  </w:pPr>
                </w:p>
              </w:tc>
              <w:tc>
                <w:tcPr>
                  <w:tcW w:w="0" w:type="auto"/>
                  <w:hideMark/>
                </w:tcPr>
                <w:p w14:paraId="0D379052" w14:textId="77777777" w:rsidR="00E07719" w:rsidRPr="00005FC6" w:rsidRDefault="00E07719" w:rsidP="0058477A">
                  <w:pPr>
                    <w:spacing w:after="0" w:line="240" w:lineRule="auto"/>
                    <w:rPr>
                      <w:rFonts w:ascii="Arial" w:hAnsi="Arial" w:cs="Arial"/>
                      <w:kern w:val="0"/>
                      <w:sz w:val="18"/>
                      <w:szCs w:val="18"/>
                      <w14:ligatures w14:val="none"/>
                    </w:rPr>
                  </w:pPr>
                  <w:r w:rsidRPr="00005FC6">
                    <w:rPr>
                      <w:rFonts w:ascii="Arial" w:hAnsi="Arial" w:cs="Arial"/>
                      <w:kern w:val="0"/>
                      <w:sz w:val="18"/>
                      <w:szCs w:val="18"/>
                      <w14:ligatures w14:val="none"/>
                    </w:rPr>
                    <w:t>CRO</w:t>
                  </w:r>
                </w:p>
              </w:tc>
            </w:tr>
          </w:tbl>
          <w:p w14:paraId="002D09EC" w14:textId="77777777" w:rsidR="00E07719" w:rsidRPr="00005FC6" w:rsidRDefault="00E07719" w:rsidP="0058477A">
            <w:pPr>
              <w:pStyle w:val="Heading1"/>
              <w:rPr>
                <w:rFonts w:ascii="Arial" w:hAnsi="Arial" w:cs="Arial"/>
                <w:color w:val="1A1A1A" w:themeColor="background1" w:themeShade="1A"/>
                <w:sz w:val="24"/>
                <w:szCs w:val="24"/>
              </w:rPr>
            </w:pPr>
          </w:p>
        </w:tc>
      </w:tr>
    </w:tbl>
    <w:p w14:paraId="351E294E" w14:textId="77777777" w:rsidR="00E07719" w:rsidRPr="00005FC6" w:rsidRDefault="00E07719" w:rsidP="0058477A">
      <w:pPr>
        <w:pStyle w:val="Heading2"/>
        <w:rPr>
          <w:rFonts w:ascii="Arial" w:hAnsi="Arial" w:cs="Arial"/>
        </w:rPr>
      </w:pPr>
    </w:p>
    <w:p w14:paraId="6123606A" w14:textId="77777777" w:rsidR="00E07719" w:rsidRPr="00005FC6" w:rsidRDefault="00E07719" w:rsidP="009F129C">
      <w:pPr>
        <w:pStyle w:val="Heading2"/>
        <w:rPr>
          <w:rFonts w:ascii="Arial" w:hAnsi="Arial" w:cs="Arial"/>
        </w:rPr>
      </w:pPr>
      <w:bookmarkStart w:id="94" w:name="_Toc216992509"/>
      <w:bookmarkStart w:id="95" w:name="_Toc216993257"/>
      <w:r w:rsidRPr="00005FC6">
        <w:rPr>
          <w:rFonts w:ascii="Arial" w:hAnsi="Arial" w:cs="Arial"/>
        </w:rPr>
        <w:t>Risks &amp; Mitigations</w:t>
      </w:r>
      <w:bookmarkEnd w:id="94"/>
      <w:bookmarkEnd w:id="95"/>
    </w:p>
    <w:p w14:paraId="4A7C73A9" w14:textId="65C6467B" w:rsidR="00F3415D" w:rsidRPr="00005FC6" w:rsidRDefault="00E07719" w:rsidP="00EA45DC">
      <w:pPr>
        <w:jc w:val="both"/>
        <w:rPr>
          <w:rFonts w:ascii="Arial" w:hAnsi="Arial" w:cs="Arial"/>
        </w:rPr>
      </w:pPr>
      <w:r w:rsidRPr="00005FC6">
        <w:rPr>
          <w:rFonts w:ascii="Arial" w:hAnsi="Arial" w:cs="Arial"/>
        </w:rPr>
        <w:t>The firm faces several strategic risks. Tech risk arises from potential Al model hallucinations, mitigated through a maintained human in the loop toggle and user indemnification up to €10,000 per incident. Regulatory risk under the EU Al Act classification as "high risk" systems is addressed by conducting conformity assessments and publishing transparency logs (European Commission, 2024). Integration risk linked to cultural misalignment with an acquired vertical firm is mitigated by applying HubSpot's M&amp;A Playbook, which involves HEART framework immersion and a 90</w:t>
      </w:r>
      <w:r w:rsidR="00DF01E6">
        <w:rPr>
          <w:rFonts w:ascii="Arial" w:hAnsi="Arial" w:cs="Arial"/>
        </w:rPr>
        <w:t>/</w:t>
      </w:r>
      <w:r w:rsidRPr="00005FC6">
        <w:rPr>
          <w:rFonts w:ascii="Arial" w:hAnsi="Arial" w:cs="Arial"/>
        </w:rPr>
        <w:t>day OKR alignment (HubSpot, 2023). Finally, margin risk from Microsoft's competitive pricing pressure is reduced by implementing usage</w:t>
      </w:r>
      <w:r w:rsidR="00DF01E6">
        <w:rPr>
          <w:rFonts w:ascii="Arial" w:hAnsi="Arial" w:cs="Arial"/>
        </w:rPr>
        <w:t xml:space="preserve"> </w:t>
      </w:r>
      <w:r w:rsidRPr="00005FC6">
        <w:rPr>
          <w:rFonts w:ascii="Arial" w:hAnsi="Arial" w:cs="Arial"/>
        </w:rPr>
        <w:t>based pricing that scales with customer growth (Gartner, 2024).</w:t>
      </w:r>
    </w:p>
    <w:p w14:paraId="41644886" w14:textId="77777777" w:rsidR="006B652C" w:rsidRPr="00005FC6" w:rsidRDefault="006B652C" w:rsidP="00F56F6A">
      <w:pPr>
        <w:pStyle w:val="Heading1"/>
        <w:rPr>
          <w:rFonts w:ascii="Arial" w:hAnsi="Arial" w:cs="Arial"/>
        </w:rPr>
      </w:pPr>
      <w:bookmarkStart w:id="96" w:name="_Toc216992510"/>
      <w:bookmarkStart w:id="97" w:name="_Toc216993258"/>
    </w:p>
    <w:p w14:paraId="7005585E" w14:textId="77777777" w:rsidR="006B652C" w:rsidRPr="00005FC6" w:rsidRDefault="006B652C" w:rsidP="00F56F6A">
      <w:pPr>
        <w:pStyle w:val="Heading1"/>
        <w:rPr>
          <w:rFonts w:ascii="Arial" w:hAnsi="Arial" w:cs="Arial"/>
        </w:rPr>
      </w:pPr>
    </w:p>
    <w:p w14:paraId="3B1E93BF" w14:textId="3F3F073C" w:rsidR="00E07719" w:rsidRPr="00005FC6" w:rsidRDefault="00E07719" w:rsidP="00F56F6A">
      <w:pPr>
        <w:pStyle w:val="Heading1"/>
        <w:rPr>
          <w:rFonts w:ascii="Arial" w:hAnsi="Arial" w:cs="Arial"/>
        </w:rPr>
      </w:pPr>
      <w:r w:rsidRPr="00005FC6">
        <w:rPr>
          <w:rFonts w:ascii="Arial" w:hAnsi="Arial" w:cs="Arial"/>
        </w:rPr>
        <w:t>Conclusion</w:t>
      </w:r>
      <w:bookmarkEnd w:id="96"/>
      <w:bookmarkEnd w:id="97"/>
      <w:r w:rsidRPr="00005FC6">
        <w:rPr>
          <w:rFonts w:ascii="Arial" w:hAnsi="Arial" w:cs="Arial"/>
        </w:rPr>
        <w:t xml:space="preserve"> </w:t>
      </w:r>
    </w:p>
    <w:p w14:paraId="1F16D789" w14:textId="77777777" w:rsidR="00E07719" w:rsidRPr="00005FC6" w:rsidRDefault="00E07719" w:rsidP="0058477A">
      <w:pPr>
        <w:jc w:val="both"/>
        <w:rPr>
          <w:rFonts w:ascii="Arial" w:hAnsi="Arial" w:cs="Arial"/>
        </w:rPr>
      </w:pPr>
      <w:r w:rsidRPr="00005FC6">
        <w:rPr>
          <w:rFonts w:ascii="Arial" w:hAnsi="Arial" w:cs="Arial"/>
        </w:rPr>
        <w:t>HubSpot is approaching a strategic inflection point where the Al platform shift coincides with heightened post pandemic SaaS cost scrutiny, pushing buyers to demand measurable ROl in weeks rather than quarters. Its strong balance sheet, expanding Al first product portfolio, and global infrastructure investments create durable advantages that can be amplified by sharper SME focused packaging and geo localised data residency options. If HubSpot executes decisively on the recommended pivots around Al, pricing, and go to market, the company is well positioned to accelerate net new ARR and expand non GAAP operating margins beyond 20%, in line with external margin trajectories already observed and targeted for the second half of the decade. This would entrench HubSpot as the preferred "growth CRM" for scaling businesses, particularly those seeking fast time to value and Al enhanced customer workflows in an increasingly outcome and ROl driven purchasing environment.</w:t>
      </w:r>
    </w:p>
    <w:p w14:paraId="30737BDB" w14:textId="77777777" w:rsidR="00AE1E0F" w:rsidRDefault="00AE1E0F" w:rsidP="0023372E">
      <w:pPr>
        <w:pStyle w:val="Heading1"/>
        <w:jc w:val="center"/>
        <w:rPr>
          <w:rFonts w:ascii="Arial" w:hAnsi="Arial" w:cs="Arial"/>
        </w:rPr>
      </w:pPr>
    </w:p>
    <w:p w14:paraId="42C151B7" w14:textId="77777777" w:rsidR="006B652C" w:rsidRDefault="006B652C" w:rsidP="006B652C"/>
    <w:p w14:paraId="2C83EEA0" w14:textId="77777777" w:rsidR="00F70EE1" w:rsidRDefault="00F70EE1" w:rsidP="006B652C"/>
    <w:p w14:paraId="58701A16" w14:textId="77777777" w:rsidR="00F70EE1" w:rsidRPr="006B652C" w:rsidRDefault="00F70EE1" w:rsidP="006B652C"/>
    <w:p w14:paraId="741944C6" w14:textId="77777777" w:rsidR="00AE1E0F" w:rsidRDefault="00AE1E0F" w:rsidP="0023372E">
      <w:pPr>
        <w:pStyle w:val="Heading1"/>
        <w:jc w:val="center"/>
        <w:rPr>
          <w:rFonts w:ascii="Arial" w:hAnsi="Arial" w:cs="Arial"/>
        </w:rPr>
      </w:pPr>
    </w:p>
    <w:p w14:paraId="7C41137E" w14:textId="77777777" w:rsidR="00AE1E0F" w:rsidRDefault="00AE1E0F" w:rsidP="0023372E">
      <w:pPr>
        <w:pStyle w:val="Heading1"/>
        <w:jc w:val="center"/>
        <w:rPr>
          <w:rFonts w:ascii="Arial" w:hAnsi="Arial" w:cs="Arial"/>
        </w:rPr>
      </w:pPr>
    </w:p>
    <w:p w14:paraId="33A6F982" w14:textId="77777777" w:rsidR="00F70EE1" w:rsidRDefault="00F70EE1" w:rsidP="00F70EE1"/>
    <w:p w14:paraId="5C7D69CE" w14:textId="77777777" w:rsidR="00F70EE1" w:rsidRDefault="00F70EE1" w:rsidP="00F70EE1"/>
    <w:p w14:paraId="2ABAFCB9" w14:textId="77777777" w:rsidR="00F70EE1" w:rsidRDefault="00F70EE1" w:rsidP="00F70EE1"/>
    <w:p w14:paraId="272A638E" w14:textId="77777777" w:rsidR="00F70EE1" w:rsidRPr="00F70EE1" w:rsidRDefault="00F70EE1" w:rsidP="00F70EE1"/>
    <w:p w14:paraId="2DD10333" w14:textId="77777777" w:rsidR="006B652C" w:rsidRDefault="006B652C" w:rsidP="00C03CEE">
      <w:pPr>
        <w:pStyle w:val="Heading1"/>
        <w:rPr>
          <w:rFonts w:ascii="Arial" w:hAnsi="Arial" w:cs="Arial"/>
        </w:rPr>
      </w:pPr>
      <w:bookmarkStart w:id="98" w:name="_Toc216992511"/>
      <w:bookmarkStart w:id="99" w:name="_Toc216993259"/>
    </w:p>
    <w:p w14:paraId="61C9BA2A" w14:textId="0AA9C401" w:rsidR="00C03CEE" w:rsidRPr="00C03CEE" w:rsidRDefault="00E07719" w:rsidP="00C03CEE">
      <w:pPr>
        <w:pStyle w:val="Heading1"/>
        <w:rPr>
          <w:rFonts w:ascii="Arial" w:hAnsi="Arial" w:cs="Arial"/>
        </w:rPr>
      </w:pPr>
      <w:r w:rsidRPr="005F2595">
        <w:t>References</w:t>
      </w:r>
      <w:bookmarkEnd w:id="98"/>
      <w:bookmarkEnd w:id="99"/>
    </w:p>
    <w:p w14:paraId="763E58C7" w14:textId="063EA36D" w:rsidR="001F6C93" w:rsidRDefault="001F6C93">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i/>
          <w:iCs/>
          <w:color w:val="000000"/>
          <w:sz w:val="27"/>
          <w:szCs w:val="27"/>
        </w:rPr>
        <w:t>10-K</w:t>
      </w:r>
      <w:r>
        <w:rPr>
          <w:rStyle w:val="apple-converted-space"/>
          <w:rFonts w:ascii="Calibri" w:hAnsi="Calibri"/>
          <w:color w:val="000000"/>
          <w:sz w:val="27"/>
          <w:szCs w:val="27"/>
        </w:rPr>
        <w:t> </w:t>
      </w:r>
      <w:r>
        <w:rPr>
          <w:rFonts w:ascii="Calibri" w:hAnsi="Calibri"/>
          <w:color w:val="000000"/>
          <w:sz w:val="27"/>
          <w:szCs w:val="27"/>
        </w:rPr>
        <w:t>(2024)</w:t>
      </w:r>
      <w:r>
        <w:rPr>
          <w:rStyle w:val="apple-converted-space"/>
          <w:rFonts w:ascii="Calibri" w:hAnsi="Calibri"/>
          <w:color w:val="000000"/>
          <w:sz w:val="27"/>
          <w:szCs w:val="27"/>
        </w:rPr>
        <w:t> </w:t>
      </w:r>
      <w:r>
        <w:rPr>
          <w:rFonts w:ascii="Calibri" w:hAnsi="Calibri"/>
          <w:i/>
          <w:iCs/>
          <w:color w:val="000000"/>
          <w:sz w:val="27"/>
          <w:szCs w:val="27"/>
        </w:rPr>
        <w:t>Sec.gov</w:t>
      </w:r>
      <w:r>
        <w:rPr>
          <w:rFonts w:ascii="Calibri" w:hAnsi="Calibri"/>
          <w:color w:val="000000"/>
          <w:sz w:val="27"/>
          <w:szCs w:val="27"/>
        </w:rPr>
        <w:t>. Available at: https://www.sec.gov/Archives/edgar/data/1404655/000095017025018873/hubs-20241231.htm?utm_source=perplexity (Accessed: 18 December 2025).</w:t>
      </w:r>
    </w:p>
    <w:p w14:paraId="16302626" w14:textId="77777777" w:rsidR="001F6C93" w:rsidRDefault="001F6C93">
      <w:pPr>
        <w:pStyle w:val="NormalWeb"/>
        <w:shd w:val="clear" w:color="auto" w:fill="FFFFFF"/>
        <w:spacing w:before="0" w:beforeAutospacing="0" w:after="0" w:afterAutospacing="0" w:line="360" w:lineRule="atLeast"/>
        <w:rPr>
          <w:rFonts w:ascii="Calibri" w:hAnsi="Calibri"/>
          <w:color w:val="000000"/>
          <w:sz w:val="27"/>
          <w:szCs w:val="27"/>
        </w:rPr>
      </w:pPr>
    </w:p>
    <w:p w14:paraId="7E411B95" w14:textId="77777777" w:rsidR="001F6C93" w:rsidRDefault="001F6C93">
      <w:pPr>
        <w:pStyle w:val="NormalWeb"/>
        <w:shd w:val="clear" w:color="auto" w:fill="FFFFFF"/>
        <w:spacing w:before="0" w:beforeAutospacing="0" w:after="0" w:afterAutospacing="0" w:line="360" w:lineRule="atLeast"/>
        <w:rPr>
          <w:rFonts w:ascii="Calibri" w:hAnsi="Calibri"/>
          <w:color w:val="000000"/>
          <w:sz w:val="27"/>
          <w:szCs w:val="27"/>
        </w:rPr>
      </w:pPr>
    </w:p>
    <w:p w14:paraId="1F26EEDB" w14:textId="3535E0C9" w:rsidR="00EB2B89" w:rsidRDefault="001F6C93">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sidR="00EB2B89" w:rsidRPr="00EB2B89">
        <w:rPr>
          <w:rFonts w:ascii="Calibri" w:hAnsi="Calibri"/>
          <w:color w:val="000000"/>
          <w:sz w:val="27"/>
          <w:szCs w:val="27"/>
        </w:rPr>
        <w:t xml:space="preserve"> </w:t>
      </w:r>
      <w:r w:rsidR="00EB2B89">
        <w:rPr>
          <w:rFonts w:ascii="Calibri" w:hAnsi="Calibri"/>
          <w:color w:val="000000"/>
          <w:sz w:val="27"/>
          <w:szCs w:val="27"/>
        </w:rPr>
        <w:t>Wire, B. (2025)</w:t>
      </w:r>
      <w:r w:rsidR="00EB2B89">
        <w:rPr>
          <w:rStyle w:val="apple-converted-space"/>
          <w:rFonts w:ascii="Calibri" w:hAnsi="Calibri"/>
          <w:color w:val="000000"/>
          <w:sz w:val="27"/>
          <w:szCs w:val="27"/>
        </w:rPr>
        <w:t> </w:t>
      </w:r>
      <w:r w:rsidR="00EB2B89">
        <w:rPr>
          <w:rFonts w:ascii="Calibri" w:hAnsi="Calibri"/>
          <w:i/>
          <w:iCs/>
          <w:color w:val="000000"/>
          <w:sz w:val="27"/>
          <w:szCs w:val="27"/>
        </w:rPr>
        <w:t>HubSpot Reports Q4 and Full Year 2024 Results</w:t>
      </w:r>
      <w:r w:rsidR="00EB2B89">
        <w:rPr>
          <w:rFonts w:ascii="Calibri" w:hAnsi="Calibri"/>
          <w:color w:val="000000"/>
          <w:sz w:val="27"/>
          <w:szCs w:val="27"/>
        </w:rPr>
        <w:t>,</w:t>
      </w:r>
      <w:r w:rsidR="00EB2B89">
        <w:rPr>
          <w:rStyle w:val="apple-converted-space"/>
          <w:rFonts w:ascii="Calibri" w:hAnsi="Calibri"/>
          <w:color w:val="000000"/>
          <w:sz w:val="27"/>
          <w:szCs w:val="27"/>
        </w:rPr>
        <w:t> </w:t>
      </w:r>
      <w:r w:rsidR="00EB2B89">
        <w:rPr>
          <w:rFonts w:ascii="Calibri" w:hAnsi="Calibri"/>
          <w:i/>
          <w:iCs/>
          <w:color w:val="000000"/>
          <w:sz w:val="27"/>
          <w:szCs w:val="27"/>
        </w:rPr>
        <w:t>Yahoo Finance</w:t>
      </w:r>
      <w:r w:rsidR="00EB2B89">
        <w:rPr>
          <w:rFonts w:ascii="Calibri" w:hAnsi="Calibri"/>
          <w:color w:val="000000"/>
          <w:sz w:val="27"/>
          <w:szCs w:val="27"/>
        </w:rPr>
        <w:t>. Available at: https://finance.yahoo.com/news/hubspot-reports-q4-full-2024-210500459.html?utm_source=perplexity&amp;guccounter=2 (Accessed: 18 December 2025).</w:t>
      </w:r>
    </w:p>
    <w:p w14:paraId="4E6B5A24" w14:textId="77777777" w:rsidR="005E6421" w:rsidRDefault="005E6421">
      <w:pPr>
        <w:pStyle w:val="NormalWeb"/>
        <w:shd w:val="clear" w:color="auto" w:fill="FFFFFF"/>
        <w:spacing w:before="0" w:beforeAutospacing="0" w:after="0" w:afterAutospacing="0" w:line="360" w:lineRule="atLeast"/>
        <w:rPr>
          <w:rFonts w:ascii="Calibri" w:hAnsi="Calibri"/>
          <w:color w:val="000000"/>
          <w:sz w:val="27"/>
          <w:szCs w:val="27"/>
        </w:rPr>
      </w:pPr>
    </w:p>
    <w:p w14:paraId="16BD7D11" w14:textId="77777777" w:rsidR="005E6421" w:rsidRDefault="005E6421">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HubSpot, I. (2025)</w:t>
      </w:r>
      <w:r>
        <w:rPr>
          <w:rStyle w:val="apple-converted-space"/>
          <w:rFonts w:ascii="Calibri" w:hAnsi="Calibri"/>
          <w:color w:val="000000"/>
          <w:sz w:val="27"/>
          <w:szCs w:val="27"/>
        </w:rPr>
        <w:t> </w:t>
      </w:r>
      <w:r>
        <w:rPr>
          <w:rFonts w:ascii="Calibri" w:hAnsi="Calibri"/>
          <w:i/>
          <w:iCs/>
          <w:color w:val="000000"/>
          <w:sz w:val="27"/>
          <w:szCs w:val="27"/>
        </w:rPr>
        <w:t>HubSpot Product &amp; Services Catalog</w:t>
      </w:r>
      <w:r>
        <w:rPr>
          <w:rFonts w:ascii="Calibri" w:hAnsi="Calibri"/>
          <w:color w:val="000000"/>
          <w:sz w:val="27"/>
          <w:szCs w:val="27"/>
        </w:rPr>
        <w:t>,</w:t>
      </w:r>
      <w:r>
        <w:rPr>
          <w:rStyle w:val="apple-converted-space"/>
          <w:rFonts w:ascii="Calibri" w:hAnsi="Calibri"/>
          <w:color w:val="000000"/>
          <w:sz w:val="27"/>
          <w:szCs w:val="27"/>
        </w:rPr>
        <w:t> </w:t>
      </w:r>
      <w:r>
        <w:rPr>
          <w:rFonts w:ascii="Calibri" w:hAnsi="Calibri"/>
          <w:i/>
          <w:iCs/>
          <w:color w:val="000000"/>
          <w:sz w:val="27"/>
          <w:szCs w:val="27"/>
        </w:rPr>
        <w:t>Hubspot.com</w:t>
      </w:r>
      <w:r>
        <w:rPr>
          <w:rFonts w:ascii="Calibri" w:hAnsi="Calibri"/>
          <w:color w:val="000000"/>
          <w:sz w:val="27"/>
          <w:szCs w:val="27"/>
        </w:rPr>
        <w:t>. Available at: https://legal.hubspot.com/hubspot-product-and-services-catalog?utm_source=perplexity (Accessed: 18 December 2025).</w:t>
      </w:r>
    </w:p>
    <w:p w14:paraId="7E73B623" w14:textId="77777777" w:rsidR="005E6421" w:rsidRDefault="005E6421">
      <w:pPr>
        <w:pStyle w:val="NormalWeb"/>
        <w:shd w:val="clear" w:color="auto" w:fill="FFFFFF"/>
        <w:rPr>
          <w:rFonts w:ascii="Calibri" w:hAnsi="Calibri"/>
          <w:color w:val="000000"/>
        </w:rPr>
      </w:pPr>
      <w:r>
        <w:rPr>
          <w:rFonts w:ascii="Calibri" w:hAnsi="Calibri"/>
          <w:color w:val="000000"/>
        </w:rPr>
        <w:t>‌</w:t>
      </w:r>
    </w:p>
    <w:p w14:paraId="48204904" w14:textId="77777777" w:rsidR="002B36AD" w:rsidRDefault="002B36AD">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Giglio, R. (2024)</w:t>
      </w:r>
      <w:r>
        <w:rPr>
          <w:rStyle w:val="apple-converted-space"/>
          <w:rFonts w:ascii="Calibri" w:hAnsi="Calibri"/>
          <w:color w:val="000000"/>
          <w:sz w:val="27"/>
          <w:szCs w:val="27"/>
        </w:rPr>
        <w:t> </w:t>
      </w:r>
      <w:r>
        <w:rPr>
          <w:rFonts w:ascii="Calibri" w:hAnsi="Calibri"/>
          <w:i/>
          <w:iCs/>
          <w:color w:val="000000"/>
          <w:sz w:val="27"/>
          <w:szCs w:val="27"/>
        </w:rPr>
        <w:t>Upcoming changes to HubSpot’s pricing</w:t>
      </w:r>
      <w:r>
        <w:rPr>
          <w:rFonts w:ascii="Calibri" w:hAnsi="Calibri"/>
          <w:color w:val="000000"/>
          <w:sz w:val="27"/>
          <w:szCs w:val="27"/>
        </w:rPr>
        <w:t>,</w:t>
      </w:r>
      <w:r>
        <w:rPr>
          <w:rStyle w:val="apple-converted-space"/>
          <w:rFonts w:ascii="Calibri" w:hAnsi="Calibri"/>
          <w:color w:val="000000"/>
          <w:sz w:val="27"/>
          <w:szCs w:val="27"/>
        </w:rPr>
        <w:t> </w:t>
      </w:r>
      <w:r>
        <w:rPr>
          <w:rFonts w:ascii="Calibri" w:hAnsi="Calibri"/>
          <w:i/>
          <w:iCs/>
          <w:color w:val="000000"/>
          <w:sz w:val="27"/>
          <w:szCs w:val="27"/>
        </w:rPr>
        <w:t>Hubspot.com</w:t>
      </w:r>
      <w:r>
        <w:rPr>
          <w:rFonts w:ascii="Calibri" w:hAnsi="Calibri"/>
          <w:color w:val="000000"/>
          <w:sz w:val="27"/>
          <w:szCs w:val="27"/>
        </w:rPr>
        <w:t>. HubSpot. Available at: https://www.hubspot.com/company-news/announcing-upcoming-changes-to-hubspots-pricing?utm_source=perplexity (Accessed: 18 December 2025).</w:t>
      </w:r>
    </w:p>
    <w:p w14:paraId="199DF320" w14:textId="77777777" w:rsidR="002B36AD" w:rsidRDefault="002B36AD">
      <w:pPr>
        <w:pStyle w:val="NormalWeb"/>
        <w:shd w:val="clear" w:color="auto" w:fill="FFFFFF"/>
        <w:rPr>
          <w:rFonts w:ascii="Calibri" w:hAnsi="Calibri"/>
          <w:color w:val="000000"/>
        </w:rPr>
      </w:pPr>
      <w:r>
        <w:rPr>
          <w:rFonts w:ascii="Calibri" w:hAnsi="Calibri"/>
          <w:color w:val="000000"/>
        </w:rPr>
        <w:t>‌</w:t>
      </w:r>
    </w:p>
    <w:p w14:paraId="02688305" w14:textId="3F8CC4F9" w:rsidR="00BD16F3" w:rsidRDefault="00BD16F3">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OECD (2021)</w:t>
      </w:r>
      <w:r>
        <w:rPr>
          <w:rStyle w:val="apple-converted-space"/>
          <w:rFonts w:ascii="Calibri" w:hAnsi="Calibri"/>
          <w:color w:val="000000"/>
          <w:sz w:val="27"/>
          <w:szCs w:val="27"/>
        </w:rPr>
        <w:t> </w:t>
      </w:r>
      <w:r>
        <w:rPr>
          <w:rFonts w:ascii="Calibri" w:hAnsi="Calibri"/>
          <w:i/>
          <w:iCs/>
          <w:color w:val="000000"/>
          <w:sz w:val="27"/>
          <w:szCs w:val="27"/>
        </w:rPr>
        <w:t>The Digital Transformation of SMEs</w:t>
      </w:r>
      <w:r>
        <w:rPr>
          <w:rFonts w:ascii="Calibri" w:hAnsi="Calibri"/>
          <w:color w:val="000000"/>
          <w:sz w:val="27"/>
          <w:szCs w:val="27"/>
        </w:rPr>
        <w:t>,</w:t>
      </w:r>
      <w:r>
        <w:rPr>
          <w:rStyle w:val="apple-converted-space"/>
          <w:rFonts w:ascii="Calibri" w:hAnsi="Calibri"/>
          <w:color w:val="000000"/>
          <w:sz w:val="27"/>
          <w:szCs w:val="27"/>
        </w:rPr>
        <w:t> </w:t>
      </w:r>
      <w:r>
        <w:rPr>
          <w:rFonts w:ascii="Calibri" w:hAnsi="Calibri"/>
          <w:i/>
          <w:iCs/>
          <w:color w:val="000000"/>
          <w:sz w:val="27"/>
          <w:szCs w:val="27"/>
        </w:rPr>
        <w:t>OECD Studies on SMEs and Entrepreneurship</w:t>
      </w:r>
      <w:r>
        <w:rPr>
          <w:rFonts w:ascii="Calibri" w:hAnsi="Calibri"/>
          <w:color w:val="000000"/>
          <w:sz w:val="27"/>
          <w:szCs w:val="27"/>
        </w:rPr>
        <w:t xml:space="preserve">. OECD Publishing. Available at: </w:t>
      </w:r>
      <w:hyperlink r:id="rId8" w:history="1">
        <w:r w:rsidR="009A75B6" w:rsidRPr="00B95F98">
          <w:rPr>
            <w:rStyle w:val="Hyperlink"/>
            <w:rFonts w:ascii="Calibri" w:hAnsi="Calibri"/>
            <w:sz w:val="27"/>
            <w:szCs w:val="27"/>
          </w:rPr>
          <w:t>https://doi.org/10.1787/bdb9256a-en</w:t>
        </w:r>
      </w:hyperlink>
      <w:r>
        <w:rPr>
          <w:rFonts w:ascii="Calibri" w:hAnsi="Calibri"/>
          <w:color w:val="000000"/>
          <w:sz w:val="27"/>
          <w:szCs w:val="27"/>
        </w:rPr>
        <w:t>.</w:t>
      </w:r>
      <w:r w:rsidR="009A75B6">
        <w:rPr>
          <w:rFonts w:ascii="Calibri" w:hAnsi="Calibri"/>
          <w:color w:val="000000"/>
          <w:sz w:val="27"/>
          <w:szCs w:val="27"/>
        </w:rPr>
        <w:t xml:space="preserve"> </w:t>
      </w:r>
    </w:p>
    <w:p w14:paraId="7E770DE3" w14:textId="77777777" w:rsidR="00BD16F3" w:rsidRDefault="00BD16F3">
      <w:pPr>
        <w:pStyle w:val="NormalWeb"/>
        <w:shd w:val="clear" w:color="auto" w:fill="FFFFFF"/>
        <w:rPr>
          <w:rFonts w:ascii="Calibri" w:hAnsi="Calibri"/>
          <w:color w:val="000000"/>
        </w:rPr>
      </w:pPr>
      <w:r>
        <w:rPr>
          <w:rFonts w:ascii="Calibri" w:hAnsi="Calibri"/>
          <w:color w:val="000000"/>
        </w:rPr>
        <w:t>‌</w:t>
      </w:r>
    </w:p>
    <w:p w14:paraId="7ADAE980" w14:textId="77777777" w:rsidR="00D4774D" w:rsidRDefault="00D4774D">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to, A. (2023)</w:t>
      </w:r>
      <w:r>
        <w:rPr>
          <w:rStyle w:val="apple-converted-space"/>
          <w:rFonts w:ascii="Calibri" w:hAnsi="Calibri"/>
          <w:color w:val="000000"/>
          <w:sz w:val="27"/>
          <w:szCs w:val="27"/>
        </w:rPr>
        <w:t> </w:t>
      </w:r>
      <w:r>
        <w:rPr>
          <w:rFonts w:ascii="Calibri" w:hAnsi="Calibri"/>
          <w:i/>
          <w:iCs/>
          <w:color w:val="000000"/>
          <w:sz w:val="27"/>
          <w:szCs w:val="27"/>
        </w:rPr>
        <w:t>Slovak Alliance for Innovation Economy SAPIE</w:t>
      </w:r>
      <w:r>
        <w:rPr>
          <w:rFonts w:ascii="Calibri" w:hAnsi="Calibri"/>
          <w:color w:val="000000"/>
          <w:sz w:val="27"/>
          <w:szCs w:val="27"/>
        </w:rPr>
        <w:t>,</w:t>
      </w:r>
      <w:r>
        <w:rPr>
          <w:rStyle w:val="apple-converted-space"/>
          <w:rFonts w:ascii="Calibri" w:hAnsi="Calibri"/>
          <w:color w:val="000000"/>
          <w:sz w:val="27"/>
          <w:szCs w:val="27"/>
        </w:rPr>
        <w:t> </w:t>
      </w:r>
      <w:r>
        <w:rPr>
          <w:rFonts w:ascii="Calibri" w:hAnsi="Calibri"/>
          <w:i/>
          <w:iCs/>
          <w:color w:val="000000"/>
          <w:sz w:val="27"/>
          <w:szCs w:val="27"/>
        </w:rPr>
        <w:t>Slovak Alliance for Innovation Economy SAPIE</w:t>
      </w:r>
      <w:r>
        <w:rPr>
          <w:rFonts w:ascii="Calibri" w:hAnsi="Calibri"/>
          <w:color w:val="000000"/>
          <w:sz w:val="27"/>
          <w:szCs w:val="27"/>
        </w:rPr>
        <w:t>. Available at: https://sapie.sk/news/oecd-webinar?utm_source=perplexity (Accessed: 18 December 2025).</w:t>
      </w:r>
    </w:p>
    <w:p w14:paraId="3B3CC996" w14:textId="77777777" w:rsidR="00D4774D" w:rsidRDefault="00D4774D">
      <w:pPr>
        <w:pStyle w:val="NormalWeb"/>
        <w:shd w:val="clear" w:color="auto" w:fill="FFFFFF"/>
        <w:rPr>
          <w:rFonts w:ascii="Calibri" w:hAnsi="Calibri"/>
          <w:color w:val="000000"/>
        </w:rPr>
      </w:pPr>
      <w:r>
        <w:rPr>
          <w:rFonts w:ascii="Calibri" w:hAnsi="Calibri"/>
          <w:color w:val="000000"/>
        </w:rPr>
        <w:t>‌</w:t>
      </w:r>
    </w:p>
    <w:p w14:paraId="18719AB9" w14:textId="77777777" w:rsidR="009A75B6" w:rsidRDefault="009A75B6">
      <w:pPr>
        <w:pStyle w:val="NormalWeb"/>
        <w:shd w:val="clear" w:color="auto" w:fill="FFFFFF"/>
        <w:spacing w:before="0" w:beforeAutospacing="0" w:after="0" w:afterAutospacing="0" w:line="360" w:lineRule="atLeast"/>
        <w:rPr>
          <w:rFonts w:ascii="Calibri" w:hAnsi="Calibri"/>
          <w:i/>
          <w:iCs/>
          <w:color w:val="000000"/>
          <w:sz w:val="27"/>
          <w:szCs w:val="27"/>
        </w:rPr>
      </w:pPr>
    </w:p>
    <w:p w14:paraId="71E9ECE7" w14:textId="77777777" w:rsidR="009A75B6" w:rsidRDefault="009A75B6">
      <w:pPr>
        <w:pStyle w:val="NormalWeb"/>
        <w:shd w:val="clear" w:color="auto" w:fill="FFFFFF"/>
        <w:spacing w:before="0" w:beforeAutospacing="0" w:after="0" w:afterAutospacing="0" w:line="360" w:lineRule="atLeast"/>
        <w:rPr>
          <w:rFonts w:ascii="Calibri" w:hAnsi="Calibri"/>
          <w:i/>
          <w:iCs/>
          <w:color w:val="000000"/>
          <w:sz w:val="27"/>
          <w:szCs w:val="27"/>
        </w:rPr>
      </w:pPr>
    </w:p>
    <w:p w14:paraId="4395D5FF" w14:textId="77777777" w:rsidR="009A75B6" w:rsidRDefault="009A75B6">
      <w:pPr>
        <w:pStyle w:val="NormalWeb"/>
        <w:shd w:val="clear" w:color="auto" w:fill="FFFFFF"/>
        <w:spacing w:before="0" w:beforeAutospacing="0" w:after="0" w:afterAutospacing="0" w:line="360" w:lineRule="atLeast"/>
        <w:rPr>
          <w:rFonts w:ascii="Calibri" w:hAnsi="Calibri"/>
          <w:i/>
          <w:iCs/>
          <w:color w:val="000000"/>
          <w:sz w:val="27"/>
          <w:szCs w:val="27"/>
        </w:rPr>
      </w:pPr>
    </w:p>
    <w:p w14:paraId="2A0291BA" w14:textId="77777777" w:rsidR="009A75B6" w:rsidRDefault="009A75B6">
      <w:pPr>
        <w:pStyle w:val="NormalWeb"/>
        <w:shd w:val="clear" w:color="auto" w:fill="FFFFFF"/>
        <w:spacing w:before="0" w:beforeAutospacing="0" w:after="0" w:afterAutospacing="0" w:line="360" w:lineRule="atLeast"/>
        <w:rPr>
          <w:rFonts w:ascii="Calibri" w:hAnsi="Calibri"/>
          <w:i/>
          <w:iCs/>
          <w:color w:val="000000"/>
          <w:sz w:val="27"/>
          <w:szCs w:val="27"/>
        </w:rPr>
      </w:pPr>
    </w:p>
    <w:p w14:paraId="2D1F6079" w14:textId="663F6B41" w:rsidR="00873BF1" w:rsidRDefault="00873BF1">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i/>
          <w:iCs/>
          <w:color w:val="000000"/>
          <w:sz w:val="27"/>
          <w:szCs w:val="27"/>
        </w:rPr>
        <w:lastRenderedPageBreak/>
        <w:t>What is SaaS?</w:t>
      </w:r>
      <w:r>
        <w:rPr>
          <w:rStyle w:val="apple-converted-space"/>
          <w:rFonts w:ascii="Calibri" w:hAnsi="Calibri"/>
          <w:color w:val="000000"/>
          <w:sz w:val="27"/>
          <w:szCs w:val="27"/>
        </w:rPr>
        <w:t> </w:t>
      </w:r>
      <w:r>
        <w:rPr>
          <w:rFonts w:ascii="Calibri" w:hAnsi="Calibri"/>
          <w:color w:val="000000"/>
          <w:sz w:val="27"/>
          <w:szCs w:val="27"/>
        </w:rPr>
        <w:t>(2025)</w:t>
      </w:r>
      <w:r>
        <w:rPr>
          <w:rStyle w:val="apple-converted-space"/>
          <w:rFonts w:ascii="Calibri" w:hAnsi="Calibri"/>
          <w:color w:val="000000"/>
          <w:sz w:val="27"/>
          <w:szCs w:val="27"/>
        </w:rPr>
        <w:t> </w:t>
      </w:r>
      <w:r>
        <w:rPr>
          <w:rFonts w:ascii="Calibri" w:hAnsi="Calibri"/>
          <w:i/>
          <w:iCs/>
          <w:color w:val="000000"/>
          <w:sz w:val="27"/>
          <w:szCs w:val="27"/>
        </w:rPr>
        <w:t>McKinsey &amp; Company</w:t>
      </w:r>
      <w:r>
        <w:rPr>
          <w:rFonts w:ascii="Calibri" w:hAnsi="Calibri"/>
          <w:color w:val="000000"/>
          <w:sz w:val="27"/>
          <w:szCs w:val="27"/>
        </w:rPr>
        <w:t>. Available at: https://www.mckinsey.com/featured-insights/mckinsey-explainers/what-is-saas?utm_source=perplexity (Accessed: 18 December 2025).</w:t>
      </w:r>
    </w:p>
    <w:p w14:paraId="196669AC" w14:textId="77777777" w:rsidR="00E026CC" w:rsidRDefault="00E026CC">
      <w:pPr>
        <w:pStyle w:val="NormalWeb"/>
        <w:shd w:val="clear" w:color="auto" w:fill="FFFFFF"/>
        <w:spacing w:before="0" w:beforeAutospacing="0" w:after="0" w:afterAutospacing="0" w:line="360" w:lineRule="atLeast"/>
        <w:rPr>
          <w:rFonts w:ascii="Calibri" w:hAnsi="Calibri"/>
          <w:color w:val="000000"/>
          <w:sz w:val="27"/>
          <w:szCs w:val="27"/>
        </w:rPr>
      </w:pPr>
    </w:p>
    <w:p w14:paraId="1C3C8630" w14:textId="6A61F1A2" w:rsidR="004033ED" w:rsidRDefault="00873BF1">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sidR="004033ED" w:rsidRPr="004033ED">
        <w:rPr>
          <w:rFonts w:ascii="Calibri" w:hAnsi="Calibri"/>
          <w:color w:val="000000"/>
          <w:sz w:val="27"/>
          <w:szCs w:val="27"/>
        </w:rPr>
        <w:t xml:space="preserve"> </w:t>
      </w:r>
      <w:r w:rsidR="004033ED">
        <w:rPr>
          <w:rFonts w:ascii="Calibri" w:hAnsi="Calibri"/>
          <w:color w:val="000000"/>
          <w:sz w:val="27"/>
          <w:szCs w:val="27"/>
        </w:rPr>
        <w:t>Mitchell, C. (2024)</w:t>
      </w:r>
      <w:r w:rsidR="004033ED">
        <w:rPr>
          <w:rStyle w:val="apple-converted-space"/>
          <w:rFonts w:ascii="Calibri" w:hAnsi="Calibri"/>
          <w:color w:val="000000"/>
          <w:sz w:val="27"/>
          <w:szCs w:val="27"/>
        </w:rPr>
        <w:t> </w:t>
      </w:r>
      <w:r w:rsidR="004033ED">
        <w:rPr>
          <w:rFonts w:ascii="Calibri" w:hAnsi="Calibri"/>
          <w:i/>
          <w:iCs/>
          <w:color w:val="000000"/>
          <w:sz w:val="27"/>
          <w:szCs w:val="27"/>
        </w:rPr>
        <w:t>Gartner Magic Quadrant for CRM Customer Engagement Center (CEC) 2024: The Rundown</w:t>
      </w:r>
      <w:r w:rsidR="004033ED">
        <w:rPr>
          <w:rFonts w:ascii="Calibri" w:hAnsi="Calibri"/>
          <w:color w:val="000000"/>
          <w:sz w:val="27"/>
          <w:szCs w:val="27"/>
        </w:rPr>
        <w:t>,</w:t>
      </w:r>
      <w:r w:rsidR="004033ED">
        <w:rPr>
          <w:rStyle w:val="apple-converted-space"/>
          <w:rFonts w:ascii="Calibri" w:hAnsi="Calibri"/>
          <w:color w:val="000000"/>
          <w:sz w:val="27"/>
          <w:szCs w:val="27"/>
        </w:rPr>
        <w:t> </w:t>
      </w:r>
      <w:r w:rsidR="004033ED">
        <w:rPr>
          <w:rFonts w:ascii="Calibri" w:hAnsi="Calibri"/>
          <w:i/>
          <w:iCs/>
          <w:color w:val="000000"/>
          <w:sz w:val="27"/>
          <w:szCs w:val="27"/>
        </w:rPr>
        <w:t>CX Today</w:t>
      </w:r>
      <w:r w:rsidR="004033ED">
        <w:rPr>
          <w:rFonts w:ascii="Calibri" w:hAnsi="Calibri"/>
          <w:color w:val="000000"/>
          <w:sz w:val="27"/>
          <w:szCs w:val="27"/>
        </w:rPr>
        <w:t>. Available at: https://www.cxtoday.com/crm/gartner-magic-quadrant-for-crm-customer-engagement-center-cec-2024-the-rundown/?utm_source=perplexity (Accessed: 18 December 2025).</w:t>
      </w:r>
    </w:p>
    <w:p w14:paraId="5B0AB6E4" w14:textId="77777777" w:rsidR="0085722D" w:rsidRDefault="0085722D">
      <w:pPr>
        <w:pStyle w:val="NormalWeb"/>
        <w:shd w:val="clear" w:color="auto" w:fill="FFFFFF"/>
        <w:spacing w:before="0" w:beforeAutospacing="0" w:after="0" w:afterAutospacing="0" w:line="360" w:lineRule="atLeast"/>
        <w:rPr>
          <w:rFonts w:ascii="Calibri" w:hAnsi="Calibri"/>
          <w:color w:val="000000"/>
          <w:sz w:val="27"/>
          <w:szCs w:val="27"/>
        </w:rPr>
      </w:pPr>
    </w:p>
    <w:p w14:paraId="287EC8DD" w14:textId="4A36F38E" w:rsidR="0085722D" w:rsidRDefault="004033ED">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sidR="0085722D" w:rsidRPr="0085722D">
        <w:rPr>
          <w:rFonts w:ascii="Calibri" w:hAnsi="Calibri"/>
          <w:color w:val="000000"/>
          <w:sz w:val="27"/>
          <w:szCs w:val="27"/>
        </w:rPr>
        <w:t xml:space="preserve"> </w:t>
      </w:r>
      <w:r w:rsidR="0085722D">
        <w:rPr>
          <w:rFonts w:ascii="Calibri" w:hAnsi="Calibri"/>
          <w:color w:val="000000"/>
          <w:sz w:val="27"/>
          <w:szCs w:val="27"/>
        </w:rPr>
        <w:t>Mansfield, A. (2023)</w:t>
      </w:r>
      <w:r w:rsidR="0085722D">
        <w:rPr>
          <w:rStyle w:val="apple-converted-space"/>
          <w:rFonts w:ascii="Calibri" w:hAnsi="Calibri"/>
          <w:color w:val="000000"/>
          <w:sz w:val="27"/>
          <w:szCs w:val="27"/>
        </w:rPr>
        <w:t> </w:t>
      </w:r>
      <w:r w:rsidR="0085722D">
        <w:rPr>
          <w:rFonts w:ascii="Calibri" w:hAnsi="Calibri"/>
          <w:i/>
          <w:iCs/>
          <w:color w:val="000000"/>
          <w:sz w:val="27"/>
          <w:szCs w:val="27"/>
        </w:rPr>
        <w:t>Microsoft 365 Copilot: What Enterprise Customers Need to Know - UpperEdge</w:t>
      </w:r>
      <w:r w:rsidR="0085722D">
        <w:rPr>
          <w:rFonts w:ascii="Calibri" w:hAnsi="Calibri"/>
          <w:color w:val="000000"/>
          <w:sz w:val="27"/>
          <w:szCs w:val="27"/>
        </w:rPr>
        <w:t>,</w:t>
      </w:r>
      <w:r w:rsidR="0085722D">
        <w:rPr>
          <w:rStyle w:val="apple-converted-space"/>
          <w:rFonts w:ascii="Calibri" w:hAnsi="Calibri"/>
          <w:color w:val="000000"/>
          <w:sz w:val="27"/>
          <w:szCs w:val="27"/>
        </w:rPr>
        <w:t> </w:t>
      </w:r>
      <w:r w:rsidR="0085722D">
        <w:rPr>
          <w:rFonts w:ascii="Calibri" w:hAnsi="Calibri"/>
          <w:i/>
          <w:iCs/>
          <w:color w:val="000000"/>
          <w:sz w:val="27"/>
          <w:szCs w:val="27"/>
        </w:rPr>
        <w:t>UpperEdge</w:t>
      </w:r>
      <w:r w:rsidR="0085722D">
        <w:rPr>
          <w:rFonts w:ascii="Calibri" w:hAnsi="Calibri"/>
          <w:color w:val="000000"/>
          <w:sz w:val="27"/>
          <w:szCs w:val="27"/>
        </w:rPr>
        <w:t>. Available at: https://upperedge.com/microsoft/microsoft-365-copilot-what-enterprise-customers-need-to-know/?utm_source=perplexity (Accessed: 18 December 2025).</w:t>
      </w:r>
    </w:p>
    <w:p w14:paraId="5295649A" w14:textId="77777777" w:rsidR="00BB7221" w:rsidRDefault="00BB7221">
      <w:pPr>
        <w:pStyle w:val="NormalWeb"/>
        <w:shd w:val="clear" w:color="auto" w:fill="FFFFFF"/>
        <w:spacing w:before="0" w:beforeAutospacing="0" w:after="0" w:afterAutospacing="0" w:line="360" w:lineRule="atLeast"/>
        <w:rPr>
          <w:rFonts w:ascii="Calibri" w:hAnsi="Calibri"/>
          <w:color w:val="000000"/>
          <w:sz w:val="27"/>
          <w:szCs w:val="27"/>
        </w:rPr>
      </w:pPr>
    </w:p>
    <w:p w14:paraId="7280FA52" w14:textId="3E8BD600" w:rsidR="00BB7221" w:rsidRDefault="0085722D" w:rsidP="00CF30F3">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sidR="00BB7221" w:rsidRPr="00BB7221">
        <w:rPr>
          <w:rFonts w:ascii="Calibri" w:hAnsi="Calibri"/>
          <w:color w:val="000000"/>
          <w:sz w:val="27"/>
          <w:szCs w:val="27"/>
        </w:rPr>
        <w:t xml:space="preserve"> </w:t>
      </w:r>
      <w:r w:rsidR="00BB7221">
        <w:rPr>
          <w:rFonts w:ascii="Calibri" w:hAnsi="Calibri"/>
          <w:color w:val="000000"/>
          <w:sz w:val="27"/>
          <w:szCs w:val="27"/>
        </w:rPr>
        <w:t>Grigoryan, S. (2024)</w:t>
      </w:r>
      <w:r w:rsidR="00BB7221">
        <w:rPr>
          <w:rStyle w:val="apple-converted-space"/>
          <w:rFonts w:ascii="Calibri" w:hAnsi="Calibri"/>
          <w:color w:val="000000"/>
          <w:sz w:val="27"/>
          <w:szCs w:val="27"/>
        </w:rPr>
        <w:t> </w:t>
      </w:r>
      <w:r w:rsidR="00BB7221">
        <w:rPr>
          <w:rFonts w:ascii="Calibri" w:hAnsi="Calibri"/>
          <w:i/>
          <w:iCs/>
          <w:color w:val="000000"/>
          <w:sz w:val="27"/>
          <w:szCs w:val="27"/>
        </w:rPr>
        <w:t>Product-Led Growth Strategy Decoded: Definition, Examples and Strategies</w:t>
      </w:r>
      <w:r w:rsidR="00BB7221">
        <w:rPr>
          <w:rFonts w:ascii="Calibri" w:hAnsi="Calibri"/>
          <w:color w:val="000000"/>
          <w:sz w:val="27"/>
          <w:szCs w:val="27"/>
        </w:rPr>
        <w:t>,</w:t>
      </w:r>
      <w:r w:rsidR="00BB7221">
        <w:rPr>
          <w:rStyle w:val="apple-converted-space"/>
          <w:rFonts w:ascii="Calibri" w:hAnsi="Calibri"/>
          <w:color w:val="000000"/>
          <w:sz w:val="27"/>
          <w:szCs w:val="27"/>
        </w:rPr>
        <w:t> </w:t>
      </w:r>
      <w:r w:rsidR="00BB7221">
        <w:rPr>
          <w:rFonts w:ascii="Calibri" w:hAnsi="Calibri"/>
          <w:i/>
          <w:iCs/>
          <w:color w:val="000000"/>
          <w:sz w:val="27"/>
          <w:szCs w:val="27"/>
        </w:rPr>
        <w:t>Thoughts about Product Adoption, User Onboarding and Good UX | Userpilot Blog</w:t>
      </w:r>
      <w:r w:rsidR="00BB7221">
        <w:rPr>
          <w:rFonts w:ascii="Calibri" w:hAnsi="Calibri"/>
          <w:color w:val="000000"/>
          <w:sz w:val="27"/>
          <w:szCs w:val="27"/>
        </w:rPr>
        <w:t>. Userpilot. Available at: https://userpilot.com/blog/product-led-growth-strategy/?utm_source=perplexity (Accessed: 18 December 2025).</w:t>
      </w:r>
    </w:p>
    <w:p w14:paraId="3578AC6C" w14:textId="77777777" w:rsidR="00CF30F3" w:rsidRPr="00CF30F3" w:rsidRDefault="00CF30F3" w:rsidP="00CF30F3">
      <w:pPr>
        <w:pStyle w:val="NormalWeb"/>
        <w:shd w:val="clear" w:color="auto" w:fill="FFFFFF"/>
        <w:spacing w:before="0" w:beforeAutospacing="0" w:after="0" w:afterAutospacing="0" w:line="360" w:lineRule="atLeast"/>
        <w:rPr>
          <w:rFonts w:ascii="Calibri" w:hAnsi="Calibri"/>
          <w:color w:val="000000"/>
          <w:sz w:val="27"/>
          <w:szCs w:val="27"/>
        </w:rPr>
      </w:pPr>
    </w:p>
    <w:p w14:paraId="64431D09" w14:textId="77777777" w:rsidR="00CF30F3" w:rsidRDefault="00CF30F3">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i/>
          <w:iCs/>
          <w:color w:val="000000"/>
          <w:sz w:val="27"/>
          <w:szCs w:val="27"/>
        </w:rPr>
        <w:t>HUBSPOT 2023 SUSTAINABILITY REPORT 2023 Sustainability Report HUBSPOT 2023 SUSTAINABILITY REPORT Table of Contents</w:t>
      </w:r>
      <w:r>
        <w:rPr>
          <w:rStyle w:val="apple-converted-space"/>
          <w:rFonts w:ascii="Calibri" w:hAnsi="Calibri"/>
          <w:color w:val="000000"/>
          <w:sz w:val="27"/>
          <w:szCs w:val="27"/>
        </w:rPr>
        <w:t> </w:t>
      </w:r>
      <w:r>
        <w:rPr>
          <w:rFonts w:ascii="Calibri" w:hAnsi="Calibri"/>
          <w:color w:val="000000"/>
          <w:sz w:val="27"/>
          <w:szCs w:val="27"/>
        </w:rPr>
        <w:t>(no date). Available at: https://www.hubspot.com/hubfs/HubSpot%202023%20Sustainability%20Report_FINAL.pdf?utm_source=perplexity (Accessed: 18 December 2025).</w:t>
      </w:r>
    </w:p>
    <w:p w14:paraId="7DBDBCEE" w14:textId="77777777" w:rsidR="00CF30F3" w:rsidRDefault="00CF30F3">
      <w:pPr>
        <w:pStyle w:val="NormalWeb"/>
        <w:shd w:val="clear" w:color="auto" w:fill="FFFFFF"/>
        <w:rPr>
          <w:rFonts w:ascii="Calibri" w:hAnsi="Calibri"/>
          <w:color w:val="000000"/>
        </w:rPr>
      </w:pPr>
      <w:r>
        <w:rPr>
          <w:rFonts w:ascii="Calibri" w:hAnsi="Calibri"/>
          <w:color w:val="000000"/>
        </w:rPr>
        <w:t>‌</w:t>
      </w:r>
    </w:p>
    <w:p w14:paraId="077F207F" w14:textId="77777777" w:rsidR="00C354F8" w:rsidRDefault="00C354F8">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i/>
          <w:iCs/>
          <w:color w:val="000000"/>
          <w:sz w:val="27"/>
          <w:szCs w:val="27"/>
        </w:rPr>
        <w:t>OECD SME and Entrepreneurship Outlook 2023</w:t>
      </w:r>
      <w:r>
        <w:rPr>
          <w:rStyle w:val="apple-converted-space"/>
          <w:rFonts w:ascii="Calibri" w:hAnsi="Calibri"/>
          <w:color w:val="000000"/>
          <w:sz w:val="27"/>
          <w:szCs w:val="27"/>
        </w:rPr>
        <w:t> </w:t>
      </w:r>
      <w:r>
        <w:rPr>
          <w:rFonts w:ascii="Calibri" w:hAnsi="Calibri"/>
          <w:color w:val="000000"/>
          <w:sz w:val="27"/>
          <w:szCs w:val="27"/>
        </w:rPr>
        <w:t>(no date). Available at: https://www.oecd.org/content/dam/oecd/en/publications/reports/2023/06/oecd-sme-and-entrepreneurship-outlook-2023_c5ac21d0/342b8564-en.pdf?utm_source=perplexity (Accessed: 18 December 2025).</w:t>
      </w:r>
    </w:p>
    <w:p w14:paraId="330E6AC0" w14:textId="77777777" w:rsidR="00C354F8" w:rsidRDefault="00C354F8">
      <w:pPr>
        <w:pStyle w:val="NormalWeb"/>
        <w:shd w:val="clear" w:color="auto" w:fill="FFFFFF"/>
        <w:rPr>
          <w:rFonts w:ascii="Calibri" w:hAnsi="Calibri"/>
          <w:color w:val="000000"/>
        </w:rPr>
      </w:pPr>
      <w:r>
        <w:rPr>
          <w:rFonts w:ascii="Calibri" w:hAnsi="Calibri"/>
          <w:color w:val="000000"/>
        </w:rPr>
        <w:t>‌</w:t>
      </w:r>
    </w:p>
    <w:p w14:paraId="1076BC4D" w14:textId="77777777" w:rsidR="00CF30F3" w:rsidRDefault="00CF30F3">
      <w:pPr>
        <w:pStyle w:val="NormalWeb"/>
        <w:shd w:val="clear" w:color="auto" w:fill="FFFFFF"/>
        <w:rPr>
          <w:rFonts w:ascii="Calibri" w:hAnsi="Calibri"/>
          <w:color w:val="000000"/>
        </w:rPr>
      </w:pPr>
    </w:p>
    <w:p w14:paraId="22EC8441" w14:textId="59100570" w:rsidR="0085722D" w:rsidRDefault="0085722D">
      <w:pPr>
        <w:pStyle w:val="NormalWeb"/>
        <w:shd w:val="clear" w:color="auto" w:fill="FFFFFF"/>
        <w:rPr>
          <w:rFonts w:ascii="Calibri" w:hAnsi="Calibri"/>
          <w:color w:val="000000"/>
        </w:rPr>
      </w:pPr>
    </w:p>
    <w:p w14:paraId="5C926B9F" w14:textId="7CB6A3B5" w:rsidR="005E19BF" w:rsidRPr="00306E57" w:rsidRDefault="005E19BF" w:rsidP="00306E57">
      <w:pPr>
        <w:pStyle w:val="NormalWeb"/>
        <w:shd w:val="clear" w:color="auto" w:fill="FFFFFF"/>
        <w:rPr>
          <w:rFonts w:ascii="Calibri" w:hAnsi="Calibri"/>
          <w:color w:val="000000"/>
        </w:rPr>
      </w:pPr>
    </w:p>
    <w:sectPr w:rsidR="005E19BF" w:rsidRPr="00306E57" w:rsidSect="00E07719">
      <w:footerReference w:type="even" r:id="rId9"/>
      <w:footerReference w:type="default" r:id="rId10"/>
      <w:pgSz w:w="11906" w:h="16838"/>
      <w:pgMar w:top="5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1F2E2" w14:textId="77777777" w:rsidR="003E641C" w:rsidRDefault="003E641C" w:rsidP="005E19BF">
      <w:pPr>
        <w:spacing w:after="0" w:line="240" w:lineRule="auto"/>
      </w:pPr>
      <w:r>
        <w:separator/>
      </w:r>
    </w:p>
  </w:endnote>
  <w:endnote w:type="continuationSeparator" w:id="0">
    <w:p w14:paraId="71BE0497" w14:textId="77777777" w:rsidR="003E641C" w:rsidRDefault="003E641C" w:rsidP="005E1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0720662"/>
      <w:docPartObj>
        <w:docPartGallery w:val="Page Numbers (Bottom of Page)"/>
        <w:docPartUnique/>
      </w:docPartObj>
    </w:sdtPr>
    <w:sdtEndPr>
      <w:rPr>
        <w:rStyle w:val="PageNumber"/>
      </w:rPr>
    </w:sdtEndPr>
    <w:sdtContent>
      <w:p w14:paraId="46477920" w14:textId="4A3BE499" w:rsidR="005E19BF" w:rsidRDefault="005E19BF" w:rsidP="005E19B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DE5B13" w14:textId="77777777" w:rsidR="005E19BF" w:rsidRDefault="005E19BF" w:rsidP="005E19B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6936415"/>
      <w:docPartObj>
        <w:docPartGallery w:val="Page Numbers (Bottom of Page)"/>
        <w:docPartUnique/>
      </w:docPartObj>
    </w:sdtPr>
    <w:sdtEndPr>
      <w:rPr>
        <w:rStyle w:val="PageNumber"/>
      </w:rPr>
    </w:sdtEndPr>
    <w:sdtContent>
      <w:p w14:paraId="28E1CE7A" w14:textId="312E38C3" w:rsidR="005E19BF" w:rsidRDefault="005E19BF" w:rsidP="00B95F9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BC3D47" w14:textId="77777777" w:rsidR="005E19BF" w:rsidRDefault="005E19BF" w:rsidP="005E19B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9BFCE" w14:textId="77777777" w:rsidR="003E641C" w:rsidRDefault="003E641C" w:rsidP="005E19BF">
      <w:pPr>
        <w:spacing w:after="0" w:line="240" w:lineRule="auto"/>
      </w:pPr>
      <w:r>
        <w:separator/>
      </w:r>
    </w:p>
  </w:footnote>
  <w:footnote w:type="continuationSeparator" w:id="0">
    <w:p w14:paraId="76515ED9" w14:textId="77777777" w:rsidR="003E641C" w:rsidRDefault="003E641C" w:rsidP="005E19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71ECE"/>
    <w:multiLevelType w:val="hybridMultilevel"/>
    <w:tmpl w:val="96B4F6B8"/>
    <w:lvl w:ilvl="0" w:tplc="9708AA9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7017C8"/>
    <w:multiLevelType w:val="hybridMultilevel"/>
    <w:tmpl w:val="A6A210DE"/>
    <w:lvl w:ilvl="0" w:tplc="FFFFFFFF">
      <w:numFmt w:val="bullet"/>
      <w:lvlText w:val="-"/>
      <w:lvlJc w:val="left"/>
      <w:pPr>
        <w:ind w:left="1080" w:hanging="360"/>
      </w:pPr>
      <w:rPr>
        <w:rFonts w:ascii="Aptos" w:eastAsiaTheme="minorEastAsia" w:hAnsi="Aptos" w:cstheme="minorBidi"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5463849">
    <w:abstractNumId w:val="0"/>
  </w:num>
  <w:num w:numId="2" w16cid:durableId="2137215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9BF"/>
    <w:rsid w:val="00000245"/>
    <w:rsid w:val="00005FC6"/>
    <w:rsid w:val="000064F0"/>
    <w:rsid w:val="000754B7"/>
    <w:rsid w:val="00076C5A"/>
    <w:rsid w:val="000A5130"/>
    <w:rsid w:val="000D3CA6"/>
    <w:rsid w:val="0013605A"/>
    <w:rsid w:val="00136E6E"/>
    <w:rsid w:val="001718DB"/>
    <w:rsid w:val="00193E46"/>
    <w:rsid w:val="001B6556"/>
    <w:rsid w:val="001F6C93"/>
    <w:rsid w:val="002002C0"/>
    <w:rsid w:val="0020245B"/>
    <w:rsid w:val="0023372E"/>
    <w:rsid w:val="00240DC2"/>
    <w:rsid w:val="00251BE5"/>
    <w:rsid w:val="00254963"/>
    <w:rsid w:val="002B36AD"/>
    <w:rsid w:val="002B5836"/>
    <w:rsid w:val="002F7B65"/>
    <w:rsid w:val="002F7D29"/>
    <w:rsid w:val="00305A14"/>
    <w:rsid w:val="00306E57"/>
    <w:rsid w:val="00335969"/>
    <w:rsid w:val="00336409"/>
    <w:rsid w:val="00353E1D"/>
    <w:rsid w:val="003627B2"/>
    <w:rsid w:val="003C0C4F"/>
    <w:rsid w:val="003E641C"/>
    <w:rsid w:val="004033ED"/>
    <w:rsid w:val="00404BA7"/>
    <w:rsid w:val="00444E18"/>
    <w:rsid w:val="004B0CF4"/>
    <w:rsid w:val="004C35E2"/>
    <w:rsid w:val="004C724A"/>
    <w:rsid w:val="004E448F"/>
    <w:rsid w:val="005522ED"/>
    <w:rsid w:val="0059097D"/>
    <w:rsid w:val="00594BB4"/>
    <w:rsid w:val="00597221"/>
    <w:rsid w:val="005C372F"/>
    <w:rsid w:val="005E19BF"/>
    <w:rsid w:val="005E56D7"/>
    <w:rsid w:val="005E6421"/>
    <w:rsid w:val="0060355A"/>
    <w:rsid w:val="00664E29"/>
    <w:rsid w:val="006A0A33"/>
    <w:rsid w:val="006A1800"/>
    <w:rsid w:val="006A5871"/>
    <w:rsid w:val="006B652C"/>
    <w:rsid w:val="006B7209"/>
    <w:rsid w:val="00730708"/>
    <w:rsid w:val="007641B4"/>
    <w:rsid w:val="007B0093"/>
    <w:rsid w:val="007D715E"/>
    <w:rsid w:val="008424BF"/>
    <w:rsid w:val="0085722D"/>
    <w:rsid w:val="00873BF1"/>
    <w:rsid w:val="00927AB8"/>
    <w:rsid w:val="00977976"/>
    <w:rsid w:val="009A75B6"/>
    <w:rsid w:val="009F129C"/>
    <w:rsid w:val="00A06749"/>
    <w:rsid w:val="00A45BF5"/>
    <w:rsid w:val="00AD063F"/>
    <w:rsid w:val="00AD7503"/>
    <w:rsid w:val="00AE1E0F"/>
    <w:rsid w:val="00AE4B42"/>
    <w:rsid w:val="00AE7C3E"/>
    <w:rsid w:val="00B26570"/>
    <w:rsid w:val="00B81CCF"/>
    <w:rsid w:val="00BA1AD1"/>
    <w:rsid w:val="00BB7221"/>
    <w:rsid w:val="00BC6E62"/>
    <w:rsid w:val="00BD0DF5"/>
    <w:rsid w:val="00BD16F3"/>
    <w:rsid w:val="00BD20AD"/>
    <w:rsid w:val="00BE2C4A"/>
    <w:rsid w:val="00BF551D"/>
    <w:rsid w:val="00C03CEE"/>
    <w:rsid w:val="00C27C85"/>
    <w:rsid w:val="00C34AD6"/>
    <w:rsid w:val="00C354F8"/>
    <w:rsid w:val="00C43E11"/>
    <w:rsid w:val="00C9549A"/>
    <w:rsid w:val="00CB3293"/>
    <w:rsid w:val="00CC5DB4"/>
    <w:rsid w:val="00CF30F3"/>
    <w:rsid w:val="00D4774D"/>
    <w:rsid w:val="00D529E8"/>
    <w:rsid w:val="00D56F64"/>
    <w:rsid w:val="00DD733C"/>
    <w:rsid w:val="00DF01E6"/>
    <w:rsid w:val="00DF4264"/>
    <w:rsid w:val="00E026CC"/>
    <w:rsid w:val="00E07719"/>
    <w:rsid w:val="00E427B1"/>
    <w:rsid w:val="00E4482E"/>
    <w:rsid w:val="00E665C1"/>
    <w:rsid w:val="00EA45DC"/>
    <w:rsid w:val="00EB2B89"/>
    <w:rsid w:val="00EF6416"/>
    <w:rsid w:val="00F3415D"/>
    <w:rsid w:val="00F56F6A"/>
    <w:rsid w:val="00F70EE1"/>
    <w:rsid w:val="00F91487"/>
    <w:rsid w:val="00F955D6"/>
    <w:rsid w:val="00FB4CF2"/>
    <w:rsid w:val="00FC3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ACF77A"/>
  <w15:chartTrackingRefBased/>
  <w15:docId w15:val="{00E89BF8-7DFD-3C48-ADE6-C4E300ED6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1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1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9BF"/>
    <w:rPr>
      <w:rFonts w:eastAsiaTheme="majorEastAsia" w:cstheme="majorBidi"/>
      <w:color w:val="272727" w:themeColor="text1" w:themeTint="D8"/>
    </w:rPr>
  </w:style>
  <w:style w:type="paragraph" w:styleId="Title">
    <w:name w:val="Title"/>
    <w:basedOn w:val="Normal"/>
    <w:next w:val="Normal"/>
    <w:link w:val="TitleChar"/>
    <w:uiPriority w:val="10"/>
    <w:qFormat/>
    <w:rsid w:val="005E1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9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9BF"/>
    <w:pPr>
      <w:spacing w:before="160"/>
      <w:jc w:val="center"/>
    </w:pPr>
    <w:rPr>
      <w:i/>
      <w:iCs/>
      <w:color w:val="404040" w:themeColor="text1" w:themeTint="BF"/>
    </w:rPr>
  </w:style>
  <w:style w:type="character" w:customStyle="1" w:styleId="QuoteChar">
    <w:name w:val="Quote Char"/>
    <w:basedOn w:val="DefaultParagraphFont"/>
    <w:link w:val="Quote"/>
    <w:uiPriority w:val="29"/>
    <w:rsid w:val="005E19BF"/>
    <w:rPr>
      <w:i/>
      <w:iCs/>
      <w:color w:val="404040" w:themeColor="text1" w:themeTint="BF"/>
    </w:rPr>
  </w:style>
  <w:style w:type="paragraph" w:styleId="ListParagraph">
    <w:name w:val="List Paragraph"/>
    <w:basedOn w:val="Normal"/>
    <w:uiPriority w:val="34"/>
    <w:qFormat/>
    <w:rsid w:val="005E19BF"/>
    <w:pPr>
      <w:ind w:left="720"/>
      <w:contextualSpacing/>
    </w:pPr>
  </w:style>
  <w:style w:type="character" w:styleId="IntenseEmphasis">
    <w:name w:val="Intense Emphasis"/>
    <w:basedOn w:val="DefaultParagraphFont"/>
    <w:uiPriority w:val="21"/>
    <w:qFormat/>
    <w:rsid w:val="005E19BF"/>
    <w:rPr>
      <w:i/>
      <w:iCs/>
      <w:color w:val="0F4761" w:themeColor="accent1" w:themeShade="BF"/>
    </w:rPr>
  </w:style>
  <w:style w:type="paragraph" w:styleId="IntenseQuote">
    <w:name w:val="Intense Quote"/>
    <w:basedOn w:val="Normal"/>
    <w:next w:val="Normal"/>
    <w:link w:val="IntenseQuoteChar"/>
    <w:uiPriority w:val="30"/>
    <w:qFormat/>
    <w:rsid w:val="005E1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9BF"/>
    <w:rPr>
      <w:i/>
      <w:iCs/>
      <w:color w:val="0F4761" w:themeColor="accent1" w:themeShade="BF"/>
    </w:rPr>
  </w:style>
  <w:style w:type="character" w:styleId="IntenseReference">
    <w:name w:val="Intense Reference"/>
    <w:basedOn w:val="DefaultParagraphFont"/>
    <w:uiPriority w:val="32"/>
    <w:qFormat/>
    <w:rsid w:val="005E19BF"/>
    <w:rPr>
      <w:b/>
      <w:bCs/>
      <w:smallCaps/>
      <w:color w:val="0F4761" w:themeColor="accent1" w:themeShade="BF"/>
      <w:spacing w:val="5"/>
    </w:rPr>
  </w:style>
  <w:style w:type="paragraph" w:styleId="Header">
    <w:name w:val="header"/>
    <w:basedOn w:val="Normal"/>
    <w:link w:val="HeaderChar"/>
    <w:uiPriority w:val="99"/>
    <w:unhideWhenUsed/>
    <w:rsid w:val="005E1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9BF"/>
  </w:style>
  <w:style w:type="paragraph" w:styleId="Footer">
    <w:name w:val="footer"/>
    <w:basedOn w:val="Normal"/>
    <w:link w:val="FooterChar"/>
    <w:uiPriority w:val="99"/>
    <w:unhideWhenUsed/>
    <w:rsid w:val="005E1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9BF"/>
  </w:style>
  <w:style w:type="character" w:styleId="PageNumber">
    <w:name w:val="page number"/>
    <w:basedOn w:val="DefaultParagraphFont"/>
    <w:uiPriority w:val="99"/>
    <w:semiHidden/>
    <w:unhideWhenUsed/>
    <w:rsid w:val="005E19BF"/>
  </w:style>
  <w:style w:type="paragraph" w:customStyle="1" w:styleId="p1">
    <w:name w:val="p1"/>
    <w:basedOn w:val="Normal"/>
    <w:rsid w:val="00E0771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07719"/>
    <w:rPr>
      <w:rFonts w:ascii="Helvetica" w:hAnsi="Helvetica" w:hint="default"/>
      <w:b w:val="0"/>
      <w:bCs w:val="0"/>
      <w:i w:val="0"/>
      <w:iCs w:val="0"/>
      <w:sz w:val="18"/>
      <w:szCs w:val="18"/>
    </w:rPr>
  </w:style>
  <w:style w:type="paragraph" w:styleId="TOCHeading">
    <w:name w:val="TOC Heading"/>
    <w:basedOn w:val="Heading1"/>
    <w:next w:val="Normal"/>
    <w:uiPriority w:val="39"/>
    <w:unhideWhenUsed/>
    <w:qFormat/>
    <w:rsid w:val="00E07719"/>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07719"/>
    <w:pPr>
      <w:spacing w:after="100"/>
    </w:pPr>
  </w:style>
  <w:style w:type="character" w:styleId="Hyperlink">
    <w:name w:val="Hyperlink"/>
    <w:basedOn w:val="DefaultParagraphFont"/>
    <w:uiPriority w:val="99"/>
    <w:unhideWhenUsed/>
    <w:rsid w:val="00E07719"/>
    <w:rPr>
      <w:color w:val="467886" w:themeColor="hyperlink"/>
      <w:u w:val="single"/>
    </w:rPr>
  </w:style>
  <w:style w:type="table" w:styleId="TableGrid">
    <w:name w:val="Table Grid"/>
    <w:basedOn w:val="TableNormal"/>
    <w:uiPriority w:val="39"/>
    <w:rsid w:val="00E07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2">
    <w:name w:val="p2"/>
    <w:basedOn w:val="Normal"/>
    <w:rsid w:val="00E07719"/>
    <w:pPr>
      <w:spacing w:after="0" w:line="240" w:lineRule="auto"/>
    </w:pPr>
    <w:rPr>
      <w:rFonts w:ascii="Helvetica" w:hAnsi="Helvetica" w:cs="Times New Roman"/>
      <w:kern w:val="0"/>
      <w:sz w:val="18"/>
      <w:szCs w:val="18"/>
      <w14:ligatures w14:val="none"/>
    </w:rPr>
  </w:style>
  <w:style w:type="paragraph" w:styleId="NormalWeb">
    <w:name w:val="Normal (Web)"/>
    <w:basedOn w:val="Normal"/>
    <w:uiPriority w:val="99"/>
    <w:unhideWhenUsed/>
    <w:rsid w:val="001F6C9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F6C93"/>
  </w:style>
  <w:style w:type="character" w:styleId="UnresolvedMention">
    <w:name w:val="Unresolved Mention"/>
    <w:basedOn w:val="DefaultParagraphFont"/>
    <w:uiPriority w:val="99"/>
    <w:semiHidden/>
    <w:unhideWhenUsed/>
    <w:rsid w:val="00873BF1"/>
    <w:rPr>
      <w:color w:val="605E5C"/>
      <w:shd w:val="clear" w:color="auto" w:fill="E1DFDD"/>
    </w:rPr>
  </w:style>
  <w:style w:type="paragraph" w:styleId="TOC2">
    <w:name w:val="toc 2"/>
    <w:basedOn w:val="Normal"/>
    <w:next w:val="Normal"/>
    <w:autoRedefine/>
    <w:uiPriority w:val="39"/>
    <w:unhideWhenUsed/>
    <w:rsid w:val="00136E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87/bdb9256a-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4251</Words>
  <Characters>24233</Characters>
  <Application>Microsoft Office Word</Application>
  <DocSecurity>0</DocSecurity>
  <Lines>201</Lines>
  <Paragraphs>56</Paragraphs>
  <ScaleCrop>false</ScaleCrop>
  <Company/>
  <LinksUpToDate>false</LinksUpToDate>
  <CharactersWithSpaces>28428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Rezai (2317544)</dc:creator>
  <cp:keywords/>
  <dc:description/>
  <cp:lastModifiedBy>Helen Rezai (2317544)</cp:lastModifiedBy>
  <cp:revision>2</cp:revision>
  <dcterms:created xsi:type="dcterms:W3CDTF">2025-12-19T02:36:00Z</dcterms:created>
  <dcterms:modified xsi:type="dcterms:W3CDTF">2025-12-19T02:36:00Z</dcterms:modified>
</cp:coreProperties>
</file>