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BEA1BD" w14:textId="77777777" w:rsidR="00361EF4" w:rsidRDefault="00361EF4" w:rsidP="00361EF4">
      <w:pPr>
        <w:spacing w:line="360" w:lineRule="auto"/>
        <w:rPr>
          <w:rFonts w:ascii="Arial" w:hAnsi="Arial" w:cs="Arial"/>
          <w:sz w:val="22"/>
          <w:szCs w:val="22"/>
        </w:rPr>
      </w:pPr>
    </w:p>
    <w:p w14:paraId="4012719A" w14:textId="77777777" w:rsidR="001A0A73" w:rsidRPr="002D7504" w:rsidRDefault="001A0A73" w:rsidP="001A0A73">
      <w:pPr>
        <w:jc w:val="center"/>
      </w:pPr>
      <w:r>
        <w:rPr>
          <w:rFonts w:ascii="Arial" w:hAnsi="Arial" w:cs="Arial"/>
          <w:sz w:val="22"/>
          <w:szCs w:val="22"/>
        </w:rPr>
        <w:tab/>
      </w:r>
      <w:r>
        <w:rPr>
          <w:noProof/>
        </w:rPr>
        <w:drawing>
          <wp:inline distT="0" distB="0" distL="0" distR="0" wp14:anchorId="19EC32D5" wp14:editId="1566CC4E">
            <wp:extent cx="3209925" cy="1428750"/>
            <wp:effectExtent l="0" t="0" r="0" b="0"/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CEBE1" w14:textId="77777777" w:rsidR="001A0A73" w:rsidRPr="007B4B22" w:rsidRDefault="001A0A73" w:rsidP="001A0A7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48"/>
          <w:szCs w:val="48"/>
        </w:rPr>
      </w:pPr>
      <w:r w:rsidRPr="007B4B22">
        <w:rPr>
          <w:rStyle w:val="normaltextrun"/>
          <w:rFonts w:ascii="Arial" w:eastAsiaTheme="majorEastAsia" w:hAnsi="Arial" w:cs="Arial"/>
          <w:color w:val="000000"/>
          <w:sz w:val="48"/>
          <w:szCs w:val="48"/>
          <w:lang w:val="en-US"/>
        </w:rPr>
        <w:t>Syeda Anisa Afzaal</w:t>
      </w:r>
    </w:p>
    <w:p w14:paraId="0511C7E5" w14:textId="77777777" w:rsidR="001A0A73" w:rsidRPr="007B4B22" w:rsidRDefault="001A0A73" w:rsidP="001A0A7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48"/>
          <w:szCs w:val="48"/>
        </w:rPr>
      </w:pPr>
      <w:r w:rsidRPr="007B4B22">
        <w:rPr>
          <w:rStyle w:val="normaltextrun"/>
          <w:rFonts w:ascii="Arial" w:eastAsiaTheme="majorEastAsia" w:hAnsi="Arial" w:cs="Arial"/>
          <w:color w:val="000000"/>
          <w:sz w:val="48"/>
          <w:szCs w:val="48"/>
          <w:lang w:val="en-US"/>
        </w:rPr>
        <w:t>2310939</w:t>
      </w:r>
    </w:p>
    <w:p w14:paraId="162E55AA" w14:textId="6D955295" w:rsidR="001A0A73" w:rsidRPr="002A3B7A" w:rsidRDefault="0045077A" w:rsidP="002A3B7A">
      <w:pPr>
        <w:pStyle w:val="paragraph"/>
        <w:spacing w:line="360" w:lineRule="auto"/>
        <w:jc w:val="center"/>
        <w:textAlignment w:val="baseline"/>
        <w:rPr>
          <w:rFonts w:ascii="Arial" w:hAnsi="Arial" w:cs="Arial"/>
          <w:b/>
          <w:bCs/>
          <w:sz w:val="48"/>
          <w:szCs w:val="48"/>
        </w:rPr>
      </w:pPr>
      <w:r w:rsidRPr="0045077A">
        <w:rPr>
          <w:rFonts w:ascii="Arial" w:eastAsiaTheme="majorEastAsia" w:hAnsi="Arial" w:cs="Arial"/>
          <w:sz w:val="48"/>
          <w:szCs w:val="48"/>
        </w:rPr>
        <w:t>BMHP6027_BIRM</w:t>
      </w:r>
      <w:r w:rsidR="001A0A73" w:rsidRPr="00900C64">
        <w:rPr>
          <w:rFonts w:ascii="Arial" w:eastAsiaTheme="majorEastAsia" w:hAnsi="Arial" w:cs="Arial"/>
          <w:sz w:val="48"/>
          <w:szCs w:val="48"/>
        </w:rPr>
        <w:t xml:space="preserve"> – </w:t>
      </w:r>
      <w:r w:rsidR="002A3B7A" w:rsidRPr="002A3B7A">
        <w:rPr>
          <w:rFonts w:ascii="Arial" w:hAnsi="Arial" w:cs="Arial"/>
          <w:sz w:val="48"/>
          <w:szCs w:val="48"/>
        </w:rPr>
        <w:t>Empowering the Older Person</w:t>
      </w:r>
    </w:p>
    <w:p w14:paraId="0A991A73" w14:textId="7A940170" w:rsidR="001A0A73" w:rsidRPr="007B4B22" w:rsidRDefault="001A0A73" w:rsidP="001A0A73">
      <w:pPr>
        <w:pStyle w:val="paragraph"/>
        <w:spacing w:after="0" w:line="360" w:lineRule="auto"/>
        <w:jc w:val="center"/>
        <w:textAlignment w:val="baseline"/>
        <w:rPr>
          <w:rFonts w:ascii="Arial" w:eastAsiaTheme="majorEastAsia" w:hAnsi="Arial" w:cs="Arial"/>
          <w:sz w:val="48"/>
          <w:szCs w:val="48"/>
        </w:rPr>
      </w:pPr>
      <w:r w:rsidRPr="00EB43EE">
        <w:rPr>
          <w:rFonts w:ascii="Arial" w:eastAsiaTheme="majorEastAsia" w:hAnsi="Arial" w:cs="Arial"/>
          <w:sz w:val="48"/>
          <w:szCs w:val="48"/>
        </w:rPr>
        <w:t>Lecturer </w:t>
      </w:r>
      <w:r w:rsidR="000F1629" w:rsidRPr="00900C64">
        <w:rPr>
          <w:rFonts w:ascii="Arial" w:eastAsiaTheme="majorEastAsia" w:hAnsi="Arial" w:cs="Arial"/>
          <w:sz w:val="48"/>
          <w:szCs w:val="48"/>
        </w:rPr>
        <w:t xml:space="preserve">– </w:t>
      </w:r>
      <w:r w:rsidRPr="00900C64">
        <w:rPr>
          <w:rFonts w:ascii="Arial" w:eastAsiaTheme="majorEastAsia" w:hAnsi="Arial" w:cs="Arial"/>
          <w:sz w:val="48"/>
          <w:szCs w:val="48"/>
        </w:rPr>
        <w:t>Tomy Adattu Chacko</w:t>
      </w:r>
    </w:p>
    <w:p w14:paraId="2E987064" w14:textId="61F8FC1A" w:rsidR="001A0A73" w:rsidRDefault="001A0A73" w:rsidP="001A0A7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eastAsiaTheme="majorEastAsia" w:hAnsi="Arial" w:cs="Arial"/>
          <w:color w:val="000000"/>
          <w:sz w:val="48"/>
          <w:szCs w:val="48"/>
        </w:rPr>
      </w:pPr>
      <w:r w:rsidRPr="007B4B22">
        <w:rPr>
          <w:rFonts w:ascii="Arial" w:eastAsiaTheme="majorEastAsia" w:hAnsi="Arial" w:cs="Arial"/>
          <w:color w:val="000000"/>
          <w:sz w:val="48"/>
          <w:szCs w:val="48"/>
        </w:rPr>
        <w:t>Component 2</w:t>
      </w:r>
      <w:r w:rsidR="000F1629">
        <w:rPr>
          <w:rFonts w:ascii="Arial" w:eastAsiaTheme="majorEastAsia" w:hAnsi="Arial" w:cs="Arial"/>
          <w:color w:val="000000"/>
          <w:sz w:val="48"/>
          <w:szCs w:val="48"/>
        </w:rPr>
        <w:t xml:space="preserve"> </w:t>
      </w:r>
      <w:r w:rsidR="000F1629" w:rsidRPr="00900C64">
        <w:rPr>
          <w:rFonts w:ascii="Arial" w:eastAsiaTheme="majorEastAsia" w:hAnsi="Arial" w:cs="Arial"/>
          <w:sz w:val="48"/>
          <w:szCs w:val="48"/>
        </w:rPr>
        <w:t xml:space="preserve">– </w:t>
      </w:r>
      <w:r w:rsidR="000F1629">
        <w:rPr>
          <w:rFonts w:ascii="Arial" w:eastAsiaTheme="majorEastAsia" w:hAnsi="Arial" w:cs="Arial"/>
          <w:color w:val="000000"/>
          <w:sz w:val="48"/>
          <w:szCs w:val="48"/>
        </w:rPr>
        <w:t>Reference list of</w:t>
      </w:r>
    </w:p>
    <w:p w14:paraId="291C722A" w14:textId="5806A904" w:rsidR="001A0A73" w:rsidRPr="007B4B22" w:rsidRDefault="007C76FD" w:rsidP="001A0A73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eastAsiaTheme="majorEastAsia" w:hAnsi="Arial" w:cs="Arial"/>
          <w:color w:val="000000"/>
          <w:sz w:val="48"/>
          <w:szCs w:val="48"/>
        </w:rPr>
      </w:pPr>
      <w:r>
        <w:rPr>
          <w:rFonts w:ascii="Arial" w:eastAsiaTheme="majorEastAsia" w:hAnsi="Arial" w:cs="Arial"/>
          <w:color w:val="000000"/>
          <w:sz w:val="48"/>
          <w:szCs w:val="48"/>
        </w:rPr>
        <w:t>Debate</w:t>
      </w:r>
    </w:p>
    <w:p w14:paraId="65E44397" w14:textId="435473D3" w:rsidR="001A0A73" w:rsidRDefault="001A0A73" w:rsidP="001A0A73">
      <w:pPr>
        <w:tabs>
          <w:tab w:val="left" w:pos="3552"/>
        </w:tabs>
        <w:rPr>
          <w:rFonts w:ascii="Arial" w:hAnsi="Arial" w:cs="Arial"/>
          <w:sz w:val="22"/>
          <w:szCs w:val="22"/>
        </w:rPr>
      </w:pPr>
    </w:p>
    <w:p w14:paraId="2868D425" w14:textId="16A8D446" w:rsidR="00912BA0" w:rsidRPr="00912BA0" w:rsidRDefault="00361EF4" w:rsidP="00912BA0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A0A73">
        <w:rPr>
          <w:rFonts w:ascii="Arial" w:hAnsi="Arial" w:cs="Arial"/>
          <w:sz w:val="22"/>
          <w:szCs w:val="22"/>
        </w:rPr>
        <w:br w:type="page"/>
      </w:r>
      <w:r w:rsidR="00912BA0" w:rsidRPr="00912BA0">
        <w:rPr>
          <w:rFonts w:ascii="Arial" w:hAnsi="Arial" w:cs="Arial"/>
          <w:b/>
          <w:bCs/>
          <w:sz w:val="22"/>
          <w:szCs w:val="22"/>
        </w:rPr>
        <w:lastRenderedPageBreak/>
        <w:t xml:space="preserve">Reference List </w:t>
      </w:r>
    </w:p>
    <w:p w14:paraId="589F6921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Age UK (2023) </w:t>
      </w:r>
      <w:r w:rsidRPr="00EE60F6">
        <w:rPr>
          <w:rFonts w:ascii="Arial" w:hAnsi="Arial" w:cs="Arial"/>
          <w:i/>
          <w:iCs/>
          <w:sz w:val="22"/>
          <w:szCs w:val="22"/>
        </w:rPr>
        <w:t>Loneliness and isolation – evidence review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6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https://www.ageuk.org.uk/information-advice/health-wellbeing/loneliness/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8 March 2026).</w:t>
      </w:r>
    </w:p>
    <w:p w14:paraId="76910115" w14:textId="7FFAA821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Barnett, K. et al. (2012) ‘Epidemiology of multimorbidity and implications for health care, research, and medical education: A cross-sectional study’, </w:t>
      </w:r>
      <w:r w:rsidRPr="00EE60F6">
        <w:rPr>
          <w:rFonts w:ascii="Arial" w:hAnsi="Arial" w:cs="Arial"/>
          <w:i/>
          <w:iCs/>
          <w:sz w:val="22"/>
          <w:szCs w:val="22"/>
        </w:rPr>
        <w:t>The Lancet</w:t>
      </w:r>
      <w:r w:rsidRPr="00EE60F6">
        <w:rPr>
          <w:rFonts w:ascii="Arial" w:hAnsi="Arial" w:cs="Arial"/>
          <w:sz w:val="22"/>
          <w:szCs w:val="22"/>
        </w:rPr>
        <w:t xml:space="preserve">, pp. 37–43. Available at: </w:t>
      </w:r>
      <w:hyperlink r:id="rId7" w:history="1">
        <w:r w:rsidRPr="00EE60F6">
          <w:rPr>
            <w:rStyle w:val="Hyperlink"/>
            <w:rFonts w:ascii="Arial" w:hAnsi="Arial" w:cs="Arial"/>
            <w:sz w:val="22"/>
            <w:szCs w:val="22"/>
          </w:rPr>
          <w:t>https://doi.org/10.1016/S0140-6736(12)60240-2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5 March 2026).</w:t>
      </w:r>
    </w:p>
    <w:p w14:paraId="33E38AA0" w14:textId="2FB71ED9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Cacioppo, J.T. and Hawkley, L.C. (2009) ‘Perceived social isolation and cognition’, </w:t>
      </w:r>
      <w:r w:rsidRPr="00EE60F6">
        <w:rPr>
          <w:rFonts w:ascii="Arial" w:hAnsi="Arial" w:cs="Arial"/>
          <w:i/>
          <w:iCs/>
          <w:sz w:val="22"/>
          <w:szCs w:val="22"/>
        </w:rPr>
        <w:t>Trends in Cognitive Sciences</w:t>
      </w:r>
      <w:r w:rsidRPr="00EE60F6">
        <w:rPr>
          <w:rFonts w:ascii="Arial" w:hAnsi="Arial" w:cs="Arial"/>
          <w:sz w:val="22"/>
          <w:szCs w:val="22"/>
        </w:rPr>
        <w:t xml:space="preserve">, 13(10), pp. 447–454. Available at: </w:t>
      </w:r>
      <w:hyperlink r:id="rId8" w:history="1">
        <w:r w:rsidRPr="00EE60F6">
          <w:rPr>
            <w:rStyle w:val="Hyperlink"/>
            <w:rFonts w:ascii="Arial" w:hAnsi="Arial" w:cs="Arial"/>
            <w:sz w:val="22"/>
            <w:szCs w:val="22"/>
          </w:rPr>
          <w:t>https://doi.org/10.1016/j.tics.2009.06.005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7 March 2026).</w:t>
      </w:r>
    </w:p>
    <w:p w14:paraId="3B49E9AD" w14:textId="4701A412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Clegg, A. et al. (2013) ‘Frailty in elderly people’, </w:t>
      </w:r>
      <w:r w:rsidRPr="00EE60F6">
        <w:rPr>
          <w:rFonts w:ascii="Arial" w:hAnsi="Arial" w:cs="Arial"/>
          <w:i/>
          <w:iCs/>
          <w:sz w:val="22"/>
          <w:szCs w:val="22"/>
        </w:rPr>
        <w:t>The Lancet</w:t>
      </w:r>
      <w:r w:rsidRPr="00EE60F6">
        <w:rPr>
          <w:rFonts w:ascii="Arial" w:hAnsi="Arial" w:cs="Arial"/>
          <w:sz w:val="22"/>
          <w:szCs w:val="22"/>
        </w:rPr>
        <w:t xml:space="preserve">, pp. 752–762. Available at: </w:t>
      </w:r>
      <w:hyperlink r:id="rId9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https://doi.org/10.1016/S0140-6736(12)62167-9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4 March 2026).</w:t>
      </w:r>
    </w:p>
    <w:p w14:paraId="1D966B9D" w14:textId="05CF81A6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Cornwell, E.Y. and Waite, L.J. (2009) ‘Social disconnectedness, perceived isolation, and health among older adults’, </w:t>
      </w:r>
      <w:r w:rsidRPr="00EE60F6">
        <w:rPr>
          <w:rFonts w:ascii="Arial" w:hAnsi="Arial" w:cs="Arial"/>
          <w:i/>
          <w:iCs/>
          <w:sz w:val="22"/>
          <w:szCs w:val="22"/>
        </w:rPr>
        <w:t>Journal of Health and Social Behavior</w:t>
      </w:r>
      <w:r w:rsidRPr="00EE60F6">
        <w:rPr>
          <w:rFonts w:ascii="Arial" w:hAnsi="Arial" w:cs="Arial"/>
          <w:sz w:val="22"/>
          <w:szCs w:val="22"/>
        </w:rPr>
        <w:t xml:space="preserve">, 50(1), pp. 31–48. Available at: </w:t>
      </w:r>
      <w:hyperlink r:id="rId10" w:history="1">
        <w:r w:rsidRPr="00EE60F6">
          <w:rPr>
            <w:rStyle w:val="Hyperlink"/>
            <w:rFonts w:ascii="Arial" w:hAnsi="Arial" w:cs="Arial"/>
            <w:sz w:val="22"/>
            <w:szCs w:val="22"/>
          </w:rPr>
          <w:t>https://doi.org/10.1177/002214650905000103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7 March 2026).</w:t>
      </w:r>
    </w:p>
    <w:p w14:paraId="2EAB30BD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Courtin, E. and Knapp, M. (2017) ‘Social isolation, loneliness and health in old age: A scoping review’, </w:t>
      </w:r>
      <w:r w:rsidRPr="00EE60F6">
        <w:rPr>
          <w:rFonts w:ascii="Arial" w:hAnsi="Arial" w:cs="Arial"/>
          <w:i/>
          <w:iCs/>
          <w:sz w:val="22"/>
          <w:szCs w:val="22"/>
        </w:rPr>
        <w:t>Health and Social Care in the Community</w:t>
      </w:r>
      <w:r w:rsidRPr="00EE60F6">
        <w:rPr>
          <w:rFonts w:ascii="Arial" w:hAnsi="Arial" w:cs="Arial"/>
          <w:sz w:val="22"/>
          <w:szCs w:val="22"/>
        </w:rPr>
        <w:t xml:space="preserve">, 25(3), pp. 799–812. Available at: </w:t>
      </w:r>
      <w:hyperlink r:id="rId11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https://doi.org/10.1111/hsc.12311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5 March 2026).</w:t>
      </w:r>
    </w:p>
    <w:p w14:paraId="7879A02B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Department of Health and Social Care (2005) </w:t>
      </w:r>
      <w:r w:rsidRPr="00EE60F6">
        <w:rPr>
          <w:rFonts w:ascii="Arial" w:hAnsi="Arial" w:cs="Arial"/>
          <w:i/>
          <w:iCs/>
          <w:sz w:val="22"/>
          <w:szCs w:val="22"/>
        </w:rPr>
        <w:t>Mental Capacity Act 2005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https://www.legislation.gov.uk/ukpga/2005/9/contents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4 March 2026).</w:t>
      </w:r>
    </w:p>
    <w:p w14:paraId="6D0285D5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Department of Health and Social Care (2014) </w:t>
      </w:r>
      <w:r w:rsidRPr="00EE60F6">
        <w:rPr>
          <w:rFonts w:ascii="Arial" w:hAnsi="Arial" w:cs="Arial"/>
          <w:i/>
          <w:iCs/>
          <w:sz w:val="22"/>
          <w:szCs w:val="22"/>
        </w:rPr>
        <w:t>Care Act 2014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13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https://www.legislation.gov.uk/ukpga/2014/23/contents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7 March 2026).</w:t>
      </w:r>
    </w:p>
    <w:p w14:paraId="14D53218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Department of Health and Social Care (2022) </w:t>
      </w:r>
      <w:r w:rsidRPr="00EE60F6">
        <w:rPr>
          <w:rFonts w:ascii="Arial" w:hAnsi="Arial" w:cs="Arial"/>
          <w:i/>
          <w:iCs/>
          <w:sz w:val="22"/>
          <w:szCs w:val="22"/>
        </w:rPr>
        <w:t>Health and Care Act 2022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14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https://www.legislation.gov.uk/ukpga/2022/31/contents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8 March 2026).</w:t>
      </w:r>
    </w:p>
    <w:p w14:paraId="0A3E9A48" w14:textId="66AD8383" w:rsidR="00EC7C92" w:rsidRPr="00EE60F6" w:rsidRDefault="00EC7C92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>Gaugler, J.E.</w:t>
      </w:r>
      <w:r w:rsidR="00E12AE4" w:rsidRPr="00EE60F6">
        <w:rPr>
          <w:rFonts w:ascii="Arial" w:hAnsi="Arial" w:cs="Arial"/>
          <w:sz w:val="22"/>
          <w:szCs w:val="22"/>
        </w:rPr>
        <w:t xml:space="preserve"> </w:t>
      </w:r>
      <w:r w:rsidR="00E12AE4" w:rsidRPr="00EE60F6">
        <w:rPr>
          <w:rFonts w:ascii="Arial" w:hAnsi="Arial" w:cs="Arial"/>
          <w:sz w:val="22"/>
          <w:szCs w:val="22"/>
        </w:rPr>
        <w:t xml:space="preserve">et al. </w:t>
      </w:r>
      <w:r w:rsidRPr="00EE60F6">
        <w:rPr>
          <w:rFonts w:ascii="Arial" w:hAnsi="Arial" w:cs="Arial"/>
          <w:sz w:val="22"/>
          <w:szCs w:val="22"/>
        </w:rPr>
        <w:t xml:space="preserve">(2007) </w:t>
      </w:r>
      <w:r w:rsidRPr="00EE60F6">
        <w:rPr>
          <w:rFonts w:ascii="Arial" w:hAnsi="Arial" w:cs="Arial"/>
          <w:i/>
          <w:iCs/>
          <w:sz w:val="22"/>
          <w:szCs w:val="22"/>
        </w:rPr>
        <w:t>Predicting nursing home admission in the U.S.: A meta</w:t>
      </w:r>
      <w:r w:rsidRPr="00EE60F6">
        <w:rPr>
          <w:rFonts w:ascii="Arial" w:hAnsi="Arial" w:cs="Arial"/>
          <w:i/>
          <w:iCs/>
          <w:sz w:val="22"/>
          <w:szCs w:val="22"/>
        </w:rPr>
        <w:noBreakHyphen/>
        <w:t>analysis.</w:t>
      </w:r>
      <w:r w:rsidRPr="00EE60F6">
        <w:rPr>
          <w:rFonts w:ascii="Arial" w:hAnsi="Arial" w:cs="Arial"/>
          <w:sz w:val="22"/>
          <w:szCs w:val="22"/>
        </w:rPr>
        <w:t xml:space="preserve"> BMC Geriatrics, 7(1), article 13. Available at: </w:t>
      </w:r>
      <w:hyperlink r:id="rId15" w:tgtFrame="_new" w:history="1">
        <w:r w:rsidRPr="00EE60F6">
          <w:rPr>
            <w:rStyle w:val="Hyperlink"/>
            <w:rFonts w:ascii="Arial" w:hAnsi="Arial" w:cs="Arial"/>
            <w:sz w:val="22"/>
            <w:szCs w:val="22"/>
          </w:rPr>
          <w:t>https://pubmed.ncbi.nlm.nih.gov/17578574/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7 March 2026).</w:t>
      </w:r>
    </w:p>
    <w:p w14:paraId="7B17DDB0" w14:textId="4ED28C84" w:rsidR="00EC7C92" w:rsidRPr="00EE60F6" w:rsidRDefault="00EC7C92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>Grabowski, D.C.</w:t>
      </w:r>
      <w:r w:rsidR="00E527DB" w:rsidRPr="00EE60F6">
        <w:rPr>
          <w:rFonts w:ascii="Arial" w:hAnsi="Arial" w:cs="Arial"/>
          <w:sz w:val="22"/>
          <w:szCs w:val="22"/>
        </w:rPr>
        <w:t xml:space="preserve"> </w:t>
      </w:r>
      <w:r w:rsidR="00E527DB" w:rsidRPr="00EE60F6">
        <w:rPr>
          <w:rFonts w:ascii="Arial" w:hAnsi="Arial" w:cs="Arial"/>
          <w:sz w:val="22"/>
          <w:szCs w:val="22"/>
        </w:rPr>
        <w:t xml:space="preserve">et al. </w:t>
      </w:r>
      <w:r w:rsidRPr="00EE60F6">
        <w:rPr>
          <w:rFonts w:ascii="Arial" w:hAnsi="Arial" w:cs="Arial"/>
          <w:sz w:val="22"/>
          <w:szCs w:val="22"/>
        </w:rPr>
        <w:t xml:space="preserve">(2012) ‘Assisted living expansion and the market for nursing home care’, </w:t>
      </w:r>
      <w:r w:rsidRPr="00EE60F6">
        <w:rPr>
          <w:rFonts w:ascii="Arial" w:hAnsi="Arial" w:cs="Arial"/>
          <w:i/>
          <w:iCs/>
          <w:sz w:val="22"/>
          <w:szCs w:val="22"/>
        </w:rPr>
        <w:t>Health Affairs</w:t>
      </w:r>
      <w:r w:rsidRPr="00EE60F6">
        <w:rPr>
          <w:rFonts w:ascii="Arial" w:hAnsi="Arial" w:cs="Arial"/>
          <w:sz w:val="22"/>
          <w:szCs w:val="22"/>
        </w:rPr>
        <w:t xml:space="preserve"> (Millwood), 31(1), pp. 2–10. Available at: </w:t>
      </w:r>
      <w:hyperlink r:id="rId16" w:tgtFrame="_new" w:history="1">
        <w:r w:rsidRPr="00EE60F6">
          <w:rPr>
            <w:rStyle w:val="Hyperlink"/>
            <w:rFonts w:ascii="Arial" w:hAnsi="Arial" w:cs="Arial"/>
            <w:sz w:val="22"/>
            <w:szCs w:val="22"/>
          </w:rPr>
          <w:t>https://pubmed.ncbi.nlm.nih.gov/22578039/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5 March 2026).</w:t>
      </w:r>
    </w:p>
    <w:p w14:paraId="61056003" w14:textId="58224130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lastRenderedPageBreak/>
        <w:t xml:space="preserve">Holt-Lunstad, J. et al. (2015) ‘Loneliness and social isolation as risk factors for mortality: A meta-analytic review’, </w:t>
      </w:r>
      <w:r w:rsidRPr="00EE60F6">
        <w:rPr>
          <w:rFonts w:ascii="Arial" w:hAnsi="Arial" w:cs="Arial"/>
          <w:i/>
          <w:iCs/>
          <w:sz w:val="22"/>
          <w:szCs w:val="22"/>
        </w:rPr>
        <w:t>Perspectives on Psychological Science</w:t>
      </w:r>
      <w:r w:rsidRPr="00EE60F6">
        <w:rPr>
          <w:rFonts w:ascii="Arial" w:hAnsi="Arial" w:cs="Arial"/>
          <w:sz w:val="22"/>
          <w:szCs w:val="22"/>
        </w:rPr>
        <w:t xml:space="preserve">, 10(2), pp. 227–237. Available at: </w:t>
      </w:r>
      <w:hyperlink r:id="rId17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https://doi.org/10.1177/1745691614568352</w:t>
        </w:r>
      </w:hyperlink>
      <w:r w:rsidR="00EC7C92" w:rsidRPr="00EE60F6">
        <w:rPr>
          <w:rFonts w:ascii="Arial" w:hAnsi="Arial" w:cs="Arial"/>
          <w:sz w:val="22"/>
          <w:szCs w:val="22"/>
        </w:rPr>
        <w:t xml:space="preserve"> </w:t>
      </w:r>
      <w:r w:rsidRPr="00EE60F6">
        <w:rPr>
          <w:rFonts w:ascii="Arial" w:hAnsi="Arial" w:cs="Arial"/>
          <w:sz w:val="22"/>
          <w:szCs w:val="22"/>
        </w:rPr>
        <w:t>(Accessed: 8 March 2026).</w:t>
      </w:r>
    </w:p>
    <w:p w14:paraId="26413FF6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National Institute for Health and Care Excellence (2020) </w:t>
      </w:r>
      <w:r w:rsidRPr="00EE60F6">
        <w:rPr>
          <w:rFonts w:ascii="Arial" w:hAnsi="Arial" w:cs="Arial"/>
          <w:i/>
          <w:iCs/>
          <w:sz w:val="22"/>
          <w:szCs w:val="22"/>
        </w:rPr>
        <w:t>Falls in older people: Assessing risk and prevention (NICE guideline)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18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https://www.nice.org.uk/guidance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5 March 2026).</w:t>
      </w:r>
    </w:p>
    <w:p w14:paraId="303F9749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NHS (2022) </w:t>
      </w:r>
      <w:r w:rsidRPr="00EE60F6">
        <w:rPr>
          <w:rFonts w:ascii="Arial" w:hAnsi="Arial" w:cs="Arial"/>
          <w:i/>
          <w:iCs/>
          <w:sz w:val="22"/>
          <w:szCs w:val="22"/>
        </w:rPr>
        <w:t>Loneliness in older people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19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https://www.nhs.uk/mental-health/feelings-symptoms-behaviours/feelings-and-symptoms/loneliness-in-older-people/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7 March 2026).</w:t>
      </w:r>
    </w:p>
    <w:p w14:paraId="730C73A2" w14:textId="317A136D" w:rsidR="00F5471F" w:rsidRPr="00EE60F6" w:rsidRDefault="00F5471F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Office for National Statistics (2018) </w:t>
      </w:r>
      <w:r w:rsidRPr="00EE60F6">
        <w:rPr>
          <w:rFonts w:ascii="Arial" w:hAnsi="Arial" w:cs="Arial"/>
          <w:i/>
          <w:iCs/>
          <w:sz w:val="22"/>
          <w:szCs w:val="22"/>
        </w:rPr>
        <w:t>Loneliness – what characteristics and circumstances are associated with feeling lonely?</w:t>
      </w:r>
      <w:r w:rsidRPr="00EE60F6">
        <w:rPr>
          <w:rFonts w:ascii="Arial" w:hAnsi="Arial" w:cs="Arial"/>
          <w:sz w:val="22"/>
          <w:szCs w:val="22"/>
        </w:rPr>
        <w:t xml:space="preserve"> (Accessed: 4 March 2026).</w:t>
      </w:r>
    </w:p>
    <w:p w14:paraId="766E9FC0" w14:textId="6CB7DE35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Rechel, B. et al. (2013) ‘Ageing in the European Union’, </w:t>
      </w:r>
      <w:r w:rsidRPr="00EE60F6">
        <w:rPr>
          <w:rFonts w:ascii="Arial" w:hAnsi="Arial" w:cs="Arial"/>
          <w:i/>
          <w:iCs/>
          <w:sz w:val="22"/>
          <w:szCs w:val="22"/>
        </w:rPr>
        <w:t>The Lancet</w:t>
      </w:r>
      <w:r w:rsidRPr="00EE60F6">
        <w:rPr>
          <w:rFonts w:ascii="Arial" w:hAnsi="Arial" w:cs="Arial"/>
          <w:sz w:val="22"/>
          <w:szCs w:val="22"/>
        </w:rPr>
        <w:t xml:space="preserve">, pp. 1312–1322. Available at: </w:t>
      </w:r>
      <w:hyperlink r:id="rId20" w:history="1">
        <w:r w:rsidR="00F5471F" w:rsidRPr="00EE60F6">
          <w:rPr>
            <w:rStyle w:val="Hyperlink"/>
            <w:rFonts w:ascii="Arial" w:hAnsi="Arial" w:cs="Arial"/>
            <w:sz w:val="22"/>
            <w:szCs w:val="22"/>
          </w:rPr>
          <w:t>https://doi.org/10.1016/S0140-6736(12)62087-X</w:t>
        </w:r>
      </w:hyperlink>
      <w:r w:rsidR="00F5471F" w:rsidRPr="00EE60F6">
        <w:rPr>
          <w:rFonts w:ascii="Arial" w:hAnsi="Arial" w:cs="Arial"/>
          <w:sz w:val="22"/>
          <w:szCs w:val="22"/>
        </w:rPr>
        <w:t xml:space="preserve"> </w:t>
      </w:r>
      <w:r w:rsidRPr="00EE60F6">
        <w:rPr>
          <w:rFonts w:ascii="Arial" w:hAnsi="Arial" w:cs="Arial"/>
          <w:sz w:val="22"/>
          <w:szCs w:val="22"/>
        </w:rPr>
        <w:t>(Accessed: 8 March 2026).</w:t>
      </w:r>
    </w:p>
    <w:p w14:paraId="0CF36EBB" w14:textId="1F006853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Verbrugge, L.M. and Jette, A.M. (1994) ‘The disablement process’, </w:t>
      </w:r>
      <w:r w:rsidRPr="00EE60F6">
        <w:rPr>
          <w:rFonts w:ascii="Arial" w:hAnsi="Arial" w:cs="Arial"/>
          <w:i/>
          <w:iCs/>
          <w:sz w:val="22"/>
          <w:szCs w:val="22"/>
        </w:rPr>
        <w:t>Social Science &amp; Medicine</w:t>
      </w:r>
      <w:r w:rsidRPr="00EE60F6">
        <w:rPr>
          <w:rFonts w:ascii="Arial" w:hAnsi="Arial" w:cs="Arial"/>
          <w:sz w:val="22"/>
          <w:szCs w:val="22"/>
        </w:rPr>
        <w:t xml:space="preserve">, 38(1), pp. 1–14. Available at: </w:t>
      </w:r>
      <w:hyperlink r:id="rId21" w:history="1">
        <w:r w:rsidR="00F5471F" w:rsidRPr="00EE60F6">
          <w:rPr>
            <w:rStyle w:val="Hyperlink"/>
            <w:rFonts w:ascii="Arial" w:hAnsi="Arial" w:cs="Arial"/>
            <w:sz w:val="22"/>
            <w:szCs w:val="22"/>
          </w:rPr>
          <w:t>https://doi.org/10.1016/0277-9536(94)90294-1</w:t>
        </w:r>
      </w:hyperlink>
      <w:r w:rsidR="00F5471F" w:rsidRPr="00EE60F6">
        <w:rPr>
          <w:rFonts w:ascii="Arial" w:hAnsi="Arial" w:cs="Arial"/>
          <w:sz w:val="22"/>
          <w:szCs w:val="22"/>
        </w:rPr>
        <w:t xml:space="preserve"> </w:t>
      </w:r>
      <w:r w:rsidRPr="00EE60F6">
        <w:rPr>
          <w:rFonts w:ascii="Arial" w:hAnsi="Arial" w:cs="Arial"/>
          <w:sz w:val="22"/>
          <w:szCs w:val="22"/>
        </w:rPr>
        <w:t>(Accessed: 5 March 2026).</w:t>
      </w:r>
    </w:p>
    <w:p w14:paraId="71EBB7A6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Victor, C.R. et al. (2009) </w:t>
      </w:r>
      <w:r w:rsidRPr="00EE60F6">
        <w:rPr>
          <w:rFonts w:ascii="Arial" w:hAnsi="Arial" w:cs="Arial"/>
          <w:i/>
          <w:iCs/>
          <w:sz w:val="22"/>
          <w:szCs w:val="22"/>
        </w:rPr>
        <w:t>The Social World of Older People: Understanding Loneliness and Social Isolation in Later Life</w:t>
      </w:r>
      <w:r w:rsidRPr="00EE60F6">
        <w:rPr>
          <w:rFonts w:ascii="Arial" w:hAnsi="Arial" w:cs="Arial"/>
          <w:sz w:val="22"/>
          <w:szCs w:val="22"/>
        </w:rPr>
        <w:t>. Maidenhead: Open University Press.</w:t>
      </w:r>
    </w:p>
    <w:p w14:paraId="7AF15296" w14:textId="4552191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Wiles, J.L. et al. (2012) ‘The meaning of “ageing in place” to older people’, </w:t>
      </w:r>
      <w:r w:rsidRPr="00EE60F6">
        <w:rPr>
          <w:rFonts w:ascii="Arial" w:hAnsi="Arial" w:cs="Arial"/>
          <w:i/>
          <w:iCs/>
          <w:sz w:val="22"/>
          <w:szCs w:val="22"/>
        </w:rPr>
        <w:t>The Gerontologist</w:t>
      </w:r>
      <w:r w:rsidRPr="00EE60F6">
        <w:rPr>
          <w:rFonts w:ascii="Arial" w:hAnsi="Arial" w:cs="Arial"/>
          <w:sz w:val="22"/>
          <w:szCs w:val="22"/>
        </w:rPr>
        <w:t xml:space="preserve">, 52(3), pp. 357–366. Available at: </w:t>
      </w:r>
      <w:hyperlink r:id="rId22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https://doi.org/10.1093/geront/gnr098</w:t>
        </w:r>
      </w:hyperlink>
      <w:r w:rsidR="00F5471F" w:rsidRPr="00EE60F6">
        <w:rPr>
          <w:rFonts w:ascii="Arial" w:hAnsi="Arial" w:cs="Arial"/>
          <w:sz w:val="22"/>
          <w:szCs w:val="22"/>
        </w:rPr>
        <w:t xml:space="preserve"> </w:t>
      </w:r>
      <w:r w:rsidRPr="00EE60F6">
        <w:rPr>
          <w:rFonts w:ascii="Arial" w:hAnsi="Arial" w:cs="Arial"/>
          <w:sz w:val="22"/>
          <w:szCs w:val="22"/>
        </w:rPr>
        <w:t>(Accessed: 7 March 2026).</w:t>
      </w:r>
    </w:p>
    <w:p w14:paraId="16FA4B4B" w14:textId="77777777" w:rsidR="00912BA0" w:rsidRPr="00EE60F6" w:rsidRDefault="00912BA0" w:rsidP="00EE60F6">
      <w:pPr>
        <w:spacing w:line="360" w:lineRule="auto"/>
        <w:rPr>
          <w:rFonts w:ascii="Arial" w:hAnsi="Arial" w:cs="Arial"/>
          <w:sz w:val="22"/>
          <w:szCs w:val="22"/>
        </w:rPr>
      </w:pPr>
      <w:r w:rsidRPr="00EE60F6">
        <w:rPr>
          <w:rFonts w:ascii="Arial" w:hAnsi="Arial" w:cs="Arial"/>
          <w:sz w:val="22"/>
          <w:szCs w:val="22"/>
        </w:rPr>
        <w:t xml:space="preserve">World Health Organization (2021) </w:t>
      </w:r>
      <w:r w:rsidRPr="00EE60F6">
        <w:rPr>
          <w:rFonts w:ascii="Arial" w:hAnsi="Arial" w:cs="Arial"/>
          <w:i/>
          <w:iCs/>
          <w:sz w:val="22"/>
          <w:szCs w:val="22"/>
        </w:rPr>
        <w:t>Falls</w:t>
      </w:r>
      <w:r w:rsidRPr="00EE60F6">
        <w:rPr>
          <w:rFonts w:ascii="Arial" w:hAnsi="Arial" w:cs="Arial"/>
          <w:sz w:val="22"/>
          <w:szCs w:val="22"/>
        </w:rPr>
        <w:t xml:space="preserve">. Available at: </w:t>
      </w:r>
      <w:hyperlink r:id="rId23" w:tgtFrame="_new" w:history="1">
        <w:r w:rsidRPr="00EE60F6">
          <w:rPr>
            <w:rStyle w:val="Hyperlink"/>
            <w:rFonts w:ascii="Arial" w:hAnsi="Arial" w:cs="Arial"/>
            <w:color w:val="auto"/>
            <w:sz w:val="22"/>
            <w:szCs w:val="22"/>
          </w:rPr>
          <w:t>https://www.who.int/news-room/fact-sheets/detail/falls</w:t>
        </w:r>
      </w:hyperlink>
      <w:r w:rsidRPr="00EE60F6">
        <w:rPr>
          <w:rFonts w:ascii="Arial" w:hAnsi="Arial" w:cs="Arial"/>
          <w:sz w:val="22"/>
          <w:szCs w:val="22"/>
        </w:rPr>
        <w:t xml:space="preserve"> (Accessed: 8 March 2026).</w:t>
      </w:r>
    </w:p>
    <w:p w14:paraId="32755857" w14:textId="1B272708" w:rsidR="001222C6" w:rsidRPr="00912BA0" w:rsidRDefault="001222C6" w:rsidP="00912BA0">
      <w:pPr>
        <w:rPr>
          <w:rFonts w:ascii="Arial" w:hAnsi="Arial" w:cs="Arial"/>
          <w:sz w:val="22"/>
          <w:szCs w:val="22"/>
        </w:rPr>
      </w:pPr>
    </w:p>
    <w:sectPr w:rsidR="001222C6" w:rsidRPr="00912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DD7557"/>
    <w:multiLevelType w:val="hybridMultilevel"/>
    <w:tmpl w:val="9E72286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D34926"/>
    <w:multiLevelType w:val="hybridMultilevel"/>
    <w:tmpl w:val="196463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84269A"/>
    <w:multiLevelType w:val="hybridMultilevel"/>
    <w:tmpl w:val="4FEEBF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C81610"/>
    <w:multiLevelType w:val="hybridMultilevel"/>
    <w:tmpl w:val="BBB22B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217258"/>
    <w:multiLevelType w:val="hybridMultilevel"/>
    <w:tmpl w:val="EBC0C5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2C0E55"/>
    <w:multiLevelType w:val="hybridMultilevel"/>
    <w:tmpl w:val="2F9E2D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A5059A"/>
    <w:multiLevelType w:val="hybridMultilevel"/>
    <w:tmpl w:val="4D18E4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492C08"/>
    <w:multiLevelType w:val="hybridMultilevel"/>
    <w:tmpl w:val="EF2E3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BB7B66"/>
    <w:multiLevelType w:val="hybridMultilevel"/>
    <w:tmpl w:val="4D58A4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8261142">
    <w:abstractNumId w:val="6"/>
  </w:num>
  <w:num w:numId="2" w16cid:durableId="1989244795">
    <w:abstractNumId w:val="8"/>
  </w:num>
  <w:num w:numId="3" w16cid:durableId="218128215">
    <w:abstractNumId w:val="3"/>
  </w:num>
  <w:num w:numId="4" w16cid:durableId="850799798">
    <w:abstractNumId w:val="0"/>
  </w:num>
  <w:num w:numId="5" w16cid:durableId="1794471601">
    <w:abstractNumId w:val="4"/>
  </w:num>
  <w:num w:numId="6" w16cid:durableId="447552830">
    <w:abstractNumId w:val="2"/>
  </w:num>
  <w:num w:numId="7" w16cid:durableId="1692336190">
    <w:abstractNumId w:val="7"/>
  </w:num>
  <w:num w:numId="8" w16cid:durableId="679813864">
    <w:abstractNumId w:val="5"/>
  </w:num>
  <w:num w:numId="9" w16cid:durableId="18718707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918"/>
    <w:rsid w:val="00005EE4"/>
    <w:rsid w:val="000F1629"/>
    <w:rsid w:val="000F7F25"/>
    <w:rsid w:val="001222C6"/>
    <w:rsid w:val="001243A7"/>
    <w:rsid w:val="0013302C"/>
    <w:rsid w:val="001A0A73"/>
    <w:rsid w:val="001C0B58"/>
    <w:rsid w:val="00254811"/>
    <w:rsid w:val="002876E6"/>
    <w:rsid w:val="002A3B7A"/>
    <w:rsid w:val="00361EF4"/>
    <w:rsid w:val="0036537D"/>
    <w:rsid w:val="00380D60"/>
    <w:rsid w:val="004446DA"/>
    <w:rsid w:val="0045077A"/>
    <w:rsid w:val="005467B7"/>
    <w:rsid w:val="00594E4D"/>
    <w:rsid w:val="00677918"/>
    <w:rsid w:val="006A23D4"/>
    <w:rsid w:val="006E6B6B"/>
    <w:rsid w:val="00707C51"/>
    <w:rsid w:val="007A47BD"/>
    <w:rsid w:val="007C76FD"/>
    <w:rsid w:val="00805991"/>
    <w:rsid w:val="00874147"/>
    <w:rsid w:val="00912BA0"/>
    <w:rsid w:val="00982CFA"/>
    <w:rsid w:val="009F6C75"/>
    <w:rsid w:val="00A20B27"/>
    <w:rsid w:val="00AA5F00"/>
    <w:rsid w:val="00AB0A12"/>
    <w:rsid w:val="00AB5F9C"/>
    <w:rsid w:val="00B470AE"/>
    <w:rsid w:val="00C25603"/>
    <w:rsid w:val="00C40CD4"/>
    <w:rsid w:val="00D0195E"/>
    <w:rsid w:val="00D234F0"/>
    <w:rsid w:val="00D46F7B"/>
    <w:rsid w:val="00E12AE4"/>
    <w:rsid w:val="00E527DB"/>
    <w:rsid w:val="00E9594A"/>
    <w:rsid w:val="00EC7C92"/>
    <w:rsid w:val="00EE33CC"/>
    <w:rsid w:val="00EE60F6"/>
    <w:rsid w:val="00F5471F"/>
    <w:rsid w:val="00F8115C"/>
    <w:rsid w:val="00FC3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8539F"/>
  <w15:chartTrackingRefBased/>
  <w15:docId w15:val="{2CD15A7B-4235-4029-B15A-0D17D6D56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79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9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79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9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9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9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9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9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9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9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9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79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9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9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9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9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9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9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79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9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9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9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79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9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79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9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9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9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791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82C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982CFA"/>
    <w:rPr>
      <w:i/>
      <w:iCs/>
    </w:rPr>
  </w:style>
  <w:style w:type="character" w:styleId="Hyperlink">
    <w:name w:val="Hyperlink"/>
    <w:basedOn w:val="DefaultParagraphFont"/>
    <w:uiPriority w:val="99"/>
    <w:unhideWhenUsed/>
    <w:rsid w:val="00982CF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0B2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2BA0"/>
    <w:rPr>
      <w:color w:val="96607D" w:themeColor="followedHyperlink"/>
      <w:u w:val="single"/>
    </w:rPr>
  </w:style>
  <w:style w:type="paragraph" w:customStyle="1" w:styleId="paragraph">
    <w:name w:val="paragraph"/>
    <w:basedOn w:val="Normal"/>
    <w:rsid w:val="001A0A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1A0A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tics.2009.06.005" TargetMode="External"/><Relationship Id="rId13" Type="http://schemas.openxmlformats.org/officeDocument/2006/relationships/hyperlink" Target="https://www.legislation.gov.uk/ukpga/2014/23/contents" TargetMode="External"/><Relationship Id="rId18" Type="http://schemas.openxmlformats.org/officeDocument/2006/relationships/hyperlink" Target="https://www.nice.org.uk/guidanc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16/0277-9536(94)90294-1" TargetMode="External"/><Relationship Id="rId7" Type="http://schemas.openxmlformats.org/officeDocument/2006/relationships/hyperlink" Target="https://doi.org/10.1016/S0140-6736(12)60240-2" TargetMode="External"/><Relationship Id="rId12" Type="http://schemas.openxmlformats.org/officeDocument/2006/relationships/hyperlink" Target="https://www.legislation.gov.uk/ukpga/2005/9/contents" TargetMode="External"/><Relationship Id="rId17" Type="http://schemas.openxmlformats.org/officeDocument/2006/relationships/hyperlink" Target="https://doi.org/10.1177/1745691614568352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pubmed.ncbi.nlm.nih.gov/22578039/?utm_source=chatgpt.com" TargetMode="External"/><Relationship Id="rId20" Type="http://schemas.openxmlformats.org/officeDocument/2006/relationships/hyperlink" Target="https://doi.org/10.1016/S0140-6736(12)62087-X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geuk.org.uk/information-advice/health-wellbeing/loneliness/" TargetMode="External"/><Relationship Id="rId11" Type="http://schemas.openxmlformats.org/officeDocument/2006/relationships/hyperlink" Target="https://doi.org/10.1111/hsc.12311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pubmed.ncbi.nlm.nih.gov/17578574/?utm_source=chatgpt.com" TargetMode="External"/><Relationship Id="rId23" Type="http://schemas.openxmlformats.org/officeDocument/2006/relationships/hyperlink" Target="https://www.who.int/news-room/fact-sheets/detail/falls" TargetMode="External"/><Relationship Id="rId10" Type="http://schemas.openxmlformats.org/officeDocument/2006/relationships/hyperlink" Target="https://doi.org/10.1177/002214650905000103" TargetMode="External"/><Relationship Id="rId19" Type="http://schemas.openxmlformats.org/officeDocument/2006/relationships/hyperlink" Target="https://www.nhs.uk/mental-health/feelings-symptoms-behaviours/feelings-and-symptoms/loneliness-in-older-peopl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S0140-6736(12)62167-9" TargetMode="External"/><Relationship Id="rId14" Type="http://schemas.openxmlformats.org/officeDocument/2006/relationships/hyperlink" Target="https://www.legislation.gov.uk/ukpga/2022/31/contents" TargetMode="External"/><Relationship Id="rId22" Type="http://schemas.openxmlformats.org/officeDocument/2006/relationships/hyperlink" Target="https://doi.org/10.1093/geront/gnr0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803</Words>
  <Characters>4582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Anisa Fatima</dc:creator>
  <cp:keywords/>
  <dc:description/>
  <cp:lastModifiedBy>Syeda Anisa Fatima</cp:lastModifiedBy>
  <cp:revision>18</cp:revision>
  <dcterms:created xsi:type="dcterms:W3CDTF">2026-03-14T12:42:00Z</dcterms:created>
  <dcterms:modified xsi:type="dcterms:W3CDTF">2026-03-14T13:36:00Z</dcterms:modified>
</cp:coreProperties>
</file>