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B0F53" w14:textId="77777777" w:rsidR="005C4241" w:rsidRDefault="005C4241" w:rsidP="005C4241">
      <w:pPr>
        <w:pStyle w:val="PreformattedText"/>
        <w:jc w:val="center"/>
        <w:rPr>
          <w:rFonts w:ascii="open sansregular" w:eastAsia="open sansregular" w:hAnsi="open sansregular" w:cs="open sansregular"/>
          <w:color w:val="333333"/>
          <w:sz w:val="24"/>
          <w:szCs w:val="24"/>
          <w:shd w:val="clear" w:color="auto" w:fill="FFFFFF"/>
        </w:rPr>
      </w:pPr>
    </w:p>
    <w:p w14:paraId="1007B966" w14:textId="31043E78" w:rsidR="005C4241" w:rsidRPr="00A14EDA" w:rsidRDefault="005C4241" w:rsidP="005C4241">
      <w:pPr>
        <w:suppressAutoHyphens w:val="0"/>
        <w:spacing w:after="160" w:line="259" w:lineRule="auto"/>
        <w:jc w:val="left"/>
        <w:rPr>
          <w:rFonts w:ascii="Calibri" w:hAnsi="Calibri"/>
          <w:color w:val="auto"/>
          <w:sz w:val="22"/>
          <w:lang w:eastAsia="en-US"/>
        </w:rPr>
      </w:pPr>
      <w:r w:rsidRPr="00A14EDA">
        <w:rPr>
          <w:rFonts w:ascii="Calibri" w:hAnsi="Calibri"/>
          <w:noProof/>
          <w:color w:val="auto"/>
          <w:sz w:val="22"/>
          <w:lang w:eastAsia="en-US"/>
        </w:rPr>
        <w:drawing>
          <wp:inline distT="0" distB="0" distL="0" distR="0" wp14:anchorId="333FCCC6" wp14:editId="3C52012F">
            <wp:extent cx="3642360" cy="1813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2360" cy="1813560"/>
                    </a:xfrm>
                    <a:prstGeom prst="rect">
                      <a:avLst/>
                    </a:prstGeom>
                    <a:noFill/>
                    <a:ln>
                      <a:noFill/>
                    </a:ln>
                  </pic:spPr>
                </pic:pic>
              </a:graphicData>
            </a:graphic>
          </wp:inline>
        </w:drawing>
      </w:r>
    </w:p>
    <w:p w14:paraId="13603428"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6CBD9B8D" w14:textId="77777777" w:rsidR="005C4241" w:rsidRPr="00A14EDA" w:rsidRDefault="005C4241" w:rsidP="005C4241">
      <w:pPr>
        <w:spacing w:line="100" w:lineRule="atLeast"/>
        <w:jc w:val="center"/>
        <w:rPr>
          <w:rFonts w:eastAsia="Droid Sans"/>
          <w:color w:val="auto"/>
          <w:sz w:val="96"/>
          <w:szCs w:val="96"/>
          <w:lang w:eastAsia="hi-IN" w:bidi="hi-IN"/>
        </w:rPr>
      </w:pPr>
      <w:r w:rsidRPr="00A14EDA">
        <w:rPr>
          <w:rFonts w:eastAsia="Droid Sans"/>
          <w:color w:val="333333"/>
          <w:sz w:val="96"/>
          <w:szCs w:val="96"/>
          <w:u w:val="single"/>
          <w:lang w:eastAsia="hi-IN" w:bidi="hi-IN"/>
        </w:rPr>
        <w:t>Community Engagement</w:t>
      </w:r>
    </w:p>
    <w:p w14:paraId="410552D4"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04476A5B"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42C7E8A5"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0A34D5A4"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27F4A3EF"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6F41D9DE" w14:textId="77777777" w:rsidR="005C4241" w:rsidRPr="00A14EDA" w:rsidRDefault="005C4241" w:rsidP="005C4241">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22"/>
          <w:lang w:eastAsia="en-US"/>
        </w:rPr>
        <w:t xml:space="preserve">        </w:t>
      </w:r>
      <w:proofErr w:type="gramStart"/>
      <w:r w:rsidRPr="00A14EDA">
        <w:rPr>
          <w:rFonts w:ascii="Calibri" w:hAnsi="Calibri"/>
          <w:color w:val="auto"/>
          <w:sz w:val="32"/>
          <w:szCs w:val="32"/>
          <w:lang w:eastAsia="zh-CN"/>
        </w:rPr>
        <w:t>Name :</w:t>
      </w:r>
      <w:proofErr w:type="gramEnd"/>
      <w:r w:rsidRPr="00A14EDA">
        <w:rPr>
          <w:rFonts w:ascii="Calibri" w:hAnsi="Calibri"/>
          <w:color w:val="auto"/>
          <w:sz w:val="32"/>
          <w:szCs w:val="32"/>
          <w:lang w:eastAsia="zh-CN"/>
        </w:rPr>
        <w:t xml:space="preserve"> Petrica Dana</w:t>
      </w:r>
    </w:p>
    <w:p w14:paraId="4C5015E1" w14:textId="77777777" w:rsidR="005C4241" w:rsidRPr="00A14EDA" w:rsidRDefault="005C4241" w:rsidP="005C4241">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Student ID -2215984</w:t>
      </w:r>
    </w:p>
    <w:p w14:paraId="376438DF" w14:textId="77777777" w:rsidR="005C4241" w:rsidRPr="00A14EDA" w:rsidRDefault="005C4241" w:rsidP="005C4241">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Module code -LCBB4002</w:t>
      </w:r>
    </w:p>
    <w:p w14:paraId="1AE69E94" w14:textId="77777777" w:rsidR="005C4241" w:rsidRPr="00A14EDA" w:rsidRDefault="005C4241" w:rsidP="005C4241">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Module name – Community </w:t>
      </w:r>
      <w:proofErr w:type="spellStart"/>
      <w:r w:rsidRPr="00A14EDA">
        <w:rPr>
          <w:rFonts w:ascii="Calibri" w:hAnsi="Calibri"/>
          <w:color w:val="auto"/>
          <w:sz w:val="32"/>
          <w:szCs w:val="32"/>
          <w:lang w:eastAsia="zh-CN"/>
        </w:rPr>
        <w:t>Enggagement</w:t>
      </w:r>
      <w:proofErr w:type="spellEnd"/>
    </w:p>
    <w:p w14:paraId="1C5E45E5" w14:textId="77777777" w:rsidR="005C4241" w:rsidRPr="00A14EDA" w:rsidRDefault="005C4241" w:rsidP="005C4241">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Lecturer-Nadeem Mirza</w:t>
      </w:r>
    </w:p>
    <w:p w14:paraId="67AC2985" w14:textId="77777777" w:rsidR="005C4241" w:rsidRPr="00A14EDA" w:rsidRDefault="005C4241" w:rsidP="005C4241">
      <w:pPr>
        <w:suppressAutoHyphens w:val="0"/>
        <w:spacing w:after="160" w:line="259" w:lineRule="auto"/>
        <w:jc w:val="left"/>
        <w:rPr>
          <w:rFonts w:ascii="Calibri" w:hAnsi="Calibri"/>
          <w:color w:val="auto"/>
          <w:sz w:val="22"/>
          <w:lang w:eastAsia="en-US"/>
        </w:rPr>
      </w:pPr>
    </w:p>
    <w:p w14:paraId="52C1D085" w14:textId="77777777" w:rsidR="005C4241" w:rsidRDefault="005C4241" w:rsidP="005C4241">
      <w:pPr>
        <w:pStyle w:val="PreformattedText"/>
        <w:jc w:val="center"/>
        <w:rPr>
          <w:rFonts w:ascii="Times New Roman" w:hAnsi="Times New Roman" w:cs="Times New Roman"/>
          <w:sz w:val="96"/>
          <w:szCs w:val="96"/>
        </w:rPr>
      </w:pPr>
    </w:p>
    <w:p w14:paraId="70696C29" w14:textId="77777777" w:rsidR="005C4241" w:rsidRDefault="005C4241" w:rsidP="005C4241">
      <w:pPr>
        <w:pStyle w:val="NoSpacing1"/>
        <w:jc w:val="center"/>
      </w:pPr>
      <w:r>
        <w:rPr>
          <w:rFonts w:ascii="Times New Roman" w:hAnsi="Times New Roman" w:cs="Times New Roman"/>
          <w:color w:val="333333"/>
          <w:sz w:val="96"/>
          <w:szCs w:val="96"/>
          <w:u w:val="single"/>
        </w:rPr>
        <w:lastRenderedPageBreak/>
        <w:t xml:space="preserve"> </w:t>
      </w:r>
      <w:r>
        <w:t>Contents</w:t>
      </w:r>
    </w:p>
    <w:p w14:paraId="176745AD" w14:textId="77777777" w:rsidR="005C4241" w:rsidRDefault="005C4241" w:rsidP="005C4241">
      <w:pPr>
        <w:pStyle w:val="TOC1"/>
      </w:pPr>
      <w:r>
        <w:fldChar w:fldCharType="begin"/>
      </w:r>
      <w:r>
        <w:instrText xml:space="preserve"> TOC \o "1-3" \h \z \u </w:instrText>
      </w:r>
      <w:r>
        <w:fldChar w:fldCharType="separate"/>
      </w:r>
      <w:hyperlink w:anchor="__RefHeading___Toc111545779" w:history="1">
        <w:r>
          <w:rPr>
            <w:rStyle w:val="IndexLink"/>
            <w:lang w:val="en-GB" w:eastAsia="en-GB"/>
          </w:rPr>
          <w:t>INTRODUCTION</w:t>
        </w:r>
        <w:r>
          <w:rPr>
            <w:rStyle w:val="IndexLink"/>
            <w:lang w:val="en-GB" w:eastAsia="en-GB"/>
          </w:rPr>
          <w:tab/>
          <w:t>2</w:t>
        </w:r>
      </w:hyperlink>
    </w:p>
    <w:p w14:paraId="6FE8BD29" w14:textId="77777777" w:rsidR="005C4241" w:rsidRDefault="005C4241" w:rsidP="005C4241">
      <w:pPr>
        <w:pStyle w:val="TOC1"/>
      </w:pPr>
      <w:hyperlink w:anchor="__RefHeading___Toc111545780" w:history="1">
        <w:r>
          <w:rPr>
            <w:rStyle w:val="IndexLink"/>
            <w:lang w:val="en-GB" w:eastAsia="en-GB"/>
          </w:rPr>
          <w:t>MAIN BODY</w:t>
        </w:r>
        <w:r>
          <w:rPr>
            <w:rStyle w:val="IndexLink"/>
            <w:lang w:val="en-GB" w:eastAsia="en-GB"/>
          </w:rPr>
          <w:tab/>
          <w:t>2</w:t>
        </w:r>
      </w:hyperlink>
    </w:p>
    <w:p w14:paraId="4EADBA64" w14:textId="77777777" w:rsidR="005C4241" w:rsidRDefault="005C4241" w:rsidP="005C4241">
      <w:pPr>
        <w:pStyle w:val="TOC1"/>
      </w:pPr>
      <w:hyperlink w:anchor="__RefHeading___Toc111545781" w:history="1">
        <w:r>
          <w:rPr>
            <w:rStyle w:val="IndexLink"/>
            <w:lang w:val="en-GB" w:eastAsia="en-GB"/>
          </w:rPr>
          <w:t>CONCLUSION</w:t>
        </w:r>
        <w:r>
          <w:rPr>
            <w:rStyle w:val="IndexLink"/>
            <w:lang w:val="en-GB" w:eastAsia="en-GB"/>
          </w:rPr>
          <w:tab/>
          <w:t>3</w:t>
        </w:r>
      </w:hyperlink>
    </w:p>
    <w:p w14:paraId="79D468C3" w14:textId="77777777" w:rsidR="005C4241" w:rsidRDefault="005C4241" w:rsidP="005C4241">
      <w:pPr>
        <w:pStyle w:val="TOC1"/>
      </w:pPr>
      <w:hyperlink w:anchor="__RefHeading___Toc111545782" w:history="1">
        <w:r>
          <w:rPr>
            <w:rStyle w:val="IndexLink"/>
            <w:lang w:val="en-GB" w:eastAsia="en-GB"/>
          </w:rPr>
          <w:t>REFERENCES</w:t>
        </w:r>
        <w:r>
          <w:rPr>
            <w:rStyle w:val="IndexLink"/>
            <w:lang w:val="en-GB" w:eastAsia="en-GB"/>
          </w:rPr>
          <w:tab/>
          <w:t>4</w:t>
        </w:r>
      </w:hyperlink>
    </w:p>
    <w:p w14:paraId="64C40A42" w14:textId="77777777" w:rsidR="005C4241" w:rsidRDefault="005C4241" w:rsidP="005C4241">
      <w:pPr>
        <w:rPr>
          <w:b/>
          <w:bCs/>
          <w:lang w:val="en-GB" w:eastAsia="en-GB"/>
        </w:rPr>
      </w:pPr>
      <w:r>
        <w:fldChar w:fldCharType="end"/>
      </w:r>
    </w:p>
    <w:p w14:paraId="4FCA64E9" w14:textId="77777777" w:rsidR="005C4241" w:rsidRDefault="005C4241" w:rsidP="005C4241">
      <w:pPr>
        <w:pStyle w:val="Heading1"/>
        <w:pageBreakBefore/>
      </w:pPr>
      <w:bookmarkStart w:id="0" w:name="__RefHeading___Toc111545779"/>
      <w:bookmarkEnd w:id="0"/>
      <w:r>
        <w:lastRenderedPageBreak/>
        <w:t>INTRODUCTION</w:t>
      </w:r>
    </w:p>
    <w:p w14:paraId="228E1DCE" w14:textId="77777777" w:rsidR="005C4241" w:rsidRDefault="005C4241" w:rsidP="005C4241">
      <w:r>
        <w:tab/>
      </w:r>
      <w:r>
        <w:rPr>
          <w:color w:val="FF0000"/>
        </w:rPr>
        <w:t>Community engagement is the process of collaborative working through various groups of people who are linked geologically,</w:t>
      </w:r>
      <w:r>
        <w:t xml:space="preserve"> similar situation, special interest in order to address the issues that have the ability to </w:t>
      </w:r>
      <w:proofErr w:type="gramStart"/>
      <w:r>
        <w:t>effect</w:t>
      </w:r>
      <w:proofErr w:type="gramEnd"/>
      <w:r>
        <w:t xml:space="preserve"> the well-being of those humans. Community engagement considered as a powerful tool or vehicle with an aim of bringing about the behavioural and environmental changes</w:t>
      </w:r>
      <w:r>
        <w:rPr>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 xml:space="preserve">Abbott, </w:t>
      </w:r>
      <w:r>
        <w:rPr>
          <w:rFonts w:eastAsia="SimSun"/>
          <w:color w:val="FF0000"/>
          <w:szCs w:val="24"/>
          <w:shd w:val="clear" w:color="auto" w:fill="FFFFFF"/>
          <w:lang w:val="en-US"/>
        </w:rPr>
        <w:t>2023)</w:t>
      </w:r>
      <w:r>
        <w:t xml:space="preserve">. </w:t>
      </w:r>
      <w:r>
        <w:rPr>
          <w:color w:val="FF0000"/>
        </w:rPr>
        <w:t>Croydon London Borough Council is the local government authoritative figure for Croydon in Greater London, England. This council is divided into 28 wards, with 70 councillors elected in each.</w:t>
      </w:r>
      <w:r>
        <w:t xml:space="preserve"> This report contains the principles of community engagement, consultation method, participation and empowerment and feedback in context to the</w:t>
      </w:r>
    </w:p>
    <w:p w14:paraId="411A3589" w14:textId="77777777" w:rsidR="005C4241" w:rsidRDefault="005C4241" w:rsidP="005C4241">
      <w:r>
        <w:t xml:space="preserve">Croydon Council. </w:t>
      </w:r>
    </w:p>
    <w:p w14:paraId="2584B079" w14:textId="77777777" w:rsidR="005C4241" w:rsidRDefault="005C4241" w:rsidP="005C4241">
      <w:pPr>
        <w:pStyle w:val="Heading1"/>
      </w:pPr>
      <w:bookmarkStart w:id="1" w:name="__RefHeading___Toc111545780"/>
      <w:bookmarkEnd w:id="1"/>
      <w:r>
        <w:t>MAIN BODY</w:t>
      </w:r>
    </w:p>
    <w:p w14:paraId="6E72D46A" w14:textId="77777777" w:rsidR="005C4241" w:rsidRDefault="005C4241" w:rsidP="005C4241">
      <w:pPr>
        <w:rPr>
          <w:color w:val="FF0000"/>
          <w:lang w:val="en-US"/>
        </w:rPr>
      </w:pPr>
      <w:r>
        <w:t>The current issues that are faced by the Croydon Council is regarding balancing their financial books and accounting records. In order to this issue Matthew states that</w:t>
      </w:r>
      <w:r>
        <w:rPr>
          <w:lang w:val="en-US"/>
        </w:rPr>
        <w:t xml:space="preserve"> the</w:t>
      </w:r>
      <w:r>
        <w:rPr>
          <w:color w:val="FF0000"/>
        </w:rPr>
        <w:t xml:space="preserve"> most recent financial statement should serve as a wake-up call to the other cash-strapped councils</w:t>
      </w:r>
      <w:r>
        <w:rPr>
          <w:color w:val="FF0000"/>
          <w:lang w:val="en-US"/>
        </w:rPr>
        <w:t xml:space="preserve"> </w:t>
      </w:r>
      <w:r>
        <w:rPr>
          <w:rFonts w:eastAsia="SimSun"/>
          <w:color w:val="FF0000"/>
          <w:szCs w:val="24"/>
          <w:shd w:val="clear" w:color="auto" w:fill="FFFFFF"/>
          <w:lang w:val="en-US"/>
        </w:rPr>
        <w:t>(</w:t>
      </w:r>
      <w:proofErr w:type="spellStart"/>
      <w:r>
        <w:rPr>
          <w:rFonts w:eastAsia="SimSun"/>
          <w:color w:val="FF0000"/>
          <w:szCs w:val="24"/>
          <w:shd w:val="clear" w:color="auto" w:fill="FFFFFF"/>
        </w:rPr>
        <w:t>Bortolin</w:t>
      </w:r>
      <w:proofErr w:type="spellEnd"/>
      <w:r>
        <w:rPr>
          <w:rFonts w:eastAsia="SimSun"/>
          <w:color w:val="FF0000"/>
          <w:szCs w:val="24"/>
          <w:shd w:val="clear" w:color="auto" w:fill="FFFFFF"/>
        </w:rPr>
        <w:t>, 201</w:t>
      </w:r>
      <w:r>
        <w:rPr>
          <w:rFonts w:eastAsia="SimSun"/>
          <w:color w:val="FF0000"/>
          <w:szCs w:val="24"/>
          <w:shd w:val="clear" w:color="auto" w:fill="FFFFFF"/>
          <w:lang w:val="en-US"/>
        </w:rPr>
        <w:t>9)</w:t>
      </w:r>
    </w:p>
    <w:p w14:paraId="464BEB21" w14:textId="77777777" w:rsidR="005C4241" w:rsidRDefault="005C4241" w:rsidP="005C4241">
      <w:pPr>
        <w:rPr>
          <w:b/>
          <w:bCs/>
          <w:color w:val="1C2B39"/>
          <w:szCs w:val="24"/>
        </w:rPr>
      </w:pPr>
      <w:r>
        <w:rPr>
          <w:color w:val="FF0000"/>
        </w:rPr>
        <w:t>.</w:t>
      </w:r>
      <w:r>
        <w:t xml:space="preserve"> Croydon remain in a risky position and this because council have debt of </w:t>
      </w:r>
      <w:r>
        <w:rPr>
          <w:color w:val="1C2B39"/>
          <w:szCs w:val="24"/>
        </w:rPr>
        <w:t xml:space="preserve">£1.6bn debt and it is almost equal to the £320m. This huge amount occurs due to the negative equity on the poor investments. This </w:t>
      </w:r>
      <w:proofErr w:type="gramStart"/>
      <w:r>
        <w:rPr>
          <w:color w:val="1C2B39"/>
          <w:szCs w:val="24"/>
        </w:rPr>
        <w:t>lead</w:t>
      </w:r>
      <w:proofErr w:type="gramEnd"/>
      <w:r>
        <w:rPr>
          <w:color w:val="1C2B39"/>
          <w:szCs w:val="24"/>
        </w:rPr>
        <w:t xml:space="preserve"> to the council and it have to pay the council to pay the interest rate changes with £300m that is equal to 19% of the debt that are financed through the short term leading average of the 1.7%</w:t>
      </w:r>
      <w:r>
        <w:rPr>
          <w:color w:val="1C2B39"/>
          <w:szCs w:val="24"/>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Briggs, 20</w:t>
      </w:r>
      <w:r>
        <w:rPr>
          <w:rFonts w:eastAsia="SimSun"/>
          <w:color w:val="FF0000"/>
          <w:szCs w:val="24"/>
          <w:shd w:val="clear" w:color="auto" w:fill="FFFFFF"/>
          <w:lang w:val="en-US"/>
        </w:rPr>
        <w:t>20)</w:t>
      </w:r>
      <w:r>
        <w:rPr>
          <w:color w:val="1C2B39"/>
          <w:szCs w:val="24"/>
        </w:rPr>
        <w:t xml:space="preserve">. Moreover, due to this council faces several problems and have to pay huge amount of debt repayment which increased up to 4.65%. The </w:t>
      </w:r>
      <w:proofErr w:type="gramStart"/>
      <w:r>
        <w:rPr>
          <w:color w:val="1C2B39"/>
          <w:szCs w:val="24"/>
        </w:rPr>
        <w:t>medium term</w:t>
      </w:r>
      <w:proofErr w:type="gramEnd"/>
      <w:r>
        <w:rPr>
          <w:color w:val="1C2B39"/>
          <w:szCs w:val="24"/>
        </w:rPr>
        <w:t xml:space="preserve"> financial plan of that expects to the £47m this end of the years and also give a warning of £60m payment of interest in the future. Apart from this, Croydon argues about the level of debt that council have, as it states that borrowing commitments and negative equity simple means that it will have struggle much in order to balance the books and maintain the accounting records and it follows the same approach last year. Moreover, </w:t>
      </w:r>
      <w:proofErr w:type="gramStart"/>
      <w:r>
        <w:rPr>
          <w:color w:val="1C2B39"/>
          <w:szCs w:val="24"/>
        </w:rPr>
        <w:t>Since</w:t>
      </w:r>
      <w:proofErr w:type="gramEnd"/>
      <w:r>
        <w:rPr>
          <w:color w:val="1C2B39"/>
          <w:szCs w:val="24"/>
        </w:rPr>
        <w:t xml:space="preserve"> before the pandemic, council also do struggle in finance legacy debts. Due to this negligence, council get a notice under the section 114 in year 2020</w:t>
      </w:r>
      <w:r>
        <w:rPr>
          <w:color w:val="1C2B39"/>
          <w:szCs w:val="24"/>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Di Napoli, Dolce</w:t>
      </w:r>
      <w:r>
        <w:rPr>
          <w:rFonts w:eastAsia="SimSun"/>
          <w:color w:val="FF0000"/>
          <w:szCs w:val="24"/>
          <w:shd w:val="clear" w:color="auto" w:fill="FFFFFF"/>
          <w:lang w:val="en-US"/>
        </w:rPr>
        <w:t xml:space="preserve"> and</w:t>
      </w:r>
      <w:r>
        <w:rPr>
          <w:rFonts w:eastAsia="SimSun"/>
          <w:color w:val="FF0000"/>
          <w:szCs w:val="24"/>
          <w:shd w:val="clear" w:color="auto" w:fill="FFFFFF"/>
        </w:rPr>
        <w:t xml:space="preserve"> Arcidiacono, 2019</w:t>
      </w:r>
      <w:r>
        <w:rPr>
          <w:rFonts w:eastAsia="SimSun"/>
          <w:color w:val="FF0000"/>
          <w:szCs w:val="24"/>
          <w:shd w:val="clear" w:color="auto" w:fill="FFFFFF"/>
          <w:lang w:val="en-US"/>
        </w:rPr>
        <w:t>)</w:t>
      </w:r>
      <w:r>
        <w:rPr>
          <w:color w:val="1C2B39"/>
          <w:szCs w:val="24"/>
        </w:rPr>
        <w:t xml:space="preserve">. </w:t>
      </w:r>
      <w:r>
        <w:rPr>
          <w:color w:val="FF0000"/>
          <w:szCs w:val="24"/>
        </w:rPr>
        <w:t>Croydon secured and will receive a £150 million four-year 'Capitalisation Direction' support package in 2020</w:t>
      </w:r>
      <w:r>
        <w:rPr>
          <w:color w:val="1C2B39"/>
          <w:szCs w:val="24"/>
        </w:rPr>
        <w:t xml:space="preserve">. This support from the central government allows the business firm sell its assets and it undertake the </w:t>
      </w:r>
      <w:proofErr w:type="gramStart"/>
      <w:r>
        <w:rPr>
          <w:color w:val="1C2B39"/>
          <w:szCs w:val="24"/>
        </w:rPr>
        <w:t>20 year</w:t>
      </w:r>
      <w:proofErr w:type="gramEnd"/>
      <w:r>
        <w:rPr>
          <w:color w:val="1C2B39"/>
          <w:szCs w:val="24"/>
        </w:rPr>
        <w:t xml:space="preserve"> borrowing to prop up day-to-day spending. As a result of all this scenario Croydon Council planned the sales of the assets £50m from between 2021 to 2022</w:t>
      </w:r>
      <w:r>
        <w:rPr>
          <w:color w:val="1C2B39"/>
          <w:szCs w:val="24"/>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Head, 20</w:t>
      </w:r>
      <w:r>
        <w:rPr>
          <w:rFonts w:eastAsia="SimSun"/>
          <w:color w:val="FF0000"/>
          <w:szCs w:val="24"/>
          <w:shd w:val="clear" w:color="auto" w:fill="FFFFFF"/>
          <w:lang w:val="en-US"/>
        </w:rPr>
        <w:t>21)</w:t>
      </w:r>
      <w:r>
        <w:rPr>
          <w:color w:val="1C2B39"/>
          <w:szCs w:val="24"/>
        </w:rPr>
        <w:t xml:space="preserve">. But still even after this, council remain in the </w:t>
      </w:r>
      <w:r>
        <w:rPr>
          <w:color w:val="1C2B39"/>
          <w:szCs w:val="24"/>
        </w:rPr>
        <w:lastRenderedPageBreak/>
        <w:t xml:space="preserve">problematic situation. In order to this, open book exercise and from it identifies </w:t>
      </w:r>
      <w:proofErr w:type="gramStart"/>
      <w:r>
        <w:rPr>
          <w:color w:val="1C2B39"/>
          <w:szCs w:val="24"/>
        </w:rPr>
        <w:t>the  new</w:t>
      </w:r>
      <w:proofErr w:type="gramEnd"/>
      <w:r>
        <w:rPr>
          <w:color w:val="1C2B39"/>
          <w:szCs w:val="24"/>
        </w:rPr>
        <w:t xml:space="preserve"> legacy for the financial issues that involves new debts, inaccurate forecasting and the accounting problems. Next, the council faces the higher demands and high inflationary costs. Furthermore, during the time before the pandemic, it cuts down that the government grants pushed the council that it should reduce and </w:t>
      </w:r>
      <w:r>
        <w:rPr>
          <w:color w:val="FF0000"/>
          <w:szCs w:val="24"/>
          <w:lang w:val="en-US"/>
        </w:rPr>
        <w:t>d</w:t>
      </w:r>
      <w:proofErr w:type="spellStart"/>
      <w:r>
        <w:rPr>
          <w:color w:val="FF0000"/>
          <w:szCs w:val="24"/>
        </w:rPr>
        <w:t>ecrease</w:t>
      </w:r>
      <w:proofErr w:type="spellEnd"/>
      <w:r>
        <w:rPr>
          <w:color w:val="FF0000"/>
          <w:szCs w:val="24"/>
        </w:rPr>
        <w:t xml:space="preserve"> neighbourhood services and look for other sources of funding, such as lenders from central government to other local governments and financial investments. As a result, several councils in Northampton, Kent, New Somerset, and Slough remain heavily in debt and having trouble reconciling their </w:t>
      </w:r>
      <w:proofErr w:type="spellStart"/>
      <w:proofErr w:type="gramStart"/>
      <w:r>
        <w:rPr>
          <w:color w:val="FF0000"/>
          <w:szCs w:val="24"/>
        </w:rPr>
        <w:t>books</w:t>
      </w:r>
      <w:r>
        <w:rPr>
          <w:color w:val="1C2B39"/>
          <w:szCs w:val="24"/>
        </w:rPr>
        <w:t>.There</w:t>
      </w:r>
      <w:proofErr w:type="spellEnd"/>
      <w:proofErr w:type="gramEnd"/>
      <w:r>
        <w:rPr>
          <w:color w:val="1C2B39"/>
          <w:szCs w:val="24"/>
        </w:rPr>
        <w:t xml:space="preserve"> various organisations and scholar have analysed and identify the core principles of the community engagement. In order to this Co-Intelligence Institute has develop and identify that there are seven core principles that are necessary for the effectively reflect the common faiths and beliefs and understanding in the field of community engagement that consists conflict, resolution of conflict and most importantly collaboration. Therefore, in practice these principles of community engagement are applied in the various different ways. Here are the principles of community engagement Croydon Council should implement in its council to promote and encourage the community engagement are as follows</w:t>
      </w:r>
    </w:p>
    <w:p w14:paraId="69883E4E" w14:textId="77777777" w:rsidR="005C4241" w:rsidRDefault="005C4241" w:rsidP="005C4241">
      <w:pPr>
        <w:rPr>
          <w:b/>
          <w:bCs/>
          <w:color w:val="1C2B39"/>
          <w:szCs w:val="24"/>
        </w:rPr>
      </w:pPr>
      <w:r>
        <w:rPr>
          <w:b/>
          <w:bCs/>
          <w:color w:val="1C2B39"/>
          <w:szCs w:val="24"/>
        </w:rPr>
        <w:t xml:space="preserve">Effect preparation and careful planning </w:t>
      </w:r>
      <w:r>
        <w:rPr>
          <w:color w:val="1C2B39"/>
          <w:szCs w:val="24"/>
        </w:rPr>
        <w:t xml:space="preserve">as through careful planning and effective preparation community engagement can be encouraged as through adequate planning and while ensuring the design, organization and most importantly the convening of the processes that </w:t>
      </w:r>
      <w:r>
        <w:rPr>
          <w:color w:val="FF0000"/>
          <w:szCs w:val="24"/>
        </w:rPr>
        <w:t xml:space="preserve">serve a certain objective as well as the wants and needs of the </w:t>
      </w:r>
      <w:proofErr w:type="spellStart"/>
      <w:r>
        <w:rPr>
          <w:color w:val="FF0000"/>
          <w:szCs w:val="24"/>
        </w:rPr>
        <w:t>participants</w:t>
      </w:r>
      <w:r>
        <w:rPr>
          <w:color w:val="1C2B39"/>
          <w:szCs w:val="24"/>
        </w:rPr>
        <w:t>.</w:t>
      </w:r>
      <w:r>
        <w:rPr>
          <w:b/>
          <w:bCs/>
          <w:color w:val="1C2B39"/>
          <w:szCs w:val="24"/>
        </w:rPr>
        <w:t>Demographic</w:t>
      </w:r>
      <w:proofErr w:type="spellEnd"/>
      <w:r>
        <w:rPr>
          <w:b/>
          <w:bCs/>
          <w:color w:val="1C2B39"/>
          <w:szCs w:val="24"/>
        </w:rPr>
        <w:t xml:space="preserve"> Diversity and Inclusion </w:t>
      </w:r>
      <w:r>
        <w:rPr>
          <w:color w:val="1C2B39"/>
          <w:szCs w:val="24"/>
        </w:rPr>
        <w:t>under this</w:t>
      </w:r>
      <w:r>
        <w:rPr>
          <w:color w:val="FF0000"/>
          <w:szCs w:val="24"/>
        </w:rPr>
        <w:t xml:space="preserve"> it fairly incorporates different individuals, ideas, and data to set the stage for high-quality results and democratic legitimacy</w:t>
      </w:r>
      <w:r>
        <w:rPr>
          <w:rFonts w:eastAsia="SimSun"/>
          <w:color w:val="FF0000"/>
          <w:szCs w:val="24"/>
          <w:shd w:val="clear" w:color="auto" w:fill="FFFFFF"/>
          <w:lang w:val="en-US"/>
        </w:rPr>
        <w:t>(</w:t>
      </w:r>
      <w:r>
        <w:rPr>
          <w:rFonts w:eastAsia="SimSun"/>
          <w:color w:val="FF0000"/>
          <w:szCs w:val="24"/>
          <w:shd w:val="clear" w:color="auto" w:fill="FFFFFF"/>
        </w:rPr>
        <w:t>Midgley</w:t>
      </w:r>
      <w:r>
        <w:rPr>
          <w:rFonts w:eastAsia="SimSun"/>
          <w:color w:val="FF0000"/>
          <w:szCs w:val="24"/>
          <w:shd w:val="clear" w:color="auto" w:fill="FFFFFF"/>
          <w:lang w:val="en-US"/>
        </w:rPr>
        <w:t xml:space="preserve"> and et.al., 2022)</w:t>
      </w:r>
      <w:r>
        <w:rPr>
          <w:color w:val="1C2B39"/>
          <w:szCs w:val="24"/>
        </w:rPr>
        <w:t xml:space="preserve">. </w:t>
      </w:r>
    </w:p>
    <w:p w14:paraId="2ACB3710" w14:textId="77777777" w:rsidR="005C4241" w:rsidRDefault="005C4241" w:rsidP="005C4241">
      <w:pPr>
        <w:rPr>
          <w:b/>
          <w:bCs/>
          <w:color w:val="1C2B39"/>
          <w:szCs w:val="24"/>
        </w:rPr>
      </w:pPr>
      <w:r>
        <w:rPr>
          <w:b/>
          <w:bCs/>
          <w:color w:val="1C2B39"/>
          <w:szCs w:val="24"/>
        </w:rPr>
        <w:t xml:space="preserve">Collaboration and Shared Purpose </w:t>
      </w:r>
      <w:r>
        <w:rPr>
          <w:color w:val="1C2B39"/>
          <w:szCs w:val="24"/>
        </w:rPr>
        <w:t xml:space="preserve">as according to this principle Croydon Council should provide support and encourage the participants, community and government and the community institutions and significantly it </w:t>
      </w:r>
      <w:proofErr w:type="gramStart"/>
      <w:r>
        <w:rPr>
          <w:color w:val="1C2B39"/>
          <w:szCs w:val="24"/>
        </w:rPr>
        <w:t>work</w:t>
      </w:r>
      <w:proofErr w:type="gramEnd"/>
      <w:r>
        <w:rPr>
          <w:color w:val="1C2B39"/>
          <w:szCs w:val="24"/>
        </w:rPr>
        <w:t xml:space="preserve"> together in advance for the common good. </w:t>
      </w:r>
    </w:p>
    <w:p w14:paraId="510C3CE6" w14:textId="77777777" w:rsidR="005C4241" w:rsidRDefault="005C4241" w:rsidP="005C4241">
      <w:pPr>
        <w:rPr>
          <w:b/>
          <w:bCs/>
          <w:color w:val="1C2B39"/>
          <w:szCs w:val="24"/>
        </w:rPr>
      </w:pPr>
      <w:r>
        <w:rPr>
          <w:b/>
          <w:bCs/>
          <w:color w:val="1C2B39"/>
          <w:szCs w:val="24"/>
        </w:rPr>
        <w:t xml:space="preserve">Learning and Openness </w:t>
      </w:r>
      <w:r>
        <w:rPr>
          <w:color w:val="1C2B39"/>
          <w:szCs w:val="24"/>
        </w:rPr>
        <w:t xml:space="preserve">as it </w:t>
      </w:r>
      <w:proofErr w:type="gramStart"/>
      <w:r>
        <w:rPr>
          <w:color w:val="1C2B39"/>
          <w:szCs w:val="24"/>
        </w:rPr>
        <w:t>assist</w:t>
      </w:r>
      <w:proofErr w:type="gramEnd"/>
      <w:r>
        <w:rPr>
          <w:color w:val="1C2B39"/>
          <w:szCs w:val="24"/>
        </w:rPr>
        <w:t xml:space="preserve"> in helping others in exploring the new ideas that are unconstrained by the outcomes that are predetermined, moreover, it also assist in learning and apply the information in several different ways such as when it generate the new options, rigorously evaluation of the community engagement activities for the effectiveness. </w:t>
      </w:r>
    </w:p>
    <w:p w14:paraId="5D892675" w14:textId="77777777" w:rsidR="005C4241" w:rsidRDefault="005C4241" w:rsidP="005C4241">
      <w:pPr>
        <w:rPr>
          <w:b/>
          <w:bCs/>
          <w:color w:val="1C2B39"/>
          <w:szCs w:val="24"/>
        </w:rPr>
      </w:pPr>
      <w:r>
        <w:rPr>
          <w:b/>
          <w:bCs/>
          <w:color w:val="1C2B39"/>
          <w:szCs w:val="24"/>
        </w:rPr>
        <w:t xml:space="preserve">Trust and Transparency </w:t>
      </w:r>
      <w:r>
        <w:rPr>
          <w:color w:val="1C2B39"/>
          <w:szCs w:val="24"/>
        </w:rPr>
        <w:t xml:space="preserve">includes that be clear and open about the processes and also provide the public record of the organizers, sponsors, outcomes and the range of views and ideas that are expresses. Therefore, Croydon should implement this principle in its council. </w:t>
      </w:r>
    </w:p>
    <w:p w14:paraId="71954DB6" w14:textId="77777777" w:rsidR="005C4241" w:rsidRDefault="005C4241" w:rsidP="005C4241">
      <w:pPr>
        <w:rPr>
          <w:b/>
          <w:bCs/>
          <w:color w:val="1C2B39"/>
          <w:szCs w:val="24"/>
        </w:rPr>
      </w:pPr>
      <w:r>
        <w:rPr>
          <w:b/>
          <w:bCs/>
          <w:color w:val="1C2B39"/>
          <w:szCs w:val="24"/>
        </w:rPr>
        <w:lastRenderedPageBreak/>
        <w:t xml:space="preserve">Action and </w:t>
      </w:r>
      <w:proofErr w:type="gramStart"/>
      <w:r>
        <w:rPr>
          <w:b/>
          <w:bCs/>
          <w:color w:val="1C2B39"/>
          <w:szCs w:val="24"/>
        </w:rPr>
        <w:t>Impact</w:t>
      </w:r>
      <w:proofErr w:type="gramEnd"/>
      <w:r>
        <w:rPr>
          <w:color w:val="1C2B39"/>
          <w:szCs w:val="24"/>
        </w:rPr>
        <w:t xml:space="preserve"> it is the most important principle for Croydon Council as it has real potential that create a difference and also the participants of the community should be aware about that potential in context to Croydon Council. </w:t>
      </w:r>
    </w:p>
    <w:p w14:paraId="07D33EF3" w14:textId="77777777" w:rsidR="005C4241" w:rsidRDefault="005C4241" w:rsidP="005C4241">
      <w:pPr>
        <w:rPr>
          <w:b/>
          <w:bCs/>
          <w:color w:val="1C2B39"/>
          <w:szCs w:val="24"/>
        </w:rPr>
      </w:pPr>
      <w:r>
        <w:rPr>
          <w:b/>
          <w:bCs/>
          <w:color w:val="1C2B39"/>
          <w:szCs w:val="24"/>
        </w:rPr>
        <w:t xml:space="preserve">Participatory Culture and Sustained Engagement </w:t>
      </w:r>
      <w:r>
        <w:rPr>
          <w:color w:val="1C2B39"/>
          <w:szCs w:val="24"/>
        </w:rPr>
        <w:t xml:space="preserve">this principle focused towards the ongoing support quality community engagement. Therefore, Croydon Council should implement these principles in its council. </w:t>
      </w:r>
    </w:p>
    <w:p w14:paraId="4E229F42" w14:textId="77777777" w:rsidR="005C4241" w:rsidRDefault="005C4241" w:rsidP="005C4241">
      <w:pPr>
        <w:rPr>
          <w:color w:val="1C2B39"/>
          <w:szCs w:val="24"/>
        </w:rPr>
      </w:pPr>
      <w:r>
        <w:rPr>
          <w:b/>
          <w:bCs/>
          <w:color w:val="1C2B39"/>
          <w:szCs w:val="24"/>
        </w:rPr>
        <w:t>The standard for community engagement</w:t>
      </w:r>
      <w:r>
        <w:rPr>
          <w:color w:val="1C2B39"/>
          <w:szCs w:val="24"/>
        </w:rPr>
        <w:t xml:space="preserve"> refers to the best practice principles that are assigned with motive of supporting and informing the process of community engagement and should improve what happens as a result. The review process of community engagement was very inclusive and drew contribution to from a wide range of the community organisations. The seven standards for community engagement are that Croydon Council should use 'We' for the stakeholders who are indulged in the community engagement process</w:t>
      </w:r>
      <w:r>
        <w:rPr>
          <w:color w:val="1C2B39"/>
          <w:szCs w:val="24"/>
          <w:lang w:val="en-US"/>
        </w:rPr>
        <w:t xml:space="preserve"> </w:t>
      </w:r>
      <w:r>
        <w:rPr>
          <w:rFonts w:eastAsia="SimSun"/>
          <w:color w:val="FF0000"/>
          <w:szCs w:val="24"/>
          <w:shd w:val="clear" w:color="auto" w:fill="FFFFFF"/>
          <w:lang w:val="en-US"/>
        </w:rPr>
        <w:t>(</w:t>
      </w:r>
      <w:proofErr w:type="spellStart"/>
      <w:r>
        <w:rPr>
          <w:rFonts w:eastAsia="SimSun"/>
          <w:color w:val="FF0000"/>
          <w:szCs w:val="24"/>
          <w:shd w:val="clear" w:color="auto" w:fill="FFFFFF"/>
        </w:rPr>
        <w:t>Sanoff</w:t>
      </w:r>
      <w:proofErr w:type="spellEnd"/>
      <w:r>
        <w:rPr>
          <w:rFonts w:eastAsia="SimSun"/>
          <w:color w:val="FF0000"/>
          <w:szCs w:val="24"/>
          <w:shd w:val="clear" w:color="auto" w:fill="FFFFFF"/>
        </w:rPr>
        <w:t xml:space="preserve">, </w:t>
      </w:r>
      <w:r>
        <w:rPr>
          <w:rFonts w:eastAsia="SimSun"/>
          <w:color w:val="FF0000"/>
          <w:szCs w:val="24"/>
          <w:shd w:val="clear" w:color="auto" w:fill="FFFFFF"/>
          <w:lang w:val="en-US"/>
        </w:rPr>
        <w:t>2023</w:t>
      </w:r>
      <w:proofErr w:type="gramStart"/>
      <w:r>
        <w:rPr>
          <w:rFonts w:eastAsia="SimSun"/>
          <w:color w:val="FF0000"/>
          <w:szCs w:val="24"/>
          <w:shd w:val="clear" w:color="auto" w:fill="FFFFFF"/>
          <w:lang w:val="en-US"/>
        </w:rPr>
        <w:t>)</w:t>
      </w:r>
      <w:r>
        <w:rPr>
          <w:color w:val="1C2B39"/>
          <w:szCs w:val="24"/>
        </w:rPr>
        <w:t>..</w:t>
      </w:r>
      <w:proofErr w:type="gramEnd"/>
    </w:p>
    <w:p w14:paraId="21447C8C" w14:textId="77777777" w:rsidR="005C4241" w:rsidRDefault="005C4241" w:rsidP="005C4241">
      <w:pPr>
        <w:rPr>
          <w:color w:val="1C2B39"/>
          <w:szCs w:val="24"/>
        </w:rPr>
      </w:pPr>
      <w:r>
        <w:rPr>
          <w:color w:val="1C2B39"/>
          <w:szCs w:val="24"/>
        </w:rPr>
        <w:t xml:space="preserve">Stakeholders of the Croydon Council who are indulged in the planning process or in delivering the whole process of community engagement. </w:t>
      </w:r>
    </w:p>
    <w:p w14:paraId="5B6ACAF8" w14:textId="77777777" w:rsidR="005C4241" w:rsidRDefault="005C4241" w:rsidP="005C4241">
      <w:pPr>
        <w:rPr>
          <w:color w:val="1C2B39"/>
          <w:szCs w:val="24"/>
        </w:rPr>
      </w:pPr>
      <w:r>
        <w:rPr>
          <w:color w:val="1C2B39"/>
          <w:szCs w:val="24"/>
        </w:rPr>
        <w:t xml:space="preserve">Stakeholders </w:t>
      </w:r>
      <w:proofErr w:type="gramStart"/>
      <w:r>
        <w:rPr>
          <w:color w:val="1C2B39"/>
          <w:szCs w:val="24"/>
        </w:rPr>
        <w:t>and  participants</w:t>
      </w:r>
      <w:proofErr w:type="gramEnd"/>
      <w:r>
        <w:rPr>
          <w:color w:val="1C2B39"/>
          <w:szCs w:val="24"/>
        </w:rPr>
        <w:t xml:space="preserve"> of the Croydon Council who are directly involved and responsible for the process of community engagement. </w:t>
      </w:r>
    </w:p>
    <w:p w14:paraId="2AF96A35" w14:textId="77777777" w:rsidR="005C4241" w:rsidRDefault="005C4241" w:rsidP="005C4241">
      <w:pPr>
        <w:rPr>
          <w:color w:val="1C2B39"/>
          <w:szCs w:val="24"/>
        </w:rPr>
      </w:pPr>
      <w:r>
        <w:rPr>
          <w:color w:val="1C2B39"/>
          <w:szCs w:val="24"/>
        </w:rPr>
        <w:t xml:space="preserve">Community refers to the gathering of people that are united by at least one common and basic characteristic that includes the geography, identity and shared interest of the </w:t>
      </w:r>
      <w:proofErr w:type="gramStart"/>
      <w:r>
        <w:rPr>
          <w:color w:val="1C2B39"/>
          <w:szCs w:val="24"/>
        </w:rPr>
        <w:t>stakeholders</w:t>
      </w:r>
      <w:proofErr w:type="gramEnd"/>
      <w:r>
        <w:rPr>
          <w:color w:val="1C2B39"/>
          <w:szCs w:val="24"/>
        </w:rPr>
        <w:t xml:space="preserve"> ion context to the Croydon Council. </w:t>
      </w:r>
    </w:p>
    <w:p w14:paraId="3D6C2C20" w14:textId="77777777" w:rsidR="005C4241" w:rsidRDefault="005C4241" w:rsidP="005C4241">
      <w:pPr>
        <w:rPr>
          <w:b/>
          <w:bCs/>
          <w:color w:val="1C2B39"/>
          <w:szCs w:val="24"/>
        </w:rPr>
      </w:pPr>
      <w:r>
        <w:rPr>
          <w:color w:val="1C2B39"/>
          <w:szCs w:val="24"/>
        </w:rPr>
        <w:t>Consultation methods refers to the one common form of engagement. Therefore, it is necessary and required to decide that whether the consultation is best and suitable approach for achieving the outcome that is required for the engagement. There are various types of engagement include in engagement for the information or communication and letting people know that what will going to be happen</w:t>
      </w:r>
      <w:r>
        <w:rPr>
          <w:color w:val="1C2B39"/>
          <w:szCs w:val="24"/>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Wallerstein</w:t>
      </w:r>
      <w:r>
        <w:rPr>
          <w:rFonts w:eastAsia="SimSun"/>
          <w:color w:val="FF0000"/>
          <w:szCs w:val="24"/>
          <w:shd w:val="clear" w:color="auto" w:fill="FFFFFF"/>
          <w:lang w:val="en-US"/>
        </w:rPr>
        <w:t xml:space="preserve"> and et.al., </w:t>
      </w:r>
      <w:r>
        <w:rPr>
          <w:rFonts w:eastAsia="SimSun"/>
          <w:color w:val="FF0000"/>
          <w:szCs w:val="24"/>
          <w:shd w:val="clear" w:color="auto" w:fill="FFFFFF"/>
        </w:rPr>
        <w:t>201</w:t>
      </w:r>
      <w:r>
        <w:rPr>
          <w:rFonts w:eastAsia="SimSun"/>
          <w:color w:val="FF0000"/>
          <w:szCs w:val="24"/>
          <w:shd w:val="clear" w:color="auto" w:fill="FFFFFF"/>
          <w:lang w:val="en-US"/>
        </w:rPr>
        <w:t>9)</w:t>
      </w:r>
      <w:r>
        <w:rPr>
          <w:color w:val="1C2B39"/>
          <w:szCs w:val="24"/>
        </w:rPr>
        <w:t xml:space="preserve">. The actual and real form of consultation is undertaken and overviewed by the applicants or user who are highly depend on that what the proposal entails, its complexity and the environment scale and the relationship with the parties that are need to be consulted. Hence, it needs to be get decided on a case-by-case basis. Here are some of the consultation methods that can be used by the Croydon Council for consulting with its stakeholders such as </w:t>
      </w:r>
    </w:p>
    <w:p w14:paraId="79E59C4A" w14:textId="77777777" w:rsidR="005C4241" w:rsidRDefault="005C4241" w:rsidP="005C4241">
      <w:pPr>
        <w:rPr>
          <w:b/>
          <w:bCs/>
          <w:color w:val="1C2B39"/>
          <w:szCs w:val="24"/>
        </w:rPr>
      </w:pPr>
      <w:r>
        <w:rPr>
          <w:b/>
          <w:bCs/>
          <w:color w:val="1C2B39"/>
          <w:szCs w:val="24"/>
        </w:rPr>
        <w:lastRenderedPageBreak/>
        <w:t xml:space="preserve">Meetings </w:t>
      </w:r>
      <w:r>
        <w:rPr>
          <w:color w:val="1C2B39"/>
          <w:szCs w:val="24"/>
        </w:rPr>
        <w:t xml:space="preserve">with the stakeholders of the organisation is work a s a consultation method. This method should be open ended and </w:t>
      </w:r>
      <w:proofErr w:type="gramStart"/>
      <w:r>
        <w:rPr>
          <w:color w:val="1C2B39"/>
          <w:szCs w:val="24"/>
        </w:rPr>
        <w:t>open minded</w:t>
      </w:r>
      <w:proofErr w:type="gramEnd"/>
      <w:r>
        <w:rPr>
          <w:color w:val="1C2B39"/>
          <w:szCs w:val="24"/>
        </w:rPr>
        <w:t xml:space="preserve"> discussions with the individual stakeholders as well as groups</w:t>
      </w:r>
      <w:r>
        <w:rPr>
          <w:color w:val="1C2B39"/>
          <w:szCs w:val="24"/>
          <w:lang w:val="en-US"/>
        </w:rPr>
        <w:t xml:space="preserve"> </w:t>
      </w:r>
      <w:r>
        <w:rPr>
          <w:rFonts w:eastAsia="SimSun"/>
          <w:color w:val="FF0000"/>
          <w:szCs w:val="24"/>
          <w:shd w:val="clear" w:color="auto" w:fill="FFFFFF"/>
          <w:lang w:val="en-US"/>
        </w:rPr>
        <w:t>(</w:t>
      </w:r>
      <w:proofErr w:type="spellStart"/>
      <w:r>
        <w:rPr>
          <w:rFonts w:eastAsia="SimSun"/>
          <w:color w:val="FF0000"/>
          <w:szCs w:val="24"/>
          <w:shd w:val="clear" w:color="auto" w:fill="FFFFFF"/>
        </w:rPr>
        <w:t>Waterton</w:t>
      </w:r>
      <w:proofErr w:type="spellEnd"/>
      <w:r>
        <w:rPr>
          <w:rFonts w:eastAsia="SimSun"/>
          <w:color w:val="FF0000"/>
          <w:szCs w:val="24"/>
          <w:shd w:val="clear" w:color="auto" w:fill="FFFFFF"/>
        </w:rPr>
        <w:t xml:space="preserve"> and Watson, 201</w:t>
      </w:r>
      <w:r>
        <w:rPr>
          <w:rFonts w:eastAsia="SimSun"/>
          <w:color w:val="FF0000"/>
          <w:szCs w:val="24"/>
          <w:shd w:val="clear" w:color="auto" w:fill="FFFFFF"/>
          <w:lang w:val="en-US"/>
        </w:rPr>
        <w:t>9)</w:t>
      </w:r>
      <w:r>
        <w:rPr>
          <w:color w:val="1C2B39"/>
          <w:szCs w:val="24"/>
        </w:rPr>
        <w:t xml:space="preserve">. </w:t>
      </w:r>
    </w:p>
    <w:p w14:paraId="78A9CCD3" w14:textId="77777777" w:rsidR="005C4241" w:rsidRDefault="005C4241" w:rsidP="005C4241">
      <w:pPr>
        <w:rPr>
          <w:color w:val="1C2B39"/>
          <w:szCs w:val="24"/>
        </w:rPr>
      </w:pPr>
      <w:r>
        <w:rPr>
          <w:b/>
          <w:bCs/>
          <w:color w:val="1C2B39"/>
          <w:szCs w:val="24"/>
        </w:rPr>
        <w:t xml:space="preserve">Public forums </w:t>
      </w:r>
      <w:r>
        <w:rPr>
          <w:color w:val="1C2B39"/>
          <w:szCs w:val="24"/>
        </w:rPr>
        <w:t xml:space="preserve">or open days as per this method Council should carefully manage the sessions and the proposals should be </w:t>
      </w:r>
      <w:proofErr w:type="spellStart"/>
      <w:r>
        <w:rPr>
          <w:color w:val="1C2B39"/>
          <w:szCs w:val="24"/>
        </w:rPr>
        <w:t>be</w:t>
      </w:r>
      <w:proofErr w:type="spellEnd"/>
      <w:r>
        <w:rPr>
          <w:color w:val="1C2B39"/>
          <w:szCs w:val="24"/>
        </w:rPr>
        <w:t xml:space="preserve"> sound like a done deal. </w:t>
      </w:r>
    </w:p>
    <w:p w14:paraId="2523A3EE" w14:textId="77777777" w:rsidR="005C4241" w:rsidRDefault="005C4241" w:rsidP="005C4241">
      <w:pPr>
        <w:rPr>
          <w:color w:val="1C2B39"/>
          <w:szCs w:val="24"/>
        </w:rPr>
      </w:pPr>
      <w:r>
        <w:rPr>
          <w:color w:val="1C2B39"/>
          <w:szCs w:val="24"/>
        </w:rPr>
        <w:t xml:space="preserve">Exchange of </w:t>
      </w:r>
      <w:proofErr w:type="gramStart"/>
      <w:r>
        <w:rPr>
          <w:color w:val="1C2B39"/>
          <w:szCs w:val="24"/>
        </w:rPr>
        <w:t>letters  and</w:t>
      </w:r>
      <w:proofErr w:type="gramEnd"/>
      <w:r>
        <w:rPr>
          <w:color w:val="1C2B39"/>
          <w:szCs w:val="24"/>
        </w:rPr>
        <w:t xml:space="preserve"> informative material also work as a consultation method for community engagement in context to the Croydon Council.</w:t>
      </w:r>
    </w:p>
    <w:p w14:paraId="63549CE1" w14:textId="77777777" w:rsidR="005C4241" w:rsidRDefault="005C4241" w:rsidP="005C4241">
      <w:pPr>
        <w:rPr>
          <w:color w:val="1C2B39"/>
          <w:szCs w:val="24"/>
        </w:rPr>
      </w:pPr>
      <w:r>
        <w:rPr>
          <w:color w:val="1C2B39"/>
          <w:szCs w:val="24"/>
        </w:rPr>
        <w:t xml:space="preserve">Apart from the </w:t>
      </w:r>
      <w:proofErr w:type="gramStart"/>
      <w:r>
        <w:rPr>
          <w:color w:val="1C2B39"/>
          <w:szCs w:val="24"/>
        </w:rPr>
        <w:t>above mentioned</w:t>
      </w:r>
      <w:proofErr w:type="gramEnd"/>
      <w:r>
        <w:rPr>
          <w:color w:val="1C2B39"/>
          <w:szCs w:val="24"/>
        </w:rPr>
        <w:t xml:space="preserve"> methods there are several ways through which Croydon Council can consult with the stakeholders such as house meeting, workshops, site visits, telephone discussions, websites and many more. </w:t>
      </w:r>
    </w:p>
    <w:p w14:paraId="40133F27" w14:textId="77777777" w:rsidR="005C4241" w:rsidRDefault="005C4241" w:rsidP="005C4241">
      <w:pPr>
        <w:rPr>
          <w:b/>
          <w:bCs/>
          <w:color w:val="1C2B39"/>
          <w:szCs w:val="24"/>
        </w:rPr>
      </w:pPr>
      <w:r>
        <w:rPr>
          <w:color w:val="1C2B39"/>
          <w:szCs w:val="24"/>
        </w:rPr>
        <w:t xml:space="preserve">Conclusively, council should not be concerned about the way through which an applicant has consulted but whether the consultation has been effective. Therefore, Croydon Council should keep its focus on the outcome of the consultation and how the stakeholders </w:t>
      </w:r>
      <w:proofErr w:type="gramStart"/>
      <w:r>
        <w:rPr>
          <w:color w:val="1C2B39"/>
          <w:szCs w:val="24"/>
        </w:rPr>
        <w:t>has</w:t>
      </w:r>
      <w:proofErr w:type="gramEnd"/>
      <w:r>
        <w:rPr>
          <w:color w:val="1C2B39"/>
          <w:szCs w:val="24"/>
        </w:rPr>
        <w:t xml:space="preserve"> try to address and solve the concerns of the stakeholders that are raised by them. </w:t>
      </w:r>
    </w:p>
    <w:p w14:paraId="3D6A85B9" w14:textId="77777777" w:rsidR="005C4241" w:rsidRDefault="005C4241" w:rsidP="005C4241">
      <w:pPr>
        <w:rPr>
          <w:color w:val="1C2B39"/>
          <w:szCs w:val="24"/>
        </w:rPr>
      </w:pPr>
      <w:r>
        <w:rPr>
          <w:b/>
          <w:bCs/>
          <w:color w:val="1C2B39"/>
          <w:szCs w:val="24"/>
        </w:rPr>
        <w:t>Stakeholder engagement</w:t>
      </w:r>
      <w:r>
        <w:rPr>
          <w:color w:val="1C2B39"/>
          <w:szCs w:val="24"/>
        </w:rPr>
        <w:t xml:space="preserve"> refers to the process of managing the organisations that can follow with an aim of listening, collaborating with and</w:t>
      </w:r>
      <w:r>
        <w:rPr>
          <w:color w:val="FF0000"/>
          <w:szCs w:val="24"/>
        </w:rPr>
        <w:t xml:space="preserve"> should educate each of the three, as well as their current stakeholders. The Croydon Council should implement this procedure for engaging stakeholders. Stakeholder engagement is a process that involves identifying, categorising, and prioritising stakeholders in order to choose the best strategies for effective communication while maximising the use of the resources at hand</w:t>
      </w:r>
      <w:r>
        <w:rPr>
          <w:color w:val="FF0000"/>
          <w:szCs w:val="24"/>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Watson, 20</w:t>
      </w:r>
      <w:r>
        <w:rPr>
          <w:rFonts w:eastAsia="SimSun"/>
          <w:color w:val="FF0000"/>
          <w:szCs w:val="24"/>
          <w:shd w:val="clear" w:color="auto" w:fill="FFFFFF"/>
          <w:lang w:val="en-US"/>
        </w:rPr>
        <w:t>22)</w:t>
      </w:r>
      <w:r>
        <w:rPr>
          <w:color w:val="1C2B39"/>
          <w:szCs w:val="24"/>
        </w:rPr>
        <w:t xml:space="preserve">. </w:t>
      </w:r>
    </w:p>
    <w:p w14:paraId="3A98D9C8" w14:textId="77777777" w:rsidR="005C4241" w:rsidRDefault="005C4241" w:rsidP="005C4241">
      <w:pPr>
        <w:rPr>
          <w:color w:val="1C2B39"/>
          <w:szCs w:val="24"/>
        </w:rPr>
      </w:pPr>
      <w:r>
        <w:rPr>
          <w:color w:val="1C2B39"/>
          <w:szCs w:val="24"/>
        </w:rPr>
        <w:t xml:space="preserve">Through mapping the stakeholder groups and organisation should develop the </w:t>
      </w:r>
      <w:proofErr w:type="spellStart"/>
      <w:r>
        <w:rPr>
          <w:color w:val="1C2B39"/>
          <w:szCs w:val="24"/>
        </w:rPr>
        <w:t>the</w:t>
      </w:r>
      <w:proofErr w:type="spellEnd"/>
      <w:r>
        <w:rPr>
          <w:color w:val="1C2B39"/>
          <w:szCs w:val="24"/>
        </w:rPr>
        <w:t xml:space="preserve"> plan in order to engage in with each and every group of </w:t>
      </w:r>
      <w:proofErr w:type="gramStart"/>
      <w:r>
        <w:rPr>
          <w:color w:val="1C2B39"/>
          <w:szCs w:val="24"/>
        </w:rPr>
        <w:t>stakeholder</w:t>
      </w:r>
      <w:proofErr w:type="gramEnd"/>
      <w:r>
        <w:rPr>
          <w:color w:val="1C2B39"/>
          <w:szCs w:val="24"/>
        </w:rPr>
        <w:t>. This method will assist the organisation in developing a plan for Croydon Council that is best suitable and work for them. Here are some ways through which Croydon Council can do the mapping of its stakeholders such as \</w:t>
      </w:r>
    </w:p>
    <w:p w14:paraId="14E7A3C0" w14:textId="77777777" w:rsidR="005C4241" w:rsidRDefault="005C4241" w:rsidP="005C4241">
      <w:pPr>
        <w:rPr>
          <w:b/>
          <w:bCs/>
          <w:color w:val="1C2B39"/>
          <w:szCs w:val="24"/>
        </w:rPr>
      </w:pPr>
      <w:r>
        <w:rPr>
          <w:color w:val="1C2B39"/>
          <w:szCs w:val="24"/>
        </w:rPr>
        <w:t xml:space="preserve">Low Influence and Low interest as for the stakeholder of the council who have low influence and low interest and also the </w:t>
      </w:r>
      <w:proofErr w:type="gramStart"/>
      <w:r>
        <w:rPr>
          <w:color w:val="1C2B39"/>
          <w:szCs w:val="24"/>
        </w:rPr>
        <w:t>one way</w:t>
      </w:r>
      <w:proofErr w:type="gramEnd"/>
      <w:r>
        <w:rPr>
          <w:color w:val="1C2B39"/>
          <w:szCs w:val="24"/>
        </w:rPr>
        <w:t xml:space="preserve"> communication of the crucial and needed information that it will likely to be sufficient and enough for the more instances. </w:t>
      </w:r>
      <w:r>
        <w:rPr>
          <w:b/>
          <w:bCs/>
          <w:color w:val="1C2B39"/>
          <w:szCs w:val="24"/>
        </w:rPr>
        <w:t>Low interest and high influence</w:t>
      </w:r>
      <w:r>
        <w:rPr>
          <w:color w:val="1C2B39"/>
          <w:szCs w:val="24"/>
        </w:rPr>
        <w:t xml:space="preserve"> way </w:t>
      </w:r>
      <w:proofErr w:type="gramStart"/>
      <w:r>
        <w:rPr>
          <w:color w:val="1C2B39"/>
          <w:szCs w:val="24"/>
        </w:rPr>
        <w:t>is</w:t>
      </w:r>
      <w:proofErr w:type="gramEnd"/>
      <w:r>
        <w:rPr>
          <w:color w:val="1C2B39"/>
          <w:szCs w:val="24"/>
        </w:rPr>
        <w:t xml:space="preserve"> more popular and influential in comparison to the low grouping. Stakeholders still have low interest in the constant communication on regular basis with the council. Therefore, it is important to consider the and keep the monitoring on regular basis. </w:t>
      </w:r>
      <w:r>
        <w:rPr>
          <w:b/>
          <w:bCs/>
          <w:color w:val="1C2B39"/>
          <w:szCs w:val="24"/>
        </w:rPr>
        <w:t xml:space="preserve">High interest and low influence </w:t>
      </w:r>
      <w:r>
        <w:rPr>
          <w:color w:val="1C2B39"/>
          <w:szCs w:val="24"/>
        </w:rPr>
        <w:t xml:space="preserve">as this </w:t>
      </w:r>
      <w:r>
        <w:rPr>
          <w:color w:val="1C2B39"/>
          <w:szCs w:val="24"/>
        </w:rPr>
        <w:lastRenderedPageBreak/>
        <w:t xml:space="preserve">group just highly interested in the low </w:t>
      </w:r>
      <w:proofErr w:type="spellStart"/>
      <w:r>
        <w:rPr>
          <w:color w:val="1C2B39"/>
          <w:szCs w:val="24"/>
        </w:rPr>
        <w:t>low</w:t>
      </w:r>
      <w:proofErr w:type="spellEnd"/>
      <w:r>
        <w:rPr>
          <w:color w:val="1C2B39"/>
          <w:szCs w:val="24"/>
        </w:rPr>
        <w:t xml:space="preserve"> grouping. Although sometimes they may not be as influential as the other stakeholders that the council have wish to have regular. </w:t>
      </w:r>
    </w:p>
    <w:p w14:paraId="1581CB47" w14:textId="77777777" w:rsidR="005C4241" w:rsidRDefault="005C4241" w:rsidP="005C4241">
      <w:pPr>
        <w:rPr>
          <w:b/>
          <w:bCs/>
          <w:color w:val="1C2B39"/>
          <w:szCs w:val="24"/>
        </w:rPr>
      </w:pPr>
      <w:r>
        <w:rPr>
          <w:b/>
          <w:bCs/>
          <w:color w:val="1C2B39"/>
          <w:szCs w:val="24"/>
        </w:rPr>
        <w:t>High interest and high influence</w:t>
      </w:r>
      <w:r>
        <w:rPr>
          <w:color w:val="1C2B39"/>
          <w:szCs w:val="24"/>
        </w:rPr>
        <w:t xml:space="preserve"> as this group of stakeholder </w:t>
      </w:r>
      <w:proofErr w:type="gramStart"/>
      <w:r>
        <w:rPr>
          <w:color w:val="1C2B39"/>
          <w:szCs w:val="24"/>
        </w:rPr>
        <w:t>mapping  both</w:t>
      </w:r>
      <w:proofErr w:type="gramEnd"/>
      <w:r>
        <w:rPr>
          <w:color w:val="1C2B39"/>
          <w:szCs w:val="24"/>
        </w:rPr>
        <w:t xml:space="preserve"> are interested and influential as it will require more resources to get engage in with effectively. </w:t>
      </w:r>
    </w:p>
    <w:p w14:paraId="2F60240F" w14:textId="77777777" w:rsidR="005C4241" w:rsidRDefault="005C4241" w:rsidP="005C4241">
      <w:r>
        <w:rPr>
          <w:b/>
          <w:bCs/>
          <w:color w:val="1C2B39"/>
          <w:szCs w:val="24"/>
        </w:rPr>
        <w:t xml:space="preserve">Stakeholder empowerment </w:t>
      </w:r>
      <w:r>
        <w:rPr>
          <w:color w:val="1C2B39"/>
          <w:szCs w:val="24"/>
        </w:rPr>
        <w:t>refers to the process of increasing the ability, power and confidence of the stakeholder with an aim of making the choices and choosing the right decisions. Also allows the opportunities for relating with the personal development and the issues that are concerned with the information, resources, capabilities and the institutional changes. Therefore, Croydon Council should empower its stakeholder because stakeholders are the major key component of the council as they have the power to impact the operation of the council and they also allow the council to take the right decision and make the best choices which makes it enable to deliver the best services and solving the concerns that are related with the public. Stakeholder feedback is also a best tool that is used for the purpose. It involves that when council receives the feedback from people whose feedbacks and views are considered as the helpful and relevant</w:t>
      </w:r>
      <w:r>
        <w:rPr>
          <w:color w:val="1C2B39"/>
          <w:szCs w:val="24"/>
          <w:lang w:val="en-US"/>
        </w:rPr>
        <w:t xml:space="preserve"> </w:t>
      </w:r>
      <w:r>
        <w:rPr>
          <w:rFonts w:eastAsia="SimSun"/>
          <w:color w:val="FF0000"/>
          <w:szCs w:val="24"/>
          <w:shd w:val="clear" w:color="auto" w:fill="FFFFFF"/>
          <w:lang w:val="en-US"/>
        </w:rPr>
        <w:t>(</w:t>
      </w:r>
      <w:r>
        <w:rPr>
          <w:rFonts w:eastAsia="SimSun"/>
          <w:color w:val="FF0000"/>
          <w:szCs w:val="24"/>
          <w:shd w:val="clear" w:color="auto" w:fill="FFFFFF"/>
        </w:rPr>
        <w:t xml:space="preserve">Watson and </w:t>
      </w:r>
      <w:proofErr w:type="spellStart"/>
      <w:r>
        <w:rPr>
          <w:rFonts w:eastAsia="SimSun"/>
          <w:color w:val="FF0000"/>
          <w:szCs w:val="24"/>
          <w:shd w:val="clear" w:color="auto" w:fill="FFFFFF"/>
        </w:rPr>
        <w:t>Waterton</w:t>
      </w:r>
      <w:proofErr w:type="spellEnd"/>
      <w:r>
        <w:rPr>
          <w:rFonts w:eastAsia="SimSun"/>
          <w:color w:val="FF0000"/>
          <w:szCs w:val="24"/>
          <w:shd w:val="clear" w:color="auto" w:fill="FFFFFF"/>
        </w:rPr>
        <w:t>, 20</w:t>
      </w:r>
      <w:r>
        <w:rPr>
          <w:rFonts w:eastAsia="SimSun"/>
          <w:color w:val="FF0000"/>
          <w:szCs w:val="24"/>
          <w:shd w:val="clear" w:color="auto" w:fill="FFFFFF"/>
          <w:lang w:val="en-US"/>
        </w:rPr>
        <w:t>23)</w:t>
      </w:r>
      <w:r>
        <w:rPr>
          <w:color w:val="1C2B39"/>
          <w:szCs w:val="24"/>
        </w:rPr>
        <w:t xml:space="preserve">. Therefore, feedback is the sough of key clients, customers and the stakeholders of the role. </w:t>
      </w:r>
    </w:p>
    <w:p w14:paraId="16540EF2" w14:textId="77777777" w:rsidR="005C4241" w:rsidRDefault="005C4241" w:rsidP="005C4241"/>
    <w:p w14:paraId="31CE15EF" w14:textId="77777777" w:rsidR="005C4241" w:rsidRDefault="005C4241" w:rsidP="005C4241">
      <w:pPr>
        <w:pStyle w:val="Heading1"/>
        <w:pageBreakBefore/>
      </w:pPr>
      <w:bookmarkStart w:id="2" w:name="__RefHeading___Toc111545781"/>
      <w:bookmarkEnd w:id="2"/>
      <w:r>
        <w:lastRenderedPageBreak/>
        <w:t>CONCLUSION</w:t>
      </w:r>
    </w:p>
    <w:p w14:paraId="4A2C3842" w14:textId="77777777" w:rsidR="005C4241" w:rsidRDefault="005C4241" w:rsidP="005C4241">
      <w:r>
        <w:tab/>
        <w:t xml:space="preserve">From the above analysis, it can be concluded that there is no another way of engaging with the community. Community engagement highly needed and required with the identification of the goal, consideration of the information that what to know about the residents and city, and acting on the knowledge that how to inform the engagement plan. </w:t>
      </w:r>
    </w:p>
    <w:p w14:paraId="1D770BED" w14:textId="77777777" w:rsidR="005C4241" w:rsidRDefault="005C4241" w:rsidP="005C4241"/>
    <w:p w14:paraId="7B1155AA" w14:textId="77777777" w:rsidR="005C4241" w:rsidRDefault="005C4241" w:rsidP="005C4241">
      <w:pPr>
        <w:pStyle w:val="Heading1"/>
        <w:pageBreakBefore/>
        <w:rPr>
          <w:u w:val="single"/>
        </w:rPr>
      </w:pPr>
      <w:bookmarkStart w:id="3" w:name="__RefHeading___Toc111545782"/>
      <w:bookmarkEnd w:id="3"/>
      <w:r>
        <w:lastRenderedPageBreak/>
        <w:t>REFERENCES</w:t>
      </w:r>
    </w:p>
    <w:p w14:paraId="63106167" w14:textId="77777777" w:rsidR="005C4241" w:rsidRDefault="005C4241" w:rsidP="005C4241">
      <w:pPr>
        <w:rPr>
          <w:color w:val="222222"/>
          <w:szCs w:val="24"/>
        </w:rPr>
      </w:pPr>
      <w:r>
        <w:rPr>
          <w:u w:val="single"/>
        </w:rPr>
        <w:t>Books and Journals</w:t>
      </w:r>
    </w:p>
    <w:p w14:paraId="067595FF"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 xml:space="preserve">Abbott, J., </w:t>
      </w:r>
      <w:r>
        <w:rPr>
          <w:rFonts w:eastAsia="SimSun"/>
          <w:color w:val="FF0000"/>
          <w:szCs w:val="24"/>
          <w:shd w:val="clear" w:color="auto" w:fill="FFFFFF"/>
          <w:lang w:val="en-US"/>
        </w:rPr>
        <w:t>2023</w:t>
      </w:r>
      <w:r>
        <w:rPr>
          <w:rFonts w:eastAsia="SimSun"/>
          <w:color w:val="FF0000"/>
          <w:szCs w:val="24"/>
          <w:shd w:val="clear" w:color="auto" w:fill="FFFFFF"/>
        </w:rPr>
        <w:t>. Community participation and its relationship to community development. </w:t>
      </w:r>
      <w:r>
        <w:rPr>
          <w:rFonts w:eastAsia="SimSun"/>
          <w:i/>
          <w:iCs/>
          <w:color w:val="FF0000"/>
          <w:szCs w:val="24"/>
          <w:shd w:val="clear" w:color="auto" w:fill="FFFFFF"/>
        </w:rPr>
        <w:t>Community Development Journal</w:t>
      </w:r>
      <w:r>
        <w:rPr>
          <w:rFonts w:eastAsia="SimSun"/>
          <w:color w:val="FF0000"/>
          <w:szCs w:val="24"/>
          <w:shd w:val="clear" w:color="auto" w:fill="FFFFFF"/>
        </w:rPr>
        <w:t>, </w:t>
      </w:r>
      <w:r>
        <w:rPr>
          <w:rFonts w:eastAsia="SimSun"/>
          <w:i/>
          <w:iCs/>
          <w:color w:val="FF0000"/>
          <w:szCs w:val="24"/>
          <w:shd w:val="clear" w:color="auto" w:fill="FFFFFF"/>
        </w:rPr>
        <w:t>30</w:t>
      </w:r>
      <w:r>
        <w:rPr>
          <w:rFonts w:eastAsia="SimSun"/>
          <w:color w:val="FF0000"/>
          <w:szCs w:val="24"/>
          <w:shd w:val="clear" w:color="auto" w:fill="FFFFFF"/>
        </w:rPr>
        <w:t>(2), pp.158-168.</w:t>
      </w:r>
    </w:p>
    <w:p w14:paraId="6808087D" w14:textId="77777777" w:rsidR="005C4241" w:rsidRDefault="005C4241" w:rsidP="005C4241">
      <w:pPr>
        <w:spacing w:line="240" w:lineRule="auto"/>
        <w:ind w:left="860" w:hanging="860"/>
        <w:rPr>
          <w:rFonts w:eastAsia="SimSun"/>
          <w:color w:val="FF0000"/>
          <w:szCs w:val="24"/>
          <w:shd w:val="clear" w:color="auto" w:fill="FFFFFF"/>
        </w:rPr>
      </w:pPr>
      <w:proofErr w:type="spellStart"/>
      <w:r>
        <w:rPr>
          <w:rFonts w:eastAsia="SimSun"/>
          <w:color w:val="FF0000"/>
          <w:szCs w:val="24"/>
          <w:shd w:val="clear" w:color="auto" w:fill="FFFFFF"/>
        </w:rPr>
        <w:t>Bortolin</w:t>
      </w:r>
      <w:proofErr w:type="spellEnd"/>
      <w:r>
        <w:rPr>
          <w:rFonts w:eastAsia="SimSun"/>
          <w:color w:val="FF0000"/>
          <w:szCs w:val="24"/>
          <w:shd w:val="clear" w:color="auto" w:fill="FFFFFF"/>
        </w:rPr>
        <w:t>, K., 201</w:t>
      </w:r>
      <w:r>
        <w:rPr>
          <w:rFonts w:eastAsia="SimSun"/>
          <w:color w:val="FF0000"/>
          <w:szCs w:val="24"/>
          <w:shd w:val="clear" w:color="auto" w:fill="FFFFFF"/>
          <w:lang w:val="en-US"/>
        </w:rPr>
        <w:t>9</w:t>
      </w:r>
      <w:r>
        <w:rPr>
          <w:rFonts w:eastAsia="SimSun"/>
          <w:color w:val="FF0000"/>
          <w:szCs w:val="24"/>
          <w:shd w:val="clear" w:color="auto" w:fill="FFFFFF"/>
        </w:rPr>
        <w:t>. Serving ourselves: How the discourse on community engagement privileges the university over the community. </w:t>
      </w:r>
      <w:r>
        <w:rPr>
          <w:rFonts w:eastAsia="SimSun"/>
          <w:i/>
          <w:iCs/>
          <w:color w:val="FF0000"/>
          <w:szCs w:val="24"/>
          <w:shd w:val="clear" w:color="auto" w:fill="FFFFFF"/>
        </w:rPr>
        <w:t>Michigan Journal of Community Service Learning</w:t>
      </w:r>
      <w:r>
        <w:rPr>
          <w:rFonts w:eastAsia="SimSun"/>
          <w:color w:val="FF0000"/>
          <w:szCs w:val="24"/>
          <w:shd w:val="clear" w:color="auto" w:fill="FFFFFF"/>
        </w:rPr>
        <w:t>, </w:t>
      </w:r>
      <w:r>
        <w:rPr>
          <w:rFonts w:eastAsia="SimSun"/>
          <w:i/>
          <w:iCs/>
          <w:color w:val="FF0000"/>
          <w:szCs w:val="24"/>
          <w:shd w:val="clear" w:color="auto" w:fill="FFFFFF"/>
        </w:rPr>
        <w:t>18</w:t>
      </w:r>
      <w:r>
        <w:rPr>
          <w:rFonts w:eastAsia="SimSun"/>
          <w:color w:val="FF0000"/>
          <w:szCs w:val="24"/>
          <w:shd w:val="clear" w:color="auto" w:fill="FFFFFF"/>
        </w:rPr>
        <w:t>(1), pp.49-59.</w:t>
      </w:r>
    </w:p>
    <w:p w14:paraId="173A8DBC"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Briggs, R., 20</w:t>
      </w:r>
      <w:r>
        <w:rPr>
          <w:rFonts w:eastAsia="SimSun"/>
          <w:color w:val="FF0000"/>
          <w:szCs w:val="24"/>
          <w:shd w:val="clear" w:color="auto" w:fill="FFFFFF"/>
          <w:lang w:val="en-US"/>
        </w:rPr>
        <w:t>20</w:t>
      </w:r>
      <w:r>
        <w:rPr>
          <w:rFonts w:eastAsia="SimSun"/>
          <w:color w:val="FF0000"/>
          <w:szCs w:val="24"/>
          <w:shd w:val="clear" w:color="auto" w:fill="FFFFFF"/>
        </w:rPr>
        <w:t>. Community engagement for counterterrorism: Lessons from the United Kingdom. </w:t>
      </w:r>
      <w:r>
        <w:rPr>
          <w:rFonts w:eastAsia="SimSun"/>
          <w:i/>
          <w:iCs/>
          <w:color w:val="FF0000"/>
          <w:szCs w:val="24"/>
          <w:shd w:val="clear" w:color="auto" w:fill="FFFFFF"/>
        </w:rPr>
        <w:t>International affairs</w:t>
      </w:r>
      <w:r>
        <w:rPr>
          <w:rFonts w:eastAsia="SimSun"/>
          <w:color w:val="FF0000"/>
          <w:szCs w:val="24"/>
          <w:shd w:val="clear" w:color="auto" w:fill="FFFFFF"/>
        </w:rPr>
        <w:t>, </w:t>
      </w:r>
      <w:r>
        <w:rPr>
          <w:rFonts w:eastAsia="SimSun"/>
          <w:i/>
          <w:iCs/>
          <w:color w:val="FF0000"/>
          <w:szCs w:val="24"/>
          <w:shd w:val="clear" w:color="auto" w:fill="FFFFFF"/>
        </w:rPr>
        <w:t>86</w:t>
      </w:r>
      <w:r>
        <w:rPr>
          <w:rFonts w:eastAsia="SimSun"/>
          <w:color w:val="FF0000"/>
          <w:szCs w:val="24"/>
          <w:shd w:val="clear" w:color="auto" w:fill="FFFFFF"/>
        </w:rPr>
        <w:t>(4), pp.971-981.</w:t>
      </w:r>
    </w:p>
    <w:p w14:paraId="3C5C3578"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Di Napoli, I., Dolce, P. and Arcidiacono, C., 2019. Community trust: A social indicator related to community engagement. </w:t>
      </w:r>
      <w:r>
        <w:rPr>
          <w:rFonts w:eastAsia="SimSun"/>
          <w:i/>
          <w:iCs/>
          <w:color w:val="FF0000"/>
          <w:szCs w:val="24"/>
          <w:shd w:val="clear" w:color="auto" w:fill="FFFFFF"/>
        </w:rPr>
        <w:t>Social Indicators Research</w:t>
      </w:r>
      <w:r>
        <w:rPr>
          <w:rFonts w:eastAsia="SimSun"/>
          <w:color w:val="FF0000"/>
          <w:szCs w:val="24"/>
          <w:shd w:val="clear" w:color="auto" w:fill="FFFFFF"/>
        </w:rPr>
        <w:t>, </w:t>
      </w:r>
      <w:r>
        <w:rPr>
          <w:rFonts w:eastAsia="SimSun"/>
          <w:i/>
          <w:iCs/>
          <w:color w:val="FF0000"/>
          <w:szCs w:val="24"/>
          <w:shd w:val="clear" w:color="auto" w:fill="FFFFFF"/>
        </w:rPr>
        <w:t>145</w:t>
      </w:r>
      <w:r>
        <w:rPr>
          <w:rFonts w:eastAsia="SimSun"/>
          <w:color w:val="FF0000"/>
          <w:szCs w:val="24"/>
          <w:shd w:val="clear" w:color="auto" w:fill="FFFFFF"/>
        </w:rPr>
        <w:t>, pp.551-579.</w:t>
      </w:r>
    </w:p>
    <w:p w14:paraId="387C2412"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Head, B.W., 20</w:t>
      </w:r>
      <w:r>
        <w:rPr>
          <w:rFonts w:eastAsia="SimSun"/>
          <w:color w:val="FF0000"/>
          <w:szCs w:val="24"/>
          <w:shd w:val="clear" w:color="auto" w:fill="FFFFFF"/>
          <w:lang w:val="en-US"/>
        </w:rPr>
        <w:t>21</w:t>
      </w:r>
      <w:r>
        <w:rPr>
          <w:rFonts w:eastAsia="SimSun"/>
          <w:color w:val="FF0000"/>
          <w:szCs w:val="24"/>
          <w:shd w:val="clear" w:color="auto" w:fill="FFFFFF"/>
        </w:rPr>
        <w:t xml:space="preserve">. Community engagement: participation on whose </w:t>
      </w:r>
      <w:proofErr w:type="gramStart"/>
      <w:r>
        <w:rPr>
          <w:rFonts w:eastAsia="SimSun"/>
          <w:color w:val="FF0000"/>
          <w:szCs w:val="24"/>
          <w:shd w:val="clear" w:color="auto" w:fill="FFFFFF"/>
        </w:rPr>
        <w:t>terms?.</w:t>
      </w:r>
      <w:proofErr w:type="gramEnd"/>
      <w:r>
        <w:rPr>
          <w:rFonts w:eastAsia="SimSun"/>
          <w:color w:val="FF0000"/>
          <w:szCs w:val="24"/>
          <w:shd w:val="clear" w:color="auto" w:fill="FFFFFF"/>
        </w:rPr>
        <w:t> </w:t>
      </w:r>
      <w:r>
        <w:rPr>
          <w:rFonts w:eastAsia="SimSun"/>
          <w:i/>
          <w:iCs/>
          <w:color w:val="FF0000"/>
          <w:szCs w:val="24"/>
          <w:shd w:val="clear" w:color="auto" w:fill="FFFFFF"/>
        </w:rPr>
        <w:t>Australian journal of political science</w:t>
      </w:r>
      <w:r>
        <w:rPr>
          <w:rFonts w:eastAsia="SimSun"/>
          <w:color w:val="FF0000"/>
          <w:szCs w:val="24"/>
          <w:shd w:val="clear" w:color="auto" w:fill="FFFFFF"/>
        </w:rPr>
        <w:t>, </w:t>
      </w:r>
      <w:r>
        <w:rPr>
          <w:rFonts w:eastAsia="SimSun"/>
          <w:i/>
          <w:iCs/>
          <w:color w:val="FF0000"/>
          <w:szCs w:val="24"/>
          <w:shd w:val="clear" w:color="auto" w:fill="FFFFFF"/>
        </w:rPr>
        <w:t>42</w:t>
      </w:r>
      <w:r>
        <w:rPr>
          <w:rFonts w:eastAsia="SimSun"/>
          <w:color w:val="FF0000"/>
          <w:szCs w:val="24"/>
          <w:shd w:val="clear" w:color="auto" w:fill="FFFFFF"/>
        </w:rPr>
        <w:t>(3), pp.441-454.</w:t>
      </w:r>
    </w:p>
    <w:p w14:paraId="0D809A76"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 xml:space="preserve">Midgley, J., Hall, A., Hardiman, M. and </w:t>
      </w:r>
      <w:proofErr w:type="spellStart"/>
      <w:r>
        <w:rPr>
          <w:rFonts w:eastAsia="SimSun"/>
          <w:color w:val="FF0000"/>
          <w:szCs w:val="24"/>
          <w:shd w:val="clear" w:color="auto" w:fill="FFFFFF"/>
        </w:rPr>
        <w:t>Narine</w:t>
      </w:r>
      <w:proofErr w:type="spellEnd"/>
      <w:r>
        <w:rPr>
          <w:rFonts w:eastAsia="SimSun"/>
          <w:color w:val="FF0000"/>
          <w:szCs w:val="24"/>
          <w:shd w:val="clear" w:color="auto" w:fill="FFFFFF"/>
        </w:rPr>
        <w:t xml:space="preserve">, D., </w:t>
      </w:r>
      <w:r>
        <w:rPr>
          <w:rFonts w:eastAsia="SimSun"/>
          <w:color w:val="FF0000"/>
          <w:szCs w:val="24"/>
          <w:shd w:val="clear" w:color="auto" w:fill="FFFFFF"/>
          <w:lang w:val="en-US"/>
        </w:rPr>
        <w:t>2022</w:t>
      </w:r>
      <w:r>
        <w:rPr>
          <w:rFonts w:eastAsia="SimSun"/>
          <w:color w:val="FF0000"/>
          <w:szCs w:val="24"/>
          <w:shd w:val="clear" w:color="auto" w:fill="FFFFFF"/>
        </w:rPr>
        <w:t>. </w:t>
      </w:r>
      <w:r>
        <w:rPr>
          <w:rFonts w:eastAsia="SimSun"/>
          <w:i/>
          <w:iCs/>
          <w:color w:val="FF0000"/>
          <w:szCs w:val="24"/>
          <w:shd w:val="clear" w:color="auto" w:fill="FFFFFF"/>
        </w:rPr>
        <w:t>Community participation, social development and the state</w:t>
      </w:r>
      <w:r>
        <w:rPr>
          <w:rFonts w:eastAsia="SimSun"/>
          <w:color w:val="FF0000"/>
          <w:szCs w:val="24"/>
          <w:shd w:val="clear" w:color="auto" w:fill="FFFFFF"/>
        </w:rPr>
        <w:t>. Methuen.</w:t>
      </w:r>
    </w:p>
    <w:p w14:paraId="19B26521" w14:textId="77777777" w:rsidR="005C4241" w:rsidRDefault="005C4241" w:rsidP="005C4241">
      <w:pPr>
        <w:spacing w:line="240" w:lineRule="auto"/>
        <w:ind w:left="860" w:hanging="860"/>
        <w:rPr>
          <w:rFonts w:eastAsia="SimSun"/>
          <w:color w:val="FF0000"/>
          <w:szCs w:val="24"/>
          <w:shd w:val="clear" w:color="auto" w:fill="FFFFFF"/>
        </w:rPr>
      </w:pPr>
      <w:proofErr w:type="spellStart"/>
      <w:r>
        <w:rPr>
          <w:rFonts w:eastAsia="SimSun"/>
          <w:color w:val="FF0000"/>
          <w:szCs w:val="24"/>
          <w:shd w:val="clear" w:color="auto" w:fill="FFFFFF"/>
        </w:rPr>
        <w:t>Sanoff</w:t>
      </w:r>
      <w:proofErr w:type="spellEnd"/>
      <w:r>
        <w:rPr>
          <w:rFonts w:eastAsia="SimSun"/>
          <w:color w:val="FF0000"/>
          <w:szCs w:val="24"/>
          <w:shd w:val="clear" w:color="auto" w:fill="FFFFFF"/>
        </w:rPr>
        <w:t xml:space="preserve">, H., </w:t>
      </w:r>
      <w:r>
        <w:rPr>
          <w:rFonts w:eastAsia="SimSun"/>
          <w:color w:val="FF0000"/>
          <w:szCs w:val="24"/>
          <w:shd w:val="clear" w:color="auto" w:fill="FFFFFF"/>
          <w:lang w:val="en-US"/>
        </w:rPr>
        <w:t>2023</w:t>
      </w:r>
      <w:r>
        <w:rPr>
          <w:rFonts w:eastAsia="SimSun"/>
          <w:color w:val="FF0000"/>
          <w:szCs w:val="24"/>
          <w:shd w:val="clear" w:color="auto" w:fill="FFFFFF"/>
        </w:rPr>
        <w:t>. </w:t>
      </w:r>
      <w:r>
        <w:rPr>
          <w:rFonts w:eastAsia="SimSun"/>
          <w:i/>
          <w:iCs/>
          <w:color w:val="FF0000"/>
          <w:szCs w:val="24"/>
          <w:shd w:val="clear" w:color="auto" w:fill="FFFFFF"/>
        </w:rPr>
        <w:t>Community participation methods in design and planning</w:t>
      </w:r>
      <w:r>
        <w:rPr>
          <w:rFonts w:eastAsia="SimSun"/>
          <w:color w:val="FF0000"/>
          <w:szCs w:val="24"/>
          <w:shd w:val="clear" w:color="auto" w:fill="FFFFFF"/>
        </w:rPr>
        <w:t>. John Wiley &amp; Sons.</w:t>
      </w:r>
    </w:p>
    <w:p w14:paraId="6BDE68AB"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 xml:space="preserve">Wallerstein, N., </w:t>
      </w:r>
      <w:proofErr w:type="spellStart"/>
      <w:r>
        <w:rPr>
          <w:rFonts w:eastAsia="SimSun"/>
          <w:color w:val="FF0000"/>
          <w:szCs w:val="24"/>
          <w:shd w:val="clear" w:color="auto" w:fill="FFFFFF"/>
        </w:rPr>
        <w:t>Minkler</w:t>
      </w:r>
      <w:proofErr w:type="spellEnd"/>
      <w:r>
        <w:rPr>
          <w:rFonts w:eastAsia="SimSun"/>
          <w:color w:val="FF0000"/>
          <w:szCs w:val="24"/>
          <w:shd w:val="clear" w:color="auto" w:fill="FFFFFF"/>
        </w:rPr>
        <w:t>, M., Carter-Edwards, L., Avila, M. and Sanchez, V., 201</w:t>
      </w:r>
      <w:r>
        <w:rPr>
          <w:rFonts w:eastAsia="SimSun"/>
          <w:color w:val="FF0000"/>
          <w:szCs w:val="24"/>
          <w:shd w:val="clear" w:color="auto" w:fill="FFFFFF"/>
          <w:lang w:val="en-US"/>
        </w:rPr>
        <w:t>9</w:t>
      </w:r>
      <w:r>
        <w:rPr>
          <w:rFonts w:eastAsia="SimSun"/>
          <w:color w:val="FF0000"/>
          <w:szCs w:val="24"/>
          <w:shd w:val="clear" w:color="auto" w:fill="FFFFFF"/>
        </w:rPr>
        <w:t>. Improving health through community engagement, community organization, and community building. </w:t>
      </w:r>
      <w:r>
        <w:rPr>
          <w:rFonts w:eastAsia="SimSun"/>
          <w:i/>
          <w:iCs/>
          <w:color w:val="FF0000"/>
          <w:szCs w:val="24"/>
          <w:shd w:val="clear" w:color="auto" w:fill="FFFFFF"/>
        </w:rPr>
        <w:t xml:space="preserve">Health </w:t>
      </w:r>
      <w:proofErr w:type="spellStart"/>
      <w:r>
        <w:rPr>
          <w:rFonts w:eastAsia="SimSun"/>
          <w:i/>
          <w:iCs/>
          <w:color w:val="FF0000"/>
          <w:szCs w:val="24"/>
          <w:shd w:val="clear" w:color="auto" w:fill="FFFFFF"/>
        </w:rPr>
        <w:t>behavior</w:t>
      </w:r>
      <w:proofErr w:type="spellEnd"/>
      <w:r>
        <w:rPr>
          <w:rFonts w:eastAsia="SimSun"/>
          <w:i/>
          <w:iCs/>
          <w:color w:val="FF0000"/>
          <w:szCs w:val="24"/>
          <w:shd w:val="clear" w:color="auto" w:fill="FFFFFF"/>
        </w:rPr>
        <w:t>: theory, research and practice</w:t>
      </w:r>
      <w:r>
        <w:rPr>
          <w:rFonts w:eastAsia="SimSun"/>
          <w:color w:val="FF0000"/>
          <w:szCs w:val="24"/>
          <w:shd w:val="clear" w:color="auto" w:fill="FFFFFF"/>
        </w:rPr>
        <w:t>, </w:t>
      </w:r>
      <w:r>
        <w:rPr>
          <w:rFonts w:eastAsia="SimSun"/>
          <w:i/>
          <w:iCs/>
          <w:color w:val="FF0000"/>
          <w:szCs w:val="24"/>
          <w:shd w:val="clear" w:color="auto" w:fill="FFFFFF"/>
        </w:rPr>
        <w:t>5</w:t>
      </w:r>
      <w:r>
        <w:rPr>
          <w:rFonts w:eastAsia="SimSun"/>
          <w:color w:val="FF0000"/>
          <w:szCs w:val="24"/>
          <w:shd w:val="clear" w:color="auto" w:fill="FFFFFF"/>
        </w:rPr>
        <w:t>.</w:t>
      </w:r>
    </w:p>
    <w:p w14:paraId="4E62657A" w14:textId="77777777" w:rsidR="005C4241" w:rsidRDefault="005C4241" w:rsidP="005C4241">
      <w:pPr>
        <w:spacing w:line="240" w:lineRule="auto"/>
        <w:ind w:left="860" w:hanging="860"/>
        <w:rPr>
          <w:rFonts w:eastAsia="SimSun"/>
          <w:color w:val="FF0000"/>
          <w:szCs w:val="24"/>
          <w:shd w:val="clear" w:color="auto" w:fill="FFFFFF"/>
        </w:rPr>
      </w:pPr>
      <w:proofErr w:type="spellStart"/>
      <w:r>
        <w:rPr>
          <w:rFonts w:eastAsia="SimSun"/>
          <w:color w:val="FF0000"/>
          <w:szCs w:val="24"/>
          <w:shd w:val="clear" w:color="auto" w:fill="FFFFFF"/>
        </w:rPr>
        <w:t>Waterton</w:t>
      </w:r>
      <w:proofErr w:type="spellEnd"/>
      <w:r>
        <w:rPr>
          <w:rFonts w:eastAsia="SimSun"/>
          <w:color w:val="FF0000"/>
          <w:szCs w:val="24"/>
          <w:shd w:val="clear" w:color="auto" w:fill="FFFFFF"/>
        </w:rPr>
        <w:t>, E. and Watson, S. eds., 201</w:t>
      </w:r>
      <w:r>
        <w:rPr>
          <w:rFonts w:eastAsia="SimSun"/>
          <w:color w:val="FF0000"/>
          <w:szCs w:val="24"/>
          <w:shd w:val="clear" w:color="auto" w:fill="FFFFFF"/>
          <w:lang w:val="en-US"/>
        </w:rPr>
        <w:t>9</w:t>
      </w:r>
      <w:r>
        <w:rPr>
          <w:rFonts w:eastAsia="SimSun"/>
          <w:color w:val="FF0000"/>
          <w:szCs w:val="24"/>
          <w:shd w:val="clear" w:color="auto" w:fill="FFFFFF"/>
        </w:rPr>
        <w:t>. </w:t>
      </w:r>
      <w:r>
        <w:rPr>
          <w:rFonts w:eastAsia="SimSun"/>
          <w:i/>
          <w:iCs/>
          <w:color w:val="FF0000"/>
          <w:szCs w:val="24"/>
          <w:shd w:val="clear" w:color="auto" w:fill="FFFFFF"/>
        </w:rPr>
        <w:t xml:space="preserve">Heritage and community engagement: Collaboration or </w:t>
      </w:r>
      <w:proofErr w:type="gramStart"/>
      <w:r>
        <w:rPr>
          <w:rFonts w:eastAsia="SimSun"/>
          <w:i/>
          <w:iCs/>
          <w:color w:val="FF0000"/>
          <w:szCs w:val="24"/>
          <w:shd w:val="clear" w:color="auto" w:fill="FFFFFF"/>
        </w:rPr>
        <w:t>contestation?</w:t>
      </w:r>
      <w:r>
        <w:rPr>
          <w:rFonts w:eastAsia="SimSun"/>
          <w:color w:val="FF0000"/>
          <w:szCs w:val="24"/>
          <w:shd w:val="clear" w:color="auto" w:fill="FFFFFF"/>
        </w:rPr>
        <w:t>.</w:t>
      </w:r>
      <w:proofErr w:type="gramEnd"/>
      <w:r>
        <w:rPr>
          <w:rFonts w:eastAsia="SimSun"/>
          <w:color w:val="FF0000"/>
          <w:szCs w:val="24"/>
          <w:shd w:val="clear" w:color="auto" w:fill="FFFFFF"/>
        </w:rPr>
        <w:t xml:space="preserve"> Routledge.</w:t>
      </w:r>
    </w:p>
    <w:p w14:paraId="2FDBCED1"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Watson, D., 20</w:t>
      </w:r>
      <w:r>
        <w:rPr>
          <w:rFonts w:eastAsia="SimSun"/>
          <w:color w:val="FF0000"/>
          <w:szCs w:val="24"/>
          <w:shd w:val="clear" w:color="auto" w:fill="FFFFFF"/>
          <w:lang w:val="en-US"/>
        </w:rPr>
        <w:t>22</w:t>
      </w:r>
      <w:r>
        <w:rPr>
          <w:rFonts w:eastAsia="SimSun"/>
          <w:color w:val="FF0000"/>
          <w:szCs w:val="24"/>
          <w:shd w:val="clear" w:color="auto" w:fill="FFFFFF"/>
        </w:rPr>
        <w:t>. </w:t>
      </w:r>
      <w:r>
        <w:rPr>
          <w:rFonts w:eastAsia="SimSun"/>
          <w:i/>
          <w:iCs/>
          <w:color w:val="FF0000"/>
          <w:szCs w:val="24"/>
          <w:shd w:val="clear" w:color="auto" w:fill="FFFFFF"/>
        </w:rPr>
        <w:t>EBOOK: Managing Civic and Community Engagement</w:t>
      </w:r>
      <w:r>
        <w:rPr>
          <w:rFonts w:eastAsia="SimSun"/>
          <w:color w:val="FF0000"/>
          <w:szCs w:val="24"/>
          <w:shd w:val="clear" w:color="auto" w:fill="FFFFFF"/>
        </w:rPr>
        <w:t>. McGraw-Hill Education (UK).</w:t>
      </w:r>
    </w:p>
    <w:p w14:paraId="1E99E512" w14:textId="77777777" w:rsidR="005C4241" w:rsidRDefault="005C4241" w:rsidP="005C4241">
      <w:pPr>
        <w:spacing w:line="240" w:lineRule="auto"/>
        <w:ind w:left="860" w:hanging="860"/>
        <w:rPr>
          <w:rFonts w:eastAsia="SimSun"/>
          <w:color w:val="FF0000"/>
          <w:szCs w:val="24"/>
          <w:shd w:val="clear" w:color="auto" w:fill="FFFFFF"/>
        </w:rPr>
      </w:pPr>
      <w:r>
        <w:rPr>
          <w:rFonts w:eastAsia="SimSun"/>
          <w:color w:val="FF0000"/>
          <w:szCs w:val="24"/>
          <w:shd w:val="clear" w:color="auto" w:fill="FFFFFF"/>
        </w:rPr>
        <w:t xml:space="preserve">Watson, S. and </w:t>
      </w:r>
      <w:proofErr w:type="spellStart"/>
      <w:r>
        <w:rPr>
          <w:rFonts w:eastAsia="SimSun"/>
          <w:color w:val="FF0000"/>
          <w:szCs w:val="24"/>
          <w:shd w:val="clear" w:color="auto" w:fill="FFFFFF"/>
        </w:rPr>
        <w:t>Waterton</w:t>
      </w:r>
      <w:proofErr w:type="spellEnd"/>
      <w:r>
        <w:rPr>
          <w:rFonts w:eastAsia="SimSun"/>
          <w:color w:val="FF0000"/>
          <w:szCs w:val="24"/>
          <w:shd w:val="clear" w:color="auto" w:fill="FFFFFF"/>
        </w:rPr>
        <w:t>, E., 20</w:t>
      </w:r>
      <w:r>
        <w:rPr>
          <w:rFonts w:eastAsia="SimSun"/>
          <w:color w:val="FF0000"/>
          <w:szCs w:val="24"/>
          <w:shd w:val="clear" w:color="auto" w:fill="FFFFFF"/>
          <w:lang w:val="en-US"/>
        </w:rPr>
        <w:t>23</w:t>
      </w:r>
      <w:r>
        <w:rPr>
          <w:rFonts w:eastAsia="SimSun"/>
          <w:color w:val="FF0000"/>
          <w:szCs w:val="24"/>
          <w:shd w:val="clear" w:color="auto" w:fill="FFFFFF"/>
        </w:rPr>
        <w:t>. Heritage and community engagement.</w:t>
      </w:r>
    </w:p>
    <w:p w14:paraId="10F59F69" w14:textId="77777777" w:rsidR="005C4241" w:rsidRDefault="005C4241" w:rsidP="005C4241">
      <w:pPr>
        <w:spacing w:line="240" w:lineRule="auto"/>
        <w:ind w:left="860" w:hanging="860"/>
        <w:rPr>
          <w:rFonts w:eastAsia="SimSun"/>
          <w:color w:val="FF0000"/>
          <w:szCs w:val="24"/>
          <w:shd w:val="clear" w:color="auto" w:fill="FFFFFF"/>
        </w:rPr>
      </w:pPr>
    </w:p>
    <w:p w14:paraId="39F137A4" w14:textId="77777777" w:rsidR="005C4241" w:rsidRDefault="005C4241" w:rsidP="005C4241">
      <w:pPr>
        <w:spacing w:line="240" w:lineRule="auto"/>
        <w:ind w:left="860" w:hanging="860"/>
        <w:rPr>
          <w:rFonts w:eastAsia="SimSun"/>
          <w:color w:val="FF0000"/>
          <w:szCs w:val="24"/>
          <w:shd w:val="clear" w:color="auto" w:fill="FFFFFF"/>
        </w:rPr>
      </w:pPr>
    </w:p>
    <w:p w14:paraId="75F066C4" w14:textId="77777777" w:rsidR="005C4241" w:rsidRDefault="005C4241" w:rsidP="005C4241">
      <w:pPr>
        <w:spacing w:line="240" w:lineRule="auto"/>
        <w:ind w:left="860" w:hanging="860"/>
        <w:rPr>
          <w:rFonts w:eastAsia="SimSun"/>
          <w:color w:val="222222"/>
          <w:szCs w:val="24"/>
          <w:shd w:val="clear" w:color="auto" w:fill="FFFFFF"/>
        </w:rPr>
      </w:pPr>
    </w:p>
    <w:p w14:paraId="22A36564" w14:textId="1E42CC47" w:rsidR="005C4241" w:rsidRDefault="005C4241" w:rsidP="005C4241">
      <w:pPr>
        <w:spacing w:line="100" w:lineRule="atLeast"/>
        <w:ind w:left="860" w:hanging="860"/>
        <w:rPr>
          <w:rFonts w:ascii="Arial" w:eastAsia="SimSun" w:hAnsi="Arial" w:cs="Arial"/>
          <w:color w:val="222222"/>
          <w:sz w:val="19"/>
          <w:szCs w:val="19"/>
          <w:shd w:val="clear" w:color="auto" w:fill="FFFFFF"/>
        </w:rPr>
      </w:pPr>
      <w:r>
        <w:rPr>
          <w:rFonts w:ascii="Arial" w:eastAsia="SimSun" w:hAnsi="Arial" w:cs="Arial"/>
          <w:noProof/>
          <w:color w:val="222222"/>
          <w:sz w:val="19"/>
          <w:szCs w:val="19"/>
          <w:shd w:val="clear" w:color="auto" w:fill="FFFFFF"/>
        </w:rPr>
        <w:lastRenderedPageBreak/>
        <w:drawing>
          <wp:inline distT="0" distB="0" distL="0" distR="0" wp14:anchorId="319FA49E" wp14:editId="29CFA6E8">
            <wp:extent cx="5943600" cy="7901940"/>
            <wp:effectExtent l="0" t="0" r="0" b="3810"/>
            <wp:docPr id="1" name="Picture 1" descr="Po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7901940"/>
                    </a:xfrm>
                    <a:prstGeom prst="rect">
                      <a:avLst/>
                    </a:prstGeom>
                    <a:noFill/>
                    <a:ln>
                      <a:noFill/>
                    </a:ln>
                  </pic:spPr>
                </pic:pic>
              </a:graphicData>
            </a:graphic>
          </wp:inline>
        </w:drawing>
      </w:r>
    </w:p>
    <w:p w14:paraId="3B08E18C" w14:textId="77777777" w:rsidR="003A0006" w:rsidRDefault="005C4241">
      <w:bookmarkStart w:id="4" w:name="_GoBack"/>
      <w:bookmarkEnd w:id="4"/>
    </w:p>
    <w:sectPr w:rsidR="003A0006">
      <w:footerReference w:type="default" r:id="rId7"/>
      <w:footnotePr>
        <w:pos w:val="beneathText"/>
      </w:footnotePr>
      <w:pgSz w:w="12240" w:h="15840"/>
      <w:pgMar w:top="1440" w:right="1440" w:bottom="1440" w:left="1440" w:header="720" w:footer="720" w:gutter="0"/>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Yu Gothic"/>
    <w:charset w:val="80"/>
    <w:family w:val="auto"/>
    <w:pitch w:val="variable"/>
  </w:font>
  <w:font w:name="Tinos">
    <w:altName w:val="MS Gothic"/>
    <w:charset w:val="80"/>
    <w:family w:val="roman"/>
    <w:pitch w:val="default"/>
    <w:sig w:usb0="00000000" w:usb1="00000000" w:usb2="00000000" w:usb3="00000000" w:csb0="00040001" w:csb1="00000000"/>
  </w:font>
  <w:font w:name="Droid Sans">
    <w:altName w:val="Malgun Gothic Semilight"/>
    <w:charset w:val="80"/>
    <w:family w:val="auto"/>
    <w:pitch w:val="variable"/>
  </w:font>
  <w:font w:name="DejaVu Sans Mono">
    <w:altName w:val="Malgun Gothic Semilight"/>
    <w:charset w:val="80"/>
    <w:family w:val="modern"/>
    <w:pitch w:val="default"/>
    <w:sig w:usb0="00000000" w:usb1="00000000" w:usb2="00000000" w:usb3="00000000" w:csb0="00040001" w:csb1="00000000"/>
  </w:font>
  <w:font w:name="open sansregular">
    <w:altName w:val="MS Gothic"/>
    <w:charset w:val="80"/>
    <w:family w:val="auto"/>
    <w:pitch w:val="default"/>
    <w:sig w:usb0="00000000" w:usb1="00000000" w:usb2="00000000"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56E4A" w14:textId="77777777" w:rsidR="00533FC6" w:rsidRDefault="005C4241">
    <w:pPr>
      <w:pStyle w:val="Footer"/>
      <w:jc w:val="center"/>
    </w:pPr>
    <w:r>
      <w:fldChar w:fldCharType="begin"/>
    </w:r>
    <w:r>
      <w:instrText xml:space="preserve"> PAGE </w:instrText>
    </w:r>
    <w:r>
      <w:fldChar w:fldCharType="separate"/>
    </w:r>
    <w:r>
      <w:t>9</w:t>
    </w:r>
    <w:r>
      <w:fldChar w:fldCharType="end"/>
    </w:r>
  </w:p>
  <w:p w14:paraId="4114F93B" w14:textId="77777777" w:rsidR="00533FC6" w:rsidRDefault="005C424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FD4"/>
    <w:rsid w:val="00466A92"/>
    <w:rsid w:val="00591115"/>
    <w:rsid w:val="005C4241"/>
    <w:rsid w:val="00C03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E7AEE-FBB8-41C2-9C05-0F1A25F6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6" w:qFormat="1"/>
    <w:lsdException w:name="heading 1" w:uiPriority="6"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6"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6"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6"/>
    <w:qFormat/>
    <w:rsid w:val="005C4241"/>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6"/>
    <w:qFormat/>
    <w:rsid w:val="005C4241"/>
    <w:pPr>
      <w:keepNext/>
      <w:keepLines/>
      <w:numPr>
        <w:numId w:val="1"/>
      </w:numPr>
      <w:tabs>
        <w:tab w:val="left" w:pos="0"/>
      </w:tabs>
      <w:spacing w:before="113"/>
      <w:outlineLvl w:val="0"/>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6"/>
    <w:rsid w:val="005C4241"/>
    <w:rPr>
      <w:rFonts w:ascii="Times New Roman" w:eastAsia="Times New Roman" w:hAnsi="Times New Roman" w:cs="Times New Roman"/>
      <w:b/>
      <w:bCs/>
      <w:color w:val="000000"/>
      <w:sz w:val="28"/>
      <w:szCs w:val="28"/>
      <w:lang w:eastAsia="ar-SA"/>
    </w:rPr>
  </w:style>
  <w:style w:type="paragraph" w:styleId="Footer">
    <w:name w:val="footer"/>
    <w:basedOn w:val="Normal"/>
    <w:link w:val="FooterChar"/>
    <w:uiPriority w:val="6"/>
    <w:rsid w:val="005C4241"/>
    <w:pPr>
      <w:tabs>
        <w:tab w:val="center" w:pos="4680"/>
        <w:tab w:val="right" w:pos="9360"/>
      </w:tabs>
      <w:spacing w:line="240" w:lineRule="auto"/>
    </w:pPr>
  </w:style>
  <w:style w:type="character" w:customStyle="1" w:styleId="FooterChar">
    <w:name w:val="Footer Char"/>
    <w:basedOn w:val="DefaultParagraphFont"/>
    <w:link w:val="Footer"/>
    <w:uiPriority w:val="6"/>
    <w:rsid w:val="005C4241"/>
    <w:rPr>
      <w:rFonts w:ascii="Times New Roman" w:eastAsia="Calibri" w:hAnsi="Times New Roman" w:cs="Times New Roman"/>
      <w:color w:val="000000"/>
      <w:sz w:val="24"/>
      <w:lang w:eastAsia="ar-SA"/>
    </w:rPr>
  </w:style>
  <w:style w:type="paragraph" w:styleId="TOC1">
    <w:name w:val="toc 1"/>
    <w:basedOn w:val="Normal"/>
    <w:uiPriority w:val="6"/>
    <w:rsid w:val="005C4241"/>
    <w:pPr>
      <w:suppressLineNumbers/>
      <w:tabs>
        <w:tab w:val="right" w:leader="dot" w:pos="9360"/>
      </w:tabs>
    </w:pPr>
    <w:rPr>
      <w:rFonts w:cs="DejaVu Sans"/>
    </w:rPr>
  </w:style>
  <w:style w:type="character" w:customStyle="1" w:styleId="IndexLink">
    <w:name w:val="Index Link"/>
    <w:uiPriority w:val="6"/>
    <w:rsid w:val="005C4241"/>
  </w:style>
  <w:style w:type="paragraph" w:customStyle="1" w:styleId="NoSpacing1">
    <w:name w:val="No Spacing1"/>
    <w:uiPriority w:val="2"/>
    <w:rsid w:val="005C4241"/>
    <w:pPr>
      <w:suppressAutoHyphens/>
      <w:spacing w:after="0"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uiPriority w:val="6"/>
    <w:rsid w:val="005C4241"/>
    <w:rPr>
      <w:rFonts w:ascii="DejaVu Sans Mono" w:eastAsia="DejaVu Sans Mono" w:hAnsi="DejaVu Sans Mono" w:cs="DejaVu Sans Mon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2124</Words>
  <Characters>12111</Characters>
  <Application>Microsoft Office Word</Application>
  <DocSecurity>0</DocSecurity>
  <Lines>100</Lines>
  <Paragraphs>28</Paragraphs>
  <ScaleCrop>false</ScaleCrop>
  <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2</cp:revision>
  <dcterms:created xsi:type="dcterms:W3CDTF">2023-03-20T20:48:00Z</dcterms:created>
  <dcterms:modified xsi:type="dcterms:W3CDTF">2023-03-20T20:48:00Z</dcterms:modified>
</cp:coreProperties>
</file>