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5CE16" w14:textId="553CB203" w:rsidR="00C85819" w:rsidRDefault="009315C6">
      <w:r>
        <w:t xml:space="preserve">Student Name: </w:t>
      </w:r>
      <w:proofErr w:type="spellStart"/>
      <w:r w:rsidR="00892484">
        <w:t>mohammed</w:t>
      </w:r>
      <w:proofErr w:type="spellEnd"/>
      <w:r w:rsidR="00892484">
        <w:t xml:space="preserve"> </w:t>
      </w:r>
      <w:proofErr w:type="spellStart"/>
      <w:r w:rsidR="00892484">
        <w:t>abir</w:t>
      </w:r>
      <w:proofErr w:type="spellEnd"/>
      <w:r w:rsidR="00892484">
        <w:t xml:space="preserve"> </w:t>
      </w:r>
      <w:proofErr w:type="spellStart"/>
      <w:r w:rsidR="00892484">
        <w:t>ahmed</w:t>
      </w:r>
      <w:proofErr w:type="spellEnd"/>
    </w:p>
    <w:p w14:paraId="33ACBB69" w14:textId="292EF00B" w:rsidR="00C85819" w:rsidRDefault="00892484">
      <w:r>
        <w:t>Student number:2435769</w:t>
      </w:r>
    </w:p>
    <w:p w14:paraId="049E7E78" w14:textId="77777777" w:rsidR="00C85819" w:rsidRDefault="009315C6">
      <w:r>
        <w:t>Assignment Title: Adult Development and Wellbeing in Health and Social Care</w:t>
      </w:r>
    </w:p>
    <w:p w14:paraId="4F667478" w14:textId="77777777" w:rsidR="00C85819" w:rsidRDefault="009315C6">
      <w:r>
        <w:br w:type="page"/>
      </w:r>
    </w:p>
    <w:p w14:paraId="288F063F" w14:textId="0EEC57BB" w:rsidR="00C85819" w:rsidRDefault="009315C6">
      <w:pPr>
        <w:pStyle w:val="Heading1"/>
      </w:pPr>
      <w:r>
        <w:lastRenderedPageBreak/>
        <w:t>Part A: Annotated Bibliography</w:t>
      </w:r>
    </w:p>
    <w:p w14:paraId="11EF72E2" w14:textId="1BEE6CC3" w:rsidR="00C85819" w:rsidRDefault="009315C6">
      <w:r>
        <w:br/>
      </w:r>
      <w:r>
        <w:br/>
        <w:t>1. Erikson, E.H. (1982) The Life Cycle Completed. New York: Norton.</w:t>
      </w:r>
      <w:r>
        <w:br/>
        <w:t>Summary:</w:t>
      </w:r>
      <w:r>
        <w:br/>
        <w:t>Erikson’s psychosocial theory proposes eight stages of development across the lifespan, each defined by a psychosocial crisis. In later life, the central conflict is integrity versus despair, where individuals evaluate their life experiences. Successful resolution leads to wisdom, acceptance, and psychological wellbeing, while failure may result in regret, dissatisfaction, and depression.</w:t>
      </w:r>
      <w:r>
        <w:br/>
      </w:r>
      <w:r>
        <w:br/>
        <w:t>Critical Comment:</w:t>
      </w:r>
      <w:r>
        <w:br/>
        <w:t>This theory is highly relevant in residential care, as structured life review interventions can promote a sense of meaning and identity. However, it may oversimplify diverse ageing experiences and does not fully account for cultural or socio-economic differences influencing life satisfaction.</w:t>
      </w:r>
      <w:r>
        <w:br/>
      </w:r>
      <w:r>
        <w:br/>
        <w:t>2. Havighurst, R.J. (1961) ‘Successful Aging’, The Gerontologist, 1(1), pp. 8–13.</w:t>
      </w:r>
      <w:r>
        <w:br/>
      </w:r>
      <w:r>
        <w:br/>
        <w:t>Summary:</w:t>
      </w:r>
      <w:r>
        <w:br/>
        <w:t>Havighurst’s Activity Theory argues that continued engagement in social, physical, and cognitive activities leads to higher levels of life satisfaction in older adulthood. Maintaining roles and relationships is seen as essential for wellbeing.</w:t>
      </w:r>
      <w:r>
        <w:br/>
      </w:r>
      <w:r>
        <w:br/>
        <w:t>Critical Comment:</w:t>
      </w:r>
      <w:r>
        <w:br/>
        <w:t>The theory supports activity-based care models widely used in care homes. However, it has been criticised for assuming all individuals desire high levels of activity, neglecting personal preferences and health limitations.</w:t>
      </w:r>
      <w:r>
        <w:br/>
      </w:r>
      <w:r>
        <w:br/>
        <w:t>3. Bowlby, J. (1988) A Secure Base: Parent-Child Attachment and Healthy Human Development. London: Routledge.</w:t>
      </w:r>
      <w:r>
        <w:br/>
      </w:r>
      <w:r>
        <w:br/>
        <w:t>Summary:</w:t>
      </w:r>
      <w:r>
        <w:br/>
        <w:t>Bowlby’s attachment theory emphasises the importance of secure emotional bonds throughout life. In older adulthood, attachment needs persist, particularly during transitions such as entering residential care.</w:t>
      </w:r>
      <w:r>
        <w:br/>
      </w:r>
      <w:r>
        <w:br/>
        <w:t>Critical Comment:</w:t>
      </w:r>
      <w:r>
        <w:br/>
        <w:t>This theory is valuable in understanding emotional distress in care environments. Consistent caregiving relationships can enhance feelings of safety; however, institutional constraints such as staff turnover may limit its application.</w:t>
      </w:r>
      <w:r>
        <w:br/>
      </w:r>
      <w:r>
        <w:br/>
        <w:t>4. Seligman, M.E.P. (2011) Flourish: A Visionary New Understanding of Happiness and Well-being. New York: Free Press.</w:t>
      </w:r>
      <w:r>
        <w:br/>
      </w:r>
      <w:r>
        <w:lastRenderedPageBreak/>
        <w:br/>
        <w:t>Summary:</w:t>
      </w:r>
      <w:r>
        <w:br/>
        <w:t xml:space="preserve">Seligman’s PERMA model outlines five core components of wellbeing: Positive emotion, Engagement, Relationships, Meaning, and Achievement. The model shifts focus from illness to </w:t>
      </w:r>
      <w:proofErr w:type="gramStart"/>
      <w:r>
        <w:t>strengths</w:t>
      </w:r>
      <w:proofErr w:type="gramEnd"/>
      <w:r>
        <w:t xml:space="preserve"> and flourishing.</w:t>
      </w:r>
      <w:r>
        <w:br/>
      </w:r>
      <w:r>
        <w:br/>
        <w:t>Critical Comment:</w:t>
      </w:r>
      <w:r>
        <w:br/>
        <w:t>This approach is highly applicable in promoting holistic wellbeing in care settings. However, implementation may be limited by staffing pressures and prioritisation of physical care over psychological needs.</w:t>
      </w:r>
      <w:r>
        <w:br/>
      </w:r>
      <w:r>
        <w:br/>
      </w:r>
    </w:p>
    <w:p w14:paraId="2A171355" w14:textId="77777777" w:rsidR="00C85819" w:rsidRDefault="009315C6">
      <w:r>
        <w:br w:type="page"/>
      </w:r>
    </w:p>
    <w:p w14:paraId="524D6571" w14:textId="7DB00E4D" w:rsidR="00C85819" w:rsidRDefault="009315C6">
      <w:pPr>
        <w:pStyle w:val="Heading1"/>
      </w:pPr>
      <w:r>
        <w:lastRenderedPageBreak/>
        <w:t xml:space="preserve">Part B: Short Report </w:t>
      </w:r>
    </w:p>
    <w:p w14:paraId="7E39776A" w14:textId="77777777" w:rsidR="00C85819" w:rsidRDefault="009315C6">
      <w:r>
        <w:br/>
      </w:r>
      <w:r>
        <w:br/>
        <w:t>Applying Erikson’s Psychosocial Theory to Enhance Wellbeing in Residential Care</w:t>
      </w:r>
      <w:r>
        <w:br/>
      </w:r>
      <w:r>
        <w:br/>
        <w:t>Introduction:</w:t>
      </w:r>
      <w:r>
        <w:br/>
        <w:t>Erikson’s stage of integrity versus despair provides a valuable framework for understanding psychological wellbeing in older adults. In residential care, individuals often face loss, transition, and reflection, making this theory particularly relevant.</w:t>
      </w:r>
      <w:r>
        <w:br/>
      </w:r>
      <w:r>
        <w:br/>
        <w:t>Application in Practice:</w:t>
      </w:r>
      <w:r>
        <w:br/>
        <w:t>Health and social care professionals can implement structured reminiscence therapy, life story work, and narrative approaches. These interventions enable residents to reflect on achievements, relationships, and meaningful experiences, promoting a sense of coherence and identity.</w:t>
      </w:r>
      <w:r>
        <w:br/>
      </w:r>
      <w:r>
        <w:br/>
        <w:t>For example, creating life story books or digital memory projects allows residents to preserve personal histories. Group discussions also encourage social interaction and validation of experiences, aligning with both Erikson’s and social engagement theories.</w:t>
      </w:r>
      <w:r>
        <w:br/>
      </w:r>
      <w:r>
        <w:br/>
        <w:t>Case Scenario:</w:t>
      </w:r>
      <w:r>
        <w:br/>
        <w:t>Mr Jones, aged 85, experienced withdrawal and low mood after moving into a care home. Staff introduced a life review programme, where he shared stories about his career and family life. Over time, Mr Jones demonstrated improved mood, increased engagement, and stronger social connections, indicating movement towards ego integrity.</w:t>
      </w:r>
      <w:r>
        <w:br/>
      </w:r>
      <w:r>
        <w:br/>
        <w:t>Challenges:</w:t>
      </w:r>
      <w:r>
        <w:br/>
        <w:t>A key challenge is limited time and training for staff to deliver psychologically informed interventions. Additionally, cognitive impairments such as dementia may affect participation.</w:t>
      </w:r>
      <w:r>
        <w:br/>
      </w:r>
      <w:r>
        <w:br/>
        <w:t>Strategies to Overcome Challenges:</w:t>
      </w:r>
      <w:r>
        <w:br/>
        <w:t>To address these barriers, care homes can integrate brief reminiscence practices into daily routines, such as during meals or personal care. Staff training in person-centred care and communication techniques is essential. Adaptations, including visual prompts and family involvement, can support residents with cognitive decline.</w:t>
      </w:r>
      <w:r>
        <w:br/>
      </w:r>
      <w:r>
        <w:br/>
        <w:t>Conclusion:</w:t>
      </w:r>
      <w:r>
        <w:br/>
        <w:t>Applying Erikson’s theory within residential care promotes psychological wellbeing by supporting identity, meaning, and emotional expression. Despite practical challenges, strategic implementation can significantly enhance quality of life for older adults.</w:t>
      </w:r>
      <w:r>
        <w:br/>
      </w:r>
      <w:r>
        <w:br/>
      </w:r>
    </w:p>
    <w:p w14:paraId="7DA715C4" w14:textId="77777777" w:rsidR="00C85819" w:rsidRDefault="009315C6">
      <w:r>
        <w:lastRenderedPageBreak/>
        <w:br w:type="page"/>
      </w:r>
    </w:p>
    <w:p w14:paraId="0DFAEE93" w14:textId="77777777" w:rsidR="00C85819" w:rsidRDefault="009315C6">
      <w:pPr>
        <w:pStyle w:val="Heading1"/>
      </w:pPr>
      <w:r>
        <w:lastRenderedPageBreak/>
        <w:t>Reference List</w:t>
      </w:r>
    </w:p>
    <w:p w14:paraId="6E9F464E" w14:textId="77777777" w:rsidR="00C85819" w:rsidRDefault="009315C6">
      <w:r>
        <w:br/>
        <w:t>Bowlby, J. (1988) A Secure Base: Parent-Child Attachment and Healthy Human Development. London: Routledge.</w:t>
      </w:r>
      <w:r>
        <w:br/>
        <w:t>Erikson, E.H. (1982) The Life Cycle Completed. New York: Norton.</w:t>
      </w:r>
      <w:r>
        <w:br/>
        <w:t>Havighurst, R.J. (1961) ‘Successful Aging’, The Gerontologist, 1(1), pp. 8–13.</w:t>
      </w:r>
      <w:r>
        <w:br/>
        <w:t>Seligman, M.E.P. (2011) Flourish: A Visionary New Understanding of Happiness and Well-being. New York: Free Press.</w:t>
      </w:r>
      <w:r>
        <w:br/>
        <w:t>Cumming, E. and Henry, W.E. (1961) Growing Old: The Process of Disengagement. New York: Basic Books.</w:t>
      </w:r>
      <w:r>
        <w:br/>
        <w:t>Baltes, P.B. and Baltes, M.M. (1990) Successful Aging: Perspectives from the Behavioral Sciences. Cambridge: Cambridge University Press.</w:t>
      </w:r>
      <w:r>
        <w:br/>
        <w:t>Carstensen, L.L. (1992) ‘Social and emotional patterns in adulthood’, Psychology and Aging, 7(3), pp. 331–338.</w:t>
      </w:r>
      <w:r>
        <w:br/>
        <w:t>Kitwood, T. (1997) Dementia Reconsidered: The Person Comes First. Buckingham: Open University Press.</w:t>
      </w:r>
      <w:r>
        <w:br/>
      </w:r>
    </w:p>
    <w:sectPr w:rsidR="00C8581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4177417">
    <w:abstractNumId w:val="8"/>
  </w:num>
  <w:num w:numId="2" w16cid:durableId="1613630706">
    <w:abstractNumId w:val="6"/>
  </w:num>
  <w:num w:numId="3" w16cid:durableId="429200861">
    <w:abstractNumId w:val="5"/>
  </w:num>
  <w:num w:numId="4" w16cid:durableId="887496410">
    <w:abstractNumId w:val="4"/>
  </w:num>
  <w:num w:numId="5" w16cid:durableId="715353148">
    <w:abstractNumId w:val="7"/>
  </w:num>
  <w:num w:numId="6" w16cid:durableId="618731408">
    <w:abstractNumId w:val="3"/>
  </w:num>
  <w:num w:numId="7" w16cid:durableId="1381897889">
    <w:abstractNumId w:val="2"/>
  </w:num>
  <w:num w:numId="8" w16cid:durableId="949629599">
    <w:abstractNumId w:val="1"/>
  </w:num>
  <w:num w:numId="9" w16cid:durableId="232351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0020"/>
    <w:rsid w:val="00133DF8"/>
    <w:rsid w:val="0015074B"/>
    <w:rsid w:val="0029639D"/>
    <w:rsid w:val="00326F90"/>
    <w:rsid w:val="005A3C70"/>
    <w:rsid w:val="00892484"/>
    <w:rsid w:val="009315C6"/>
    <w:rsid w:val="00AA1D8D"/>
    <w:rsid w:val="00B47730"/>
    <w:rsid w:val="00C458F1"/>
    <w:rsid w:val="00C85819"/>
    <w:rsid w:val="00CB0664"/>
    <w:rsid w:val="00EA3AA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B8A63D"/>
  <w14:defaultImageDpi w14:val="300"/>
  <w15:docId w15:val="{6D2217BF-498A-1642-9AB2-BC5D6796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Ameerah Di Amico (2319162)</cp:lastModifiedBy>
  <cp:revision>2</cp:revision>
  <dcterms:created xsi:type="dcterms:W3CDTF">2026-03-24T16:29:00Z</dcterms:created>
  <dcterms:modified xsi:type="dcterms:W3CDTF">2026-03-24T16:29:00Z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66867556-651f-4419-9f2a-fc00cc5a906a</vt:lpwstr>
  </property>
</Properties>
</file>