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media/image1.jpeg" ContentType="image/jpeg"/>
  <Override PartName="/word/media/image2.jpeg" ContentType="image/jpeg"/>
  <Override PartName="/word/media/image3.jpeg" ContentType="image/jpeg"/>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Title"/>
        <w:jc w:val="both"/>
        <w:rPr>
          <w:rFonts w:ascii="Times New Roman"/>
          <w:sz w:val="36"/>
          <w:szCs w:val="36"/>
          <w:u w:val="single"/>
        </w:rPr>
      </w:pPr>
    </w:p>
    <w:p>
      <w:pPr>
        <w:pStyle w:val="Title"/>
        <w:jc w:val="both"/>
        <w:rPr>
          <w:rFonts w:ascii="Times New Roman"/>
          <w:sz w:val="36"/>
          <w:szCs w:val="36"/>
          <w:u w:val="single"/>
        </w:rPr>
      </w:pPr>
    </w:p>
    <w:p>
      <w:pPr>
        <w:pStyle w:val="Title"/>
        <w:rPr>
          <w:rFonts w:ascii="Times New Roman" w:cs="Times New Roman" w:hAnsi="Times New Roman" w:eastAsia="Times New Roman"/>
          <w:sz w:val="36"/>
          <w:szCs w:val="36"/>
          <w:u w:val="single"/>
        </w:rPr>
      </w:pPr>
      <w:r>
        <w:rPr>
          <w:rFonts w:ascii="Times New Roman"/>
          <w:sz w:val="36"/>
          <w:szCs w:val="36"/>
          <w:u w:val="single"/>
          <w:rtl w:val="0"/>
          <w:lang w:val="en-US"/>
        </w:rPr>
        <w:t>Roman Frontier Networks: The Function and Social Impacts of Territorial Occupation in the First and Second Centuries AD</w:t>
      </w:r>
    </w:p>
    <w:p>
      <w:pPr>
        <w:pStyle w:val="Body 2"/>
        <w:jc w:val="center"/>
        <w:rPr>
          <w:rFonts w:ascii="Times New Roman" w:cs="Times New Roman" w:hAnsi="Times New Roman" w:eastAsia="Times New Roman"/>
        </w:rPr>
      </w:pPr>
    </w:p>
    <w:p>
      <w:pPr>
        <w:pStyle w:val="Caption"/>
        <w:jc w:val="center"/>
        <w:rPr>
          <w:rFonts w:ascii="Times New Roman" w:cs="Times New Roman" w:hAnsi="Times New Roman" w:eastAsia="Times New Roman"/>
          <w:sz w:val="24"/>
          <w:szCs w:val="24"/>
        </w:rPr>
      </w:pPr>
    </w:p>
    <w:p>
      <w:pPr>
        <w:pStyle w:val="Body 3"/>
        <w:jc w:val="center"/>
        <w:rPr>
          <w:rFonts w:ascii="Times New Roman" w:cs="Times New Roman" w:hAnsi="Times New Roman" w:eastAsia="Times New Roman"/>
          <w:i w:val="1"/>
          <w:iCs w:val="1"/>
          <w:sz w:val="24"/>
          <w:szCs w:val="24"/>
        </w:rPr>
      </w:pPr>
      <w:r>
        <w:rPr>
          <w:rFonts w:ascii="Times New Roman"/>
          <w:i w:val="1"/>
          <w:iCs w:val="1"/>
          <w:sz w:val="24"/>
          <w:szCs w:val="24"/>
          <w:rtl w:val="0"/>
          <w:lang w:val="en-US"/>
        </w:rPr>
        <w:t xml:space="preserve"> </w:t>
      </w:r>
    </w:p>
    <w:p>
      <w:pPr>
        <w:pStyle w:val="Body 3"/>
        <w:jc w:val="center"/>
        <w:rPr>
          <w:rFonts w:ascii="Times New Roman" w:cs="Times New Roman" w:hAnsi="Times New Roman" w:eastAsia="Times New Roman"/>
          <w:i w:val="1"/>
          <w:iCs w:val="1"/>
          <w:sz w:val="24"/>
          <w:szCs w:val="24"/>
        </w:rPr>
      </w:pPr>
    </w:p>
    <w:p>
      <w:pPr>
        <w:pStyle w:val="Body 3"/>
        <w:jc w:val="center"/>
        <w:rPr>
          <w:rFonts w:ascii="Times New Roman" w:cs="Times New Roman" w:hAnsi="Times New Roman" w:eastAsia="Times New Roman"/>
          <w:i w:val="1"/>
          <w:iCs w:val="1"/>
          <w:sz w:val="24"/>
          <w:szCs w:val="24"/>
        </w:rPr>
      </w:pPr>
    </w:p>
    <w:p>
      <w:pPr>
        <w:pStyle w:val="Body 3"/>
        <w:jc w:val="center"/>
        <w:rPr>
          <w:rFonts w:ascii="Times New Roman" w:cs="Times New Roman" w:hAnsi="Times New Roman" w:eastAsia="Times New Roman"/>
          <w:i w:val="1"/>
          <w:iCs w:val="1"/>
          <w:sz w:val="24"/>
          <w:szCs w:val="24"/>
        </w:rPr>
      </w:pPr>
    </w:p>
    <w:p>
      <w:pPr>
        <w:pStyle w:val="Body 3"/>
        <w:jc w:val="center"/>
        <w:rPr>
          <w:rFonts w:ascii="Times New Roman" w:cs="Times New Roman" w:hAnsi="Times New Roman" w:eastAsia="Times New Roman"/>
          <w:i w:val="1"/>
          <w:iCs w:val="1"/>
          <w:sz w:val="24"/>
          <w:szCs w:val="24"/>
        </w:rPr>
      </w:pPr>
    </w:p>
    <w:p>
      <w:pPr>
        <w:pStyle w:val="Body 3"/>
        <w:jc w:val="center"/>
        <w:rPr>
          <w:rFonts w:ascii="Times New Roman" w:cs="Times New Roman" w:hAnsi="Times New Roman" w:eastAsia="Times New Roman"/>
          <w:i w:val="1"/>
          <w:iCs w:val="1"/>
          <w:sz w:val="24"/>
          <w:szCs w:val="24"/>
        </w:rPr>
      </w:pPr>
    </w:p>
    <w:p>
      <w:pPr>
        <w:pStyle w:val="Body 3"/>
        <w:jc w:val="center"/>
        <w:rPr>
          <w:rFonts w:ascii="Times New Roman" w:cs="Times New Roman" w:hAnsi="Times New Roman" w:eastAsia="Times New Roman"/>
          <w:i w:val="1"/>
          <w:iCs w:val="1"/>
          <w:sz w:val="24"/>
          <w:szCs w:val="24"/>
        </w:rPr>
      </w:pPr>
    </w:p>
    <w:p>
      <w:pPr>
        <w:pStyle w:val="Body"/>
        <w:jc w:val="center"/>
        <w:rPr>
          <w:rFonts w:ascii="Times New Roman" w:cs="Times New Roman" w:hAnsi="Times New Roman" w:eastAsia="Times New Roman"/>
          <w:sz w:val="28"/>
          <w:szCs w:val="28"/>
        </w:rPr>
      </w:pPr>
      <w:r>
        <w:rPr>
          <w:rFonts w:ascii="Times New Roman"/>
          <w:sz w:val="28"/>
          <w:szCs w:val="28"/>
          <w:rtl w:val="0"/>
          <w:lang w:val="en-US"/>
        </w:rPr>
        <w:t xml:space="preserve"> A Thesis submitted to the University of Wales, Trinity St David in fulgilment of the requirements for the degree of BA Honours in Ancient History. </w:t>
      </w:r>
    </w:p>
    <w:p>
      <w:pPr>
        <w:pStyle w:val="Body"/>
        <w:jc w:val="center"/>
        <w:rPr>
          <w:rFonts w:ascii="Times New Roman" w:cs="Times New Roman" w:hAnsi="Times New Roman" w:eastAsia="Times New Roman"/>
          <w:sz w:val="28"/>
          <w:szCs w:val="28"/>
        </w:rPr>
      </w:pPr>
    </w:p>
    <w:p>
      <w:pPr>
        <w:pStyle w:val="Body"/>
        <w:jc w:val="center"/>
        <w:rPr>
          <w:rFonts w:ascii="Times New Roman" w:cs="Times New Roman" w:hAnsi="Times New Roman" w:eastAsia="Times New Roman"/>
          <w:sz w:val="28"/>
          <w:szCs w:val="28"/>
        </w:rPr>
      </w:pPr>
      <w:r>
        <w:rPr>
          <w:rFonts w:ascii="Times New Roman"/>
          <w:sz w:val="28"/>
          <w:szCs w:val="28"/>
          <w:rtl w:val="0"/>
          <w:lang w:val="en-US"/>
        </w:rPr>
        <w:t xml:space="preserve"> 2018</w:t>
      </w:r>
    </w:p>
    <w:p>
      <w:pPr>
        <w:pStyle w:val="Body"/>
        <w:jc w:val="center"/>
        <w:rPr>
          <w:rFonts w:ascii="Times New Roman" w:cs="Times New Roman" w:hAnsi="Times New Roman" w:eastAsia="Times New Roman"/>
          <w:sz w:val="28"/>
          <w:szCs w:val="28"/>
        </w:rPr>
      </w:pPr>
      <w:r>
        <w:rPr>
          <w:rFonts w:ascii="Times New Roman"/>
          <w:sz w:val="28"/>
          <w:szCs w:val="28"/>
          <w:rtl w:val="0"/>
          <w:lang w:val="en-US"/>
        </w:rPr>
        <w:t xml:space="preserve">    Word count: 10,000 </w:t>
      </w:r>
    </w:p>
    <w:p>
      <w:pPr>
        <w:pStyle w:val="Body"/>
        <w:jc w:val="center"/>
        <w:rPr>
          <w:rFonts w:ascii="Times New Roman" w:cs="Times New Roman" w:hAnsi="Times New Roman" w:eastAsia="Times New Roman"/>
          <w:sz w:val="28"/>
          <w:szCs w:val="28"/>
        </w:rPr>
      </w:pPr>
    </w:p>
    <w:p>
      <w:pPr>
        <w:pStyle w:val="Body"/>
        <w:jc w:val="center"/>
        <w:rPr>
          <w:rFonts w:ascii="Times New Roman" w:cs="Times New Roman" w:hAnsi="Times New Roman" w:eastAsia="Times New Roman"/>
          <w:sz w:val="28"/>
          <w:szCs w:val="28"/>
        </w:rPr>
      </w:pPr>
      <w:r>
        <w:rPr>
          <w:rFonts w:ascii="Times New Roman"/>
          <w:sz w:val="28"/>
          <w:szCs w:val="28"/>
          <w:rtl w:val="0"/>
          <w:lang w:val="en-US"/>
        </w:rPr>
        <w:t xml:space="preserve">   Louix-Jake Farthing</w:t>
      </w:r>
    </w:p>
    <w:p>
      <w:pPr>
        <w:pStyle w:val="Body"/>
        <w:jc w:val="center"/>
        <w:rPr>
          <w:rFonts w:ascii="Times New Roman" w:cs="Times New Roman" w:hAnsi="Times New Roman" w:eastAsia="Times New Roman"/>
          <w:sz w:val="28"/>
          <w:szCs w:val="28"/>
        </w:rPr>
      </w:pPr>
      <w:r>
        <w:rPr>
          <w:rFonts w:ascii="Times New Roman"/>
          <w:sz w:val="28"/>
          <w:szCs w:val="28"/>
          <w:rtl w:val="0"/>
          <w:lang w:val="en-US"/>
        </w:rPr>
        <w:t>1401504</w:t>
      </w:r>
    </w:p>
    <w:p>
      <w:pPr>
        <w:pStyle w:val="Body"/>
        <w:jc w:val="both"/>
        <w:rPr>
          <w:sz w:val="28"/>
          <w:szCs w:val="28"/>
        </w:rPr>
      </w:pPr>
    </w:p>
    <w:p>
      <w:pPr>
        <w:pStyle w:val="Body"/>
        <w:jc w:val="both"/>
        <w:rPr>
          <w:sz w:val="28"/>
          <w:szCs w:val="28"/>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jc w:val="center"/>
        <w:rPr>
          <w:rFonts w:ascii="Times New Roman" w:cs="Times New Roman" w:hAnsi="Times New Roman" w:eastAsia="Times New Roman"/>
        </w:rPr>
      </w:pPr>
      <w:r>
        <w:rPr>
          <w:rFonts w:ascii="Times New Roman"/>
          <w:rtl w:val="0"/>
          <w:lang w:val="en-US"/>
        </w:rPr>
        <w:t>Table of contents</w:t>
      </w:r>
    </w:p>
    <w:p>
      <w:pPr>
        <w:pStyle w:val="Body 3"/>
        <w:jc w:val="center"/>
      </w:pPr>
    </w:p>
    <w:p>
      <w:pPr>
        <w:pStyle w:val="Body 3"/>
        <w:jc w:val="center"/>
      </w:pPr>
      <w:r>
        <w:rPr>
          <w:rtl w:val="0"/>
          <w:lang w:val="en-US"/>
        </w:rPr>
        <w:t>Foreword on frontiers</w:t>
      </w:r>
      <w:r>
        <w:rPr>
          <w:rFonts w:hAnsi="Helvetica" w:hint="default"/>
          <w:rtl w:val="0"/>
          <w:lang w:val="en-US"/>
        </w:rPr>
        <w:t xml:space="preserve">…………………………………………………………… </w:t>
      </w:r>
      <w:r>
        <w:rPr>
          <w:rtl w:val="0"/>
          <w:lang w:val="en-US"/>
        </w:rPr>
        <w:t xml:space="preserve">2 </w:t>
      </w:r>
    </w:p>
    <w:p>
      <w:pPr>
        <w:pStyle w:val="Body 3"/>
        <w:jc w:val="center"/>
      </w:pPr>
    </w:p>
    <w:p>
      <w:pPr>
        <w:pStyle w:val="Body 3"/>
        <w:jc w:val="center"/>
      </w:pPr>
      <w:r>
        <w:rPr>
          <w:rtl w:val="0"/>
          <w:lang w:val="en-US"/>
        </w:rPr>
        <w:t>The evolution of Frontiers</w:t>
      </w:r>
      <w:r>
        <w:rPr>
          <w:rFonts w:hAnsi="Helvetica" w:hint="default"/>
          <w:rtl w:val="0"/>
          <w:lang w:val="en-US"/>
        </w:rPr>
        <w:t>………………………………………………………</w:t>
      </w:r>
      <w:r>
        <w:rPr>
          <w:rtl w:val="0"/>
          <w:lang w:val="en-US"/>
        </w:rPr>
        <w:t>..9</w:t>
      </w:r>
    </w:p>
    <w:p>
      <w:pPr>
        <w:pStyle w:val="Body 3"/>
        <w:jc w:val="center"/>
      </w:pPr>
    </w:p>
    <w:p>
      <w:pPr>
        <w:pStyle w:val="Body 3"/>
        <w:jc w:val="center"/>
      </w:pPr>
      <w:r>
        <w:rPr>
          <w:rtl w:val="0"/>
          <w:lang w:val="en-US"/>
        </w:rPr>
        <w:t>Consequences of Prolonged occupation</w:t>
      </w:r>
      <w:r>
        <w:rPr>
          <w:rFonts w:hAnsi="Helvetica" w:hint="default"/>
          <w:rtl w:val="0"/>
          <w:lang w:val="en-US"/>
        </w:rPr>
        <w:t>………………………………………</w:t>
      </w:r>
      <w:r>
        <w:rPr>
          <w:rtl w:val="0"/>
          <w:lang w:val="en-US"/>
        </w:rPr>
        <w:t>27</w:t>
      </w:r>
    </w:p>
    <w:p>
      <w:pPr>
        <w:pStyle w:val="Body 3"/>
        <w:jc w:val="center"/>
      </w:pPr>
    </w:p>
    <w:p>
      <w:pPr>
        <w:pStyle w:val="Body 3"/>
        <w:jc w:val="center"/>
      </w:pPr>
      <w:r>
        <w:rPr>
          <w:rtl w:val="0"/>
          <w:lang w:val="en-US"/>
        </w:rPr>
        <w:t>Epilogue</w:t>
      </w:r>
      <w:r>
        <w:rPr>
          <w:rFonts w:hAnsi="Helvetica" w:hint="default"/>
          <w:rtl w:val="0"/>
          <w:lang w:val="en-US"/>
        </w:rPr>
        <w:t>…………………………………………………………………………</w:t>
      </w:r>
      <w:r>
        <w:rPr>
          <w:rtl w:val="0"/>
          <w:lang w:val="en-US"/>
        </w:rPr>
        <w:t>.. 30</w:t>
      </w:r>
    </w:p>
    <w:p>
      <w:pPr>
        <w:pStyle w:val="Heading"/>
        <w:rPr>
          <w:rFonts w:ascii="Times New Roman" w:cs="Times New Roman" w:hAnsi="Times New Roman" w:eastAsia="Times New Roman"/>
        </w:rPr>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Body 3"/>
        <w:bidi w:val="0"/>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Heading"/>
        <w:rPr>
          <w:rFonts w:ascii="Times New Roman" w:cs="Times New Roman" w:hAnsi="Times New Roman" w:eastAsia="Times New Roman"/>
        </w:rPr>
      </w:pPr>
    </w:p>
    <w:p>
      <w:pPr>
        <w:pStyle w:val="Body 3"/>
        <w:jc w:val="both"/>
        <w:rPr>
          <w:i w:val="1"/>
          <w:iCs w:val="1"/>
          <w:sz w:val="24"/>
          <w:szCs w:val="24"/>
        </w:rPr>
      </w:pPr>
    </w:p>
    <w:p>
      <w:pPr>
        <w:pStyle w:val="Body 3"/>
        <w:jc w:val="both"/>
        <w:rPr>
          <w:i w:val="1"/>
          <w:iCs w:val="1"/>
          <w:sz w:val="24"/>
          <w:szCs w:val="24"/>
        </w:rPr>
      </w:pPr>
    </w:p>
    <w:p>
      <w:pPr>
        <w:pStyle w:val="Body 3"/>
        <w:jc w:val="both"/>
        <w:rPr>
          <w:i w:val="1"/>
          <w:iCs w:val="1"/>
          <w:sz w:val="24"/>
          <w:szCs w:val="24"/>
        </w:rPr>
      </w:pPr>
    </w:p>
    <w:p>
      <w:pPr>
        <w:pStyle w:val="Heading"/>
        <w:jc w:val="both"/>
        <w:rPr>
          <w:rFonts w:ascii="Times New Roman" w:cs="Times New Roman" w:hAnsi="Times New Roman" w:eastAsia="Times New Roman"/>
          <w:b w:val="0"/>
          <w:bCs w:val="0"/>
          <w:u w:val="single"/>
        </w:rPr>
      </w:pPr>
      <w:r>
        <w:rPr>
          <w:rFonts w:ascii="Times New Roman"/>
          <w:b w:val="0"/>
          <w:bCs w:val="0"/>
          <w:u w:val="single"/>
          <w:rtl w:val="0"/>
          <w:lang w:val="en-US"/>
        </w:rPr>
        <w:t>Foreword on the study of frontiers:</w:t>
      </w:r>
    </w:p>
    <w:p>
      <w:pPr>
        <w:pStyle w:val="Body 3"/>
        <w:jc w:val="both"/>
        <w:rPr>
          <w:i w:val="1"/>
          <w:iCs w:val="1"/>
          <w:sz w:val="24"/>
          <w:szCs w:val="24"/>
        </w:rPr>
      </w:pPr>
    </w:p>
    <w:p>
      <w:pPr>
        <w:pStyle w:val="Body 3"/>
        <w:jc w:val="both"/>
        <w:rPr>
          <w:i w:val="1"/>
          <w:iCs w:val="1"/>
          <w:sz w:val="24"/>
          <w:szCs w:val="24"/>
        </w:rPr>
      </w:pPr>
    </w:p>
    <w:p>
      <w:pPr>
        <w:pStyle w:val="Body 3"/>
        <w:spacing w:line="480" w:lineRule="auto"/>
        <w:jc w:val="both"/>
        <w:rPr>
          <w:rFonts w:ascii="Times New Roman" w:cs="Times New Roman" w:hAnsi="Times New Roman" w:eastAsia="Times New Roman"/>
          <w:i w:val="0"/>
          <w:iCs w:val="0"/>
          <w:sz w:val="24"/>
          <w:szCs w:val="24"/>
        </w:rPr>
      </w:pPr>
      <w:r>
        <w:rPr>
          <w:i w:val="1"/>
          <w:iCs w:val="1"/>
          <w:sz w:val="24"/>
          <w:szCs w:val="24"/>
          <w:rtl w:val="0"/>
          <w:lang w:val="en-US"/>
        </w:rPr>
        <w:t xml:space="preserve"> </w:t>
      </w:r>
      <w:r>
        <w:rPr>
          <w:i w:val="0"/>
          <w:iCs w:val="0"/>
          <w:sz w:val="24"/>
          <w:szCs w:val="24"/>
          <w:rtl w:val="0"/>
          <w:lang w:val="en-US"/>
        </w:rPr>
        <w:t xml:space="preserve">  </w:t>
      </w:r>
      <w:r>
        <w:rPr>
          <w:rFonts w:hAnsi="Times New Roman" w:hint="default"/>
          <w:i w:val="0"/>
          <w:iCs w:val="0"/>
          <w:sz w:val="24"/>
          <w:szCs w:val="24"/>
          <w:rtl w:val="0"/>
          <w:lang w:val="en-US"/>
        </w:rPr>
        <w:t>“</w:t>
      </w:r>
      <w:r>
        <w:rPr>
          <w:rFonts w:ascii="Times New Roman"/>
          <w:i w:val="0"/>
          <w:iCs w:val="0"/>
          <w:sz w:val="24"/>
          <w:szCs w:val="24"/>
          <w:rtl w:val="0"/>
          <w:lang w:val="en-US"/>
        </w:rPr>
        <w:t>Nor could the broad dike of the Greeks, nor that strong wall they made</w:t>
      </w:r>
    </w:p>
    <w:p>
      <w:pPr>
        <w:pStyle w:val="Body 3"/>
        <w:jc w:val="both"/>
        <w:rPr>
          <w:i w:val="1"/>
          <w:iCs w:val="1"/>
          <w:sz w:val="24"/>
          <w:szCs w:val="24"/>
        </w:rPr>
      </w:pPr>
      <w:r>
        <w:rPr>
          <w:rFonts w:ascii="Times New Roman"/>
          <w:i w:val="0"/>
          <w:iCs w:val="0"/>
          <w:sz w:val="24"/>
          <w:szCs w:val="24"/>
          <w:rtl w:val="0"/>
          <w:lang w:val="en-US"/>
        </w:rPr>
        <w:t xml:space="preserve">      To guard their fleet be long unrac</w:t>
      </w:r>
      <w:r>
        <w:rPr>
          <w:rFonts w:hAnsi="Times New Roman" w:hint="default"/>
          <w:i w:val="0"/>
          <w:iCs w:val="0"/>
          <w:sz w:val="24"/>
          <w:szCs w:val="24"/>
          <w:rtl w:val="0"/>
          <w:lang w:val="en-US"/>
        </w:rPr>
        <w:t>’</w:t>
      </w:r>
      <w:r>
        <w:rPr>
          <w:rFonts w:ascii="Times New Roman"/>
          <w:i w:val="0"/>
          <w:iCs w:val="0"/>
          <w:sz w:val="24"/>
          <w:szCs w:val="24"/>
          <w:rtl w:val="0"/>
          <w:lang w:val="en-US"/>
        </w:rPr>
        <w:t>t; because it was not rais</w:t>
      </w:r>
      <w:r>
        <w:rPr>
          <w:rFonts w:hAnsi="Times New Roman" w:hint="default"/>
          <w:i w:val="0"/>
          <w:iCs w:val="0"/>
          <w:sz w:val="24"/>
          <w:szCs w:val="24"/>
          <w:rtl w:val="0"/>
          <w:lang w:val="en-US"/>
        </w:rPr>
        <w:t>’</w:t>
      </w:r>
      <w:r>
        <w:rPr>
          <w:rFonts w:ascii="Times New Roman"/>
          <w:i w:val="0"/>
          <w:iCs w:val="0"/>
          <w:sz w:val="24"/>
          <w:szCs w:val="24"/>
          <w:rtl w:val="0"/>
          <w:lang w:val="en-US"/>
        </w:rPr>
        <w:t>d</w:t>
      </w:r>
      <w:r>
        <w:rPr>
          <w:rFonts w:hAnsi="Times New Roman" w:hint="default"/>
          <w:i w:val="0"/>
          <w:iCs w:val="0"/>
          <w:sz w:val="24"/>
          <w:szCs w:val="24"/>
          <w:rtl w:val="0"/>
          <w:lang w:val="en-US"/>
        </w:rPr>
        <w:t>”</w:t>
      </w:r>
      <w:r>
        <w:rPr>
          <w:rFonts w:ascii="Times New Roman"/>
          <w:i w:val="0"/>
          <w:iCs w:val="0"/>
          <w:sz w:val="24"/>
          <w:szCs w:val="24"/>
          <w:rtl w:val="0"/>
          <w:lang w:val="en-US"/>
        </w:rPr>
        <w:t xml:space="preserve">- </w:t>
      </w:r>
      <w:r>
        <w:rPr>
          <w:rFonts w:ascii="Times New Roman"/>
          <w:i w:val="1"/>
          <w:iCs w:val="1"/>
          <w:sz w:val="24"/>
          <w:szCs w:val="24"/>
          <w:rtl w:val="0"/>
          <w:lang w:val="en-US"/>
        </w:rPr>
        <w:t>Illiad XII; 4-5</w:t>
      </w:r>
      <w:r>
        <w:rPr>
          <w:rFonts w:ascii="Times New Roman" w:cs="Times New Roman" w:hAnsi="Times New Roman" w:eastAsia="Times New Roman"/>
          <w:i w:val="1"/>
          <w:iCs w:val="1"/>
          <w:sz w:val="24"/>
          <w:szCs w:val="24"/>
          <w:vertAlign w:val="superscript"/>
        </w:rPr>
        <w:footnoteReference w:id="1"/>
      </w:r>
    </w:p>
    <w:p>
      <w:pPr>
        <w:pStyle w:val="Body 3"/>
        <w:jc w:val="both"/>
        <w:rPr>
          <w:i w:val="1"/>
          <w:iCs w:val="1"/>
          <w:sz w:val="24"/>
          <w:szCs w:val="24"/>
        </w:rPr>
      </w:pPr>
    </w:p>
    <w:p>
      <w:pPr>
        <w:pStyle w:val="Body 3"/>
        <w:jc w:val="both"/>
        <w:rPr>
          <w:i w:val="1"/>
          <w:iCs w:val="1"/>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The value of walls and borders is renowned on the basis of being a highly efficient method of protecting valued facets of everyday life. Going back to the earliest studies in history; this fact applies i</w:t>
      </w:r>
      <w:r>
        <w:rPr>
          <w:rFonts w:ascii="Times New Roman"/>
          <w:sz w:val="24"/>
          <w:szCs w:val="24"/>
          <w:rtl w:val="0"/>
          <w:lang w:val="en-US"/>
        </w:rPr>
        <w:t xml:space="preserve">n not only the </w:t>
      </w:r>
      <w:r>
        <w:rPr>
          <w:rFonts w:ascii="Times New Roman"/>
          <w:sz w:val="24"/>
          <w:szCs w:val="24"/>
          <w:rtl w:val="0"/>
          <w:lang w:val="en-US"/>
        </w:rPr>
        <w:t xml:space="preserve">physical sense </w:t>
      </w:r>
      <w:r>
        <w:rPr>
          <w:rFonts w:ascii="Times New Roman"/>
          <w:sz w:val="24"/>
          <w:szCs w:val="24"/>
          <w:rtl w:val="0"/>
          <w:lang w:val="en-US"/>
        </w:rPr>
        <w:t>but also</w:t>
      </w:r>
      <w:r>
        <w:rPr>
          <w:rFonts w:ascii="Times New Roman"/>
          <w:sz w:val="24"/>
          <w:szCs w:val="24"/>
          <w:rtl w:val="0"/>
          <w:lang w:val="en-US"/>
        </w:rPr>
        <w:t xml:space="preserve"> the political,</w:t>
      </w:r>
      <w:r>
        <w:rPr>
          <w:rFonts w:ascii="Times New Roman"/>
          <w:sz w:val="24"/>
          <w:szCs w:val="24"/>
          <w:rtl w:val="0"/>
          <w:lang w:val="en-US"/>
        </w:rPr>
        <w:t xml:space="preserve"> militaristic and historical sense</w:t>
      </w:r>
      <w:r>
        <w:rPr>
          <w:rFonts w:ascii="Times New Roman"/>
          <w:sz w:val="24"/>
          <w:szCs w:val="24"/>
          <w:rtl w:val="0"/>
          <w:lang w:val="en-US"/>
        </w:rPr>
        <w:t>s</w:t>
      </w:r>
      <w:r>
        <w:rPr>
          <w:rFonts w:ascii="Times New Roman"/>
          <w:sz w:val="24"/>
          <w:szCs w:val="24"/>
          <w:rtl w:val="0"/>
        </w:rPr>
        <w:t>.</w:t>
      </w:r>
      <w:r>
        <w:rPr>
          <w:rFonts w:ascii="Times New Roman"/>
          <w:sz w:val="24"/>
          <w:szCs w:val="24"/>
          <w:rtl w:val="0"/>
          <w:lang w:val="en-US"/>
        </w:rPr>
        <w:t xml:space="preserve"> This phenomenological concept is; in-fact seen globally.This is demonstrated not only from this passage </w:t>
      </w:r>
      <w:r>
        <w:rPr>
          <w:rFonts w:ascii="Times New Roman"/>
          <w:sz w:val="24"/>
          <w:szCs w:val="24"/>
          <w:rtl w:val="0"/>
          <w:lang w:val="en-US"/>
        </w:rPr>
        <w:t>from the Homeric epic Illiad, but also from sites such as Germany</w:t>
      </w:r>
      <w:r>
        <w:rPr>
          <w:rFonts w:hAnsi="Times New Roman" w:hint="default"/>
          <w:sz w:val="24"/>
          <w:szCs w:val="24"/>
          <w:rtl w:val="0"/>
        </w:rPr>
        <w:t>’</w:t>
      </w:r>
      <w:r>
        <w:rPr>
          <w:rFonts w:ascii="Times New Roman"/>
          <w:sz w:val="24"/>
          <w:szCs w:val="24"/>
          <w:rtl w:val="0"/>
          <w:lang w:val="en-US"/>
        </w:rPr>
        <w:t>s Berlin wall, The great wall of China or even the Palestine Israel Border wall and the Korean DMZ</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2"/>
      </w:r>
      <w:r>
        <w:rPr>
          <w:rFonts w:ascii="Times New Roman"/>
          <w:sz w:val="24"/>
          <w:szCs w:val="24"/>
          <w:rtl w:val="0"/>
          <w:lang w:val="en-US"/>
        </w:rPr>
        <w:t xml:space="preserve"> Although these examples are separated by significant periods of time and distance they should still be considered as principle examples of the concept that we recognise as extreme border policy.</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What was the reasoning behind these types of approaches? Furthermore how may we see it take shape in the ancient world and subsequently what effect did this have have on the territory such entities inhabit? The purpose of this chapter is three-fold, firstly it will introduce the significant issues which historians encounter when attempting the study of frontiers. Secondly it will highlight the possible factors contributing to the emergence of static physical borders and give analysis of the intended and practical functionality of frontiers. Finally there will be a comprehensive evaluation of the environmental, social and economic impacts which can be correlated with the prolonged presence of military personnel in these regions.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cs="Times New Roman" w:hAnsi="Times New Roman" w:eastAsia="Times New Roman"/>
          <w:sz w:val="24"/>
          <w:szCs w:val="24"/>
          <w:rtl w:val="0"/>
        </w:rPr>
        <w:tab/>
        <w:t>In order to understand the issues of frontier study we, as the researcher must first understand the circumstances which lead to their development. In the following examples the focus of discussion will be on imperial frontiers; with a prerequisite discussion regarding the nature of imperialism and empire. The specific subjects in this case are the Roman Empire in the 1st and 2nd Centuries AD and on Hadrian</w:t>
      </w:r>
      <w:r>
        <w:rPr>
          <w:rFonts w:hAnsi="Times New Roman" w:hint="default"/>
          <w:sz w:val="24"/>
          <w:szCs w:val="24"/>
          <w:rtl w:val="0"/>
          <w:lang w:val="en-US"/>
        </w:rPr>
        <w:t>’</w:t>
      </w:r>
      <w:r>
        <w:rPr>
          <w:rFonts w:ascii="Times New Roman"/>
          <w:sz w:val="24"/>
          <w:szCs w:val="24"/>
          <w:rtl w:val="0"/>
          <w:lang w:val="en-US"/>
        </w:rPr>
        <w:t xml:space="preserve">s Wall and the Rhine-Danube Limes. Poignantly noted by Craige Champion in his work </w:t>
      </w:r>
      <w:r>
        <w:rPr>
          <w:rFonts w:hAnsi="Times New Roman" w:hint="default"/>
          <w:sz w:val="24"/>
          <w:szCs w:val="24"/>
          <w:rtl w:val="0"/>
          <w:lang w:val="en-US"/>
        </w:rPr>
        <w:t>‘</w:t>
      </w:r>
      <w:r>
        <w:rPr>
          <w:rFonts w:ascii="Times New Roman"/>
          <w:sz w:val="24"/>
          <w:szCs w:val="24"/>
          <w:rtl w:val="0"/>
          <w:lang w:val="en-US"/>
        </w:rPr>
        <w:t>Roman Imperialism</w:t>
      </w:r>
      <w:r>
        <w:rPr>
          <w:rFonts w:hAnsi="Times New Roman" w:hint="default"/>
          <w:sz w:val="24"/>
          <w:szCs w:val="24"/>
          <w:rtl w:val="0"/>
          <w:lang w:val="en-US"/>
        </w:rPr>
        <w:t xml:space="preserve">’ </w:t>
      </w:r>
      <w:r>
        <w:rPr>
          <w:rFonts w:ascii="Times New Roman"/>
          <w:sz w:val="24"/>
          <w:szCs w:val="24"/>
          <w:rtl w:val="0"/>
          <w:lang w:val="en-US"/>
        </w:rPr>
        <w:t>the latin translation for i</w:t>
      </w:r>
      <w:r>
        <w:rPr>
          <w:rFonts w:ascii="Times New Roman"/>
          <w:i w:val="1"/>
          <w:iCs w:val="1"/>
          <w:sz w:val="24"/>
          <w:szCs w:val="24"/>
          <w:rtl w:val="0"/>
          <w:lang w:val="en-US"/>
        </w:rPr>
        <w:t>mperare</w:t>
      </w:r>
      <w:r>
        <w:rPr>
          <w:rFonts w:ascii="Times New Roman"/>
          <w:sz w:val="24"/>
          <w:szCs w:val="24"/>
          <w:rtl w:val="0"/>
          <w:lang w:val="en-US"/>
        </w:rPr>
        <w:t xml:space="preserve"> meant was ascribed to mean </w:t>
      </w:r>
      <w:r>
        <w:rPr>
          <w:rFonts w:hAnsi="Times New Roman" w:hint="default"/>
          <w:sz w:val="24"/>
          <w:szCs w:val="24"/>
          <w:rtl w:val="0"/>
          <w:lang w:val="en-US"/>
        </w:rPr>
        <w:t>‘</w:t>
      </w:r>
      <w:r>
        <w:rPr>
          <w:rFonts w:ascii="Times New Roman"/>
          <w:sz w:val="24"/>
          <w:szCs w:val="24"/>
          <w:rtl w:val="0"/>
          <w:lang w:val="en-US"/>
        </w:rPr>
        <w:t>To command</w:t>
      </w:r>
      <w:r>
        <w:rPr>
          <w:rFonts w:hAnsi="Times New Roman" w:hint="default"/>
          <w:sz w:val="24"/>
          <w:szCs w:val="24"/>
          <w:rtl w:val="0"/>
          <w:lang w:val="en-US"/>
        </w:rPr>
        <w:t>’</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3"/>
      </w:r>
      <w:r>
        <w:rPr>
          <w:rFonts w:ascii="Times New Roman"/>
          <w:sz w:val="24"/>
          <w:szCs w:val="24"/>
          <w:rtl w:val="0"/>
          <w:lang w:val="en-US"/>
        </w:rPr>
        <w:t xml:space="preserve"> However there is no doubt it did not hold the same connotations the former of the quotations posses today, if indeed such a word existed at all.</w:t>
      </w:r>
      <w:r>
        <w:rPr>
          <w:rFonts w:ascii="Times New Roman" w:cs="Times New Roman" w:hAnsi="Times New Roman" w:eastAsia="Times New Roman"/>
          <w:sz w:val="24"/>
          <w:szCs w:val="24"/>
          <w:vertAlign w:val="superscript"/>
        </w:rPr>
        <w:footnoteReference w:id="4"/>
      </w:r>
      <w:r>
        <w:rPr>
          <w:rFonts w:ascii="Times New Roman"/>
          <w:sz w:val="24"/>
          <w:szCs w:val="24"/>
          <w:rtl w:val="0"/>
          <w:lang w:val="en-US"/>
        </w:rPr>
        <w:t xml:space="preserve"> This fact is indeed worthy of bearing in mind; a point proven by Champion who is very wary of  the implication this may have when improperly applied in the study of frontiers.</w:t>
      </w:r>
      <w:r>
        <w:rPr>
          <w:rFonts w:ascii="Times New Roman" w:cs="Times New Roman" w:hAnsi="Times New Roman" w:eastAsia="Times New Roman"/>
          <w:sz w:val="24"/>
          <w:szCs w:val="24"/>
          <w:vertAlign w:val="superscript"/>
        </w:rPr>
        <w:footnoteReference w:id="5"/>
      </w:r>
      <w:r>
        <w:rPr>
          <w:rFonts w:ascii="Times New Roman"/>
          <w:sz w:val="24"/>
          <w:szCs w:val="24"/>
          <w:rtl w:val="0"/>
          <w:lang w:val="en-US"/>
        </w:rPr>
        <w:t xml:space="preserve"> Consequently we may observe that regardless of this, a cautious application of this notion underpins the general nature of imperialism to simply be an exercise in the gaining of power.</w:t>
      </w:r>
      <w:r>
        <w:rPr>
          <w:rFonts w:ascii="Times New Roman" w:cs="Times New Roman" w:hAnsi="Times New Roman" w:eastAsia="Times New Roman"/>
          <w:sz w:val="24"/>
          <w:szCs w:val="24"/>
          <w:vertAlign w:val="superscript"/>
        </w:rPr>
        <w:footnoteReference w:id="6"/>
      </w:r>
      <w:r>
        <w:rPr>
          <w:rFonts w:ascii="Times New Roman"/>
          <w:sz w:val="24"/>
          <w:szCs w:val="24"/>
          <w:rtl w:val="0"/>
          <w:lang w:val="en-US"/>
        </w:rPr>
        <w:t xml:space="preserve"> Furthermore both Champion and Eckstein utilise comparisons of J.A Hobson and V.I Lenin</w:t>
      </w:r>
      <w:r>
        <w:rPr>
          <w:rFonts w:hAnsi="Times New Roman" w:hint="default"/>
          <w:sz w:val="24"/>
          <w:szCs w:val="24"/>
          <w:rtl w:val="0"/>
          <w:lang w:val="en-US"/>
        </w:rPr>
        <w:t>’</w:t>
      </w:r>
      <w:r>
        <w:rPr>
          <w:rFonts w:ascii="Times New Roman"/>
          <w:sz w:val="24"/>
          <w:szCs w:val="24"/>
          <w:rtl w:val="0"/>
          <w:lang w:val="en-US"/>
        </w:rPr>
        <w:t>s s</w:t>
      </w:r>
      <w:r>
        <w:rPr>
          <w:rFonts w:ascii="Times New Roman"/>
          <w:sz w:val="24"/>
          <w:szCs w:val="24"/>
          <w:rtl w:val="0"/>
          <w:lang w:val="en-US"/>
        </w:rPr>
        <w:t>eparate works in political and economic science</w:t>
      </w:r>
      <w:r>
        <w:rPr>
          <w:rFonts w:ascii="Times New Roman"/>
          <w:sz w:val="24"/>
          <w:szCs w:val="24"/>
          <w:rtl w:val="0"/>
          <w:lang w:val="en-US"/>
        </w:rPr>
        <w:t xml:space="preserve"> to develop this claim.</w:t>
      </w:r>
      <w:r>
        <w:rPr>
          <w:rFonts w:ascii="Times New Roman" w:cs="Times New Roman" w:hAnsi="Times New Roman" w:eastAsia="Times New Roman"/>
          <w:sz w:val="24"/>
          <w:szCs w:val="24"/>
          <w:vertAlign w:val="superscript"/>
        </w:rPr>
        <w:footnoteReference w:id="7"/>
      </w:r>
      <w:r>
        <w:rPr>
          <w:rFonts w:ascii="Times New Roman"/>
          <w:sz w:val="24"/>
          <w:szCs w:val="24"/>
          <w:rtl w:val="0"/>
          <w:lang w:val="en-US"/>
        </w:rPr>
        <w:t xml:space="preserve"> The consensus reached between the two can be simplified to explain that Imperialism exists merely a by-product of capitalist desire to gain new resources in new territories.</w:t>
      </w:r>
      <w:r>
        <w:rPr>
          <w:rFonts w:ascii="Times New Roman" w:cs="Times New Roman" w:hAnsi="Times New Roman" w:eastAsia="Times New Roman"/>
          <w:sz w:val="24"/>
          <w:szCs w:val="24"/>
          <w:vertAlign w:val="superscript"/>
        </w:rPr>
        <w:footnoteReference w:id="8"/>
      </w:r>
      <w:r>
        <w:rPr>
          <w:rFonts w:ascii="Times New Roman"/>
          <w:sz w:val="24"/>
          <w:szCs w:val="24"/>
          <w:rtl w:val="0"/>
          <w:lang w:val="en-US"/>
        </w:rPr>
        <w:t xml:space="preserve"> However Champion is also hasty to point out the caution which much be applied in utilising this explanation; he notes that </w:t>
      </w:r>
      <w:r>
        <w:rPr>
          <w:rFonts w:hAnsi="Times New Roman" w:hint="default"/>
          <w:sz w:val="24"/>
          <w:szCs w:val="24"/>
          <w:rtl w:val="0"/>
          <w:lang w:val="en-US"/>
        </w:rPr>
        <w:t>‘</w:t>
      </w:r>
      <w:r>
        <w:rPr>
          <w:rFonts w:ascii="Times New Roman"/>
          <w:sz w:val="24"/>
          <w:szCs w:val="24"/>
          <w:rtl w:val="0"/>
          <w:lang w:val="en-US"/>
        </w:rPr>
        <w:t>on such a view it would be anachronistic to speak of imperialism in the ancient Roman world</w:t>
      </w:r>
      <w:r>
        <w:rPr>
          <w:rFonts w:hAnsi="Times New Roman" w:hint="default"/>
          <w:sz w:val="24"/>
          <w:szCs w:val="24"/>
          <w:rtl w:val="0"/>
          <w:lang w:val="en-US"/>
        </w:rPr>
        <w:t>’</w:t>
      </w:r>
      <w:r>
        <w:rPr>
          <w:rFonts w:ascii="Times New Roman"/>
          <w:sz w:val="24"/>
          <w:szCs w:val="24"/>
          <w:rtl w:val="0"/>
          <w:lang w:val="en-US"/>
        </w:rPr>
        <w:t xml:space="preserve">, simply because of the fact that </w:t>
      </w:r>
      <w:r>
        <w:rPr>
          <w:rFonts w:ascii="Times New Roman"/>
          <w:sz w:val="24"/>
          <w:szCs w:val="24"/>
          <w:rtl w:val="0"/>
          <w:lang w:val="en-US"/>
        </w:rPr>
        <w:t xml:space="preserve">the assessments of Hobson and Lenin </w:t>
      </w:r>
      <w:r>
        <w:rPr>
          <w:rFonts w:ascii="Times New Roman"/>
          <w:sz w:val="24"/>
          <w:szCs w:val="24"/>
          <w:rtl w:val="0"/>
          <w:lang w:val="en-US"/>
        </w:rPr>
        <w:t xml:space="preserve">were </w:t>
      </w:r>
      <w:r>
        <w:rPr>
          <w:rFonts w:ascii="Times New Roman"/>
          <w:sz w:val="24"/>
          <w:szCs w:val="24"/>
          <w:rtl w:val="0"/>
          <w:lang w:val="en-US"/>
        </w:rPr>
        <w:t xml:space="preserve">produced in </w:t>
      </w:r>
      <w:r>
        <w:rPr>
          <w:rFonts w:ascii="Times New Roman"/>
          <w:sz w:val="24"/>
          <w:szCs w:val="24"/>
          <w:rtl w:val="0"/>
          <w:lang w:val="en-US"/>
        </w:rPr>
        <w:t xml:space="preserve">the </w:t>
      </w:r>
      <w:r>
        <w:rPr>
          <w:rFonts w:ascii="Times New Roman"/>
          <w:sz w:val="24"/>
          <w:szCs w:val="24"/>
          <w:rtl w:val="0"/>
          <w:lang w:val="en-US"/>
        </w:rPr>
        <w:t>context relevant to the industrial revolutionary stage of modern history</w:t>
      </w:r>
      <w:r>
        <w:rPr>
          <w:rFonts w:ascii="Times New Roman"/>
          <w:sz w:val="24"/>
          <w:szCs w:val="24"/>
          <w:rtl w:val="0"/>
          <w:lang w:val="en-US"/>
        </w:rPr>
        <w:t xml:space="preserve">; </w:t>
      </w:r>
      <w:r>
        <w:rPr>
          <w:rFonts w:ascii="Times New Roman"/>
          <w:sz w:val="24"/>
          <w:szCs w:val="24"/>
          <w:rtl w:val="0"/>
          <w:lang w:val="en-US"/>
        </w:rPr>
        <w:t xml:space="preserve">thus </w:t>
      </w:r>
      <w:r>
        <w:rPr>
          <w:rFonts w:ascii="Times New Roman"/>
          <w:sz w:val="24"/>
          <w:szCs w:val="24"/>
          <w:rtl w:val="0"/>
          <w:lang w:val="en-US"/>
        </w:rPr>
        <w:t xml:space="preserve">their input should </w:t>
      </w:r>
      <w:r>
        <w:rPr>
          <w:rFonts w:ascii="Times New Roman"/>
          <w:sz w:val="24"/>
          <w:szCs w:val="24"/>
          <w:rtl w:val="0"/>
          <w:lang w:val="en-US"/>
        </w:rPr>
        <w:t>be applied</w:t>
      </w:r>
      <w:r>
        <w:rPr>
          <w:rFonts w:ascii="Times New Roman"/>
          <w:sz w:val="24"/>
          <w:szCs w:val="24"/>
          <w:rtl w:val="0"/>
          <w:lang w:val="en-US"/>
        </w:rPr>
        <w:t xml:space="preserve"> </w:t>
      </w:r>
      <w:r>
        <w:rPr>
          <w:rFonts w:ascii="Times New Roman"/>
          <w:sz w:val="24"/>
          <w:szCs w:val="24"/>
          <w:rtl w:val="0"/>
          <w:lang w:val="en-US"/>
        </w:rPr>
        <w:t>differently</w:t>
      </w:r>
      <w:r>
        <w:rPr>
          <w:rFonts w:ascii="Times New Roman"/>
          <w:sz w:val="24"/>
          <w:szCs w:val="24"/>
          <w:rtl w:val="0"/>
          <w:lang w:val="en-US"/>
        </w:rPr>
        <w:t xml:space="preserve"> in reference</w:t>
      </w:r>
      <w:r>
        <w:rPr>
          <w:rFonts w:ascii="Times New Roman"/>
          <w:sz w:val="24"/>
          <w:szCs w:val="24"/>
          <w:rtl w:val="0"/>
        </w:rPr>
        <w:t xml:space="preserve"> </w:t>
      </w:r>
      <w:r>
        <w:rPr>
          <w:rFonts w:ascii="Times New Roman"/>
          <w:sz w:val="24"/>
          <w:szCs w:val="24"/>
          <w:rtl w:val="0"/>
          <w:lang w:val="en-US"/>
        </w:rPr>
        <w:t xml:space="preserve">to the study of </w:t>
      </w:r>
      <w:r>
        <w:rPr>
          <w:rFonts w:ascii="Times New Roman"/>
          <w:sz w:val="24"/>
          <w:szCs w:val="24"/>
          <w:rtl w:val="0"/>
          <w:lang w:val="fr-FR"/>
        </w:rPr>
        <w:t>ancient frontiers</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9"/>
      </w:r>
      <w:r>
        <w:rPr>
          <w:rFonts w:ascii="Times New Roman"/>
          <w:sz w:val="24"/>
          <w:szCs w:val="24"/>
          <w:rtl w:val="0"/>
          <w:lang w:val="en-US"/>
        </w:rPr>
        <w:t xml:space="preserve"> We certainly should not discard their analysis entirely though, as they are still relevant to the investigation our investigation.</w:t>
      </w:r>
      <w:r>
        <w:rPr>
          <w:rFonts w:ascii="Times New Roman" w:cs="Times New Roman" w:hAnsi="Times New Roman" w:eastAsia="Times New Roman"/>
          <w:sz w:val="24"/>
          <w:szCs w:val="24"/>
          <w:vertAlign w:val="superscript"/>
        </w:rPr>
        <w:footnoteReference w:id="10"/>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Furthermore while it is true that the acquisition of materials can be shown to have parallels to  modern day capitalism, there are certainly other explanations which can be useful in  understanding empires.</w:t>
      </w:r>
      <w:r>
        <w:rPr>
          <w:rFonts w:ascii="Times New Roman" w:cs="Times New Roman" w:hAnsi="Times New Roman" w:eastAsia="Times New Roman"/>
          <w:sz w:val="24"/>
          <w:szCs w:val="24"/>
          <w:vertAlign w:val="superscript"/>
        </w:rPr>
        <w:footnoteReference w:id="11"/>
      </w:r>
      <w:r>
        <w:rPr>
          <w:rFonts w:ascii="Times New Roman"/>
          <w:sz w:val="24"/>
          <w:szCs w:val="24"/>
          <w:rtl w:val="0"/>
          <w:lang w:val="en-US"/>
        </w:rPr>
        <w:t xml:space="preserve"> J.A Schumpter</w:t>
      </w:r>
      <w:r>
        <w:rPr>
          <w:rFonts w:hAnsi="Times New Roman" w:hint="default"/>
          <w:sz w:val="24"/>
          <w:szCs w:val="24"/>
          <w:rtl w:val="0"/>
          <w:lang w:val="en-US"/>
        </w:rPr>
        <w:t>’</w:t>
      </w:r>
      <w:r>
        <w:rPr>
          <w:rFonts w:ascii="Times New Roman"/>
          <w:sz w:val="24"/>
          <w:szCs w:val="24"/>
          <w:rtl w:val="0"/>
          <w:lang w:val="en-US"/>
        </w:rPr>
        <w:t xml:space="preserve">s view would label imperialism  not as a by-product of the capitalistic mindset adopted by state, but would classify it as a by product of </w:t>
      </w:r>
      <w:r>
        <w:rPr>
          <w:rFonts w:hAnsi="Times New Roman" w:hint="default"/>
          <w:sz w:val="24"/>
          <w:szCs w:val="24"/>
          <w:rtl w:val="0"/>
          <w:lang w:val="en-US"/>
        </w:rPr>
        <w:t>‘</w:t>
      </w:r>
      <w:r>
        <w:rPr>
          <w:rFonts w:ascii="Times New Roman"/>
          <w:sz w:val="24"/>
          <w:szCs w:val="24"/>
          <w:rtl w:val="0"/>
          <w:lang w:val="en-US"/>
        </w:rPr>
        <w:t>the objectless disposition on behalf of a state to limitless forcible expansion.</w:t>
      </w:r>
      <w:r>
        <w:rPr>
          <w:rFonts w:hAnsi="Times New Roman" w:hint="default"/>
          <w:sz w:val="24"/>
          <w:szCs w:val="24"/>
          <w:rtl w:val="0"/>
          <w:lang w:val="en-US"/>
        </w:rPr>
        <w:t>’</w:t>
      </w:r>
      <w:r>
        <w:rPr>
          <w:rFonts w:ascii="Times New Roman" w:cs="Times New Roman" w:hAnsi="Times New Roman" w:eastAsia="Times New Roman"/>
          <w:sz w:val="24"/>
          <w:szCs w:val="24"/>
          <w:vertAlign w:val="superscript"/>
        </w:rPr>
        <w:footnoteReference w:id="12"/>
      </w:r>
      <w:r>
        <w:rPr>
          <w:rFonts w:ascii="Times New Roman"/>
          <w:sz w:val="24"/>
          <w:szCs w:val="24"/>
          <w:rtl w:val="0"/>
          <w:lang w:val="en-US"/>
        </w:rPr>
        <w:t xml:space="preserve"> While this description can be considered as sweeping it does not lack the necessary connection to Champions model of imperialism</w:t>
      </w:r>
      <w:r>
        <w:rPr>
          <w:rFonts w:ascii="Times New Roman"/>
          <w:sz w:val="24"/>
          <w:szCs w:val="24"/>
          <w:rtl w:val="0"/>
          <w:lang w:val="en-US"/>
        </w:rPr>
        <w:t xml:space="preserve">, which </w:t>
      </w:r>
      <w:r>
        <w:rPr>
          <w:rFonts w:ascii="Times New Roman"/>
          <w:sz w:val="24"/>
          <w:szCs w:val="24"/>
          <w:rtl w:val="0"/>
          <w:lang w:val="en-US"/>
        </w:rPr>
        <w:t>may subsequently</w:t>
      </w:r>
      <w:r>
        <w:rPr>
          <w:rFonts w:ascii="Times New Roman"/>
          <w:sz w:val="24"/>
          <w:szCs w:val="24"/>
          <w:rtl w:val="0"/>
          <w:lang w:val="en-US"/>
        </w:rPr>
        <w:t xml:space="preserve"> render it as</w:t>
      </w:r>
      <w:r>
        <w:rPr>
          <w:rFonts w:ascii="Times New Roman"/>
          <w:sz w:val="24"/>
          <w:szCs w:val="24"/>
          <w:rtl w:val="0"/>
          <w:lang w:val="en-US"/>
        </w:rPr>
        <w:t xml:space="preserve"> generally</w:t>
      </w:r>
      <w:r>
        <w:rPr>
          <w:rFonts w:ascii="Times New Roman"/>
          <w:sz w:val="24"/>
          <w:szCs w:val="24"/>
          <w:rtl w:val="0"/>
          <w:lang w:val="en-US"/>
        </w:rPr>
        <w:t xml:space="preserve"> acceptable </w:t>
      </w:r>
      <w:r>
        <w:rPr>
          <w:rFonts w:ascii="Times New Roman"/>
          <w:sz w:val="24"/>
          <w:szCs w:val="24"/>
          <w:rtl w:val="0"/>
          <w:lang w:val="en-US"/>
        </w:rPr>
        <w:t xml:space="preserve">in its </w:t>
      </w:r>
      <w:r>
        <w:rPr>
          <w:rFonts w:ascii="Times New Roman"/>
          <w:sz w:val="24"/>
          <w:szCs w:val="24"/>
          <w:rtl w:val="0"/>
          <w:lang w:val="en-US"/>
        </w:rPr>
        <w:t>application to ancient frontiers</w:t>
      </w:r>
      <w:r>
        <w:rPr>
          <w:rFonts w:ascii="Times New Roman" w:cs="Times New Roman" w:hAnsi="Times New Roman" w:eastAsia="Times New Roman"/>
          <w:sz w:val="24"/>
          <w:szCs w:val="24"/>
          <w:vertAlign w:val="superscript"/>
        </w:rPr>
        <w:footnoteReference w:id="13"/>
      </w:r>
      <w:r>
        <w:rPr>
          <w:rFonts w:ascii="Times New Roman"/>
          <w:sz w:val="24"/>
          <w:szCs w:val="24"/>
          <w:rtl w:val="0"/>
          <w:lang w:val="en-US"/>
        </w:rPr>
        <w:t>. Furthermore this leads into a further discussion by Champion, who takes both of these concepts and develops them to conclude that imperialism</w:t>
      </w:r>
      <w:r>
        <w:rPr>
          <w:rFonts w:hAnsi="Times New Roman" w:hint="default"/>
          <w:sz w:val="24"/>
          <w:szCs w:val="24"/>
          <w:rtl w:val="0"/>
          <w:lang w:val="en-US"/>
        </w:rPr>
        <w:t>’</w:t>
      </w:r>
      <w:r>
        <w:rPr>
          <w:rFonts w:ascii="Times New Roman"/>
          <w:sz w:val="24"/>
          <w:szCs w:val="24"/>
          <w:rtl w:val="0"/>
          <w:lang w:val="en-US"/>
        </w:rPr>
        <w:t xml:space="preserve">s most pure definition would be defined as </w:t>
      </w:r>
      <w:r>
        <w:rPr>
          <w:rFonts w:hAnsi="Times New Roman" w:hint="default"/>
          <w:sz w:val="24"/>
          <w:szCs w:val="24"/>
          <w:rtl w:val="0"/>
          <w:lang w:val="en-US"/>
        </w:rPr>
        <w:t>‘</w:t>
      </w:r>
      <w:r>
        <w:rPr>
          <w:rFonts w:ascii="Times New Roman"/>
          <w:sz w:val="24"/>
          <w:szCs w:val="24"/>
          <w:rtl w:val="0"/>
          <w:lang w:val="en-US"/>
        </w:rPr>
        <w:t>The unequal power relationship between two states, in which the dominant state exercises control over the weaker one</w:t>
      </w:r>
      <w:r>
        <w:rPr>
          <w:rFonts w:hAnsi="Times New Roman" w:hint="default"/>
          <w:sz w:val="24"/>
          <w:szCs w:val="24"/>
          <w:rtl w:val="0"/>
          <w:lang w:val="en-US"/>
        </w:rPr>
        <w:t>’</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14"/>
      </w:r>
      <w:r>
        <w:rPr>
          <w:rFonts w:ascii="Times New Roman"/>
          <w:sz w:val="24"/>
          <w:szCs w:val="24"/>
          <w:rtl w:val="0"/>
          <w:lang w:val="en-US"/>
        </w:rPr>
        <w:t xml:space="preserv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This exertion of power can of course can be implemented through various methods. Commonly we may see that these include, but are certainly not limited to: economic, territorial and militaristic exploitation. Furthermore we also see that physiological exploitation can also be considered an instrument of imperialism, particularly in the case of the Romans.</w:t>
      </w:r>
      <w:r>
        <w:rPr>
          <w:rFonts w:ascii="Times New Roman" w:cs="Times New Roman" w:hAnsi="Times New Roman" w:eastAsia="Times New Roman"/>
          <w:sz w:val="24"/>
          <w:szCs w:val="24"/>
          <w:vertAlign w:val="superscript"/>
        </w:rPr>
        <w:footnoteReference w:id="15"/>
      </w:r>
      <w:r>
        <w:rPr>
          <w:rFonts w:ascii="Times New Roman"/>
          <w:sz w:val="24"/>
          <w:szCs w:val="24"/>
          <w:rtl w:val="0"/>
          <w:lang w:val="en-US"/>
        </w:rPr>
        <w:t xml:space="preserve"> There are in fact several analytical approaches which may be applied to the study of imperialism and empire, all of which focus on separate areas of state development.</w:t>
      </w:r>
      <w:r>
        <w:rPr>
          <w:rFonts w:ascii="Times New Roman" w:cs="Times New Roman" w:hAnsi="Times New Roman" w:eastAsia="Times New Roman"/>
          <w:sz w:val="24"/>
          <w:szCs w:val="24"/>
          <w:vertAlign w:val="superscript"/>
        </w:rPr>
        <w:footnoteReference w:id="16"/>
      </w:r>
      <w:r>
        <w:rPr>
          <w:rFonts w:ascii="Times New Roman"/>
          <w:sz w:val="24"/>
          <w:szCs w:val="24"/>
          <w:rtl w:val="0"/>
          <w:lang w:val="en-US"/>
        </w:rPr>
        <w:t xml:space="preserve"> The first approach focuses on the various institutional structures and social characteristics of the conquering power and has been labeled as the Metropole.</w:t>
      </w:r>
      <w:r>
        <w:rPr>
          <w:rFonts w:ascii="Times New Roman" w:cs="Times New Roman" w:hAnsi="Times New Roman" w:eastAsia="Times New Roman"/>
          <w:sz w:val="24"/>
          <w:szCs w:val="24"/>
          <w:vertAlign w:val="superscript"/>
        </w:rPr>
        <w:footnoteReference w:id="17"/>
      </w:r>
      <w:r>
        <w:rPr>
          <w:rFonts w:ascii="Times New Roman"/>
          <w:sz w:val="24"/>
          <w:szCs w:val="24"/>
          <w:rtl w:val="0"/>
          <w:lang w:val="en-US"/>
        </w:rPr>
        <w:t xml:space="preserve"> This concept tends to focus on the apparent distortions within the society, economy and or politics of a state, which ultimately lead to large scale imperial expansion.</w:t>
      </w:r>
      <w:r>
        <w:rPr>
          <w:rFonts w:ascii="Times New Roman" w:cs="Times New Roman" w:hAnsi="Times New Roman" w:eastAsia="Times New Roman"/>
          <w:sz w:val="24"/>
          <w:szCs w:val="24"/>
          <w:vertAlign w:val="superscript"/>
        </w:rPr>
        <w:footnoteReference w:id="18"/>
      </w:r>
      <w:r>
        <w:rPr>
          <w:rFonts w:ascii="Times New Roman"/>
          <w:sz w:val="24"/>
          <w:szCs w:val="24"/>
          <w:rtl w:val="0"/>
          <w:lang w:val="en-US"/>
        </w:rPr>
        <w:t xml:space="preserve"> In this instance it is a viable candidate to apply to our studies, but it does not seem to allude to any of the particular circumstances which would lead to imperialism. Pericentic approaches on the other hand tend to have a focal point surrounding the peoples and societies which would eventually become subordinated and subsequently their influence on imperialism</w:t>
      </w:r>
      <w:r>
        <w:rPr>
          <w:rFonts w:ascii="Times New Roman" w:cs="Times New Roman" w:hAnsi="Times New Roman" w:eastAsia="Times New Roman"/>
          <w:sz w:val="24"/>
          <w:szCs w:val="24"/>
          <w:vertAlign w:val="superscript"/>
        </w:rPr>
        <w:footnoteReference w:id="19"/>
      </w:r>
      <w:r>
        <w:rPr>
          <w:rFonts w:ascii="Times New Roman"/>
          <w:sz w:val="24"/>
          <w:szCs w:val="24"/>
          <w:rtl w:val="0"/>
          <w:lang w:val="en-US"/>
        </w:rPr>
        <w:t xml:space="preserve">. Here significantly more detail is provided; however we must be cautious in its application, for as we will find this analytic approach may closely tie in with the approaches based on the metropole. This system of pericentic imperialism would provide an explanation based upon scenarios which would </w:t>
      </w:r>
      <w:r>
        <w:rPr>
          <w:rFonts w:hAnsi="Times New Roman" w:hint="default"/>
          <w:sz w:val="24"/>
          <w:szCs w:val="24"/>
          <w:rtl w:val="0"/>
          <w:lang w:val="en-US"/>
        </w:rPr>
        <w:t>‘</w:t>
      </w:r>
      <w:r>
        <w:rPr>
          <w:rFonts w:ascii="Times New Roman"/>
          <w:sz w:val="24"/>
          <w:szCs w:val="24"/>
          <w:rtl w:val="0"/>
          <w:lang w:val="en-US"/>
        </w:rPr>
        <w:t>Invite</w:t>
      </w:r>
      <w:r>
        <w:rPr>
          <w:rFonts w:hAnsi="Times New Roman" w:hint="default"/>
          <w:sz w:val="24"/>
          <w:szCs w:val="24"/>
          <w:rtl w:val="0"/>
          <w:lang w:val="en-US"/>
        </w:rPr>
        <w:t xml:space="preserve">’  </w:t>
      </w:r>
      <w:r>
        <w:rPr>
          <w:rFonts w:ascii="Times New Roman"/>
          <w:sz w:val="24"/>
          <w:szCs w:val="24"/>
          <w:rtl w:val="0"/>
          <w:lang w:val="en-US"/>
        </w:rPr>
        <w:t xml:space="preserve">larger powers and ultimately give president for imperial expansion. The first proposed method of empire by Invitation </w:t>
      </w:r>
      <w:r>
        <w:rPr>
          <w:rFonts w:ascii="Times New Roman"/>
          <w:sz w:val="24"/>
          <w:szCs w:val="24"/>
          <w:rtl w:val="0"/>
        </w:rPr>
        <w:t>is</w:t>
      </w:r>
      <w:r>
        <w:rPr>
          <w:rFonts w:ascii="Times New Roman"/>
          <w:sz w:val="24"/>
          <w:szCs w:val="24"/>
          <w:rtl w:val="0"/>
          <w:lang w:val="en-US"/>
        </w:rPr>
        <w:t xml:space="preserve"> a scenario where weaker states seek protection from either internal or external threats from larger, more powerful states</w:t>
      </w:r>
      <w:r>
        <w:rPr>
          <w:rFonts w:ascii="Times New Roman"/>
          <w:sz w:val="24"/>
          <w:szCs w:val="24"/>
          <w:rtl w:val="0"/>
        </w:rPr>
        <w:t>.</w:t>
      </w:r>
      <w:r>
        <w:rPr>
          <w:rFonts w:ascii="Times New Roman" w:cs="Times New Roman" w:hAnsi="Times New Roman" w:eastAsia="Times New Roman"/>
          <w:sz w:val="24"/>
          <w:szCs w:val="24"/>
          <w:vertAlign w:val="superscript"/>
        </w:rPr>
        <w:footnoteReference w:id="20"/>
      </w:r>
      <w:r>
        <w:rPr>
          <w:rFonts w:ascii="Times New Roman"/>
          <w:sz w:val="24"/>
          <w:szCs w:val="24"/>
          <w:rtl w:val="0"/>
          <w:lang w:val="en-US"/>
        </w:rPr>
        <w:t xml:space="preserve"> This is an example which may be supported by the formation of certain political leagues in the 5-3rd centuries BC, for example; the Delian, Hellenic and Achaean leagues.  Additionally this method is also facilitated in the instance of civil or political strife,  where one side or the other may seek arbitration from the Metropole thus inviting the third party state to take advantage its faltering political system</w:t>
      </w:r>
      <w:r>
        <w:rPr>
          <w:rFonts w:ascii="Times New Roman" w:cs="Times New Roman" w:hAnsi="Times New Roman" w:eastAsia="Times New Roman"/>
          <w:sz w:val="24"/>
          <w:szCs w:val="24"/>
          <w:vertAlign w:val="superscript"/>
        </w:rPr>
        <w:footnoteReference w:id="21"/>
      </w:r>
      <w:r>
        <w:rPr>
          <w:rFonts w:ascii="Times New Roman"/>
          <w:sz w:val="24"/>
          <w:szCs w:val="24"/>
          <w:rtl w:val="0"/>
          <w:lang w:val="en-US"/>
        </w:rPr>
        <w:t>. Finally, the third mode of invitation would occur when a relatively strong state overestimates it military or political strength and acts in such a way that will provoke a much stronger state to action (in these instances military action); thus resulting in the domination of weaker state.</w:t>
      </w:r>
      <w:r>
        <w:rPr>
          <w:rFonts w:ascii="Times New Roman" w:cs="Times New Roman" w:hAnsi="Times New Roman" w:eastAsia="Times New Roman"/>
          <w:sz w:val="24"/>
          <w:szCs w:val="24"/>
          <w:vertAlign w:val="superscript"/>
        </w:rPr>
        <w:footnoteReference w:id="22"/>
      </w:r>
      <w:r>
        <w:rPr>
          <w:rFonts w:ascii="Times New Roman"/>
          <w:sz w:val="24"/>
          <w:szCs w:val="24"/>
          <w:rtl w:val="0"/>
          <w:lang w:val="en-US"/>
        </w:rPr>
        <w:t xml:space="preserve"> While all three of these instances of invitation detail the a similar methodology, the end result is still by design or otherwise, an empire.</w:t>
      </w:r>
      <w:r>
        <w:rPr>
          <w:rFonts w:ascii="Times New Roman" w:cs="Times New Roman" w:hAnsi="Times New Roman" w:eastAsia="Times New Roman"/>
          <w:sz w:val="24"/>
          <w:szCs w:val="24"/>
          <w:vertAlign w:val="superscript"/>
        </w:rPr>
        <w:footnoteReference w:id="23"/>
      </w:r>
      <w:r>
        <w:rPr>
          <w:rFonts w:ascii="Times New Roman"/>
          <w:sz w:val="24"/>
          <w:szCs w:val="24"/>
          <w:rtl w:val="0"/>
          <w:lang w:val="en-US"/>
        </w:rPr>
        <w:t xml:space="preserv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The final analytic method to address is that of the Systemic approach. Here the focus tends to shift from the state or power and their dispositions for limitless expansion more towards explanations which are based in the harsh environmental realities of ancient international politics. This  too can be seen as a process of anarchical interstate politics.</w:t>
      </w:r>
      <w:r>
        <w:rPr>
          <w:rFonts w:ascii="Times New Roman" w:cs="Times New Roman" w:hAnsi="Times New Roman" w:eastAsia="Times New Roman"/>
          <w:sz w:val="24"/>
          <w:szCs w:val="24"/>
          <w:vertAlign w:val="superscript"/>
        </w:rPr>
        <w:footnoteReference w:id="24"/>
      </w:r>
      <w:r>
        <w:rPr>
          <w:rFonts w:ascii="Times New Roman"/>
          <w:sz w:val="24"/>
          <w:szCs w:val="24"/>
          <w:rtl w:val="0"/>
          <w:lang w:val="en-US"/>
        </w:rPr>
        <w:t xml:space="preserve"> Furthermore Eckstein notes that international law was virtually none existent and in any case unenforceable.</w:t>
      </w:r>
      <w:r>
        <w:rPr>
          <w:rFonts w:ascii="Times New Roman" w:cs="Times New Roman" w:hAnsi="Times New Roman" w:eastAsia="Times New Roman"/>
          <w:sz w:val="24"/>
          <w:szCs w:val="24"/>
          <w:vertAlign w:val="superscript"/>
        </w:rPr>
        <w:footnoteReference w:id="25"/>
      </w:r>
      <w:r>
        <w:rPr>
          <w:rFonts w:ascii="Times New Roman"/>
          <w:sz w:val="24"/>
          <w:szCs w:val="24"/>
          <w:rtl w:val="0"/>
          <w:lang w:val="en-US"/>
        </w:rPr>
        <w:t xml:space="preserve"> Instead this system displays to a certain extent a Darwinian element of natural selection.</w:t>
      </w:r>
      <w:r>
        <w:rPr>
          <w:rFonts w:ascii="Times New Roman" w:cs="Times New Roman" w:hAnsi="Times New Roman" w:eastAsia="Times New Roman"/>
          <w:sz w:val="24"/>
          <w:szCs w:val="24"/>
          <w:vertAlign w:val="superscript"/>
        </w:rPr>
        <w:footnoteReference w:id="26"/>
      </w:r>
      <w:r>
        <w:rPr>
          <w:rFonts w:ascii="Times New Roman"/>
          <w:sz w:val="24"/>
          <w:szCs w:val="24"/>
          <w:rtl w:val="0"/>
          <w:lang w:val="en-US"/>
        </w:rPr>
        <w:t xml:space="preserve"> From this it is apparent that in order to compete for the resources which are needed to operate states as a whole, prominent ancient powers were forced to constantly adapt and grow to match or exceed the capabilities of their contemporary political rivals. Ultimately this would suggest that the occurrence of warfare was not only a constant in ancient times, but a physical necessity also. This natural cycle of warfare would also give rise to a set of scenarios which occur and lead us to the conceptual entity of the self help state.</w:t>
      </w:r>
      <w:r>
        <w:rPr>
          <w:rFonts w:ascii="Times New Roman" w:cs="Times New Roman" w:hAnsi="Times New Roman" w:eastAsia="Times New Roman"/>
          <w:sz w:val="24"/>
          <w:szCs w:val="24"/>
          <w:vertAlign w:val="superscript"/>
        </w:rPr>
        <w:footnoteReference w:id="27"/>
      </w:r>
      <w:r>
        <w:rPr>
          <w:rFonts w:ascii="Times New Roman"/>
          <w:sz w:val="24"/>
          <w:szCs w:val="24"/>
          <w:rtl w:val="0"/>
          <w:lang w:val="en-US"/>
        </w:rPr>
        <w:t xml:space="preserve"> Whilst it is a distinct model in its own right, and serves to help explain the rise of empire through acquisition of resources, it</w:t>
      </w:r>
      <w:r>
        <w:rPr>
          <w:rFonts w:hAnsi="Times New Roman" w:hint="default"/>
          <w:sz w:val="24"/>
          <w:szCs w:val="24"/>
          <w:rtl w:val="0"/>
          <w:lang w:val="en-US"/>
        </w:rPr>
        <w:t>’</w:t>
      </w:r>
      <w:r>
        <w:rPr>
          <w:rFonts w:ascii="Times New Roman"/>
          <w:sz w:val="24"/>
          <w:szCs w:val="24"/>
          <w:rtl w:val="0"/>
          <w:lang w:val="en-US"/>
        </w:rPr>
        <w:t>s nature is indeed far closer to the model of imperialism which is preposed by Schumpter than any other concept regarding this method of expansion.</w:t>
      </w:r>
      <w:r>
        <w:rPr>
          <w:rFonts w:ascii="Times New Roman" w:cs="Times New Roman" w:hAnsi="Times New Roman" w:eastAsia="Times New Roman"/>
          <w:sz w:val="24"/>
          <w:szCs w:val="24"/>
          <w:vertAlign w:val="superscript"/>
        </w:rPr>
        <w:footnoteReference w:id="28"/>
      </w:r>
      <w:r>
        <w:rPr>
          <w:rFonts w:ascii="Times New Roman"/>
          <w:sz w:val="24"/>
          <w:szCs w:val="24"/>
          <w:rtl w:val="0"/>
          <w:lang w:val="en-US"/>
        </w:rPr>
        <w:t xml:space="preserve"> It should be noted also that the nomenclature of this concept is inherently misleading for several reasons. The traditional definition of self help claims that an individual (or in this context the state) acts in such a way to solve a problem which is hindering the conduct of day to day life, in the case of the person this could be anything from addiction to motivational problems. In the case of the state however, this terminology refers to the issues which are had acquiring resources, materials and or territory. Interestingly this is tied strongly with the explanations of Schumpter, Lenin and Hobson and their respective views on the emergence of the imperial state, as the state would act in both a capitalist vein and in one which encourages the limitless expansion of territory.</w:t>
      </w:r>
      <w:r>
        <w:rPr>
          <w:rFonts w:ascii="Times New Roman" w:cs="Times New Roman" w:hAnsi="Times New Roman" w:eastAsia="Times New Roman"/>
          <w:sz w:val="24"/>
          <w:szCs w:val="24"/>
          <w:vertAlign w:val="superscript"/>
        </w:rPr>
        <w:footnoteReference w:id="29"/>
      </w:r>
      <w:r>
        <w:rPr>
          <w:rFonts w:ascii="Times New Roman"/>
          <w:sz w:val="24"/>
          <w:szCs w:val="24"/>
          <w:rtl w:val="0"/>
          <w:lang w:val="en-US"/>
        </w:rPr>
        <w:t xml:space="preserve"> On the other hand however, the definition of help would be that of the intervention of another individual or state (meaning that contra to imperialism via invitation that this state would become the subordinate power), to solve (in this particular case) the hinderances of resource and material acquisition.</w:t>
      </w:r>
      <w:r>
        <w:rPr>
          <w:rFonts w:ascii="Times New Roman" w:cs="Times New Roman" w:hAnsi="Times New Roman" w:eastAsia="Times New Roman"/>
          <w:sz w:val="24"/>
          <w:szCs w:val="24"/>
          <w:vertAlign w:val="superscript"/>
        </w:rPr>
        <w:footnoteReference w:id="30"/>
      </w:r>
      <w:r>
        <w:rPr>
          <w:rFonts w:ascii="Times New Roman"/>
          <w:sz w:val="24"/>
          <w:szCs w:val="24"/>
          <w:rtl w:val="0"/>
          <w:lang w:val="en-US"/>
        </w:rPr>
        <w:t xml:space="preserve"> But seeing as this state is acting on its own behalf to solve this problems it would certainly not be classed as self help or even just help as it would be acting in a capacity which it has always had the means to do so.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Subsequently, now that the relevant politico-scientific models have been detailed which can be applied to explain the emergence of empire in the ancient world, we must undergo a process of elimination to discern which would be most useful in the study of imperial frontiers. Given that the metrocentric approach to this issue would have a focus solely on the dispositions and distortions of the institutions existing within a state; it would certainly neglect the fact that frontiers (in the most obvious case Hadrian</w:t>
      </w:r>
      <w:r>
        <w:rPr>
          <w:rFonts w:hAnsi="Times New Roman" w:hint="default"/>
          <w:sz w:val="24"/>
          <w:szCs w:val="24"/>
          <w:rtl w:val="0"/>
          <w:lang w:val="en-US"/>
        </w:rPr>
        <w:t>’</w:t>
      </w:r>
      <w:r>
        <w:rPr>
          <w:rFonts w:ascii="Times New Roman"/>
          <w:sz w:val="24"/>
          <w:szCs w:val="24"/>
          <w:rtl w:val="0"/>
          <w:lang w:val="en-US"/>
        </w:rPr>
        <w:t>s wall) are not one dimensional.</w:t>
      </w:r>
      <w:r>
        <w:rPr>
          <w:rFonts w:ascii="Times New Roman" w:cs="Times New Roman" w:hAnsi="Times New Roman" w:eastAsia="Times New Roman"/>
          <w:sz w:val="24"/>
          <w:szCs w:val="24"/>
          <w:vertAlign w:val="superscript"/>
        </w:rPr>
        <w:footnoteReference w:id="31"/>
      </w:r>
      <w:r>
        <w:rPr>
          <w:rFonts w:ascii="Times New Roman"/>
          <w:sz w:val="24"/>
          <w:szCs w:val="24"/>
          <w:rtl w:val="0"/>
          <w:lang w:val="en-US"/>
        </w:rPr>
        <w:t xml:space="preserve"> Each side in most cases, existing wholly in opposition to each other</w:t>
      </w:r>
      <w:r>
        <w:rPr>
          <w:rFonts w:ascii="Times New Roman" w:cs="Times New Roman" w:hAnsi="Times New Roman" w:eastAsia="Times New Roman"/>
          <w:sz w:val="24"/>
          <w:szCs w:val="24"/>
          <w:vertAlign w:val="superscript"/>
        </w:rPr>
        <w:footnoteReference w:id="32"/>
      </w:r>
      <w:r>
        <w:rPr>
          <w:rFonts w:ascii="Times New Roman"/>
          <w:sz w:val="24"/>
          <w:szCs w:val="24"/>
          <w:rtl w:val="0"/>
          <w:lang w:val="en-US"/>
        </w:rPr>
        <w:t xml:space="preserve"> and ultimately because of this their emergence cannot be studied with only the occupier in mind and not the occupied. This would then leave us with the Systemic and Pericentic approaches to consider. The models are significantly more suited to help explain the emergence of frontiers as they encompass a wider scope for examination; and unlike the Metropolic method would consider the political and social scenarios of the third party states which we see dominated by the Roman state.</w:t>
      </w:r>
      <w:r>
        <w:rPr>
          <w:rFonts w:ascii="Times New Roman" w:cs="Times New Roman" w:hAnsi="Times New Roman" w:eastAsia="Times New Roman"/>
          <w:sz w:val="24"/>
          <w:szCs w:val="24"/>
          <w:vertAlign w:val="superscript"/>
        </w:rPr>
        <w:footnoteReference w:id="33"/>
      </w:r>
      <w:r>
        <w:rPr>
          <w:rFonts w:ascii="Times New Roman"/>
          <w:sz w:val="24"/>
          <w:szCs w:val="24"/>
          <w:rtl w:val="0"/>
          <w:lang w:val="en-US"/>
        </w:rPr>
        <w:t xml:space="preserv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Heading"/>
        <w:jc w:val="both"/>
        <w:rPr>
          <w:rFonts w:ascii="Times New Roman" w:cs="Times New Roman" w:hAnsi="Times New Roman" w:eastAsia="Times New Roman"/>
          <w:b w:val="0"/>
          <w:bCs w:val="0"/>
          <w:u w:val="single"/>
        </w:rPr>
      </w:pPr>
    </w:p>
    <w:p>
      <w:pPr>
        <w:pStyle w:val="Heading"/>
        <w:jc w:val="both"/>
        <w:rPr>
          <w:rFonts w:ascii="Times New Roman" w:cs="Times New Roman" w:hAnsi="Times New Roman" w:eastAsia="Times New Roman"/>
          <w:b w:val="0"/>
          <w:bCs w:val="0"/>
          <w:u w:val="single"/>
        </w:rPr>
      </w:pPr>
    </w:p>
    <w:p>
      <w:pPr>
        <w:pStyle w:val="Heading"/>
        <w:jc w:val="both"/>
        <w:rPr>
          <w:rFonts w:ascii="Times New Roman" w:cs="Times New Roman" w:hAnsi="Times New Roman" w:eastAsia="Times New Roman"/>
          <w:b w:val="0"/>
          <w:bCs w:val="0"/>
          <w:u w:val="single"/>
        </w:rPr>
      </w:pPr>
    </w:p>
    <w:p>
      <w:pPr>
        <w:pStyle w:val="Heading"/>
        <w:jc w:val="both"/>
        <w:sectPr>
          <w:headerReference w:type="default" r:id="rId4"/>
          <w:footerReference w:type="default" r:id="rId5"/>
          <w:pgSz w:w="11900" w:h="16840" w:orient="portrait"/>
          <w:pgMar w:top="1440" w:right="1247" w:bottom="1440" w:left="1247" w:header="720" w:footer="864"/>
          <w:bidi w:val="0"/>
        </w:sectPr>
      </w:pPr>
    </w:p>
    <w:p>
      <w:pPr>
        <w:pStyle w:val="Heading"/>
        <w:jc w:val="both"/>
        <w:rPr>
          <w:rFonts w:ascii="Times New Roman" w:cs="Times New Roman" w:hAnsi="Times New Roman" w:eastAsia="Times New Roman"/>
          <w:b w:val="0"/>
          <w:bCs w:val="0"/>
          <w:u w:val="single"/>
        </w:rPr>
      </w:pPr>
      <w:r>
        <w:rPr>
          <w:rFonts w:ascii="Times New Roman"/>
          <w:b w:val="0"/>
          <w:bCs w:val="0"/>
          <w:u w:val="single"/>
          <w:rtl w:val="0"/>
          <w:lang w:val="en-US"/>
        </w:rPr>
        <w:t>The Evolution and Function of Frontiers</w:t>
      </w:r>
    </w:p>
    <w:p>
      <w:pPr>
        <w:pStyle w:val="Body 3"/>
        <w:jc w:val="both"/>
      </w:pPr>
    </w:p>
    <w:p>
      <w:pPr>
        <w:pStyle w:val="Body 3"/>
        <w:jc w:val="both"/>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In 1971 political scientist E.N Luttwak published his seminal work entitled </w:t>
      </w:r>
      <w:r>
        <w:rPr>
          <w:rFonts w:hAnsi="Times New Roman" w:hint="default"/>
          <w:sz w:val="24"/>
          <w:szCs w:val="24"/>
          <w:rtl w:val="0"/>
          <w:lang w:val="en-US"/>
        </w:rPr>
        <w:t>‘</w:t>
      </w:r>
      <w:r>
        <w:rPr>
          <w:rFonts w:ascii="Times New Roman"/>
          <w:sz w:val="24"/>
          <w:szCs w:val="24"/>
          <w:rtl w:val="0"/>
          <w:lang w:val="en-US"/>
        </w:rPr>
        <w:t>The grand Strategy of the Roman Empire</w:t>
      </w:r>
      <w:r>
        <w:rPr>
          <w:rFonts w:hAnsi="Times New Roman" w:hint="default"/>
          <w:sz w:val="24"/>
          <w:szCs w:val="24"/>
          <w:rtl w:val="0"/>
          <w:lang w:val="en-US"/>
        </w:rPr>
        <w:t xml:space="preserve">’ </w:t>
      </w:r>
      <w:r>
        <w:rPr>
          <w:rFonts w:ascii="Times New Roman"/>
          <w:sz w:val="24"/>
          <w:szCs w:val="24"/>
          <w:rtl w:val="0"/>
          <w:lang w:val="en-US"/>
        </w:rPr>
        <w:t>detailing his interpretation of Roman foreign policy and the intricacies within such systems</w:t>
      </w:r>
      <w:r>
        <w:rPr>
          <w:rFonts w:ascii="Times New Roman" w:cs="Times New Roman" w:hAnsi="Times New Roman" w:eastAsia="Times New Roman"/>
          <w:sz w:val="24"/>
          <w:szCs w:val="24"/>
          <w:vertAlign w:val="superscript"/>
        </w:rPr>
        <w:footnoteReference w:id="34"/>
      </w:r>
      <w:r>
        <w:rPr>
          <w:rFonts w:ascii="Times New Roman"/>
          <w:sz w:val="24"/>
          <w:szCs w:val="24"/>
          <w:rtl w:val="0"/>
          <w:lang w:val="en-US"/>
        </w:rPr>
        <w:t>. Since then a plethora of other historians and scholars alike have based their research and thesis</w:t>
      </w:r>
      <w:r>
        <w:rPr>
          <w:rFonts w:hAnsi="Times New Roman" w:hint="default"/>
          <w:sz w:val="24"/>
          <w:szCs w:val="24"/>
          <w:rtl w:val="0"/>
          <w:lang w:val="en-US"/>
        </w:rPr>
        <w:t xml:space="preserve">’ </w:t>
      </w:r>
      <w:r>
        <w:rPr>
          <w:rFonts w:ascii="Times New Roman"/>
          <w:sz w:val="24"/>
          <w:szCs w:val="24"/>
          <w:rtl w:val="0"/>
          <w:lang w:val="en-US"/>
        </w:rPr>
        <w:t>upon Luttwak</w:t>
      </w:r>
      <w:r>
        <w:rPr>
          <w:rFonts w:hAnsi="Times New Roman" w:hint="default"/>
          <w:sz w:val="24"/>
          <w:szCs w:val="24"/>
          <w:rtl w:val="0"/>
          <w:lang w:val="en-US"/>
        </w:rPr>
        <w:t>’</w:t>
      </w:r>
      <w:r>
        <w:rPr>
          <w:rFonts w:ascii="Times New Roman"/>
          <w:sz w:val="24"/>
          <w:szCs w:val="24"/>
          <w:rtl w:val="0"/>
          <w:lang w:val="en-US"/>
        </w:rPr>
        <w:t>s contributions. The same is true for this investigation; for without consultation of the work this investigation into Roman frontiers would both be incomplete and neglect the fundamental insights in this issue which have been put forth in the work. The disadvantages of this however lie in the fact that since 1971, a large portion of the hypothesis which Luttwack has advocated, have subsequently been widely disputed by many scholars in the field, and a fairly detailed breakdown of luttwack</w:t>
      </w:r>
      <w:r>
        <w:rPr>
          <w:rFonts w:hAnsi="Times New Roman" w:hint="default"/>
          <w:sz w:val="24"/>
          <w:szCs w:val="24"/>
          <w:rtl w:val="0"/>
          <w:lang w:val="en-US"/>
        </w:rPr>
        <w:t>’</w:t>
      </w:r>
      <w:r>
        <w:rPr>
          <w:rFonts w:ascii="Times New Roman"/>
          <w:sz w:val="24"/>
          <w:szCs w:val="24"/>
          <w:rtl w:val="0"/>
          <w:lang w:val="en-US"/>
        </w:rPr>
        <w:t>s assessment will be present in this investigation. The wide spread controversy surrounding Luttwak</w:t>
      </w:r>
      <w:r>
        <w:rPr>
          <w:rFonts w:hAnsi="Times New Roman" w:hint="default"/>
          <w:sz w:val="24"/>
          <w:szCs w:val="24"/>
          <w:rtl w:val="0"/>
          <w:lang w:val="en-US"/>
        </w:rPr>
        <w:t>’</w:t>
      </w:r>
      <w:r>
        <w:rPr>
          <w:rFonts w:ascii="Times New Roman"/>
          <w:sz w:val="24"/>
          <w:szCs w:val="24"/>
          <w:rtl w:val="0"/>
          <w:lang w:val="en-US"/>
        </w:rPr>
        <w:t xml:space="preserve">s contributions however, are more than likely respective of the facts that firstly, although his background in military analysis has provided him the essential skills needed to conduct a investigation frontiers, scholars have found that a single strategic theory of linear frontiers was too constricting to explain the diversities of a near 4000 mile system. </w:t>
      </w:r>
      <w:r>
        <w:rPr>
          <w:rFonts w:ascii="Times New Roman" w:cs="Times New Roman" w:hAnsi="Times New Roman" w:eastAsia="Times New Roman"/>
          <w:sz w:val="24"/>
          <w:szCs w:val="24"/>
          <w:vertAlign w:val="superscript"/>
        </w:rPr>
        <w:footnoteReference w:id="35"/>
      </w:r>
      <w:r>
        <w:rPr>
          <w:rFonts w:ascii="Times New Roman"/>
          <w:sz w:val="24"/>
          <w:szCs w:val="24"/>
          <w:rtl w:val="0"/>
          <w:lang w:val="en-US"/>
        </w:rPr>
        <w:t xml:space="preserve"> Secondly the notoriety and controversial nature of his contributions have gained significant attention from those who endeavour to study frontiers in the Roman empire, thus as a result the work has gained many who support Luttwak</w:t>
      </w:r>
      <w:r>
        <w:rPr>
          <w:rFonts w:hAnsi="Times New Roman" w:hint="default"/>
          <w:sz w:val="24"/>
          <w:szCs w:val="24"/>
          <w:rtl w:val="0"/>
          <w:lang w:val="en-US"/>
        </w:rPr>
        <w:t>’</w:t>
      </w:r>
      <w:r>
        <w:rPr>
          <w:rFonts w:ascii="Times New Roman"/>
          <w:sz w:val="24"/>
          <w:szCs w:val="24"/>
          <w:rtl w:val="0"/>
          <w:lang w:val="en-US"/>
        </w:rPr>
        <w:t>s claims, but many more whom discard them. Regardless, the importance of Luttwak's contribution can not go unmentioned and will be used to form a portion of the forthcoming arguments in this investigation. The first step in identifying the functions which frontiers fulfil, is identifying the phases and places which they emerge. Secondly where possible it is essential to compare various border defence networks in conjunction each-other in every aspect of the their existence, including their day to day operation and method of construction (the latter will be partially examined in this chapter and the next). Because of their relative similarities in not only date, but also geography and political circumstance the main comparisons which will be drawn are from the Rhine-Danube Limes and Hadrian</w:t>
      </w:r>
      <w:r>
        <w:rPr>
          <w:rFonts w:hAnsi="Times New Roman" w:hint="default"/>
          <w:sz w:val="24"/>
          <w:szCs w:val="24"/>
          <w:rtl w:val="0"/>
          <w:lang w:val="en-US"/>
        </w:rPr>
        <w:t>’</w:t>
      </w:r>
      <w:r>
        <w:rPr>
          <w:rFonts w:ascii="Times New Roman"/>
          <w:sz w:val="24"/>
          <w:szCs w:val="24"/>
          <w:rtl w:val="0"/>
          <w:lang w:val="en-US"/>
        </w:rPr>
        <w:t xml:space="preserve">s Wall.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The first stage that we can identify is the phase of expansion under the Julio-Claudians in the later years BC and early first century AD. As Luttwack correctly identifies it is during this period that a plethora of new provinces were formed throughout the territories of Rome; Including but not limited to the formation of Baetica, Lusitania and Tarraconensis in Spain by 25BC and then the total annexation of Judea in AD6 under Augustus</w:t>
      </w:r>
      <w:r>
        <w:rPr>
          <w:rFonts w:ascii="Times New Roman" w:cs="Times New Roman" w:hAnsi="Times New Roman" w:eastAsia="Times New Roman"/>
          <w:sz w:val="24"/>
          <w:szCs w:val="24"/>
          <w:vertAlign w:val="superscript"/>
        </w:rPr>
        <w:footnoteReference w:id="36"/>
      </w:r>
      <w:r>
        <w:rPr>
          <w:rFonts w:ascii="Times New Roman"/>
          <w:sz w:val="24"/>
          <w:szCs w:val="24"/>
          <w:rtl w:val="0"/>
          <w:lang w:val="en-US"/>
        </w:rPr>
        <w:t>. Moreover, not only do we see new provinces being formed in this period, but we can also see from Augustus</w:t>
      </w:r>
      <w:r>
        <w:rPr>
          <w:rFonts w:hAnsi="Times New Roman" w:hint="default"/>
          <w:sz w:val="24"/>
          <w:szCs w:val="24"/>
          <w:rtl w:val="0"/>
          <w:lang w:val="en-US"/>
        </w:rPr>
        <w:t xml:space="preserve">’ </w:t>
      </w:r>
      <w:r>
        <w:rPr>
          <w:rFonts w:ascii="Times New Roman"/>
          <w:i w:val="1"/>
          <w:iCs w:val="1"/>
          <w:sz w:val="24"/>
          <w:szCs w:val="24"/>
          <w:rtl w:val="0"/>
          <w:lang w:val="en-US"/>
        </w:rPr>
        <w:t>Res Gestae</w:t>
      </w:r>
      <w:r>
        <w:rPr>
          <w:rFonts w:ascii="Times New Roman" w:cs="Times New Roman" w:hAnsi="Times New Roman" w:eastAsia="Times New Roman"/>
          <w:i w:val="1"/>
          <w:iCs w:val="1"/>
          <w:sz w:val="24"/>
          <w:szCs w:val="24"/>
          <w:vertAlign w:val="superscript"/>
        </w:rPr>
        <w:footnoteReference w:id="37"/>
      </w:r>
      <w:r>
        <w:rPr>
          <w:rFonts w:ascii="Times New Roman"/>
          <w:sz w:val="24"/>
          <w:szCs w:val="24"/>
          <w:rtl w:val="0"/>
          <w:lang w:val="en-US"/>
        </w:rPr>
        <w:t xml:space="preserve"> that further military action is being taken across provinces already within the limits of  Roman territory in this period. While theses provinces, namely Gaul, Germany and to virtually no extent Britannia, had been conquered by Caesar; there had been little done in the way of establishing a administrative process- although in the case of Britain some client kingdoms are established. This would mean that large portions of these provinces were under documented, taxation and tribute systems were not developed and as such a number of German and Gaulish peoples were back in opposition to the roman state. However this campaign by Augustus did not entirely succeed in pacifying these peoples. During AD 9 three legions under the command of Publius Quintus Varus were ambushed and badly defeated by a collection of united tribes in the Teutoburg forrest</w:t>
      </w:r>
      <w:r>
        <w:rPr>
          <w:rFonts w:ascii="Times New Roman" w:cs="Times New Roman" w:hAnsi="Times New Roman" w:eastAsia="Times New Roman"/>
          <w:sz w:val="24"/>
          <w:szCs w:val="24"/>
          <w:vertAlign w:val="superscript"/>
        </w:rPr>
        <w:footnoteReference w:id="38"/>
      </w:r>
      <w:r>
        <w:rPr>
          <w:rFonts w:ascii="Times New Roman"/>
          <w:sz w:val="24"/>
          <w:szCs w:val="24"/>
          <w:rtl w:val="0"/>
          <w:lang w:val="en-US"/>
        </w:rPr>
        <w:t>, thus dealing the Roman state their worst defeat since Hannibal</w:t>
      </w:r>
      <w:r>
        <w:rPr>
          <w:rFonts w:hAnsi="Times New Roman" w:hint="default"/>
          <w:sz w:val="24"/>
          <w:szCs w:val="24"/>
          <w:rtl w:val="0"/>
          <w:lang w:val="en-US"/>
        </w:rPr>
        <w:t>’</w:t>
      </w:r>
      <w:r>
        <w:rPr>
          <w:rFonts w:ascii="Times New Roman"/>
          <w:sz w:val="24"/>
          <w:szCs w:val="24"/>
          <w:rtl w:val="0"/>
          <w:lang w:val="en-US"/>
        </w:rPr>
        <w:t>s ambush on the Roman soldiers at Lake Trasimene under the command of Gaius Flaminius in 217BC</w:t>
      </w:r>
      <w:r>
        <w:rPr>
          <w:rFonts w:ascii="Times New Roman" w:cs="Times New Roman" w:hAnsi="Times New Roman" w:eastAsia="Times New Roman"/>
          <w:sz w:val="24"/>
          <w:szCs w:val="24"/>
          <w:vertAlign w:val="superscript"/>
        </w:rPr>
        <w:footnoteReference w:id="39"/>
      </w:r>
      <w:r>
        <w:rPr>
          <w:rFonts w:ascii="Times New Roman"/>
          <w:sz w:val="24"/>
          <w:szCs w:val="24"/>
          <w:rtl w:val="0"/>
          <w:lang w:val="en-US"/>
        </w:rPr>
        <w:t>. At this stage in Augustus</w:t>
      </w:r>
      <w:r>
        <w:rPr>
          <w:rFonts w:hAnsi="Times New Roman" w:hint="default"/>
          <w:sz w:val="24"/>
          <w:szCs w:val="24"/>
          <w:rtl w:val="0"/>
          <w:lang w:val="en-US"/>
        </w:rPr>
        <w:t xml:space="preserve">’ </w:t>
      </w:r>
      <w:r>
        <w:rPr>
          <w:rFonts w:ascii="Times New Roman"/>
          <w:sz w:val="24"/>
          <w:szCs w:val="24"/>
          <w:rtl w:val="0"/>
          <w:lang w:val="en-US"/>
        </w:rPr>
        <w:t xml:space="preserve">life the blow dealt to the Roman state in Teutoburg forrest greatly discomforted and perhaps disillusioned  the aged emperor about the security of his life's work; and as a result dissuaded him from further conquest within or outside of the territorial boundary. This can be seen most obviously in his advice to successor Tiberius to </w:t>
      </w:r>
      <w:r>
        <w:rPr>
          <w:rFonts w:hAnsi="Times New Roman" w:hint="default"/>
          <w:sz w:val="24"/>
          <w:szCs w:val="24"/>
          <w:rtl w:val="0"/>
          <w:lang w:val="en-US"/>
        </w:rPr>
        <w:t>‘</w:t>
      </w:r>
      <w:r>
        <w:rPr>
          <w:rFonts w:ascii="Times New Roman"/>
          <w:sz w:val="24"/>
          <w:szCs w:val="24"/>
          <w:rtl w:val="0"/>
          <w:lang w:val="en-US"/>
        </w:rPr>
        <w:t>keep the empire within its limits</w:t>
      </w:r>
      <w:r>
        <w:rPr>
          <w:rFonts w:hAnsi="Times New Roman" w:hint="default"/>
          <w:sz w:val="24"/>
          <w:szCs w:val="24"/>
          <w:rtl w:val="0"/>
          <w:lang w:val="en-US"/>
        </w:rPr>
        <w:t>’</w:t>
      </w:r>
      <w:r>
        <w:rPr>
          <w:rFonts w:ascii="Times New Roman"/>
          <w:sz w:val="24"/>
          <w:szCs w:val="24"/>
          <w:rtl w:val="0"/>
          <w:lang w:val="en-US"/>
        </w:rPr>
        <w:t>- Clearly this advice was heeded, as after Augustus</w:t>
      </w:r>
      <w:r>
        <w:rPr>
          <w:rFonts w:hAnsi="Times New Roman" w:hint="default"/>
          <w:sz w:val="24"/>
          <w:szCs w:val="24"/>
          <w:rtl w:val="0"/>
          <w:lang w:val="en-US"/>
        </w:rPr>
        <w:t xml:space="preserve">’ </w:t>
      </w:r>
      <w:r>
        <w:rPr>
          <w:rFonts w:ascii="Times New Roman"/>
          <w:sz w:val="24"/>
          <w:szCs w:val="24"/>
          <w:rtl w:val="0"/>
          <w:lang w:val="en-US"/>
        </w:rPr>
        <w:t>death in AD14 there were no more wars of conquest for another 30 years.</w:t>
      </w:r>
      <w:r>
        <w:rPr>
          <w:rFonts w:ascii="Times New Roman" w:cs="Times New Roman" w:hAnsi="Times New Roman" w:eastAsia="Times New Roman"/>
          <w:sz w:val="24"/>
          <w:szCs w:val="24"/>
          <w:vertAlign w:val="superscript"/>
        </w:rPr>
        <w:footnoteReference w:id="40"/>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Although this defeat significantly weakened the Roman state, the expedition as a whole can certainly be argued to serve as a foundation from which the later Rhine frontier was built upon. Primarily, the movement of troops through these regions provided a good opportunity for recognisance, C.R Whittaker reasons that while there were no real advancements made by the Romans in the respect of map making, their enthusiasm for Greek cartography led them to revere mass descriptions of a given area. Obviously this makes organisation on a large scale much more difficult to achieve and subsequently the development of Itinerary</w:t>
      </w:r>
      <w:r>
        <w:rPr>
          <w:rFonts w:hAnsi="Times New Roman" w:hint="default"/>
          <w:sz w:val="24"/>
          <w:szCs w:val="24"/>
          <w:rtl w:val="0"/>
          <w:lang w:val="en-US"/>
        </w:rPr>
        <w:t>’</w:t>
      </w:r>
      <w:r>
        <w:rPr>
          <w:rFonts w:ascii="Times New Roman"/>
          <w:sz w:val="24"/>
          <w:szCs w:val="24"/>
          <w:rtl w:val="0"/>
          <w:lang w:val="en-US"/>
        </w:rPr>
        <w:t xml:space="preserve">s came to </w:t>
      </w:r>
      <w:r>
        <w:rPr>
          <w:rFonts w:hAnsi="Times New Roman" w:hint="default"/>
          <w:sz w:val="24"/>
          <w:szCs w:val="24"/>
          <w:rtl w:val="0"/>
          <w:lang w:val="en-US"/>
        </w:rPr>
        <w:t>‘</w:t>
      </w:r>
      <w:r>
        <w:rPr>
          <w:rFonts w:ascii="Times New Roman"/>
          <w:sz w:val="24"/>
          <w:szCs w:val="24"/>
          <w:rtl w:val="0"/>
          <w:lang w:val="en-US"/>
        </w:rPr>
        <w:t>dominate and infiltrate all other categories of ancient representations of space</w:t>
      </w:r>
      <w:r>
        <w:rPr>
          <w:rFonts w:hAnsi="Times New Roman" w:hint="default"/>
          <w:sz w:val="24"/>
          <w:szCs w:val="24"/>
          <w:rtl w:val="0"/>
          <w:lang w:val="en-US"/>
        </w:rPr>
        <w:t>’</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41"/>
      </w:r>
      <w:r>
        <w:rPr>
          <w:rFonts w:ascii="Times New Roman"/>
          <w:sz w:val="24"/>
          <w:szCs w:val="24"/>
          <w:rtl w:val="0"/>
          <w:lang w:val="en-US"/>
        </w:rPr>
        <w:t xml:space="preserve"> It is also worth considering that the few surviving maps which are available to us are more than likely personal creations, considering that it would be advantageous for the commanding officers of a given legion to draw their own maps and share it with the other commanders in order to have a collective sense of space, we are safe to assume that this would probably be the case. If we are to accept Whittaker</w:t>
      </w:r>
      <w:r>
        <w:rPr>
          <w:rFonts w:hAnsi="Times New Roman" w:hint="default"/>
          <w:sz w:val="24"/>
          <w:szCs w:val="24"/>
          <w:rtl w:val="0"/>
          <w:lang w:val="en-US"/>
        </w:rPr>
        <w:t>’</w:t>
      </w:r>
      <w:r>
        <w:rPr>
          <w:rFonts w:ascii="Times New Roman"/>
          <w:sz w:val="24"/>
          <w:szCs w:val="24"/>
          <w:rtl w:val="0"/>
          <w:lang w:val="en-US"/>
        </w:rPr>
        <w:t>s assessment that no master-map existed in state cartography records then we must ask how the one rumoured to be in Agrippa</w:t>
      </w:r>
      <w:r>
        <w:rPr>
          <w:rFonts w:hAnsi="Times New Roman" w:hint="default"/>
          <w:sz w:val="24"/>
          <w:szCs w:val="24"/>
          <w:rtl w:val="0"/>
          <w:lang w:val="en-US"/>
        </w:rPr>
        <w:t>’</w:t>
      </w:r>
      <w:r>
        <w:rPr>
          <w:rFonts w:ascii="Times New Roman"/>
          <w:sz w:val="24"/>
          <w:szCs w:val="24"/>
          <w:rtl w:val="0"/>
          <w:lang w:val="en-US"/>
        </w:rPr>
        <w:t xml:space="preserve">s portico came into existence; </w:t>
      </w:r>
      <w:r>
        <w:rPr>
          <w:rFonts w:ascii="Times New Roman"/>
          <w:sz w:val="24"/>
          <w:szCs w:val="24"/>
          <w:rtl w:val="0"/>
          <w:lang w:val="en-US"/>
        </w:rPr>
        <w:t>most likely this would have a been an amalgamation of several smaller maps drawn by others subordinate to him in the political and military spheres</w:t>
      </w:r>
      <w:r>
        <w:rPr>
          <w:rFonts w:ascii="Times New Roman" w:cs="Times New Roman" w:hAnsi="Times New Roman" w:eastAsia="Times New Roman"/>
          <w:sz w:val="24"/>
          <w:szCs w:val="24"/>
          <w:vertAlign w:val="superscript"/>
        </w:rPr>
        <w:footnoteReference w:id="42"/>
      </w:r>
      <w:r>
        <w:rPr>
          <w:rFonts w:ascii="Times New Roman"/>
          <w:sz w:val="24"/>
          <w:szCs w:val="24"/>
          <w:rtl w:val="0"/>
          <w:lang w:val="en-US"/>
        </w:rPr>
        <w:t>. With this then we may also reason that, in the case of a legionary officer constructing and sharing his own itineraries with others in his legion, that after some time and across several legions in different provinces, a coherent map of the lands on either side of the Rhine, Danube and Elbe would have been attainable for later use</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43"/>
      </w:r>
      <w:r>
        <w:rPr>
          <w:rFonts w:ascii="Times New Roman"/>
          <w:sz w:val="24"/>
          <w:szCs w:val="24"/>
          <w:rtl w:val="0"/>
          <w:lang w:val="en-US"/>
        </w:rPr>
        <w:t xml:space="preserve"> Furthermore we must reason that this is the method which would have been used for the issuing of itineraries to a given legions Primus Pilus or quartermaster as Whittaker so vigorously advocates.</w:t>
      </w:r>
      <w:r>
        <w:rPr>
          <w:rFonts w:ascii="Times New Roman" w:cs="Times New Roman" w:hAnsi="Times New Roman" w:eastAsia="Times New Roman"/>
          <w:sz w:val="24"/>
          <w:szCs w:val="24"/>
          <w:vertAlign w:val="superscript"/>
        </w:rPr>
        <w:footnoteReference w:id="44"/>
      </w:r>
      <w:r>
        <w:rPr>
          <w:rFonts w:ascii="Times New Roman"/>
          <w:sz w:val="24"/>
          <w:szCs w:val="24"/>
          <w:rtl w:val="0"/>
          <w:lang w:val="en-US"/>
        </w:rPr>
        <w:t xml:space="preserve"> The end result, irrespective of method is a comprehensive document which, in one way or another provides essential details of the landscape which around a century later the Roman state would occupy.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Coupling this observation with Luttwak</w:t>
      </w:r>
      <w:r>
        <w:rPr>
          <w:rFonts w:hAnsi="Times New Roman" w:hint="default"/>
          <w:sz w:val="24"/>
          <w:szCs w:val="24"/>
          <w:rtl w:val="0"/>
          <w:lang w:val="en-US"/>
        </w:rPr>
        <w:t>’</w:t>
      </w:r>
      <w:r>
        <w:rPr>
          <w:rFonts w:ascii="Times New Roman"/>
          <w:sz w:val="24"/>
          <w:szCs w:val="24"/>
          <w:rtl w:val="0"/>
          <w:lang w:val="en-US"/>
        </w:rPr>
        <w:t>s arguments</w:t>
      </w:r>
      <w:r>
        <w:rPr>
          <w:rFonts w:ascii="Times New Roman"/>
          <w:b w:val="1"/>
          <w:bCs w:val="1"/>
          <w:sz w:val="24"/>
          <w:szCs w:val="24"/>
          <w:rtl w:val="0"/>
          <w:lang w:val="en-US"/>
        </w:rPr>
        <w:t xml:space="preserve"> </w:t>
      </w:r>
      <w:r>
        <w:rPr>
          <w:rFonts w:ascii="Times New Roman"/>
          <w:sz w:val="24"/>
          <w:szCs w:val="24"/>
          <w:rtl w:val="0"/>
          <w:lang w:val="en-US"/>
        </w:rPr>
        <w:t>further serves to suggest the usefulness of this final Augustan campaign, and the later building of the frontier.</w:t>
      </w:r>
      <w:r>
        <w:rPr>
          <w:rFonts w:ascii="Times New Roman" w:cs="Times New Roman" w:hAnsi="Times New Roman" w:eastAsia="Times New Roman"/>
          <w:sz w:val="24"/>
          <w:szCs w:val="24"/>
          <w:vertAlign w:val="superscript"/>
        </w:rPr>
        <w:footnoteReference w:id="45"/>
      </w:r>
      <w:r>
        <w:rPr>
          <w:rFonts w:ascii="Times New Roman"/>
          <w:sz w:val="24"/>
          <w:szCs w:val="24"/>
          <w:rtl w:val="0"/>
          <w:lang w:val="en-US"/>
        </w:rPr>
        <w:t xml:space="preserve"> This argument centres around the notion that it was the building of rudimentary marching fortresses, which would become the backbone of the Roman army and the state it served in terms of expansion capability. Moreover as highlighted by Goldsworthy, this action was so normalised in military strategy that Virgil made this almost the first of Aeneas</w:t>
      </w:r>
      <w:r>
        <w:rPr>
          <w:rFonts w:hAnsi="Times New Roman" w:hint="default"/>
          <w:sz w:val="24"/>
          <w:szCs w:val="24"/>
          <w:rtl w:val="0"/>
          <w:lang w:val="en-US"/>
        </w:rPr>
        <w:t xml:space="preserve">’ </w:t>
      </w:r>
      <w:r>
        <w:rPr>
          <w:rFonts w:ascii="Times New Roman"/>
          <w:sz w:val="24"/>
          <w:szCs w:val="24"/>
          <w:rtl w:val="0"/>
          <w:lang w:val="en-US"/>
        </w:rPr>
        <w:t>actions upon his arrival in Italy.</w:t>
      </w:r>
      <w:r>
        <w:rPr>
          <w:rFonts w:ascii="Times New Roman" w:cs="Times New Roman" w:hAnsi="Times New Roman" w:eastAsia="Times New Roman"/>
          <w:sz w:val="24"/>
          <w:szCs w:val="24"/>
          <w:vertAlign w:val="superscript"/>
        </w:rPr>
        <w:footnoteReference w:id="46"/>
      </w:r>
      <w:r>
        <w:rPr>
          <w:rFonts w:ascii="Times New Roman"/>
          <w:sz w:val="24"/>
          <w:szCs w:val="24"/>
          <w:rtl w:val="0"/>
          <w:lang w:val="en-US"/>
        </w:rPr>
        <w:t xml:space="preserve"> This in itself is as much an ideological statement being made, as is the ideological message sent by the construction of a permanent frontier. Indeed we know that these fortresses served not only as a primary defensive base for legions on the move, but they also provided opportunities for troop bonding and morale development; both key elements (among other things) for a successful standing army.</w:t>
      </w:r>
      <w:r>
        <w:rPr>
          <w:rFonts w:ascii="Times New Roman" w:cs="Times New Roman" w:hAnsi="Times New Roman" w:eastAsia="Times New Roman"/>
          <w:sz w:val="24"/>
          <w:szCs w:val="24"/>
          <w:vertAlign w:val="superscript"/>
        </w:rPr>
        <w:footnoteReference w:id="47"/>
      </w:r>
      <w:r>
        <w:rPr>
          <w:rFonts w:ascii="Times New Roman"/>
          <w:sz w:val="24"/>
          <w:szCs w:val="24"/>
          <w:rtl w:val="0"/>
          <w:lang w:val="en-US"/>
        </w:rPr>
        <w:t xml:space="preserve"> Furthermore we know that all fortresses intended to be permanent which were constructed by the Roman army would have started out incredibly similar to the those built on the march- wooden and rudimentary in nature. Using this realisation we can further link the notion that this expedition served as a pseudo-precursor to the implementation of a frontier network in the region. In fact we may note that in the same way a collection of personal maps compiled into a larger provincial map would be useful when organising the construction of such a frontier, these wooden marching camps were able to provide a consensus for military commanders as to the best locations for legionary fortress ( incidentally from other legionary commanders posted in the region). Furthermore we would be safe in assuming that a record of the sites where marching camps were built would be present, either as an independent document kept by the Primus Pilus of a legion, or cited on a composite provincial map. We may also look to archaeological reports of Julio-Claudian finds along the frontier to help develop this notion, we know that fortresses in Utrecht already existed by the middle first century AD, around 100 years before the finalised Rhine frontier and 80 years before the construction of Hadrian</w:t>
      </w:r>
      <w:r>
        <w:rPr>
          <w:rFonts w:hAnsi="Times New Roman" w:hint="default"/>
          <w:sz w:val="24"/>
          <w:szCs w:val="24"/>
          <w:rtl w:val="0"/>
          <w:lang w:val="en-US"/>
        </w:rPr>
        <w:t>’</w:t>
      </w:r>
      <w:r>
        <w:rPr>
          <w:rFonts w:ascii="Times New Roman"/>
          <w:sz w:val="24"/>
          <w:szCs w:val="24"/>
          <w:rtl w:val="0"/>
          <w:lang w:val="en-US"/>
        </w:rPr>
        <w:t xml:space="preserve">s Wall </w:t>
      </w:r>
      <w:r>
        <w:rPr>
          <w:rFonts w:ascii="Times New Roman"/>
          <w:sz w:val="24"/>
          <w:szCs w:val="24"/>
          <w:rtl w:val="0"/>
          <w:lang w:val="en-US"/>
        </w:rPr>
        <w:t>and too that Diocletian</w:t>
      </w:r>
      <w:r>
        <w:rPr>
          <w:rFonts w:ascii="Times New Roman" w:cs="Times New Roman" w:hAnsi="Times New Roman" w:eastAsia="Times New Roman"/>
          <w:sz w:val="24"/>
          <w:szCs w:val="24"/>
          <w:vertAlign w:val="superscript"/>
        </w:rPr>
        <w:footnoteReference w:id="48"/>
      </w:r>
      <w:r>
        <w:rPr>
          <w:rFonts w:ascii="Times New Roman"/>
          <w:sz w:val="24"/>
          <w:szCs w:val="24"/>
          <w:rtl w:val="0"/>
          <w:lang w:val="en-US"/>
        </w:rPr>
        <w:t xml:space="preserve"> in the later second century advocated fixed</w:t>
      </w:r>
      <w:r>
        <w:rPr>
          <w:rFonts w:ascii="Times New Roman" w:cs="Times New Roman" w:hAnsi="Times New Roman" w:eastAsia="Times New Roman"/>
          <w:sz w:val="24"/>
          <w:szCs w:val="24"/>
          <w:vertAlign w:val="superscript"/>
        </w:rPr>
        <w:footnoteReference w:id="49"/>
      </w:r>
      <w:r>
        <w:rPr>
          <w:rFonts w:ascii="Times New Roman"/>
          <w:sz w:val="24"/>
          <w:szCs w:val="24"/>
          <w:rtl w:val="0"/>
          <w:lang w:val="en-US"/>
        </w:rPr>
        <w:t xml:space="preserve"> defensive positions along the Rhine.</w:t>
      </w:r>
      <w:r>
        <w:rPr>
          <w:rFonts w:ascii="Times New Roman" w:cs="Times New Roman" w:hAnsi="Times New Roman" w:eastAsia="Times New Roman"/>
          <w:sz w:val="24"/>
          <w:szCs w:val="24"/>
          <w:vertAlign w:val="superscript"/>
        </w:rPr>
        <w:footnoteReference w:id="50"/>
      </w:r>
      <w:r>
        <w:rPr>
          <w:rFonts w:ascii="Times New Roman"/>
          <w:sz w:val="24"/>
          <w:szCs w:val="24"/>
          <w:rtl w:val="0"/>
          <w:lang w:val="en-US"/>
        </w:rPr>
        <w:t xml:space="preserve"> Contra to Luttwak</w:t>
      </w:r>
      <w:r>
        <w:rPr>
          <w:rFonts w:hAnsi="Times New Roman" w:hint="default"/>
          <w:sz w:val="24"/>
          <w:szCs w:val="24"/>
          <w:rtl w:val="0"/>
          <w:lang w:val="en-US"/>
        </w:rPr>
        <w:t>’</w:t>
      </w:r>
      <w:r>
        <w:rPr>
          <w:rFonts w:ascii="Times New Roman"/>
          <w:sz w:val="24"/>
          <w:szCs w:val="24"/>
          <w:rtl w:val="0"/>
          <w:lang w:val="en-US"/>
        </w:rPr>
        <w:t>s observation that camps could have and in some cases did, through further expenditure of time and effort become heavily fortified earthworks.</w:t>
      </w:r>
      <w:r>
        <w:rPr>
          <w:rFonts w:ascii="Times New Roman" w:cs="Times New Roman" w:hAnsi="Times New Roman" w:eastAsia="Times New Roman"/>
          <w:sz w:val="24"/>
          <w:szCs w:val="24"/>
          <w:vertAlign w:val="superscript"/>
        </w:rPr>
        <w:footnoteReference w:id="51"/>
      </w:r>
      <w:r>
        <w:rPr>
          <w:rFonts w:ascii="Times New Roman"/>
          <w:sz w:val="24"/>
          <w:szCs w:val="24"/>
          <w:rtl w:val="0"/>
          <w:lang w:val="en-US"/>
        </w:rPr>
        <w:t xml:space="preserve"> The question now is wether or not these fortresses which had been developed into a major defensive position would remain manned after the expeditions conclusion. It would certainly be prudent for a garrison to remain at their post while the rest of the expeditionary force withdrew, however we cannot be sure for how long. In the case that a stationed garrison would remain in their fortress for some time subsequent to a full military withdrawal, they would firstly be useless to their legionary comrades in the way of combat support; but they would also be fairly useless in the conduct of meaningful tactical operations due to their isolated state. Interestingly though, Luttwak describes that after the conduct of military operations, these fortifications would usually be destroyed in order to avoid re-occupation and use by enemy forces </w:t>
      </w:r>
      <w:r>
        <w:rPr>
          <w:rFonts w:ascii="Times New Roman"/>
          <w:sz w:val="24"/>
          <w:szCs w:val="24"/>
          <w:rtl w:val="0"/>
          <w:lang w:val="en-US"/>
        </w:rPr>
        <w:t>(not dissimilar to the Pila projectile).</w:t>
      </w:r>
      <w:r>
        <w:rPr>
          <w:rFonts w:ascii="Times New Roman" w:cs="Times New Roman" w:hAnsi="Times New Roman" w:eastAsia="Times New Roman"/>
          <w:sz w:val="24"/>
          <w:szCs w:val="24"/>
          <w:vertAlign w:val="superscript"/>
        </w:rPr>
        <w:footnoteReference w:id="52"/>
      </w:r>
      <w:r>
        <w:rPr>
          <w:rFonts w:ascii="Times New Roman"/>
          <w:sz w:val="24"/>
          <w:szCs w:val="24"/>
          <w:rtl w:val="0"/>
          <w:lang w:val="en-US"/>
        </w:rPr>
        <w:t xml:space="preserve"> This would rule out the possibility of long term occupation after the conquest, and as a result of this the possibility that the Rhine frontier began with this Augustan campaign.</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Ultimately, what can be inferred from this is that under the late principate, August</w:t>
      </w:r>
      <w:r>
        <w:rPr>
          <w:rFonts w:hAnsi="Times New Roman" w:hint="default"/>
          <w:rtl w:val="0"/>
          <w:lang w:val="en-US"/>
        </w:rPr>
        <w:t>’</w:t>
      </w:r>
      <w:r>
        <w:rPr>
          <w:rFonts w:ascii="Times New Roman"/>
          <w:rtl w:val="0"/>
          <w:lang w:val="en-US"/>
        </w:rPr>
        <w:t>s disposition to invoke a sense of Rome</w:t>
      </w:r>
      <w:r>
        <w:rPr>
          <w:rFonts w:hAnsi="Times New Roman" w:hint="default"/>
          <w:rtl w:val="0"/>
          <w:lang w:val="en-US"/>
        </w:rPr>
        <w:t>’</w:t>
      </w:r>
      <w:r>
        <w:rPr>
          <w:rFonts w:ascii="Times New Roman"/>
          <w:rtl w:val="0"/>
          <w:lang w:val="en-US"/>
        </w:rPr>
        <w:t>s late republican system into his own, disguising under it the guise of imperialism has lead to no significant change in foreign policy for the Roman state</w:t>
      </w:r>
      <w:r>
        <w:rPr>
          <w:rFonts w:ascii="Times New Roman" w:cs="Times New Roman" w:hAnsi="Times New Roman" w:eastAsia="Times New Roman"/>
          <w:vertAlign w:val="superscript"/>
        </w:rPr>
        <w:footnoteReference w:id="53"/>
      </w:r>
      <w:r>
        <w:rPr>
          <w:rFonts w:ascii="Times New Roman"/>
          <w:rtl w:val="0"/>
          <w:lang w:val="en-US"/>
        </w:rPr>
        <w:t>. Moreover it may be considered that the overall layout of the empire during this period would resemble a federation of autonomous cities, rather than firm subjects of the Empire</w:t>
      </w:r>
      <w:r>
        <w:rPr>
          <w:rFonts w:hAnsi="Times New Roman" w:hint="default"/>
          <w:rtl w:val="0"/>
          <w:lang w:val="en-US"/>
        </w:rPr>
        <w:t>’</w:t>
      </w:r>
      <w:r>
        <w:rPr>
          <w:rFonts w:ascii="Times New Roman"/>
          <w:rtl w:val="0"/>
          <w:lang w:val="en-US"/>
        </w:rPr>
        <w:t>s grasp. Moreover, this emulation of Rome</w:t>
      </w:r>
      <w:r>
        <w:rPr>
          <w:rFonts w:hAnsi="Times New Roman" w:hint="default"/>
          <w:rtl w:val="0"/>
          <w:lang w:val="en-US"/>
        </w:rPr>
        <w:t>’</w:t>
      </w:r>
      <w:r>
        <w:rPr>
          <w:rFonts w:ascii="Times New Roman"/>
          <w:rtl w:val="0"/>
          <w:lang w:val="en-US"/>
        </w:rPr>
        <w:t xml:space="preserve">s so called </w:t>
      </w:r>
      <w:r>
        <w:rPr>
          <w:rFonts w:hAnsi="Times New Roman" w:hint="default"/>
          <w:rtl w:val="0"/>
          <w:lang w:val="en-US"/>
        </w:rPr>
        <w:t>‘</w:t>
      </w:r>
      <w:r>
        <w:rPr>
          <w:rFonts w:ascii="Times New Roman"/>
          <w:rtl w:val="0"/>
          <w:lang w:val="en-US"/>
        </w:rPr>
        <w:t>Golden Age</w:t>
      </w:r>
      <w:r>
        <w:rPr>
          <w:rFonts w:hAnsi="Times New Roman" w:hint="default"/>
          <w:rtl w:val="0"/>
          <w:lang w:val="en-US"/>
        </w:rPr>
        <w:t xml:space="preserve">’ </w:t>
      </w:r>
      <w:r>
        <w:rPr>
          <w:rFonts w:ascii="Times New Roman"/>
          <w:rtl w:val="0"/>
          <w:lang w:val="en-US"/>
        </w:rPr>
        <w:t xml:space="preserve">of military strength should be considered as the main catalyst for limited wars of expansion under the Julio-Claudians. The case for the Flavian-Severan Dynasts however, is vastly different. While their predecessors have emulated, these later emperors have innovated. It is clear that instead of picking up where their successors have left off, the likes of Domitian in-particular and indeed Hadrian in Britain have began to develop their frontiers based upon the collected intelligence and strategic lessons learned by their successors and not copied it wholesale. Luttwak calls this </w:t>
      </w:r>
      <w:r>
        <w:rPr>
          <w:rFonts w:hAnsi="Times New Roman" w:hint="default"/>
          <w:rtl w:val="0"/>
          <w:lang w:val="en-US"/>
        </w:rPr>
        <w:t>‘</w:t>
      </w:r>
      <w:r>
        <w:rPr>
          <w:rFonts w:ascii="Times New Roman"/>
          <w:rtl w:val="0"/>
          <w:lang w:val="en-US"/>
        </w:rPr>
        <w:t>the emergence of the scientific frontier</w:t>
      </w:r>
      <w:r>
        <w:rPr>
          <w:rFonts w:hAnsi="Times New Roman" w:hint="default"/>
          <w:rtl w:val="0"/>
          <w:lang w:val="en-US"/>
        </w:rPr>
        <w:t>’</w:t>
      </w:r>
      <w:r>
        <w:rPr>
          <w:rFonts w:ascii="Times New Roman"/>
          <w:rtl w:val="0"/>
          <w:lang w:val="en-US"/>
        </w:rPr>
        <w:t>, an entity which has its bases in a fixed border defence, however not limited to static situation of troops and legions. According to Champion, a fixed border system would have been unthinkable to the Roman state; for it would have debilitated their capability to extensive expansion</w:t>
      </w:r>
      <w:r>
        <w:rPr>
          <w:rFonts w:ascii="Times New Roman" w:cs="Times New Roman" w:hAnsi="Times New Roman" w:eastAsia="Times New Roman"/>
          <w:vertAlign w:val="superscript"/>
        </w:rPr>
        <w:footnoteReference w:id="54"/>
      </w:r>
      <w:r>
        <w:rPr>
          <w:rFonts w:ascii="Times New Roman"/>
          <w:rtl w:val="0"/>
          <w:lang w:val="en-US"/>
        </w:rPr>
        <w:t>. This development in the approach taken by the Flavian-Severan emperors came to a head under the rule of Hadrian, with a less successful attempt by Antoninus Pious to emulate Hadrian</w:t>
      </w:r>
      <w:r>
        <w:rPr>
          <w:rFonts w:hAnsi="Times New Roman" w:hint="default"/>
          <w:rtl w:val="0"/>
          <w:lang w:val="en-US"/>
        </w:rPr>
        <w:t>’</w:t>
      </w:r>
      <w:r>
        <w:rPr>
          <w:rFonts w:ascii="Times New Roman"/>
          <w:rtl w:val="0"/>
          <w:lang w:val="en-US"/>
        </w:rPr>
        <w:t>s feat in AD 142. If indeed it was Hadrian</w:t>
      </w:r>
      <w:r>
        <w:rPr>
          <w:rFonts w:hAnsi="Times New Roman" w:hint="default"/>
          <w:rtl w:val="0"/>
          <w:lang w:val="en-US"/>
        </w:rPr>
        <w:t>’</w:t>
      </w:r>
      <w:r>
        <w:rPr>
          <w:rFonts w:ascii="Times New Roman"/>
          <w:rtl w:val="0"/>
          <w:lang w:val="en-US"/>
        </w:rPr>
        <w:t>s intention to permanently stunt further expansion of the empire, or to defend the southerly parts of Britain against northern raiders we should be asking the question; if it</w:t>
      </w:r>
      <w:r>
        <w:rPr>
          <w:rFonts w:hAnsi="Times New Roman" w:hint="default"/>
          <w:rtl w:val="0"/>
          <w:lang w:val="en-US"/>
        </w:rPr>
        <w:t>’</w:t>
      </w:r>
      <w:r>
        <w:rPr>
          <w:rFonts w:ascii="Times New Roman"/>
          <w:rtl w:val="0"/>
          <w:lang w:val="en-US"/>
        </w:rPr>
        <w:t>s true intent was to repel attackers from the north, why would there be a gate situated every mile?  We can see also that he was partially unsuccessful in drawing the limit to Roman expansion; this can be attested by the existence of the later Antonine wall (although its use was short lived). Instead, Hadrian</w:t>
      </w:r>
      <w:r>
        <w:rPr>
          <w:rFonts w:hAnsi="Times New Roman" w:hint="default"/>
          <w:rtl w:val="0"/>
          <w:lang w:val="en-US"/>
        </w:rPr>
        <w:t>’</w:t>
      </w:r>
      <w:r>
        <w:rPr>
          <w:rFonts w:ascii="Times New Roman"/>
          <w:rtl w:val="0"/>
          <w:lang w:val="en-US"/>
        </w:rPr>
        <w:t>s motivations are based upon a principle which was present even under the Augustan principate</w:t>
      </w:r>
      <w:r>
        <w:rPr>
          <w:rFonts w:ascii="Times New Roman" w:cs="Times New Roman" w:hAnsi="Times New Roman" w:eastAsia="Times New Roman"/>
          <w:vertAlign w:val="superscript"/>
        </w:rPr>
        <w:footnoteReference w:id="55"/>
      </w:r>
      <w:r>
        <w:rPr>
          <w:rFonts w:ascii="Times New Roman"/>
          <w:rtl w:val="0"/>
          <w:lang w:val="en-US"/>
        </w:rPr>
        <w:t xml:space="preserve">. </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In the same way that Augustus looked towards the republic as a golden age, Hadrian looked to the military accomplishments of the generals before him, and contra to Stewart</w:t>
      </w:r>
      <w:r>
        <w:rPr>
          <w:rFonts w:hAnsi="Times New Roman" w:hint="default"/>
          <w:rtl w:val="0"/>
          <w:lang w:val="en-US"/>
        </w:rPr>
        <w:t>’</w:t>
      </w:r>
      <w:r>
        <w:rPr>
          <w:rFonts w:ascii="Times New Roman"/>
          <w:rtl w:val="0"/>
          <w:lang w:val="en-US"/>
        </w:rPr>
        <w:t xml:space="preserve">s observation, understood that </w:t>
      </w:r>
      <w:r>
        <w:rPr>
          <w:rFonts w:hAnsi="Times New Roman" w:hint="default"/>
          <w:rtl w:val="0"/>
          <w:lang w:val="en-US"/>
        </w:rPr>
        <w:t>‘</w:t>
      </w:r>
      <w:r>
        <w:rPr>
          <w:rFonts w:ascii="Times New Roman"/>
          <w:rtl w:val="0"/>
          <w:lang w:val="en-US"/>
        </w:rPr>
        <w:t>the greatest of Roman generals were noted for their extreme caution</w:t>
      </w:r>
      <w:r>
        <w:rPr>
          <w:rFonts w:hAnsi="Times New Roman" w:hint="default"/>
          <w:rtl w:val="0"/>
          <w:lang w:val="en-US"/>
        </w:rPr>
        <w:t>’</w:t>
      </w:r>
      <w:r>
        <w:rPr>
          <w:rFonts w:ascii="Times New Roman"/>
          <w:rtl w:val="0"/>
          <w:lang w:val="en-US"/>
        </w:rPr>
        <w:t>.</w:t>
      </w:r>
      <w:r>
        <w:rPr>
          <w:rFonts w:ascii="Times New Roman" w:cs="Times New Roman" w:hAnsi="Times New Roman" w:eastAsia="Times New Roman"/>
          <w:vertAlign w:val="superscript"/>
        </w:rPr>
        <w:footnoteReference w:id="56"/>
      </w:r>
      <w:r>
        <w:rPr>
          <w:rFonts w:ascii="Times New Roman"/>
          <w:rtl w:val="0"/>
          <w:lang w:val="en-US"/>
        </w:rPr>
        <w:t xml:space="preserve"> Tacitus himself can also be seen complaining that </w:t>
      </w:r>
      <w:r>
        <w:rPr>
          <w:rFonts w:hAnsi="Times New Roman" w:hint="default"/>
          <w:rtl w:val="0"/>
          <w:lang w:val="en-US"/>
        </w:rPr>
        <w:t>‘</w:t>
      </w:r>
      <w:r>
        <w:rPr>
          <w:rFonts w:ascii="Times New Roman"/>
          <w:rtl w:val="0"/>
          <w:lang w:val="en-US"/>
        </w:rPr>
        <w:t>Britain was subjugated, and then immediately let slip</w:t>
      </w:r>
      <w:r>
        <w:rPr>
          <w:rFonts w:hAnsi="Times New Roman" w:hint="default"/>
          <w:rtl w:val="0"/>
          <w:lang w:val="en-US"/>
        </w:rPr>
        <w:t>’</w:t>
      </w:r>
      <w:r>
        <w:rPr>
          <w:rFonts w:ascii="Times New Roman"/>
          <w:rtl w:val="0"/>
          <w:lang w:val="en-US"/>
        </w:rPr>
        <w:t>.</w:t>
      </w:r>
      <w:r>
        <w:rPr>
          <w:rFonts w:ascii="Times New Roman" w:cs="Times New Roman" w:hAnsi="Times New Roman" w:eastAsia="Times New Roman"/>
          <w:vertAlign w:val="superscript"/>
        </w:rPr>
        <w:footnoteReference w:id="57"/>
      </w:r>
      <w:r>
        <w:rPr>
          <w:rFonts w:ascii="Times New Roman"/>
          <w:rtl w:val="0"/>
          <w:lang w:val="en-US"/>
        </w:rPr>
        <w:t xml:space="preserve"> With this in mind, the methods which were available to Hadrian to ensure the safety of the Empire followed a logical progression which culminated to form the development of a fixed defensive border. It could be said then, if this is indeed the case that frontiers should be considered as the ultimate exercise in extreme caution. However, the issue with the application of this concept, to at least Hadrian</w:t>
      </w:r>
      <w:r>
        <w:rPr>
          <w:rFonts w:hAnsi="Times New Roman" w:hint="default"/>
          <w:rtl w:val="0"/>
          <w:lang w:val="en-US"/>
        </w:rPr>
        <w:t>’</w:t>
      </w:r>
      <w:r>
        <w:rPr>
          <w:rFonts w:ascii="Times New Roman"/>
          <w:rtl w:val="0"/>
          <w:lang w:val="en-US"/>
        </w:rPr>
        <w:t>s wall is that there are no indications in either the literary or archaeological records of any significant conduct of warfare at the site. Instead, we may look to both David Potter</w:t>
      </w:r>
      <w:r>
        <w:rPr>
          <w:rFonts w:hAnsi="Times New Roman" w:hint="default"/>
          <w:rtl w:val="0"/>
          <w:lang w:val="en-US"/>
        </w:rPr>
        <w:t>’</w:t>
      </w:r>
      <w:r>
        <w:rPr>
          <w:rFonts w:ascii="Times New Roman"/>
          <w:rtl w:val="0"/>
          <w:lang w:val="en-US"/>
        </w:rPr>
        <w:t>s and Luttwak</w:t>
      </w:r>
      <w:r>
        <w:rPr>
          <w:rFonts w:hAnsi="Times New Roman" w:hint="default"/>
          <w:rtl w:val="0"/>
          <w:lang w:val="en-US"/>
        </w:rPr>
        <w:t>’</w:t>
      </w:r>
      <w:r>
        <w:rPr>
          <w:rFonts w:ascii="Times New Roman"/>
          <w:rtl w:val="0"/>
          <w:lang w:val="en-US"/>
        </w:rPr>
        <w:t xml:space="preserve">s  contributions, the former regarding the use of so called </w:t>
      </w:r>
      <w:r>
        <w:rPr>
          <w:rFonts w:hAnsi="Times New Roman" w:hint="default"/>
          <w:rtl w:val="0"/>
          <w:lang w:val="en-US"/>
        </w:rPr>
        <w:t>‘</w:t>
      </w:r>
      <w:r>
        <w:rPr>
          <w:rFonts w:ascii="Times New Roman"/>
          <w:rtl w:val="0"/>
          <w:lang w:val="en-US"/>
        </w:rPr>
        <w:t>neutral zones</w:t>
      </w:r>
      <w:r>
        <w:rPr>
          <w:rFonts w:hAnsi="Times New Roman" w:hint="default"/>
          <w:rtl w:val="0"/>
          <w:lang w:val="en-US"/>
        </w:rPr>
        <w:t xml:space="preserve">’ </w:t>
      </w:r>
      <w:r>
        <w:rPr>
          <w:rFonts w:ascii="Times New Roman"/>
          <w:rtl w:val="0"/>
          <w:lang w:val="en-US"/>
        </w:rPr>
        <w:t>to help us understand the true function of such a frontier</w:t>
      </w:r>
      <w:r>
        <w:rPr>
          <w:rFonts w:ascii="Times New Roman" w:cs="Times New Roman" w:hAnsi="Times New Roman" w:eastAsia="Times New Roman"/>
          <w:vertAlign w:val="superscript"/>
        </w:rPr>
        <w:footnoteReference w:id="58"/>
      </w:r>
      <w:r>
        <w:rPr>
          <w:rFonts w:ascii="Times New Roman"/>
          <w:rtl w:val="0"/>
          <w:lang w:val="en-US"/>
        </w:rPr>
        <w:t>.</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 xml:space="preserve">An Argument put forth by Luttwak suggests that a major facet of the warfare conducted by the Romans came in the form of </w:t>
      </w:r>
      <w:r>
        <w:rPr>
          <w:rFonts w:ascii="Times New Roman"/>
          <w:rtl w:val="0"/>
          <w:lang w:val="en-US"/>
        </w:rPr>
        <w:t>p</w:t>
      </w:r>
      <w:r>
        <w:rPr>
          <w:rFonts w:ascii="Times New Roman"/>
          <w:rtl w:val="0"/>
          <w:lang w:val="en-US"/>
        </w:rPr>
        <w:t>sychological warfare, and that the siege of Masada may provide a prime example of this</w:t>
      </w:r>
      <w:r>
        <w:rPr>
          <w:rFonts w:ascii="Times New Roman"/>
          <w:rtl w:val="0"/>
          <w:lang w:val="en-US"/>
        </w:rPr>
        <w:t>.</w:t>
      </w:r>
      <w:r>
        <w:rPr>
          <w:rFonts w:ascii="Times New Roman" w:cs="Times New Roman" w:hAnsi="Times New Roman" w:eastAsia="Times New Roman"/>
          <w:vertAlign w:val="superscript"/>
        </w:rPr>
        <w:footnoteReference w:id="59"/>
      </w:r>
      <w:r>
        <w:rPr>
          <w:rFonts w:ascii="Times New Roman"/>
          <w:rtl w:val="0"/>
          <w:lang w:val="en-US"/>
        </w:rPr>
        <w:t xml:space="preserve"> </w:t>
      </w:r>
      <w:r>
        <w:rPr>
          <w:rFonts w:ascii="Times New Roman"/>
          <w:rtl w:val="0"/>
          <w:lang w:val="en-US"/>
        </w:rPr>
        <w:t>Luttwak explains that while this rebellion was practically over, a jewish stronghold at Masada still remained active. The Roman state dispatched a singular legion in response to this, ultimately hoping to dissuade any potential Jewish supporters from reigniting the uprising. The message sent here Luttwak describes, is that the Roman state were willing to pursue its enemies irrespective of the physical and human cost even when the threat posed was one of minor geographical or strategical significance. Luttwak of course notes that when he highlights that this particular siege was lifted by siege instruments which allowed the Romans to literally stamp out rebellions at the tops of mountains</w:t>
      </w:r>
      <w:r>
        <w:rPr>
          <w:rFonts w:ascii="Times New Roman"/>
          <w:rtl w:val="0"/>
          <w:lang w:val="en-US"/>
        </w:rPr>
        <w:t>;</w:t>
      </w:r>
      <w:r>
        <w:rPr>
          <w:rFonts w:ascii="Times New Roman"/>
          <w:rtl w:val="0"/>
          <w:lang w:val="en-US"/>
        </w:rPr>
        <w:t xml:space="preserve"> at least</w:t>
      </w:r>
      <w:r>
        <w:rPr>
          <w:rFonts w:ascii="Times New Roman"/>
          <w:rtl w:val="0"/>
          <w:lang w:val="en-US"/>
        </w:rPr>
        <w:t xml:space="preserve"> in</w:t>
      </w:r>
      <w:r>
        <w:rPr>
          <w:rFonts w:ascii="Times New Roman"/>
          <w:rtl w:val="0"/>
          <w:lang w:val="en-US"/>
        </w:rPr>
        <w:t xml:space="preserve"> the ideological sense</w:t>
      </w:r>
      <w:r>
        <w:rPr>
          <w:rFonts w:ascii="Times New Roman"/>
          <w:rtl w:val="0"/>
          <w:lang w:val="en-US"/>
        </w:rPr>
        <w:t xml:space="preserve"> </w:t>
      </w:r>
      <w:r>
        <w:rPr>
          <w:rFonts w:ascii="Times New Roman"/>
          <w:rtl w:val="0"/>
          <w:lang w:val="en-US"/>
        </w:rPr>
        <w:t>is of course conjecture.</w:t>
      </w:r>
      <w:r>
        <w:rPr>
          <w:rFonts w:ascii="Times New Roman" w:cs="Times New Roman" w:hAnsi="Times New Roman" w:eastAsia="Times New Roman"/>
          <w:vertAlign w:val="superscript"/>
        </w:rPr>
        <w:footnoteReference w:id="60"/>
      </w:r>
      <w:r>
        <w:rPr>
          <w:rFonts w:ascii="Times New Roman"/>
          <w:rtl w:val="0"/>
          <w:lang w:val="en-US"/>
        </w:rPr>
        <w:t xml:space="preserve">  However there is a</w:t>
      </w:r>
      <w:r>
        <w:rPr>
          <w:rFonts w:ascii="Times New Roman"/>
          <w:rtl w:val="0"/>
          <w:lang w:val="en-US"/>
        </w:rPr>
        <w:t>lso a</w:t>
      </w:r>
      <w:r>
        <w:rPr>
          <w:rFonts w:ascii="Times New Roman"/>
          <w:rtl w:val="0"/>
          <w:lang w:val="en-US"/>
        </w:rPr>
        <w:t xml:space="preserve"> secondary phycological message to be interpreted here. This argument focuses on the implication that the efficiency of the Romes army was so great that the posting of small troop numbers would still be able to overcome the most unfavourable odds; J.C Mann</w:t>
      </w:r>
      <w:r>
        <w:rPr>
          <w:rFonts w:hAnsi="Times New Roman" w:hint="default"/>
          <w:rtl w:val="0"/>
        </w:rPr>
        <w:t>’</w:t>
      </w:r>
      <w:r>
        <w:rPr>
          <w:rFonts w:ascii="Times New Roman"/>
          <w:rtl w:val="0"/>
        </w:rPr>
        <w:t xml:space="preserve">s </w:t>
      </w:r>
      <w:r>
        <w:rPr>
          <w:rFonts w:ascii="Times New Roman"/>
          <w:rtl w:val="0"/>
          <w:lang w:val="en-US"/>
        </w:rPr>
        <w:t xml:space="preserve">observation </w:t>
      </w:r>
      <w:r>
        <w:rPr>
          <w:rFonts w:ascii="Times New Roman"/>
          <w:rtl w:val="0"/>
          <w:lang w:val="en-US"/>
        </w:rPr>
        <w:t>may also serve to support this.</w:t>
      </w:r>
      <w:r>
        <w:rPr>
          <w:rFonts w:ascii="Times New Roman" w:cs="Times New Roman" w:hAnsi="Times New Roman" w:eastAsia="Times New Roman"/>
          <w:vertAlign w:val="superscript"/>
        </w:rPr>
        <w:footnoteReference w:id="61"/>
      </w:r>
      <w:r>
        <w:rPr>
          <w:rFonts w:ascii="Times New Roman"/>
          <w:rtl w:val="0"/>
          <w:lang w:val="en-US"/>
        </w:rPr>
        <w:t xml:space="preserve"> Therefore in light of this we may also consider that as were frontiers a significant exercise in caution by the Romans, they too were a significant instrument of physiological warfare.</w:t>
      </w:r>
      <w:r>
        <w:rPr>
          <w:rFonts w:ascii="Times New Roman"/>
          <w:rtl w:val="0"/>
          <w:lang w:val="en-US"/>
        </w:rPr>
        <w:t xml:space="preserve"> Luttwak would more than likely use this as an argument for the structured development of frontiers. David Potter on the other hand would argue that as there was no consistent pattern in the growth of frontiers, and develops his argument utilising the input of Ed Freezouls to help better explain this.</w:t>
      </w:r>
      <w:r>
        <w:rPr>
          <w:rFonts w:ascii="Times New Roman" w:cs="Times New Roman" w:hAnsi="Times New Roman" w:eastAsia="Times New Roman"/>
          <w:vertAlign w:val="superscript"/>
        </w:rPr>
        <w:footnoteReference w:id="62"/>
      </w:r>
      <w:r>
        <w:rPr>
          <w:rFonts w:ascii="Times New Roman"/>
          <w:rtl w:val="0"/>
          <w:lang w:val="en-US"/>
        </w:rPr>
        <w:t xml:space="preserve"> He quotes that it is </w:t>
      </w:r>
      <w:r>
        <w:rPr>
          <w:rFonts w:hAnsi="Times New Roman" w:hint="default"/>
          <w:rtl w:val="0"/>
          <w:lang w:val="en-US"/>
        </w:rPr>
        <w:t>‘</w:t>
      </w:r>
      <w:r>
        <w:rPr>
          <w:rFonts w:ascii="Times New Roman"/>
          <w:rtl w:val="0"/>
          <w:lang w:val="en-US"/>
        </w:rPr>
        <w:t>largely recognised that the geography, cultural development of border regions, as well as the military necessity determined the form a frontier would take</w:t>
      </w:r>
      <w:r>
        <w:rPr>
          <w:rFonts w:hAnsi="Times New Roman" w:hint="default"/>
          <w:rtl w:val="0"/>
          <w:lang w:val="en-US"/>
        </w:rPr>
        <w:t>’</w:t>
      </w:r>
      <w:r>
        <w:rPr>
          <w:rFonts w:ascii="Times New Roman"/>
          <w:rtl w:val="0"/>
          <w:lang w:val="en-US"/>
        </w:rPr>
        <w:t>. In light of the significant deficit of evidence suggesting the conduct of warfare on and around Hadrian</w:t>
      </w:r>
      <w:r>
        <w:rPr>
          <w:rFonts w:hAnsi="Times New Roman" w:hint="default"/>
          <w:rtl w:val="0"/>
          <w:lang w:val="en-US"/>
        </w:rPr>
        <w:t>’</w:t>
      </w:r>
      <w:r>
        <w:rPr>
          <w:rFonts w:ascii="Times New Roman"/>
          <w:rtl w:val="0"/>
          <w:lang w:val="en-US"/>
        </w:rPr>
        <w:t>s wall, it becomes apparent that the so called military necessity of a frontier was perhaps misjudged by Hadrian in this case. It can also be inferred that Potters observation is able tie in more closely with Luttwak</w:t>
      </w:r>
      <w:r>
        <w:rPr>
          <w:rFonts w:hAnsi="Times New Roman" w:hint="default"/>
          <w:rtl w:val="0"/>
          <w:lang w:val="en-US"/>
        </w:rPr>
        <w:t>’</w:t>
      </w:r>
      <w:r>
        <w:rPr>
          <w:rFonts w:ascii="Times New Roman"/>
          <w:rtl w:val="0"/>
          <w:lang w:val="en-US"/>
        </w:rPr>
        <w:t>s conviction that these networks were following a grand strategy than it may appear to do so at first glance. Potter describes that there has been an unfortunate passing by in the study of indigenous ways to represent power, however there is recognition of the fact that indigenous people,</w:t>
      </w:r>
      <w:r>
        <w:rPr>
          <w:rFonts w:ascii="Times New Roman" w:cs="Times New Roman" w:hAnsi="Times New Roman" w:eastAsia="Times New Roman"/>
          <w:vertAlign w:val="superscript"/>
        </w:rPr>
        <w:footnoteReference w:id="63"/>
      </w:r>
      <w:r>
        <w:rPr>
          <w:rFonts w:ascii="Times New Roman"/>
          <w:rtl w:val="0"/>
          <w:lang w:val="en-US"/>
        </w:rPr>
        <w:t xml:space="preserve"> however far removed from towns or complex societal hubs would more than likely be able to infer the projected power embodied by Hadrian</w:t>
      </w:r>
      <w:r>
        <w:rPr>
          <w:rFonts w:hAnsi="Times New Roman" w:hint="default"/>
          <w:rtl w:val="0"/>
          <w:lang w:val="en-US"/>
        </w:rPr>
        <w:t>’</w:t>
      </w:r>
      <w:r>
        <w:rPr>
          <w:rFonts w:ascii="Times New Roman"/>
          <w:rtl w:val="0"/>
          <w:lang w:val="en-US"/>
        </w:rPr>
        <w:t>s wall and indeed the Rhine-Danube Frontier. This argument is able to be connect to the notion that the first frontiers of Roman Britain, are that of the road networks- they are too defined by geography and military necessity; with lesser emphasis regarding the cultural development of the regions they pass through. Moreover the subtle projections of Romes power in the form of roads can also be considered as a facet of psychological manipulation/warfare at least in the early stages of Britain</w:t>
      </w:r>
      <w:r>
        <w:rPr>
          <w:rFonts w:hAnsi="Times New Roman" w:hint="default"/>
          <w:rtl w:val="0"/>
          <w:lang w:val="en-US"/>
        </w:rPr>
        <w:t>’</w:t>
      </w:r>
      <w:r>
        <w:rPr>
          <w:rFonts w:ascii="Times New Roman"/>
          <w:rtl w:val="0"/>
          <w:lang w:val="en-US"/>
        </w:rPr>
        <w:t>s occupation.</w:t>
      </w:r>
      <w:r>
        <w:rPr>
          <w:rFonts w:ascii="Times New Roman" w:cs="Times New Roman" w:hAnsi="Times New Roman" w:eastAsia="Times New Roman"/>
          <w:vertAlign w:val="superscript"/>
        </w:rPr>
        <w:footnoteReference w:id="64"/>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If we are indeed to rule out the possibility of Hadrian</w:t>
      </w:r>
      <w:r>
        <w:rPr>
          <w:rFonts w:hAnsi="Times New Roman" w:hint="default"/>
          <w:rtl w:val="0"/>
          <w:lang w:val="en-US"/>
        </w:rPr>
        <w:t>’</w:t>
      </w:r>
      <w:r>
        <w:rPr>
          <w:rFonts w:ascii="Times New Roman"/>
          <w:rtl w:val="0"/>
          <w:lang w:val="en-US"/>
        </w:rPr>
        <w:t>s wall as a defensive network, then we are left with the prospect of a border system which would in fact facilitate a more dynamic function. Potter</w:t>
      </w:r>
      <w:r>
        <w:rPr>
          <w:rFonts w:hAnsi="Times New Roman" w:hint="default"/>
          <w:rtl w:val="0"/>
          <w:lang w:val="en-US"/>
        </w:rPr>
        <w:t>’</w:t>
      </w:r>
      <w:r>
        <w:rPr>
          <w:rFonts w:ascii="Times New Roman"/>
          <w:rtl w:val="0"/>
          <w:lang w:val="en-US"/>
        </w:rPr>
        <w:t>s argument regarding the neutral frontier zones may provide useful insight for developing this notion. He ascribes that the most plausible explanation for the existence of these zones was to either demarcate the beginning or indeed the limits of Roman territory</w:t>
      </w:r>
      <w:r>
        <w:rPr>
          <w:rFonts w:ascii="Times New Roman" w:cs="Times New Roman" w:hAnsi="Times New Roman" w:eastAsia="Times New Roman"/>
          <w:vertAlign w:val="superscript"/>
        </w:rPr>
        <w:footnoteReference w:id="65"/>
      </w:r>
      <w:r>
        <w:rPr>
          <w:rFonts w:ascii="Times New Roman"/>
          <w:rtl w:val="0"/>
          <w:lang w:val="en-US"/>
        </w:rPr>
        <w:t>. Asserting that, for people travelling from one region to another there would have been clear indications that the regions they had entered belonged under Roman dominion</w:t>
      </w:r>
      <w:r>
        <w:rPr>
          <w:rFonts w:ascii="Times New Roman" w:cs="Times New Roman" w:hAnsi="Times New Roman" w:eastAsia="Times New Roman"/>
          <w:vertAlign w:val="superscript"/>
        </w:rPr>
        <w:footnoteReference w:id="66"/>
      </w:r>
      <w:r>
        <w:rPr>
          <w:rFonts w:ascii="Times New Roman"/>
          <w:rtl w:val="0"/>
          <w:lang w:val="en-US"/>
        </w:rPr>
        <w:t>. This notion is certainly true when in application to Hadrian</w:t>
      </w:r>
      <w:r>
        <w:rPr>
          <w:rFonts w:hAnsi="Times New Roman" w:hint="default"/>
          <w:rtl w:val="0"/>
          <w:lang w:val="en-US"/>
        </w:rPr>
        <w:t>’</w:t>
      </w:r>
      <w:r>
        <w:rPr>
          <w:rFonts w:ascii="Times New Roman"/>
          <w:rtl w:val="0"/>
          <w:lang w:val="en-US"/>
        </w:rPr>
        <w:t xml:space="preserve">s wall. Seeing as in this particular case, unlike the </w:t>
      </w:r>
      <w:r>
        <w:rPr>
          <w:rFonts w:hAnsi="Times New Roman" w:hint="default"/>
          <w:rtl w:val="0"/>
          <w:lang w:val="en-US"/>
        </w:rPr>
        <w:t>‘</w:t>
      </w:r>
      <w:r>
        <w:rPr>
          <w:rFonts w:ascii="Times New Roman"/>
          <w:rtl w:val="0"/>
          <w:lang w:val="en-US"/>
        </w:rPr>
        <w:t>double-edged</w:t>
      </w:r>
      <w:r>
        <w:rPr>
          <w:rFonts w:ascii="Times New Roman" w:cs="Times New Roman" w:hAnsi="Times New Roman" w:eastAsia="Times New Roman"/>
          <w:vertAlign w:val="superscript"/>
        </w:rPr>
        <w:footnoteReference w:id="67"/>
      </w:r>
      <w:r>
        <w:rPr>
          <w:rFonts w:hAnsi="Times New Roman" w:hint="default"/>
          <w:rtl w:val="0"/>
          <w:lang w:val="en-US"/>
        </w:rPr>
        <w:t xml:space="preserve">’ </w:t>
      </w:r>
      <w:r>
        <w:rPr>
          <w:rFonts w:ascii="Times New Roman"/>
          <w:rtl w:val="0"/>
          <w:lang w:val="en-US"/>
        </w:rPr>
        <w:t>Rhine frontier with two rows of forts on either side of the river Hadrian</w:t>
      </w:r>
      <w:r>
        <w:rPr>
          <w:rFonts w:hAnsi="Times New Roman" w:hint="default"/>
          <w:rtl w:val="0"/>
          <w:lang w:val="en-US"/>
        </w:rPr>
        <w:t>’</w:t>
      </w:r>
      <w:r>
        <w:rPr>
          <w:rFonts w:ascii="Times New Roman"/>
          <w:rtl w:val="0"/>
          <w:lang w:val="en-US"/>
        </w:rPr>
        <w:t>s wall functions in an omnidirectional manner. Some of the arial photography captured in Shepard Frere</w:t>
      </w:r>
      <w:r>
        <w:rPr>
          <w:rFonts w:hAnsi="Times New Roman" w:hint="default"/>
          <w:rtl w:val="0"/>
          <w:lang w:val="en-US"/>
        </w:rPr>
        <w:t>’</w:t>
      </w:r>
      <w:r>
        <w:rPr>
          <w:rFonts w:ascii="Times New Roman"/>
          <w:rtl w:val="0"/>
          <w:lang w:val="en-US"/>
        </w:rPr>
        <w:t xml:space="preserve">s </w:t>
      </w:r>
      <w:r>
        <w:rPr>
          <w:rFonts w:hAnsi="Times New Roman" w:hint="default"/>
          <w:rtl w:val="0"/>
          <w:lang w:val="en-US"/>
        </w:rPr>
        <w:t>‘</w:t>
      </w:r>
      <w:r>
        <w:rPr>
          <w:rFonts w:ascii="Times New Roman"/>
          <w:rtl w:val="0"/>
          <w:lang w:val="en-US"/>
        </w:rPr>
        <w:t>Roman Britain from the Air</w:t>
      </w:r>
      <w:r>
        <w:rPr>
          <w:rFonts w:hAnsi="Times New Roman" w:hint="default"/>
          <w:rtl w:val="0"/>
          <w:lang w:val="en-US"/>
        </w:rPr>
        <w:t xml:space="preserve">’ </w:t>
      </w:r>
      <w:r>
        <w:rPr>
          <w:rFonts w:ascii="Times New Roman"/>
          <w:rtl w:val="0"/>
          <w:lang w:val="en-US"/>
        </w:rPr>
        <w:t>demonstrates this perfectly. For example the arial view of Housteads fortress in Northumberland clearly shows that the intended orientation of the wall to face north</w:t>
      </w:r>
      <w:r>
        <w:rPr>
          <w:rFonts w:ascii="Times New Roman" w:cs="Times New Roman" w:hAnsi="Times New Roman" w:eastAsia="Times New Roman"/>
          <w:vertAlign w:val="superscript"/>
        </w:rPr>
        <w:footnoteReference w:id="68"/>
      </w:r>
      <w:r>
        <w:rPr>
          <w:rFonts w:ascii="Times New Roman"/>
          <w:rtl w:val="0"/>
          <w:lang w:val="en-US"/>
        </w:rPr>
        <w:t>. We may also see the same thing upon examination of the Haltwhistle Burn fortlet.</w:t>
      </w:r>
      <w:r>
        <w:rPr>
          <w:rFonts w:ascii="Times New Roman" w:cs="Times New Roman" w:hAnsi="Times New Roman" w:eastAsia="Times New Roman"/>
          <w:vertAlign w:val="superscript"/>
        </w:rPr>
        <w:footnoteReference w:id="69"/>
      </w:r>
      <w:r>
        <w:rPr>
          <w:rFonts w:ascii="Times New Roman"/>
          <w:rtl w:val="0"/>
          <w:lang w:val="en-US"/>
        </w:rPr>
        <w:t xml:space="preserve"> This is further legitimised from the sketches present in E.N Luttwak</w:t>
      </w:r>
      <w:r>
        <w:rPr>
          <w:rFonts w:hAnsi="Times New Roman" w:hint="default"/>
          <w:rtl w:val="0"/>
          <w:lang w:val="en-US"/>
        </w:rPr>
        <w:t>’</w:t>
      </w:r>
      <w:r>
        <w:rPr>
          <w:rFonts w:ascii="Times New Roman"/>
          <w:rtl w:val="0"/>
          <w:lang w:val="en-US"/>
        </w:rPr>
        <w:t>s model of Roman frontiers, the sketch here perfectly illustrating the limitations of the walls</w:t>
      </w:r>
      <w:r>
        <w:rPr>
          <w:rFonts w:hAnsi="Times New Roman" w:hint="default"/>
          <w:rtl w:val="0"/>
          <w:lang w:val="en-US"/>
        </w:rPr>
        <w:t xml:space="preserve">’ </w:t>
      </w:r>
      <w:r>
        <w:rPr>
          <w:rFonts w:ascii="Times New Roman"/>
          <w:rtl w:val="0"/>
          <w:lang w:val="en-US"/>
        </w:rPr>
        <w:t xml:space="preserve">capability for all round defence. </w:t>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cs="Times New Roman" w:hAnsi="Times New Roman" w:eastAsia="Times New Roman"/>
        </w:rPr>
        <w:drawing>
          <wp:anchor distT="152400" distB="152400" distL="152400" distR="152400" simplePos="0" relativeHeight="251659264" behindDoc="0" locked="0" layoutInCell="1" allowOverlap="1">
            <wp:simplePos x="0" y="0"/>
            <wp:positionH relativeFrom="margin">
              <wp:posOffset>207468</wp:posOffset>
            </wp:positionH>
            <wp:positionV relativeFrom="page">
              <wp:posOffset>264539</wp:posOffset>
            </wp:positionV>
            <wp:extent cx="5324414" cy="3625456"/>
            <wp:effectExtent l="0" t="0" r="0" b="0"/>
            <wp:wrapNone/>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Screen Shot 2018-05-09 at 18.09.28.png"/>
                    <pic:cNvPicPr/>
                  </pic:nvPicPr>
                  <pic:blipFill>
                    <a:blip r:embed="rId6">
                      <a:extLst/>
                    </a:blip>
                    <a:stretch>
                      <a:fillRect/>
                    </a:stretch>
                  </pic:blipFill>
                  <pic:spPr>
                    <a:xfrm>
                      <a:off x="0" y="0"/>
                      <a:ext cx="5324414" cy="3625456"/>
                    </a:xfrm>
                    <a:prstGeom prst="rect">
                      <a:avLst/>
                    </a:prstGeom>
                    <a:ln w="12700" cap="flat">
                      <a:noFill/>
                      <a:miter lim="400000"/>
                    </a:ln>
                    <a:effectLst/>
                  </pic:spPr>
                </pic:pic>
              </a:graphicData>
            </a:graphic>
          </wp:anchor>
        </w:drawing>
      </w: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 xml:space="preserve">                      </w:t>
      </w:r>
      <w:r>
        <w:rPr>
          <w:rFonts w:ascii="Times New Roman"/>
          <w:i w:val="1"/>
          <w:iCs w:val="1"/>
          <w:u w:val="single"/>
          <w:rtl w:val="0"/>
          <w:lang w:val="en-US"/>
        </w:rPr>
        <w:t>Figure. 1- Profile sketch of Hadrian</w:t>
      </w:r>
      <w:r>
        <w:rPr>
          <w:rFonts w:hAnsi="Times New Roman" w:hint="default"/>
          <w:i w:val="1"/>
          <w:iCs w:val="1"/>
          <w:u w:val="single"/>
          <w:rtl w:val="0"/>
          <w:lang w:val="en-US"/>
        </w:rPr>
        <w:t>’</w:t>
      </w:r>
      <w:r>
        <w:rPr>
          <w:rFonts w:ascii="Times New Roman"/>
          <w:i w:val="1"/>
          <w:iCs w:val="1"/>
          <w:u w:val="single"/>
          <w:rtl w:val="0"/>
          <w:lang w:val="en-US"/>
        </w:rPr>
        <w:t>s Wall from E.N Luttwak</w:t>
      </w:r>
      <w:r>
        <w:rPr>
          <w:rFonts w:ascii="Times New Roman" w:cs="Times New Roman" w:hAnsi="Times New Roman" w:eastAsia="Times New Roman"/>
          <w:vertAlign w:val="superscript"/>
        </w:rPr>
        <w:footnoteReference w:id="70"/>
      </w:r>
      <w:r>
        <w:rPr>
          <w:rFonts w:ascii="Times New Roman"/>
          <w:rtl w:val="0"/>
          <w:lang w:val="en-US"/>
        </w:rPr>
        <w:t xml:space="preserve">  </w:t>
      </w:r>
    </w:p>
    <w:p>
      <w:pPr>
        <w:pStyle w:val="Body"/>
        <w:jc w:val="both"/>
      </w:pPr>
    </w:p>
    <w:p>
      <w:pPr>
        <w:pStyle w:val="Body"/>
        <w:jc w:val="both"/>
      </w:pPr>
    </w:p>
    <w:p>
      <w:pPr>
        <w:pStyle w:val="Body"/>
        <w:jc w:val="both"/>
      </w:pPr>
      <w:r>
        <w:rPr>
          <w:rtl w:val="0"/>
          <w:lang w:val="en-US"/>
        </w:rPr>
        <w:t xml:space="preserve">We may also see an abundance of evidence concerning the multi-directional nature of the Danubian limes in both the form of artistic relief and maps detailing the locations of Fortresses along the frontier. Consider the scene depicted here </w:t>
      </w:r>
      <w:r>
        <w:rPr>
          <w:rtl w:val="0"/>
        </w:rPr>
        <w:t>on Trajan</w:t>
      </w:r>
      <w:r>
        <w:rPr>
          <w:rFonts w:hAnsi="Helvetica" w:hint="default"/>
          <w:rtl w:val="0"/>
        </w:rPr>
        <w:t>’</w:t>
      </w:r>
      <w:r>
        <w:rPr>
          <w:rtl w:val="0"/>
          <w:lang w:val="en-US"/>
        </w:rPr>
        <w:t>s column of the establishment of fortifications along the Rhine</w:t>
      </w:r>
      <w:r>
        <w:rPr>
          <w:rtl w:val="0"/>
          <w:lang w:val="en-US"/>
        </w:rPr>
        <w:t>.</w:t>
      </w:r>
      <w:r>
        <w:rPr>
          <w:rFonts w:ascii="Times New Roman" w:cs="Times New Roman" w:hAnsi="Times New Roman" w:eastAsia="Times New Roman"/>
          <w:vertAlign w:val="superscript"/>
        </w:rPr>
        <w:footnoteReference w:id="71"/>
      </w:r>
      <w:r>
        <w:rPr>
          <w:rtl w:val="0"/>
          <w:lang w:val="en-US"/>
        </w:rPr>
        <w:t xml:space="preserve"> We can clearly see that in the lower relief there are legionaries working with the either the Rhine or the Danube river behind them, also we can see from this map produced by Marcia Okun that there are several regions in upper Rhine delta alone which have two legionary bases adjacent to one another on either side of the river</w:t>
      </w:r>
      <w:r>
        <w:rPr>
          <w:rFonts w:ascii="Times New Roman" w:cs="Times New Roman" w:hAnsi="Times New Roman" w:eastAsia="Times New Roman"/>
          <w:vertAlign w:val="superscript"/>
        </w:rPr>
        <w:footnoteReference w:id="72"/>
      </w:r>
      <w:r>
        <w:rPr>
          <w:rtl w:val="0"/>
          <w:lang w:val="en-US"/>
        </w:rPr>
        <w:t>.</w:t>
      </w:r>
    </w:p>
    <w:p>
      <w:pPr>
        <w:pStyle w:val="Body 3"/>
        <w:jc w:val="both"/>
      </w:pPr>
    </w:p>
    <w:p>
      <w:pPr>
        <w:pStyle w:val="Body 3"/>
        <w:jc w:val="center"/>
      </w:pPr>
    </w:p>
    <w:p>
      <w:pPr>
        <w:pStyle w:val="Body 3"/>
        <w:jc w:val="both"/>
      </w:pPr>
    </w:p>
    <w:p>
      <w:pPr>
        <w:pStyle w:val="Body 3"/>
        <w:jc w:val="both"/>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pPr>
      <w:r>
        <w:rPr>
          <w:rFonts w:ascii="Times New Roman"/>
          <w:i w:val="1"/>
          <w:iCs w:val="1"/>
          <w:sz w:val="24"/>
          <w:szCs w:val="24"/>
          <w:u w:val="single"/>
          <w:rtl w:val="0"/>
          <w:lang w:val="en-US"/>
        </w:rPr>
        <w:t>Figure.2 - Depiction of Rhine-Danube frontier under construction- Trajan</w:t>
      </w:r>
      <w:r>
        <w:rPr>
          <w:rFonts w:hAnsi="Times New Roman" w:hint="default"/>
          <w:i w:val="1"/>
          <w:iCs w:val="1"/>
          <w:sz w:val="24"/>
          <w:szCs w:val="24"/>
          <w:u w:val="single"/>
          <w:rtl w:val="0"/>
          <w:lang w:val="en-US"/>
        </w:rPr>
        <w:t>’</w:t>
      </w:r>
      <w:r>
        <w:rPr>
          <w:rFonts w:ascii="Times New Roman"/>
          <w:i w:val="1"/>
          <w:iCs w:val="1"/>
          <w:sz w:val="24"/>
          <w:szCs w:val="24"/>
          <w:u w:val="single"/>
          <w:rtl w:val="0"/>
          <w:lang w:val="en-US"/>
        </w:rPr>
        <w:t>s column</w:t>
      </w:r>
    </w:p>
    <w:p>
      <w:pPr>
        <w:pStyle w:val="Body 3"/>
        <w:jc w:val="both"/>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 xml:space="preserve">Figure </w:t>
      </w:r>
      <w:r>
        <w:drawing>
          <wp:anchor distT="152400" distB="152400" distL="152400" distR="152400" simplePos="0" relativeHeight="251660288" behindDoc="0" locked="0" layoutInCell="1" allowOverlap="1">
            <wp:simplePos x="0" y="0"/>
            <wp:positionH relativeFrom="page">
              <wp:posOffset>1526010</wp:posOffset>
            </wp:positionH>
            <wp:positionV relativeFrom="page">
              <wp:posOffset>664224</wp:posOffset>
            </wp:positionV>
            <wp:extent cx="4504480" cy="3013251"/>
            <wp:effectExtent l="0" t="0" r="0" b="0"/>
            <wp:wrapTopAndBottom distT="152400" distB="15240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11971005656_acbe1b2b4c_b-enhanced.jpeg"/>
                    <pic:cNvPicPr/>
                  </pic:nvPicPr>
                  <pic:blipFill>
                    <a:blip r:embed="rId7">
                      <a:extLst/>
                    </a:blip>
                    <a:stretch>
                      <a:fillRect/>
                    </a:stretch>
                  </pic:blipFill>
                  <pic:spPr>
                    <a:xfrm>
                      <a:off x="0" y="0"/>
                      <a:ext cx="4504480" cy="3013251"/>
                    </a:xfrm>
                    <a:prstGeom prst="rect">
                      <a:avLst/>
                    </a:prstGeom>
                    <a:ln w="12700" cap="flat">
                      <a:noFill/>
                      <a:miter lim="400000"/>
                    </a:ln>
                    <a:effectLst/>
                  </pic:spPr>
                </pic:pic>
              </a:graphicData>
            </a:graphic>
          </wp:anchor>
        </w:drawing>
      </w:r>
      <w:r>
        <w:drawing>
          <wp:anchor distT="152400" distB="152400" distL="152400" distR="152400" simplePos="0" relativeHeight="251661312" behindDoc="0" locked="0" layoutInCell="1" allowOverlap="1">
            <wp:simplePos x="0" y="0"/>
            <wp:positionH relativeFrom="page">
              <wp:posOffset>1393570</wp:posOffset>
            </wp:positionH>
            <wp:positionV relativeFrom="page">
              <wp:posOffset>4949891</wp:posOffset>
            </wp:positionV>
            <wp:extent cx="4769360" cy="3577020"/>
            <wp:effectExtent l="0" t="0" r="0" b="0"/>
            <wp:wrapTopAndBottom distT="152400" distB="1524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32169779_10204537742440484_8231265171645923328_n-filtered.jpeg"/>
                    <pic:cNvPicPr/>
                  </pic:nvPicPr>
                  <pic:blipFill>
                    <a:blip r:embed="rId8">
                      <a:extLst/>
                    </a:blip>
                    <a:stretch>
                      <a:fillRect/>
                    </a:stretch>
                  </pic:blipFill>
                  <pic:spPr>
                    <a:xfrm>
                      <a:off x="0" y="0"/>
                      <a:ext cx="4769360" cy="3577020"/>
                    </a:xfrm>
                    <a:prstGeom prst="rect">
                      <a:avLst/>
                    </a:prstGeom>
                    <a:ln w="12700" cap="flat">
                      <a:noFill/>
                      <a:miter lim="400000"/>
                    </a:ln>
                    <a:effectLst/>
                  </pic:spPr>
                </pic:pic>
              </a:graphicData>
            </a:graphic>
          </wp:anchor>
        </w:drawing>
      </w:r>
      <w:r>
        <w:rPr>
          <w:rFonts w:ascii="Times New Roman"/>
          <w:i w:val="1"/>
          <w:iCs w:val="1"/>
          <w:sz w:val="24"/>
          <w:szCs w:val="24"/>
          <w:u w:val="single"/>
          <w:rtl w:val="0"/>
          <w:lang w:val="en-US"/>
        </w:rPr>
        <w:t>3.1- Map showing the situation of  discovered Roman sites along the Upper Rhine- Okun 1989</w:t>
      </w: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p>
    <w:p>
      <w:pPr>
        <w:pStyle w:val="Body 3"/>
        <w:jc w:val="center"/>
        <w:rPr>
          <w:rFonts w:ascii="Times New Roman" w:cs="Times New Roman" w:hAnsi="Times New Roman" w:eastAsia="Times New Roman"/>
          <w:i w:val="1"/>
          <w:iCs w:val="1"/>
          <w:sz w:val="24"/>
          <w:szCs w:val="24"/>
          <w:u w:val="single"/>
        </w:rPr>
      </w:pPr>
      <w:r>
        <w:rPr>
          <w:rFonts w:ascii="Times New Roman"/>
          <w:i w:val="1"/>
          <w:iCs w:val="1"/>
          <w:sz w:val="24"/>
          <w:szCs w:val="24"/>
          <w:u w:val="single"/>
          <w:rtl w:val="0"/>
          <w:lang w:val="en-US"/>
        </w:rPr>
        <w:t>Figure 3.2- Legend to map the map of Rom</w:t>
      </w:r>
      <w:r>
        <w:drawing>
          <wp:anchor distT="152400" distB="152400" distL="152400" distR="152400" simplePos="0" relativeHeight="251662336" behindDoc="0" locked="0" layoutInCell="1" allowOverlap="1">
            <wp:simplePos x="0" y="0"/>
            <wp:positionH relativeFrom="page">
              <wp:posOffset>2320873</wp:posOffset>
            </wp:positionH>
            <wp:positionV relativeFrom="page">
              <wp:posOffset>3403531</wp:posOffset>
            </wp:positionV>
            <wp:extent cx="2914753" cy="3886338"/>
            <wp:effectExtent l="0" t="0" r="0" b="0"/>
            <wp:wrapTopAndBottom distT="152400" distB="15240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32105460_10204537742240479_7905755389897998336_n-filtered.jpeg"/>
                    <pic:cNvPicPr/>
                  </pic:nvPicPr>
                  <pic:blipFill>
                    <a:blip r:embed="rId9">
                      <a:extLst/>
                    </a:blip>
                    <a:stretch>
                      <a:fillRect/>
                    </a:stretch>
                  </pic:blipFill>
                  <pic:spPr>
                    <a:xfrm rot="16200000">
                      <a:off x="0" y="0"/>
                      <a:ext cx="2914753" cy="3886338"/>
                    </a:xfrm>
                    <a:prstGeom prst="rect">
                      <a:avLst/>
                    </a:prstGeom>
                    <a:ln w="12700" cap="flat">
                      <a:noFill/>
                      <a:miter lim="400000"/>
                    </a:ln>
                    <a:effectLst/>
                  </pic:spPr>
                </pic:pic>
              </a:graphicData>
            </a:graphic>
          </wp:anchor>
        </w:drawing>
      </w:r>
      <w:r>
        <w:rPr>
          <w:rFonts w:ascii="Times New Roman"/>
          <w:i w:val="1"/>
          <w:iCs w:val="1"/>
          <w:sz w:val="24"/>
          <w:szCs w:val="24"/>
          <w:u w:val="single"/>
          <w:rtl w:val="0"/>
          <w:lang w:val="en-US"/>
        </w:rPr>
        <w:t>an sites along the upper Rhine area- Okun 1989</w:t>
      </w:r>
    </w:p>
    <w:p>
      <w:pPr>
        <w:pStyle w:val="Body 3"/>
        <w:jc w:val="both"/>
      </w:pPr>
    </w:p>
    <w:p>
      <w:pPr>
        <w:pStyle w:val="Body 3"/>
        <w:jc w:val="both"/>
      </w:pPr>
    </w:p>
    <w:p>
      <w:pPr>
        <w:pStyle w:val="Body 3"/>
        <w:jc w:val="both"/>
      </w:pPr>
    </w:p>
    <w:p>
      <w:pPr>
        <w:pStyle w:val="Body 3"/>
        <w:jc w:val="both"/>
      </w:pPr>
    </w:p>
    <w:p>
      <w:pPr>
        <w:pStyle w:val="Body 3"/>
        <w:jc w:val="both"/>
      </w:pPr>
    </w:p>
    <w:p>
      <w:pPr>
        <w:pStyle w:val="Heading"/>
        <w:jc w:val="both"/>
        <w:rPr>
          <w:u w:val="single"/>
        </w:rPr>
      </w:pPr>
    </w:p>
    <w:p>
      <w:pPr>
        <w:pStyle w:val="Heading"/>
        <w:jc w:val="both"/>
        <w:rPr>
          <w:u w:val="single"/>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p>
    <w:p>
      <w:pPr>
        <w:pStyle w:val="Body"/>
        <w:jc w:val="both"/>
        <w:rPr>
          <w:rFonts w:ascii="Times New Roman" w:cs="Times New Roman" w:hAnsi="Times New Roman" w:eastAsia="Times New Roman"/>
        </w:rPr>
      </w:pPr>
      <w:r>
        <w:rPr>
          <w:rFonts w:ascii="Times New Roman"/>
          <w:rtl w:val="0"/>
          <w:lang w:val="en-US"/>
        </w:rPr>
        <w:t xml:space="preserve">The overall layout of this frontier is certainly more suited to function as a system of </w:t>
      </w:r>
      <w:r>
        <w:rPr>
          <w:rFonts w:hAnsi="Times New Roman" w:hint="default"/>
          <w:rtl w:val="0"/>
          <w:lang w:val="en-US"/>
        </w:rPr>
        <w:t>‘</w:t>
      </w:r>
      <w:r>
        <w:rPr>
          <w:rFonts w:ascii="Times New Roman"/>
          <w:rtl w:val="0"/>
          <w:lang w:val="en-US"/>
        </w:rPr>
        <w:t>defence in depth</w:t>
      </w:r>
      <w:r>
        <w:rPr>
          <w:rFonts w:hAnsi="Times New Roman" w:hint="default"/>
          <w:rtl w:val="0"/>
          <w:lang w:val="en-US"/>
        </w:rPr>
        <w:t xml:space="preserve">’ </w:t>
      </w:r>
      <w:r>
        <w:rPr>
          <w:rFonts w:ascii="Times New Roman"/>
          <w:rtl w:val="0"/>
          <w:lang w:val="en-US"/>
        </w:rPr>
        <w:t>than it is to the fulfil a function similar to the one intended for Hadrian</w:t>
      </w:r>
      <w:r>
        <w:rPr>
          <w:rFonts w:hAnsi="Times New Roman" w:hint="default"/>
          <w:rtl w:val="0"/>
          <w:lang w:val="en-US"/>
        </w:rPr>
        <w:t>’</w:t>
      </w:r>
      <w:r>
        <w:rPr>
          <w:rFonts w:ascii="Times New Roman"/>
          <w:rtl w:val="0"/>
          <w:lang w:val="en-US"/>
        </w:rPr>
        <w:t>s wall</w:t>
      </w:r>
      <w:r>
        <w:rPr>
          <w:rFonts w:ascii="Times New Roman" w:cs="Times New Roman" w:hAnsi="Times New Roman" w:eastAsia="Times New Roman"/>
          <w:vertAlign w:val="superscript"/>
        </w:rPr>
        <w:footnoteReference w:id="73"/>
      </w:r>
      <w:r>
        <w:rPr>
          <w:rFonts w:ascii="Times New Roman"/>
          <w:rtl w:val="0"/>
          <w:lang w:val="en-US"/>
        </w:rPr>
        <w:t>. Essentially existing as a complex network of fortress which, in times of crisis would be able to dynamically react to the threat of an invading force, incidentally fitting with Luttwak</w:t>
      </w:r>
      <w:r>
        <w:rPr>
          <w:rFonts w:hAnsi="Times New Roman" w:hint="default"/>
          <w:rtl w:val="0"/>
          <w:lang w:val="en-US"/>
        </w:rPr>
        <w:t>’</w:t>
      </w:r>
      <w:r>
        <w:rPr>
          <w:rFonts w:ascii="Times New Roman"/>
          <w:rtl w:val="0"/>
          <w:lang w:val="en-US"/>
        </w:rPr>
        <w:t>s model of a dynamic reactive system. Instead it may be argued that the true function of this system has its basis in communication, commerce and integration. Strabo</w:t>
      </w:r>
      <w:r>
        <w:rPr>
          <w:rFonts w:hAnsi="Times New Roman" w:hint="default"/>
          <w:rtl w:val="0"/>
          <w:lang w:val="en-US"/>
        </w:rPr>
        <w:t>’</w:t>
      </w:r>
      <w:r>
        <w:rPr>
          <w:rFonts w:ascii="Times New Roman"/>
          <w:rtl w:val="0"/>
          <w:lang w:val="en-US"/>
        </w:rPr>
        <w:t xml:space="preserve">s descriptions of the region in his </w:t>
      </w:r>
      <w:r>
        <w:rPr>
          <w:rFonts w:hAnsi="Times New Roman" w:hint="default"/>
          <w:rtl w:val="0"/>
          <w:lang w:val="en-US"/>
        </w:rPr>
        <w:t>‘</w:t>
      </w:r>
      <w:r>
        <w:rPr>
          <w:rFonts w:ascii="Times New Roman"/>
          <w:rtl w:val="0"/>
          <w:lang w:val="en-US"/>
        </w:rPr>
        <w:t>Geography</w:t>
      </w:r>
      <w:r>
        <w:rPr>
          <w:rFonts w:hAnsi="Times New Roman" w:hint="default"/>
          <w:rtl w:val="0"/>
          <w:lang w:val="en-US"/>
        </w:rPr>
        <w:t xml:space="preserve">’ </w:t>
      </w:r>
      <w:r>
        <w:rPr>
          <w:rFonts w:ascii="Times New Roman"/>
          <w:rtl w:val="0"/>
          <w:lang w:val="en-US"/>
        </w:rPr>
        <w:t>evoke a sense of social connectivity existing within the system, not notions of tightly controlled border areas which do not fulfil a political, ideological or militaristic purpose</w:t>
      </w:r>
      <w:r>
        <w:rPr>
          <w:rFonts w:ascii="Times New Roman" w:cs="Times New Roman" w:hAnsi="Times New Roman" w:eastAsia="Times New Roman"/>
          <w:vertAlign w:val="superscript"/>
        </w:rPr>
        <w:footnoteReference w:id="74"/>
      </w:r>
      <w:r>
        <w:rPr>
          <w:rFonts w:ascii="Times New Roman"/>
          <w:rtl w:val="0"/>
          <w:lang w:val="en-US"/>
        </w:rPr>
        <w:t>. Indeed Potter</w:t>
      </w:r>
      <w:r>
        <w:rPr>
          <w:rFonts w:hAnsi="Times New Roman" w:hint="default"/>
          <w:rtl w:val="0"/>
          <w:lang w:val="en-US"/>
        </w:rPr>
        <w:t>’</w:t>
      </w:r>
      <w:r>
        <w:rPr>
          <w:rFonts w:ascii="Times New Roman"/>
          <w:rtl w:val="0"/>
          <w:lang w:val="en-US"/>
        </w:rPr>
        <w:t>s discussion of the attempted settlement of Frisians indicates the opposite, it is apparent that such an area which was suitable for the resettlement a substantial number of people must have been quite large and void of any natural features to obstruct this (Large areas of woodland for example).</w:t>
      </w:r>
      <w:r>
        <w:rPr>
          <w:rFonts w:ascii="Times New Roman" w:cs="Times New Roman" w:hAnsi="Times New Roman" w:eastAsia="Times New Roman"/>
          <w:vertAlign w:val="superscript"/>
        </w:rPr>
        <w:footnoteReference w:id="75"/>
      </w:r>
      <w:r>
        <w:rPr>
          <w:rFonts w:ascii="Times New Roman"/>
          <w:rtl w:val="0"/>
          <w:lang w:val="en-US"/>
        </w:rPr>
        <w:t xml:space="preserve"> Furthermore for the tribes to have reached this area, knowing full well it belonged to the Roman state as insists Tacitus, and not face immediate opposition would suggest a blind spot in the so called </w:t>
      </w:r>
      <w:r>
        <w:rPr>
          <w:rFonts w:hAnsi="Times New Roman" w:hint="default"/>
          <w:rtl w:val="0"/>
          <w:lang w:val="en-US"/>
        </w:rPr>
        <w:t>‘</w:t>
      </w:r>
      <w:r>
        <w:rPr>
          <w:rFonts w:ascii="Times New Roman"/>
          <w:rtl w:val="0"/>
          <w:lang w:val="en-US"/>
        </w:rPr>
        <w:t>defensive</w:t>
      </w:r>
      <w:r>
        <w:rPr>
          <w:rFonts w:hAnsi="Times New Roman" w:hint="default"/>
          <w:rtl w:val="0"/>
          <w:lang w:val="en-US"/>
        </w:rPr>
        <w:t xml:space="preserve">’ </w:t>
      </w:r>
      <w:r>
        <w:rPr>
          <w:rFonts w:ascii="Times New Roman"/>
          <w:rtl w:val="0"/>
          <w:lang w:val="en-US"/>
        </w:rPr>
        <w:t>frontier.</w:t>
      </w:r>
      <w:r>
        <w:rPr>
          <w:rFonts w:ascii="Times New Roman" w:cs="Times New Roman" w:hAnsi="Times New Roman" w:eastAsia="Times New Roman"/>
          <w:vertAlign w:val="superscript"/>
        </w:rPr>
        <w:footnoteReference w:id="76"/>
      </w:r>
      <w:r>
        <w:rPr>
          <w:rFonts w:ascii="Times New Roman"/>
          <w:rtl w:val="0"/>
          <w:lang w:val="en-US"/>
        </w:rPr>
        <w:t xml:space="preserve"> Potter here advocates the idea that these zones would be marked by boundary stones with the possibility of watch towers or milestones similar to the ones uncovered on Hadrian</w:t>
      </w:r>
      <w:r>
        <w:rPr>
          <w:rFonts w:hAnsi="Times New Roman" w:hint="default"/>
          <w:rtl w:val="0"/>
          <w:lang w:val="en-US"/>
        </w:rPr>
        <w:t>’</w:t>
      </w:r>
      <w:r>
        <w:rPr>
          <w:rFonts w:ascii="Times New Roman"/>
          <w:rtl w:val="0"/>
          <w:lang w:val="en-US"/>
        </w:rPr>
        <w:t xml:space="preserve">s wall. </w:t>
      </w:r>
      <w:r>
        <w:rPr>
          <w:rFonts w:ascii="Times New Roman"/>
          <w:rtl w:val="0"/>
          <w:lang w:val="en-US"/>
        </w:rPr>
        <w:t>Moreover he suggests that zones such as these would allow the Roman state to dictate the terms of travel throughout the area, only allowing certain people in certain zones for specific reasons at specific times; however, not as a zone enabling free movement under the watch of the Roman Army.</w:t>
      </w:r>
      <w:r>
        <w:rPr>
          <w:rFonts w:ascii="Times New Roman" w:cs="Times New Roman" w:hAnsi="Times New Roman" w:eastAsia="Times New Roman"/>
          <w:vertAlign w:val="superscript"/>
        </w:rPr>
        <w:footnoteReference w:id="77"/>
      </w:r>
      <w:r>
        <w:rPr>
          <w:rFonts w:ascii="Times New Roman"/>
          <w:rtl w:val="0"/>
          <w:lang w:val="en-US"/>
        </w:rPr>
        <w:t xml:space="preserve"> Here it is worthy of note that by the time Luttwak considers the shift in policy to a system of </w:t>
      </w:r>
      <w:r>
        <w:rPr>
          <w:rFonts w:hAnsi="Times New Roman" w:hint="default"/>
          <w:rtl w:val="0"/>
          <w:lang w:val="en-US"/>
        </w:rPr>
        <w:t>‘</w:t>
      </w:r>
      <w:r>
        <w:rPr>
          <w:rFonts w:ascii="Times New Roman"/>
          <w:rtl w:val="0"/>
          <w:lang w:val="en-US"/>
        </w:rPr>
        <w:t>defence in depth</w:t>
      </w:r>
      <w:r>
        <w:rPr>
          <w:rFonts w:hAnsi="Times New Roman" w:hint="default"/>
          <w:rtl w:val="0"/>
          <w:lang w:val="en-US"/>
        </w:rPr>
        <w:t xml:space="preserve">’ </w:t>
      </w:r>
      <w:r>
        <w:rPr>
          <w:rFonts w:ascii="Times New Roman"/>
          <w:rtl w:val="0"/>
          <w:lang w:val="en-US"/>
        </w:rPr>
        <w:t xml:space="preserve">apparently in lieu of the failure of the traditional frontier system designed to suit the ever changing Roman needs, the provincial equilibrium seems to have been fairly stable, ultimately rendering this notion somewhat anachronistically applied. </w:t>
      </w:r>
    </w:p>
    <w:p>
      <w:pPr>
        <w:pStyle w:val="Body"/>
        <w:jc w:val="both"/>
        <w:rPr>
          <w:rFonts w:ascii="Times New Roman" w:cs="Times New Roman" w:hAnsi="Times New Roman" w:eastAsia="Times New Roman"/>
        </w:rPr>
      </w:pPr>
    </w:p>
    <w:p>
      <w:pPr>
        <w:pStyle w:val="Body"/>
        <w:jc w:val="both"/>
        <w:sectPr>
          <w:headerReference w:type="default" r:id="rId10"/>
          <w:footerReference w:type="default" r:id="rId11"/>
          <w:pgSz w:w="11900" w:h="16840" w:orient="portrait"/>
          <w:pgMar w:top="1440" w:right="1247" w:bottom="1440" w:left="1247" w:header="720" w:footer="864"/>
          <w:bidi w:val="0"/>
        </w:sectPr>
      </w:pPr>
      <w:r>
        <w:rPr>
          <w:rFonts w:ascii="Times New Roman"/>
          <w:rtl w:val="0"/>
          <w:lang w:val="en-US"/>
        </w:rPr>
        <w:t>In light of this, it can be concluded that despite the usefulness when broaching the subject of frontiers, Luttwak</w:t>
      </w:r>
      <w:r>
        <w:rPr>
          <w:rFonts w:hAnsi="Times New Roman" w:hint="default"/>
          <w:rtl w:val="0"/>
          <w:lang w:val="en-US"/>
        </w:rPr>
        <w:t>’</w:t>
      </w:r>
      <w:r>
        <w:rPr>
          <w:rFonts w:ascii="Times New Roman"/>
          <w:rtl w:val="0"/>
          <w:lang w:val="en-US"/>
        </w:rPr>
        <w:t>s model of frontier development does not necessarily hold up. His argument that the development of such entities follow a linear progression which culminates in the erection of Hadrian</w:t>
      </w:r>
      <w:r>
        <w:rPr>
          <w:rFonts w:hAnsi="Times New Roman" w:hint="default"/>
          <w:rtl w:val="0"/>
          <w:lang w:val="en-US"/>
        </w:rPr>
        <w:t>’</w:t>
      </w:r>
      <w:r>
        <w:rPr>
          <w:rFonts w:ascii="Times New Roman"/>
          <w:rtl w:val="0"/>
          <w:lang w:val="en-US"/>
        </w:rPr>
        <w:t>s wall and subsequently declines into a system based on pragmatism is one which is almost impossible to accept. In fact, the only facet of his argument which may be generally accepted is that of the concepts introduced in his chapter defining the defence in depth system and the idea that at least the later imperial system of defence was based on pragmatism; in reality we see that is the case for the whole developmental aspects of Frontiers</w:t>
      </w:r>
      <w:r>
        <w:rPr>
          <w:rFonts w:ascii="Times New Roman" w:cs="Times New Roman" w:hAnsi="Times New Roman" w:eastAsia="Times New Roman"/>
          <w:vertAlign w:val="superscript"/>
        </w:rPr>
        <w:footnoteReference w:id="78"/>
      </w:r>
      <w:r>
        <w:rPr>
          <w:rFonts w:ascii="Times New Roman"/>
          <w:rtl w:val="0"/>
          <w:lang w:val="en-US"/>
        </w:rPr>
        <w:t>. While he alludes the chaotic and opportunistic nature in the regard to the development of state border policy in the later second century, but still advocates the position that frontier uses were completely comprised from forethought on the part of the Romans. What we may see instead is that the anarchical political complexities which unfold around the Roman state in these periods lead to a system of frontiers which emerged out of the need for political and ideological security as contra to Eckstein</w:t>
      </w:r>
      <w:r>
        <w:rPr>
          <w:rFonts w:hAnsi="Times New Roman" w:hint="default"/>
          <w:rtl w:val="0"/>
          <w:lang w:val="en-US"/>
        </w:rPr>
        <w:t>’</w:t>
      </w:r>
      <w:r>
        <w:rPr>
          <w:rFonts w:ascii="Times New Roman"/>
          <w:rtl w:val="0"/>
          <w:lang w:val="en-US"/>
        </w:rPr>
        <w:t xml:space="preserve">s model of anarchical intercontinental politics. In addition, to this the desire for border networks to be both proactive and reactive in the realm of border defence and territorial expansion, while maintaining overall border integrity may also be partially to blame. That is to say that the emperors who have influenced the development of frontiers on the whole would have greatly benefited from the multi directional qualities frontiers seem to posses. Therefore a description of the functions which frontiers fulfilled can be simply summarised by the idea that they in fact served to fulfil the function they were required to at any given time. While it is true that the methodological thought behind the sudden emergence of frontiers may ultimately stem from the desire for internal and external security on behalf of the empire; however the acclamation this was a calculated effort in any regard should be wholly rejected. </w:t>
      </w:r>
    </w:p>
    <w:p>
      <w:pPr>
        <w:pStyle w:val="Heading"/>
        <w:jc w:val="both"/>
        <w:rPr>
          <w:u w:val="single"/>
        </w:rPr>
      </w:pPr>
      <w:r>
        <w:rPr>
          <w:u w:val="single"/>
          <w:rtl w:val="0"/>
          <w:lang w:val="en-US"/>
        </w:rPr>
        <w:t>Chapter two: The Impacts of prolonged territorial occupation</w:t>
      </w:r>
    </w:p>
    <w:p>
      <w:pPr>
        <w:pStyle w:val="Body 3"/>
        <w:jc w:val="both"/>
      </w:pPr>
    </w:p>
    <w:p>
      <w:pPr>
        <w:pStyle w:val="Body 3"/>
        <w:jc w:val="both"/>
      </w:pPr>
    </w:p>
    <w:p>
      <w:pPr>
        <w:pStyle w:val="Body 3"/>
        <w:jc w:val="both"/>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It is well known that ofttimes settlements and communities do not tend to benefit from the prolonged presence of offensive military forces, take for example Iraq and Afghanistan, states which  which have been enveloped in a steady stream of conflict since the early 2000</w:t>
      </w:r>
      <w:r>
        <w:rPr>
          <w:rFonts w:hAnsi="Times New Roman" w:hint="default"/>
          <w:sz w:val="24"/>
          <w:szCs w:val="24"/>
          <w:rtl w:val="0"/>
          <w:lang w:val="en-US"/>
        </w:rPr>
        <w:t>’</w:t>
      </w:r>
      <w:r>
        <w:rPr>
          <w:rFonts w:ascii="Times New Roman"/>
          <w:sz w:val="24"/>
          <w:szCs w:val="24"/>
          <w:rtl w:val="0"/>
          <w:lang w:val="en-US"/>
        </w:rPr>
        <w:t>s. After-all it is well known too that war is a profitable enterprise; for the victors in-particular.</w:t>
      </w:r>
      <w:r>
        <w:rPr>
          <w:rFonts w:ascii="Times New Roman" w:cs="Times New Roman" w:hAnsi="Times New Roman" w:eastAsia="Times New Roman"/>
          <w:sz w:val="24"/>
          <w:szCs w:val="24"/>
          <w:vertAlign w:val="superscript"/>
        </w:rPr>
        <w:footnoteReference w:id="79"/>
      </w:r>
      <w:r>
        <w:rPr>
          <w:rFonts w:ascii="Times New Roman"/>
          <w:sz w:val="24"/>
          <w:szCs w:val="24"/>
          <w:rtl w:val="0"/>
          <w:lang w:val="en-US"/>
        </w:rPr>
        <w:t xml:space="preserve"> In the ancient world though, these settlements and communities are subject to a different sort of warfare, than can be seen conducted in the modern day. Therefore we must note that the affects of occupation are also different. Moreover it is worth noting that while some regions may be less economically sound than others, the stimulus of the Roman army did much in the way of providing the essential economic conditions so that towns and communities could flourish. The subject is one which, at first glance may seem to lack a wealth of informative archaeological information on the part of the continental frontier system; however utilising evidence found at Hadrian</w:t>
      </w:r>
      <w:r>
        <w:rPr>
          <w:rFonts w:hAnsi="Times New Roman" w:hint="default"/>
          <w:sz w:val="24"/>
          <w:szCs w:val="24"/>
          <w:rtl w:val="0"/>
          <w:lang w:val="en-US"/>
        </w:rPr>
        <w:t>’</w:t>
      </w:r>
      <w:r>
        <w:rPr>
          <w:rFonts w:ascii="Times New Roman"/>
          <w:sz w:val="24"/>
          <w:szCs w:val="24"/>
          <w:rtl w:val="0"/>
          <w:lang w:val="en-US"/>
        </w:rPr>
        <w:t>s wall will provide us with complimentary finds in lieu of this. Why was it that the presence of the Roman army had such peculiar effects on the communities existing around it? What are the physical repercussions of occupation on the landscape? How may we understand the increasing frequency of long distance trade? This chapter will attempt to investigate the impacts which long term territorial occupation had upon frontier communities in the first and second centuries AD. One of the main points of discussion for this section will the effects which the construction of frontiers and their many components had in their own right. And secondly an investigation regarding the logistical process which underpins the movement of materials and resources along the frontiers.</w:t>
      </w: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As established in the previous chapter, all installations on the landscape made by the Romans would begin as rudimentary and wooden constructions; with some examples being later developed into significant military structures</w:t>
      </w:r>
      <w:r>
        <w:rPr>
          <w:rFonts w:ascii="Times New Roman" w:cs="Times New Roman" w:hAnsi="Times New Roman" w:eastAsia="Times New Roman"/>
          <w:sz w:val="24"/>
          <w:szCs w:val="24"/>
          <w:vertAlign w:val="superscript"/>
        </w:rPr>
        <w:footnoteReference w:id="80"/>
      </w:r>
      <w:r>
        <w:rPr>
          <w:rFonts w:ascii="Times New Roman"/>
          <w:sz w:val="24"/>
          <w:szCs w:val="24"/>
          <w:rtl w:val="0"/>
          <w:lang w:val="en-US"/>
        </w:rPr>
        <w:t>. Given the significant organisational dispositions on behalf of the Roman army, evident particularly in the examination of their camp layouts it would also be safe to assume that they would follow a procedure similar to this in their logistical dogma.</w:t>
      </w:r>
      <w:r>
        <w:rPr>
          <w:rFonts w:ascii="Times New Roman" w:cs="Times New Roman" w:hAnsi="Times New Roman" w:eastAsia="Times New Roman"/>
          <w:sz w:val="24"/>
          <w:szCs w:val="24"/>
          <w:vertAlign w:val="superscript"/>
        </w:rPr>
        <w:footnoteReference w:id="81"/>
      </w:r>
      <w:r>
        <w:rPr>
          <w:rFonts w:ascii="Times New Roman"/>
          <w:sz w:val="24"/>
          <w:szCs w:val="24"/>
          <w:rtl w:val="0"/>
          <w:lang w:val="en-US"/>
        </w:rPr>
        <w:t xml:space="preserve"> C.R Whittaker notably recognises notion as a fundamental factor in the armies success es in the field. Whittaker asserts that the acquisition of essential resources for the Roman army, irrespective of location, was never to be left to chance.</w:t>
      </w:r>
      <w:r>
        <w:rPr>
          <w:rFonts w:ascii="Times New Roman" w:cs="Times New Roman" w:hAnsi="Times New Roman" w:eastAsia="Times New Roman"/>
          <w:sz w:val="24"/>
          <w:szCs w:val="24"/>
          <w:vertAlign w:val="superscript"/>
        </w:rPr>
        <w:footnoteReference w:id="82"/>
      </w:r>
      <w:r>
        <w:rPr>
          <w:rFonts w:ascii="Times New Roman"/>
          <w:sz w:val="24"/>
          <w:szCs w:val="24"/>
          <w:rtl w:val="0"/>
          <w:lang w:val="en-US"/>
        </w:rPr>
        <w:t xml:space="preserve"> Although based in sound reasoning this is not strictly the case throughout the various theatres of Roman deployment; the letters of Flavius Cerialis and Octavius to their brothers attest this</w:t>
      </w:r>
      <w:r>
        <w:rPr>
          <w:rFonts w:ascii="Times New Roman" w:cs="Times New Roman" w:hAnsi="Times New Roman" w:eastAsia="Times New Roman"/>
          <w:sz w:val="24"/>
          <w:szCs w:val="24"/>
          <w:vertAlign w:val="superscript"/>
        </w:rPr>
        <w:footnoteReference w:id="83"/>
      </w:r>
      <w:r>
        <w:rPr>
          <w:rFonts w:ascii="Times New Roman"/>
          <w:sz w:val="24"/>
          <w:szCs w:val="24"/>
          <w:rtl w:val="0"/>
          <w:lang w:val="en-US"/>
        </w:rPr>
        <w:t>. On several occasions in the vindolanda record we have examples of this individual appealing to his brother to help provide him with essential materials/ items. In tablet 233 we see that this request is for simple hunting nets, however there is also a copy surviving tablet detailing correspondence in which Flavius requests the shipment of beer for his fellow soldiers.</w:t>
      </w:r>
      <w:r>
        <w:rPr>
          <w:rFonts w:ascii="Times New Roman" w:cs="Times New Roman" w:hAnsi="Times New Roman" w:eastAsia="Times New Roman"/>
          <w:sz w:val="24"/>
          <w:szCs w:val="24"/>
          <w:vertAlign w:val="superscript"/>
        </w:rPr>
        <w:footnoteReference w:id="84"/>
      </w:r>
      <w:r>
        <w:rPr>
          <w:rFonts w:ascii="Times New Roman"/>
          <w:sz w:val="24"/>
          <w:szCs w:val="24"/>
          <w:rtl w:val="0"/>
          <w:lang w:val="en-US"/>
        </w:rPr>
        <w:t xml:space="preserve"> While these things requested may be considered as nothing more than useful equipment at best, and personal items at worst; the content of tablet 343 from Octavius to his brother Candidus is a plea for the dispatch of resources essential to the day to day operations of the fortress. Here Octavius mentions the purchase of five thousand modii of Grain, and asks for a loan of 500 denarii in order to fulfil the contract and avoid losing his deposit. This, I think firmly disproves Whittaker</w:t>
      </w:r>
      <w:r>
        <w:rPr>
          <w:rFonts w:hAnsi="Times New Roman" w:hint="default"/>
          <w:sz w:val="24"/>
          <w:szCs w:val="24"/>
          <w:rtl w:val="0"/>
          <w:lang w:val="en-US"/>
        </w:rPr>
        <w:t>’</w:t>
      </w:r>
      <w:r>
        <w:rPr>
          <w:rFonts w:ascii="Times New Roman"/>
          <w:sz w:val="24"/>
          <w:szCs w:val="24"/>
          <w:rtl w:val="0"/>
          <w:lang w:val="en-US"/>
        </w:rPr>
        <w:t>s assessment on the basis that, as can be interpreted from tablet 343, the letters tone evokes a certain sense of urgency.</w:t>
      </w:r>
      <w:r>
        <w:rPr>
          <w:rFonts w:ascii="Times New Roman" w:cs="Times New Roman" w:hAnsi="Times New Roman" w:eastAsia="Times New Roman"/>
          <w:sz w:val="24"/>
          <w:szCs w:val="24"/>
          <w:vertAlign w:val="superscript"/>
        </w:rPr>
        <w:footnoteReference w:id="85"/>
      </w:r>
      <w:r>
        <w:rPr>
          <w:rFonts w:ascii="Times New Roman"/>
          <w:sz w:val="24"/>
          <w:szCs w:val="24"/>
          <w:rtl w:val="0"/>
          <w:lang w:val="en-US"/>
        </w:rPr>
        <w:t xml:space="preserve"> Furthermore, are we to be expected to believe that a shipment of grain this size was for personal use and had no connection to the need for massive quantities of grain a legion would have? Moreover the remote location of Vindolanda would certainly facilitate a need for prior logistical preparations to be in place when considering the re-supply of a legionary base.</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Flavius and Octavian are not the only examples existing in the Epigraphic record of individuals facilitating the operations of their garrison on this ad hoc manner. We know that records from Bunjem and Mons Claudianus existing in the collection Select papyri that regular deliveries were organised on a personal basis between local peoples and garrison officers.</w:t>
      </w:r>
      <w:r>
        <w:rPr>
          <w:rFonts w:ascii="Times New Roman" w:cs="Times New Roman" w:hAnsi="Times New Roman" w:eastAsia="Times New Roman"/>
          <w:sz w:val="24"/>
          <w:szCs w:val="24"/>
          <w:vertAlign w:val="superscript"/>
        </w:rPr>
        <w:footnoteReference w:id="86"/>
      </w:r>
      <w:r>
        <w:rPr>
          <w:rFonts w:ascii="Times New Roman"/>
          <w:sz w:val="24"/>
          <w:szCs w:val="24"/>
          <w:rtl w:val="0"/>
          <w:lang w:val="en-US"/>
        </w:rPr>
        <w:t xml:space="preserve"> Consider the receipts of Dracon, whom appears to be a local tradesman/ contractor. This provides evidence of transactions between himself and the local garrison commander of an eastern desert outpost.</w:t>
      </w:r>
      <w:r>
        <w:rPr>
          <w:rFonts w:ascii="Times New Roman" w:cs="Times New Roman" w:hAnsi="Times New Roman" w:eastAsia="Times New Roman"/>
          <w:sz w:val="24"/>
          <w:szCs w:val="24"/>
          <w:vertAlign w:val="superscript"/>
        </w:rPr>
        <w:footnoteReference w:id="87"/>
      </w:r>
      <w:r>
        <w:rPr>
          <w:rFonts w:ascii="Times New Roman"/>
          <w:sz w:val="24"/>
          <w:szCs w:val="24"/>
          <w:rtl w:val="0"/>
          <w:lang w:val="en-US"/>
        </w:rPr>
        <w:t xml:space="preserve"> Whether this arrangement was set up prior to the sites occupation by the army or developed organically afterwards is still subject to speculation, although if considered in the context of the aforementioned vindolanda tablets, also disproves Whittaker</w:t>
      </w:r>
      <w:r>
        <w:rPr>
          <w:rFonts w:hAnsi="Times New Roman" w:hint="default"/>
          <w:sz w:val="24"/>
          <w:szCs w:val="24"/>
          <w:rtl w:val="0"/>
          <w:lang w:val="en-US"/>
        </w:rPr>
        <w:t>’</w:t>
      </w:r>
      <w:r>
        <w:rPr>
          <w:rFonts w:ascii="Times New Roman"/>
          <w:sz w:val="24"/>
          <w:szCs w:val="24"/>
          <w:rtl w:val="0"/>
          <w:lang w:val="en-US"/>
        </w:rPr>
        <w:t>s hypothesis entirely</w:t>
      </w:r>
      <w:r>
        <w:rPr>
          <w:rFonts w:ascii="Times New Roman" w:cs="Times New Roman" w:hAnsi="Times New Roman" w:eastAsia="Times New Roman"/>
          <w:sz w:val="24"/>
          <w:szCs w:val="24"/>
          <w:vertAlign w:val="superscript"/>
        </w:rPr>
        <w:footnoteReference w:id="88"/>
      </w:r>
      <w:r>
        <w:rPr>
          <w:rFonts w:ascii="Times New Roman"/>
          <w:sz w:val="24"/>
          <w:szCs w:val="24"/>
          <w:rtl w:val="0"/>
          <w:lang w:val="en-US"/>
        </w:rPr>
        <w:t>. Furthermore references in Cassius Dio to the employment of local craftsmen producing weaponry for garrisons in Judea show that this practice was not limited to the western frontier provinces of the empire, but an occurrence which may be found commonly across the empire.</w:t>
      </w:r>
      <w:r>
        <w:rPr>
          <w:rFonts w:ascii="Times New Roman" w:cs="Times New Roman" w:hAnsi="Times New Roman" w:eastAsia="Times New Roman"/>
          <w:sz w:val="24"/>
          <w:szCs w:val="24"/>
          <w:vertAlign w:val="superscript"/>
        </w:rPr>
        <w:footnoteReference w:id="89"/>
      </w:r>
      <w:r>
        <w:rPr>
          <w:rFonts w:ascii="Times New Roman"/>
          <w:sz w:val="24"/>
          <w:szCs w:val="24"/>
          <w:rtl w:val="0"/>
          <w:lang w:val="en-US"/>
        </w:rPr>
        <w:t xml:space="preserv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This realisation itself is partially able to answer our first question, but we must also consider an examination of the environmental effects which are present subsequent to occupation by the Roman state and it social consequences to answer the second. The study of quarries and mines in Norcium and their distribution firstly helps when determining the extent of this phenomena may help us to do so</w:t>
      </w:r>
      <w:r>
        <w:rPr>
          <w:rFonts w:ascii="Times New Roman" w:cs="Times New Roman" w:hAnsi="Times New Roman" w:eastAsia="Times New Roman"/>
          <w:sz w:val="24"/>
          <w:szCs w:val="24"/>
          <w:vertAlign w:val="superscript"/>
        </w:rPr>
        <w:footnoteReference w:id="90"/>
      </w:r>
      <w:r>
        <w:rPr>
          <w:rFonts w:ascii="Times New Roman"/>
          <w:sz w:val="24"/>
          <w:szCs w:val="24"/>
          <w:rtl w:val="0"/>
          <w:lang w:val="en-US"/>
        </w:rPr>
        <w:t>. R Shepard highlights that subsequent to the conquest of Dacia in 106 AD all profits available from the gold mines there were eligible to enter the state coffers, thus became essential in funding the Danubian garrison, as was case with the Gallic mines to the Rhine army</w:t>
      </w:r>
      <w:r>
        <w:rPr>
          <w:rFonts w:ascii="Times New Roman" w:cs="Times New Roman" w:hAnsi="Times New Roman" w:eastAsia="Times New Roman"/>
          <w:sz w:val="24"/>
          <w:szCs w:val="24"/>
          <w:vertAlign w:val="superscript"/>
        </w:rPr>
        <w:footnoteReference w:id="91"/>
      </w:r>
      <w:r>
        <w:rPr>
          <w:rFonts w:ascii="Times New Roman"/>
          <w:sz w:val="24"/>
          <w:szCs w:val="24"/>
          <w:rtl w:val="0"/>
          <w:lang w:val="en-US"/>
        </w:rPr>
        <w:t>. Shepard also notes that in the later years of the republic there were decrees in place limiting the number of workers to a maximum of 5000 in Italy, although this does not go to say that the Roman state or indeed the soldiers receiving these materials were aware of the limited nature of the resources they commonly extracted from such sites</w:t>
      </w:r>
      <w:r>
        <w:rPr>
          <w:rFonts w:ascii="Times New Roman" w:cs="Times New Roman" w:hAnsi="Times New Roman" w:eastAsia="Times New Roman"/>
          <w:sz w:val="24"/>
          <w:szCs w:val="24"/>
          <w:vertAlign w:val="superscript"/>
        </w:rPr>
        <w:footnoteReference w:id="92"/>
      </w:r>
      <w:r>
        <w:rPr>
          <w:rFonts w:ascii="Times New Roman"/>
          <w:sz w:val="24"/>
          <w:szCs w:val="24"/>
          <w:rtl w:val="0"/>
          <w:lang w:val="en-US"/>
        </w:rPr>
        <w:t>. Livy</w:t>
      </w:r>
      <w:r>
        <w:rPr>
          <w:rFonts w:hAnsi="Times New Roman" w:hint="default"/>
          <w:sz w:val="24"/>
          <w:szCs w:val="24"/>
          <w:rtl w:val="0"/>
          <w:lang w:val="en-US"/>
        </w:rPr>
        <w:t>’</w:t>
      </w:r>
      <w:r>
        <w:rPr>
          <w:rFonts w:ascii="Times New Roman"/>
          <w:sz w:val="24"/>
          <w:szCs w:val="24"/>
          <w:rtl w:val="0"/>
          <w:lang w:val="en-US"/>
        </w:rPr>
        <w:t>s comments proclaiming that all mines were left in the care of the state subsequent to the defeat of Carthage in the second Punic Wars however; can help infer that state property and its distribution is something which has been used throughout Roman military history.</w:t>
      </w:r>
      <w:r>
        <w:rPr>
          <w:rFonts w:ascii="Times New Roman" w:cs="Times New Roman" w:hAnsi="Times New Roman" w:eastAsia="Times New Roman"/>
          <w:sz w:val="24"/>
          <w:szCs w:val="24"/>
          <w:vertAlign w:val="superscript"/>
        </w:rPr>
        <w:footnoteReference w:id="93"/>
      </w:r>
      <w:r>
        <w:rPr>
          <w:rFonts w:ascii="Times New Roman"/>
          <w:sz w:val="24"/>
          <w:szCs w:val="24"/>
          <w:rtl w:val="0"/>
          <w:lang w:val="en-US"/>
        </w:rPr>
        <w:t xml:space="preserv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It is also reasonable because of this to assume that the state would provide partial supply of resources to garrisons situated not only on frontier zones but also through the rest of the empire,. Furthermore that if anything which was left to be required it may have to be done so by the troops themselves.  This is also supported by the argument concerning neutral zones and  the fact that in order for the germanic tribes to have attempted to situate themselves in this region, it most likely would have needed to be void of any substantial environmental obstacle- in this case woodlands. Therefore we are able to safely able to assume that this was also the work of the legionaries. Potter notes the importance of clearing these areas in the respect that they deny the possibility of passing unnoticed into Roman territory using the thick woodlands that inhabit the german landscape, furthermore he refers to a extract in Tacitus referring to these lands as being </w:t>
      </w:r>
      <w:r>
        <w:rPr>
          <w:rFonts w:hAnsi="Times New Roman" w:hint="default"/>
          <w:sz w:val="24"/>
          <w:szCs w:val="24"/>
          <w:rtl w:val="0"/>
          <w:lang w:val="en-US"/>
        </w:rPr>
        <w:t>‘</w:t>
      </w:r>
      <w:r>
        <w:rPr>
          <w:rFonts w:ascii="Times New Roman"/>
          <w:sz w:val="24"/>
          <w:szCs w:val="24"/>
          <w:rtl w:val="0"/>
          <w:lang w:val="en-US"/>
        </w:rPr>
        <w:t>for military use</w:t>
      </w:r>
      <w:r>
        <w:rPr>
          <w:rFonts w:hAnsi="Times New Roman" w:hint="default"/>
          <w:sz w:val="24"/>
          <w:szCs w:val="24"/>
          <w:rtl w:val="0"/>
          <w:lang w:val="en-US"/>
        </w:rPr>
        <w:t>’</w:t>
      </w:r>
      <w:r>
        <w:rPr>
          <w:rFonts w:ascii="Times New Roman"/>
          <w:sz w:val="24"/>
          <w:szCs w:val="24"/>
          <w:rtl w:val="0"/>
          <w:lang w:val="en-US"/>
        </w:rPr>
        <w:t>.</w:t>
      </w:r>
      <w:r>
        <w:rPr>
          <w:rFonts w:ascii="Times New Roman" w:cs="Times New Roman" w:hAnsi="Times New Roman" w:eastAsia="Times New Roman"/>
          <w:sz w:val="24"/>
          <w:szCs w:val="24"/>
          <w:vertAlign w:val="superscript"/>
        </w:rPr>
        <w:footnoteReference w:id="94"/>
      </w:r>
      <w:r>
        <w:rPr>
          <w:rFonts w:ascii="Times New Roman"/>
          <w:sz w:val="24"/>
          <w:szCs w:val="24"/>
          <w:rtl w:val="0"/>
          <w:lang w:val="en-US"/>
        </w:rPr>
        <w:t xml:space="preserve"> It is possible that this can refer to both the expectation of the state to curate a partially self sufficient army and the Roman states determination for monopoly on resources could well classify the deforestation of this area under military use.</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However, while this helps develop a framework of the manner in which resources are managed    by the army and the overall stimuli which the Roman army had, we must also understand how it affected the environment. Ultimately we can see it had influence on the increase in localised deforestation and quarrying in order to fulfil material quotas that eventually lead to a deficit in the materials available to localised garrisons requiring legionaries to seek material sources from overseas either in a private capacity similar to Octavius or from the Roman state</w:t>
      </w:r>
      <w:r>
        <w:rPr>
          <w:rFonts w:ascii="Times New Roman" w:cs="Times New Roman" w:hAnsi="Times New Roman" w:eastAsia="Times New Roman"/>
          <w:sz w:val="24"/>
          <w:szCs w:val="24"/>
          <w:vertAlign w:val="superscript"/>
        </w:rPr>
        <w:footnoteReference w:id="95"/>
      </w:r>
      <w:r>
        <w:rPr>
          <w:rFonts w:ascii="Times New Roman"/>
          <w:sz w:val="24"/>
          <w:szCs w:val="24"/>
          <w:rtl w:val="0"/>
          <w:lang w:val="en-US"/>
        </w:rPr>
        <w:t>. While previously there had been little in the way of archaeological evidence to support this, particularly on the Rhine, we now have several surviving wrecks found in the channel near Woerden at the mouth of the Rhine thought to be involved in the transit of grain.</w:t>
      </w:r>
      <w:r>
        <w:rPr>
          <w:rFonts w:ascii="Times New Roman" w:cs="Times New Roman" w:hAnsi="Times New Roman" w:eastAsia="Times New Roman"/>
          <w:sz w:val="24"/>
          <w:szCs w:val="24"/>
          <w:vertAlign w:val="superscript"/>
        </w:rPr>
        <w:footnoteReference w:id="96"/>
      </w:r>
      <w:r>
        <w:rPr>
          <w:rFonts w:ascii="Times New Roman"/>
          <w:sz w:val="24"/>
          <w:szCs w:val="24"/>
          <w:rtl w:val="0"/>
          <w:lang w:val="en-US"/>
        </w:rPr>
        <w:t xml:space="preserve"> We should assume also more evidence of this is still to be uncovered. There are also several inscriptions referring to the presence of contractors along found along these frontier lines</w:t>
      </w:r>
      <w:r>
        <w:rPr>
          <w:rFonts w:ascii="Times New Roman" w:cs="Times New Roman" w:hAnsi="Times New Roman" w:eastAsia="Times New Roman"/>
          <w:sz w:val="24"/>
          <w:szCs w:val="24"/>
          <w:vertAlign w:val="superscript"/>
        </w:rPr>
        <w:footnoteReference w:id="97"/>
      </w:r>
      <w:r>
        <w:rPr>
          <w:rFonts w:ascii="Times New Roman"/>
          <w:sz w:val="24"/>
          <w:szCs w:val="24"/>
          <w:rtl w:val="0"/>
          <w:lang w:val="en-US"/>
        </w:rPr>
        <w:t xml:space="preserve">. Tacitus alludes to the shipment of grain along the Rhine in reference to ongoing conflicts between the Romans and Germans along the frontier. In the case of the inscriptions, there have been several uncovered in the Nijmegen area; the most salient of which is the inscription referring to a grain contractor of Nervian origin, trading in the late first or early second century. Mattingly too notes a later roman source detailing the import of materials to Britain.  As a result may ascribe that this is not a direct consequence of the intricacies present in organising long distance shipping on the imperial scale but is an essential occurrence in the day to day operation of frontiers.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It is evident also that this spike in importation of materials reached its peak in the middle first century. L.I Kooistra</w:t>
      </w:r>
      <w:r>
        <w:rPr>
          <w:rFonts w:hAnsi="Times New Roman" w:hint="default"/>
          <w:sz w:val="24"/>
          <w:szCs w:val="24"/>
          <w:rtl w:val="0"/>
          <w:lang w:val="en-US"/>
        </w:rPr>
        <w:t>’</w:t>
      </w:r>
      <w:r>
        <w:rPr>
          <w:rFonts w:ascii="Times New Roman"/>
          <w:sz w:val="24"/>
          <w:szCs w:val="24"/>
          <w:rtl w:val="0"/>
          <w:lang w:val="en-US"/>
        </w:rPr>
        <w:t xml:space="preserve">s pie chart may be of some use to us in this aspect of the investigation. She informs us the period up to AD 70, while the frontier along the Rhine and Danube was still very much in development, we see a steady use of woods such as fir, ash, elm, maple, pine and oak in the construction of Roman structures including fortresses and roads. She also informs us that in the period subsequent to this date and continuing into the early second century we may see a marked decrease in the use of timbers such as these, instead we see a significant increase in the use of timber such as Alder. Furthermore she argues that while we know there is certainly president for the import of materials, that the state of the wood as she describes being </w:t>
      </w:r>
      <w:r>
        <w:rPr>
          <w:rFonts w:hAnsi="Times New Roman" w:hint="default"/>
          <w:sz w:val="24"/>
          <w:szCs w:val="24"/>
          <w:rtl w:val="0"/>
          <w:lang w:val="en-US"/>
        </w:rPr>
        <w:t>‘</w:t>
      </w:r>
      <w:r>
        <w:rPr>
          <w:rFonts w:ascii="Times New Roman"/>
          <w:sz w:val="24"/>
          <w:szCs w:val="24"/>
          <w:rtl w:val="0"/>
          <w:lang w:val="en-US"/>
        </w:rPr>
        <w:t>mangled and gnarly</w:t>
      </w:r>
      <w:r>
        <w:rPr>
          <w:rFonts w:hAnsi="Times New Roman" w:hint="default"/>
          <w:sz w:val="24"/>
          <w:szCs w:val="24"/>
          <w:rtl w:val="0"/>
          <w:lang w:val="en-US"/>
        </w:rPr>
        <w:t xml:space="preserve">’ </w:t>
      </w:r>
      <w:r>
        <w:rPr>
          <w:rFonts w:ascii="Times New Roman"/>
          <w:sz w:val="24"/>
          <w:szCs w:val="24"/>
          <w:rtl w:val="0"/>
          <w:lang w:val="en-US"/>
        </w:rPr>
        <w:t>would disprove the notion that this was imported and lends itself more to the idea that this was cut by the legionaries from local woodlands. We can see that although a majority of the wood  used here was most likely harvested form the local area. Importantly, there are only certain zones which would be able to provide the surplus of wood which was required; and as we have already discerned from the presence of contractors in the area would implicate that at some point, deficits exist in supply pool, needing broached by the army. It may also potentially be considered that this was  ultimately unsustainable for the Roman state. Furthermore the environmental conditions of these zones would often leave them prone to flooding, thus meaning that the army was only able to harvest this timber at certain times of year, leading to the stockpiling of timber by local garrisons and in turn contributing to the fact that the Romans had almost exhausted its resources in the area relatively quickly after its implementation. David P Davidson</w:t>
      </w:r>
      <w:r>
        <w:rPr>
          <w:rFonts w:hAnsi="Times New Roman" w:hint="default"/>
          <w:sz w:val="24"/>
          <w:szCs w:val="24"/>
          <w:rtl w:val="0"/>
          <w:lang w:val="en-US"/>
        </w:rPr>
        <w:t>’</w:t>
      </w:r>
      <w:r>
        <w:rPr>
          <w:rFonts w:ascii="Times New Roman"/>
          <w:sz w:val="24"/>
          <w:szCs w:val="24"/>
          <w:rtl w:val="0"/>
          <w:lang w:val="en-US"/>
        </w:rPr>
        <w:t>s contributions may also serve to illustrate the immense scale of deforestation which was taking place during the early development of this particular frontier; Davidson</w:t>
      </w:r>
      <w:r>
        <w:rPr>
          <w:rFonts w:hAnsi="Times New Roman" w:hint="default"/>
          <w:sz w:val="24"/>
          <w:szCs w:val="24"/>
          <w:rtl w:val="0"/>
          <w:lang w:val="en-US"/>
        </w:rPr>
        <w:t>’</w:t>
      </w:r>
      <w:r>
        <w:rPr>
          <w:rFonts w:ascii="Times New Roman"/>
          <w:sz w:val="24"/>
          <w:szCs w:val="24"/>
          <w:rtl w:val="0"/>
          <w:lang w:val="en-US"/>
        </w:rPr>
        <w:t>s graphs show that there is a steady increase in both  the quantity of fortresses and the total area which they occupy from the Julio-Claudian period into the Severan and Flavian periods. His approximations would suggest that on average the size of a legionary fortresses in Germania superior and inferior  tend fluctuate from the smallest in the Claudian period being 300 meters squared to the largest being over 1000 meters squared. Also we can see that compared to the averages taken from the Flavian period in the same regions are significantly larger and appear more frequently; the biggest being over 1500 meters squared.</w:t>
      </w:r>
      <w:r>
        <w:rPr>
          <w:rFonts w:ascii="Times New Roman" w:cs="Times New Roman" w:hAnsi="Times New Roman" w:eastAsia="Times New Roman"/>
          <w:sz w:val="24"/>
          <w:szCs w:val="24"/>
          <w:vertAlign w:val="superscript"/>
        </w:rPr>
        <w:footnoteReference w:id="98"/>
      </w:r>
      <w:r>
        <w:rPr>
          <w:rFonts w:ascii="Times New Roman"/>
          <w:sz w:val="24"/>
          <w:szCs w:val="24"/>
          <w:rtl w:val="0"/>
          <w:lang w:val="en-US"/>
        </w:rPr>
        <w:t xml:space="preserve"> These figures incidentally support the realisation that increased presence of the Roman army and the nature of their earthworks can be directly correlated to the decline in certain types of wood and subsequently played an important role in the flourishing of long distance imports on the frontier. It may now be prudent to mention that it is now apparent that in order to investigate on of the questions attempted to be answered here, all require investigations into the other.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We may see that the earthworks which spanned the length of the frontier, while having a significant impact on the environment during the process of their erection, albeit as a side affect of the dynamic social and physical consequences which surround their implementation. These can be seen however to also have a prolonged effect on frontier environments even after they have been fully established. When examining this we should also consider the need for continual repair and maintenance and its measurable impact on the environment around these sites, as well as the stimulus this has on the inter-provincial shipping of resources. We know that firstly repairs on these structures would have been carried out as a matter of necessity and under the discretion of the garrison(s) in question</w:t>
      </w:r>
      <w:r>
        <w:rPr>
          <w:rFonts w:hAnsi="Times New Roman" w:hint="default"/>
          <w:sz w:val="24"/>
          <w:szCs w:val="24"/>
          <w:rtl w:val="0"/>
          <w:lang w:val="en-US"/>
        </w:rPr>
        <w:t>’</w:t>
      </w:r>
      <w:r>
        <w:rPr>
          <w:rFonts w:ascii="Times New Roman"/>
          <w:sz w:val="24"/>
          <w:szCs w:val="24"/>
          <w:rtl w:val="0"/>
          <w:lang w:val="en-US"/>
        </w:rPr>
        <w:t>s commander, and given the Romans uncanny ability to produce technically sound and organised structures this would have probably been an partially uncommon occurrence. The dates and circumstances preposes as the phases of major construction for some these forts and fortresses are as follows: the preliminary phase of frontier  development in AD40, repairs subsequent to the Batavian revolt of AD 69/70, AD 99/100 when the major phases of development began and again in AD 123/4 when we see a large number of supply roads being constructed.</w:t>
      </w:r>
      <w:r>
        <w:rPr>
          <w:rFonts w:ascii="Times New Roman" w:cs="Times New Roman" w:hAnsi="Times New Roman" w:eastAsia="Times New Roman"/>
          <w:sz w:val="24"/>
          <w:szCs w:val="24"/>
          <w:vertAlign w:val="superscript"/>
        </w:rPr>
        <w:footnoteReference w:id="99"/>
      </w:r>
      <w:r>
        <w:rPr>
          <w:rFonts w:ascii="Times New Roman"/>
          <w:sz w:val="24"/>
          <w:szCs w:val="24"/>
          <w:rtl w:val="0"/>
          <w:lang w:val="en-US"/>
        </w:rPr>
        <w:t xml:space="preserve"> We can see from the estimated dating of the aforementioned archaeological finds, that the major phase of construction in the early middle second century is also chronologically consistent with the decline in use of certain types of timber in these regions.</w:t>
      </w:r>
      <w:r>
        <w:rPr>
          <w:rFonts w:ascii="Times New Roman" w:cs="Times New Roman" w:hAnsi="Times New Roman" w:eastAsia="Times New Roman"/>
          <w:sz w:val="24"/>
          <w:szCs w:val="24"/>
          <w:vertAlign w:val="superscript"/>
        </w:rPr>
        <w:footnoteReference w:id="100"/>
      </w:r>
      <w:r>
        <w:rPr>
          <w:rFonts w:ascii="Times New Roman"/>
          <w:sz w:val="24"/>
          <w:szCs w:val="24"/>
          <w:rtl w:val="0"/>
          <w:lang w:val="en-US"/>
        </w:rPr>
        <w:t xml:space="preserve"> Furthermore this demonstrates that the development of frontiers was something which unlike their inception, followed a liner timeline of progression, as a result of the same factors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r>
        <w:rPr>
          <w:rFonts w:ascii="Times New Roman"/>
          <w:sz w:val="24"/>
          <w:szCs w:val="24"/>
          <w:rtl w:val="0"/>
          <w:lang w:val="en-US"/>
        </w:rPr>
        <w:t xml:space="preserve"> As stated above the overall model which is ascribed to the effects of occupations is one which is certainly intertwined and we should also consider the role of </w:t>
      </w:r>
      <w:r>
        <w:rPr>
          <w:rFonts w:ascii="Times New Roman"/>
          <w:i w:val="1"/>
          <w:iCs w:val="1"/>
          <w:sz w:val="24"/>
          <w:szCs w:val="24"/>
          <w:rtl w:val="0"/>
          <w:lang w:val="en-US"/>
        </w:rPr>
        <w:t>vicci</w:t>
      </w:r>
      <w:r>
        <w:rPr>
          <w:rFonts w:ascii="Times New Roman"/>
          <w:sz w:val="24"/>
          <w:szCs w:val="24"/>
          <w:rtl w:val="0"/>
          <w:lang w:val="en-US"/>
        </w:rPr>
        <w:t xml:space="preserve"> to finally gauge the effects of long term territorial occupation. It is obvious these development would have economic effects of the frontiers, however the extent of which is variable. Consider the standard of this tomb stone found at Chesters Roman fort, and the evidence of traders on the Rhine as evidence that the disposable income of the Army was also a side effect of the situations developed from resource acquisition, and of course the development of intercontinental trade between frontiers. We can discern then that because of the president for trade with the local populous, traders have sought out contracts or interactions with these stationed legionaries, if this tombstone from Hadrian</w:t>
      </w:r>
      <w:r>
        <w:rPr>
          <w:rFonts w:hAnsi="Times New Roman" w:hint="default"/>
          <w:sz w:val="24"/>
          <w:szCs w:val="24"/>
          <w:rtl w:val="0"/>
          <w:lang w:val="en-US"/>
        </w:rPr>
        <w:t>’</w:t>
      </w:r>
      <w:r>
        <w:rPr>
          <w:rFonts w:ascii="Times New Roman"/>
          <w:sz w:val="24"/>
          <w:szCs w:val="24"/>
          <w:rtl w:val="0"/>
          <w:lang w:val="en-US"/>
        </w:rPr>
        <w:t>s wall is anything to go by then we know that some of them such as the individual (s) whom have commissioned this tomb stone have travelled great distances to do so</w:t>
      </w:r>
      <w:r>
        <w:rPr>
          <w:rFonts w:ascii="Times New Roman" w:cs="Times New Roman" w:hAnsi="Times New Roman" w:eastAsia="Times New Roman"/>
          <w:sz w:val="24"/>
          <w:szCs w:val="24"/>
          <w:vertAlign w:val="superscript"/>
        </w:rPr>
        <w:footnoteReference w:id="101"/>
      </w:r>
      <w:r>
        <w:rPr>
          <w:rFonts w:ascii="Times New Roman"/>
          <w:sz w:val="24"/>
          <w:szCs w:val="24"/>
          <w:rtl w:val="0"/>
          <w:lang w:val="en-US"/>
        </w:rPr>
        <w:t xml:space="preserve">. Furthermore the would have presumably settled in the same area which other merchants have occupied along the frontier, thus eventually developing into a fully fledged frontier community, often being able to flourish. It must be concluded then that overall, while there was certainly a detrimental aspect in terms of environmental sustainability for frontier communities, the benefit in terms of economic sustainability was enough to allow the continued occupation of frontiers for a significant amount of time after their installation. These settlements only became abandoned when the frontiers themselves were vacated by the Romans. Furthermore we see that frontier communities were able to operate in a self sufficient manner, and on the whole benefited to imperial economic security as a whole.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p>
    <w:p>
      <w:pPr>
        <w:pStyle w:val="Heading"/>
        <w:rPr>
          <w:rFonts w:ascii="Times New Roman" w:cs="Times New Roman" w:hAnsi="Times New Roman" w:eastAsia="Times New Roman"/>
          <w:u w:val="single"/>
        </w:rPr>
      </w:pPr>
      <w:r>
        <w:rPr>
          <w:rFonts w:ascii="Times New Roman"/>
          <w:u w:val="single"/>
          <w:rtl w:val="0"/>
          <w:lang w:val="en-US"/>
        </w:rPr>
        <w:t>Epilogue:</w:t>
      </w:r>
    </w:p>
    <w:p>
      <w:pPr>
        <w:pStyle w:val="Body 3"/>
        <w:bidi w:val="0"/>
      </w:pPr>
    </w:p>
    <w:p>
      <w:pPr>
        <w:pStyle w:val="Body 3"/>
        <w:spacing w:line="480" w:lineRule="auto"/>
        <w:rPr>
          <w:rFonts w:ascii="Times New Roman" w:cs="Times New Roman" w:hAnsi="Times New Roman" w:eastAsia="Times New Roman"/>
          <w:sz w:val="24"/>
          <w:szCs w:val="24"/>
        </w:rPr>
      </w:pPr>
      <w:r>
        <w:rPr>
          <w:rFonts w:ascii="Times New Roman"/>
          <w:sz w:val="24"/>
          <w:szCs w:val="24"/>
          <w:rtl w:val="0"/>
          <w:lang w:val="en-US"/>
        </w:rPr>
        <w:t xml:space="preserve">To conclude this thesis I would like to note that while this investigation has been conducted in a thorough manner, further investigation is most definitely needed on all aspects regarding frontier history. This is due not only to the complexities of the system as a whole but also to the issues which arise in the interpretation of the evidence available and the somewhat outdated system model which is provided by E.N Luttwack despite its notoriety in this particular academic field. The study of International politics and the arguments which we apply existing with in it, while essential,  only serve to complicate an already complex discussion. I believe however that on the whole we may observe a system which is able to organically develop out of a need for pragmatism, as well as ability to sustain its own existence despite this lack of developmental structure. Moreover the impacts which are present because of their existence also follow a constant need for pragmatism and the consequences of such are tied  directly to the consequences of this in an environmental capacity.  No doubt then can we discern that on the whole frontiers while a key element to the overall history of the Roman empire and play a definitive role in its development; however for the most part these systems would tend to be stagnant on the periphery of the empire with little effect on the daily ongoings of the metropole. Furthermore a comprehensive conclusion of both sections will not be omitted in this section due to the fact that the individual sections of the work provide a full analysis of their content;  also it it worthy of note that further analysis would lead me outside of the parameters which have been set for this dissertation. </w:t>
      </w:r>
    </w:p>
    <w:p>
      <w:pPr>
        <w:pStyle w:val="Body 3"/>
        <w:spacing w:line="480" w:lineRule="auto"/>
        <w:jc w:val="both"/>
        <w:rPr>
          <w:rFonts w:ascii="Times New Roman" w:cs="Times New Roman" w:hAnsi="Times New Roman" w:eastAsia="Times New Roman"/>
          <w:sz w:val="24"/>
          <w:szCs w:val="24"/>
        </w:rPr>
      </w:pPr>
    </w:p>
    <w:p>
      <w:pPr>
        <w:pStyle w:val="Body 3"/>
        <w:spacing w:line="480" w:lineRule="auto"/>
        <w:jc w:val="both"/>
        <w:rPr>
          <w:rFonts w:ascii="Times New Roman" w:cs="Times New Roman" w:hAnsi="Times New Roman" w:eastAsia="Times New Roman"/>
          <w:sz w:val="24"/>
          <w:szCs w:val="24"/>
        </w:rPr>
      </w:pPr>
    </w:p>
    <w:p>
      <w:pPr>
        <w:pStyle w:val="Heading"/>
        <w:bidi w:val="0"/>
      </w:pPr>
      <w:r>
        <w:rPr>
          <w:rFonts w:ascii="Helvetica" w:cs="Arial Unicode MS" w:hAnsi="Arial Unicode MS" w:eastAsia="Arial Unicode MS"/>
          <w:rtl w:val="0"/>
          <w:lang w:val="en-US"/>
        </w:rPr>
        <w:t xml:space="preserve">Bibliography: </w:t>
      </w:r>
    </w:p>
    <w:p>
      <w:pPr>
        <w:pStyle w:val="Body 3"/>
        <w:bidi w:val="0"/>
      </w:pPr>
    </w:p>
    <w:p>
      <w:pPr>
        <w:pStyle w:val="Body 3"/>
        <w:bidi w:val="0"/>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Ancient Literary Sources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Cassius Dio, The Roman History I. Scott-Kilvert (Trans). 1987 Penguin Books</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rPr>
      </w:pPr>
      <w:r>
        <w:rPr>
          <w:rFonts w:ascii="Times New Roman"/>
          <w:rtl w:val="0"/>
          <w:lang w:val="en-US"/>
        </w:rPr>
        <w:t>S</w:t>
      </w:r>
      <w:r>
        <w:rPr>
          <w:rFonts w:ascii="Times New Roman"/>
          <w:sz w:val="24"/>
          <w:szCs w:val="24"/>
          <w:rtl w:val="0"/>
          <w:lang w:val="en-US"/>
        </w:rPr>
        <w:t xml:space="preserve">trabo </w:t>
      </w:r>
      <w:r>
        <w:rPr>
          <w:rFonts w:hAnsi="Times New Roman" w:hint="default"/>
          <w:sz w:val="24"/>
          <w:szCs w:val="24"/>
          <w:rtl w:val="0"/>
          <w:lang w:val="en-US"/>
        </w:rPr>
        <w:t>‘</w:t>
      </w:r>
      <w:r>
        <w:rPr>
          <w:rFonts w:ascii="Times New Roman"/>
          <w:sz w:val="24"/>
          <w:szCs w:val="24"/>
          <w:rtl w:val="0"/>
          <w:lang w:val="en-US"/>
        </w:rPr>
        <w:t>Geography</w:t>
      </w:r>
      <w:r>
        <w:rPr>
          <w:rFonts w:hAnsi="Times New Roman" w:hint="default"/>
          <w:sz w:val="24"/>
          <w:szCs w:val="24"/>
          <w:rtl w:val="0"/>
          <w:lang w:val="en-US"/>
        </w:rPr>
        <w:t xml:space="preserve">’ </w:t>
      </w:r>
      <w:r>
        <w:rPr>
          <w:rFonts w:ascii="Times New Roman"/>
          <w:sz w:val="24"/>
          <w:szCs w:val="24"/>
          <w:rtl w:val="0"/>
          <w:lang w:val="en-US"/>
        </w:rPr>
        <w:t xml:space="preserve">(trans) Falconer. W Penguin Books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Tacitus, The Annals of Imperial Rome. M. Grant (Trans.). 1956. Middlesex: Penguin Books Ltd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Livy, History of Rome, Rev Canon Roberts (Trans)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Res Gestae Divi Augusti</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Archaeological Collections</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Roman Inscriptions of Britain</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Hunt A.S &amp; Edgar. C.C 1934  </w:t>
      </w:r>
      <w:r>
        <w:rPr>
          <w:rFonts w:hAnsi="Times New Roman" w:hint="default"/>
          <w:sz w:val="24"/>
          <w:szCs w:val="24"/>
          <w:rtl w:val="0"/>
          <w:lang w:val="en-US"/>
        </w:rPr>
        <w:t>‘</w:t>
      </w:r>
      <w:r>
        <w:rPr>
          <w:rFonts w:ascii="Times New Roman"/>
          <w:sz w:val="24"/>
          <w:szCs w:val="24"/>
          <w:rtl w:val="0"/>
          <w:lang w:val="en-US"/>
        </w:rPr>
        <w:t>Select Papyri</w:t>
      </w:r>
      <w:r>
        <w:rPr>
          <w:rFonts w:hAnsi="Times New Roman" w:hint="default"/>
          <w:sz w:val="24"/>
          <w:szCs w:val="24"/>
          <w:rtl w:val="0"/>
          <w:lang w:val="en-US"/>
        </w:rPr>
        <w:t xml:space="preserve">’ </w:t>
      </w:r>
      <w:r>
        <w:rPr>
          <w:rFonts w:ascii="Times New Roman"/>
          <w:sz w:val="24"/>
          <w:szCs w:val="24"/>
          <w:rtl w:val="0"/>
          <w:lang w:val="en-US"/>
        </w:rPr>
        <w:t>Volume II Loeb Classical Library</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Vindolanda Tablets- </w:t>
      </w:r>
      <w:hyperlink r:id="rId12" w:history="1">
        <w:r>
          <w:rPr>
            <w:rStyle w:val="Hyperlink.0"/>
            <w:rFonts w:ascii="Times New Roman"/>
            <w:sz w:val="24"/>
            <w:szCs w:val="24"/>
            <w:rtl w:val="0"/>
            <w:lang w:val="en-US"/>
          </w:rPr>
          <w:t>vindolanda.org.uk</w:t>
        </w:r>
      </w:hyperlink>
      <w:r>
        <w:rPr>
          <w:rFonts w:ascii="Times New Roman"/>
          <w:sz w:val="24"/>
          <w:szCs w:val="24"/>
          <w:rtl w:val="0"/>
          <w:lang w:val="en-US"/>
        </w:rPr>
        <w:t xml:space="preserve">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Modern Scholarship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Beard, M and Crawford, M. 2011. Rome in the Late Republic. Bristol: Bristol Classical Press.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Bowman, A, K. 1994. Life and Letters on the Roman Frontier. London: The British Museum Company Ltd.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Breeze, D, J and Dobson, B. 1977. Hadrian</w:t>
      </w:r>
      <w:r>
        <w:rPr>
          <w:rFonts w:hAnsi="Times New Roman" w:hint="default"/>
          <w:sz w:val="24"/>
          <w:szCs w:val="24"/>
          <w:rtl w:val="0"/>
        </w:rPr>
        <w:t>’</w:t>
      </w:r>
      <w:r>
        <w:rPr>
          <w:rFonts w:ascii="Times New Roman"/>
          <w:sz w:val="24"/>
          <w:szCs w:val="24"/>
          <w:rtl w:val="0"/>
          <w:lang w:val="en-US"/>
        </w:rPr>
        <w:t xml:space="preserve">s Wall. London: Penguin Books Ltd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Caspari. M, O .B </w:t>
      </w:r>
      <w:r>
        <w:rPr>
          <w:rFonts w:hAnsi="Times New Roman" w:hint="default"/>
          <w:sz w:val="24"/>
          <w:szCs w:val="24"/>
          <w:rtl w:val="0"/>
          <w:lang w:val="en-US"/>
        </w:rPr>
        <w:t>‘</w:t>
      </w:r>
      <w:r>
        <w:rPr>
          <w:rFonts w:ascii="Times New Roman"/>
          <w:sz w:val="24"/>
          <w:szCs w:val="24"/>
          <w:rtl w:val="0"/>
          <w:lang w:val="en-US"/>
        </w:rPr>
        <w:t>Battle of Lake Trasimene</w:t>
      </w:r>
      <w:r>
        <w:rPr>
          <w:rFonts w:hAnsi="Times New Roman" w:hint="default"/>
          <w:sz w:val="24"/>
          <w:szCs w:val="24"/>
          <w:rtl w:val="0"/>
          <w:lang w:val="en-US"/>
        </w:rPr>
        <w:t xml:space="preserve">’ </w:t>
      </w:r>
      <w:r>
        <w:rPr>
          <w:rFonts w:ascii="Times New Roman"/>
          <w:sz w:val="24"/>
          <w:szCs w:val="24"/>
          <w:rtl w:val="0"/>
          <w:lang w:val="en-US"/>
        </w:rPr>
        <w:t>English Historical Review 1910 Vol. 25 pp. 417-430</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Champion, C, B. 2004. Roman Imperialism: Readings and Sources. Oxford: Blackwell Publishing Ltd.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De Bruin. R 2015 </w:t>
      </w:r>
      <w:r>
        <w:rPr>
          <w:rFonts w:hAnsi="Times New Roman" w:hint="default"/>
          <w:sz w:val="24"/>
          <w:szCs w:val="24"/>
          <w:rtl w:val="0"/>
          <w:lang w:val="en-US"/>
        </w:rPr>
        <w:t>‘</w:t>
      </w:r>
      <w:r>
        <w:rPr>
          <w:rFonts w:ascii="Times New Roman"/>
          <w:sz w:val="24"/>
          <w:szCs w:val="24"/>
          <w:rtl w:val="0"/>
          <w:lang w:val="en-US"/>
        </w:rPr>
        <w:t>The Roman Frontier on the Rhine: the role of museums in revitalising an historical landscape</w:t>
      </w:r>
      <w:r>
        <w:rPr>
          <w:rFonts w:hAnsi="Times New Roman" w:hint="default"/>
          <w:sz w:val="24"/>
          <w:szCs w:val="24"/>
          <w:rtl w:val="0"/>
          <w:lang w:val="en-US"/>
        </w:rPr>
        <w:t>’</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Eckstein. M. A 2006 </w:t>
      </w:r>
      <w:r>
        <w:rPr>
          <w:rFonts w:hAnsi="Times New Roman" w:hint="default"/>
          <w:sz w:val="24"/>
          <w:szCs w:val="24"/>
          <w:rtl w:val="0"/>
          <w:lang w:val="en-US"/>
        </w:rPr>
        <w:t>‘</w:t>
      </w:r>
      <w:r>
        <w:rPr>
          <w:rFonts w:ascii="Times New Roman"/>
          <w:sz w:val="24"/>
          <w:szCs w:val="24"/>
          <w:rtl w:val="0"/>
          <w:lang w:val="en-US"/>
        </w:rPr>
        <w:t>Mediterranean anarchy, interstate war and the rise of Rome</w:t>
      </w:r>
      <w:r>
        <w:rPr>
          <w:rFonts w:hAnsi="Times New Roman" w:hint="default"/>
          <w:sz w:val="24"/>
          <w:szCs w:val="24"/>
          <w:rtl w:val="0"/>
          <w:lang w:val="en-US"/>
        </w:rPr>
        <w:t xml:space="preserve">’ </w:t>
      </w:r>
      <w:r>
        <w:rPr>
          <w:rFonts w:ascii="Times New Roman"/>
          <w:sz w:val="24"/>
          <w:szCs w:val="24"/>
          <w:rtl w:val="0"/>
          <w:lang w:val="en-US"/>
        </w:rPr>
        <w:t>University of California Press</w:t>
      </w:r>
    </w:p>
    <w:p>
      <w:pPr>
        <w:pStyle w:val="Footnote"/>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Freezouls. Ed </w:t>
      </w:r>
      <w:r>
        <w:rPr>
          <w:rFonts w:hAnsi="Times New Roman" w:hint="default"/>
          <w:sz w:val="24"/>
          <w:szCs w:val="24"/>
          <w:rtl w:val="0"/>
          <w:lang w:val="en-US"/>
        </w:rPr>
        <w:t>‘</w:t>
      </w:r>
      <w:r>
        <w:rPr>
          <w:rFonts w:ascii="Times New Roman"/>
          <w:sz w:val="24"/>
          <w:szCs w:val="24"/>
          <w:rtl w:val="0"/>
          <w:lang w:val="en-US"/>
        </w:rPr>
        <w:t>Les Fluctuions de la fronti</w:t>
      </w:r>
      <w:r>
        <w:rPr>
          <w:rFonts w:hAnsi="Times New Roman" w:hint="default"/>
          <w:sz w:val="24"/>
          <w:szCs w:val="24"/>
          <w:rtl w:val="0"/>
          <w:lang w:val="en-US"/>
        </w:rPr>
        <w:t>è</w:t>
      </w:r>
      <w:r>
        <w:rPr>
          <w:rFonts w:ascii="Times New Roman"/>
          <w:sz w:val="24"/>
          <w:szCs w:val="24"/>
          <w:rtl w:val="0"/>
          <w:lang w:val="en-US"/>
        </w:rPr>
        <w:t>re Orientale de l</w:t>
      </w:r>
      <w:r>
        <w:rPr>
          <w:rFonts w:hAnsi="Times New Roman" w:hint="default"/>
          <w:sz w:val="24"/>
          <w:szCs w:val="24"/>
          <w:rtl w:val="0"/>
          <w:lang w:val="en-US"/>
        </w:rPr>
        <w:t xml:space="preserve">’ </w:t>
      </w:r>
      <w:r>
        <w:rPr>
          <w:rFonts w:ascii="Times New Roman"/>
          <w:sz w:val="24"/>
          <w:szCs w:val="24"/>
          <w:rtl w:val="0"/>
          <w:lang w:val="en-US"/>
        </w:rPr>
        <w:t>Empire Romain</w:t>
      </w:r>
      <w:r>
        <w:rPr>
          <w:rFonts w:hAnsi="Times New Roman" w:hint="default"/>
          <w:sz w:val="24"/>
          <w:szCs w:val="24"/>
          <w:rtl w:val="0"/>
          <w:lang w:val="en-US"/>
        </w:rPr>
        <w:t xml:space="preserve">’ </w:t>
      </w:r>
      <w:r>
        <w:rPr>
          <w:rFonts w:ascii="Times New Roman"/>
          <w:sz w:val="24"/>
          <w:szCs w:val="24"/>
          <w:rtl w:val="0"/>
          <w:lang w:val="en-US"/>
        </w:rPr>
        <w:t>La Geographie Administrative et Politique d</w:t>
      </w:r>
      <w:r>
        <w:rPr>
          <w:rFonts w:hAnsi="Times New Roman" w:hint="default"/>
          <w:sz w:val="24"/>
          <w:szCs w:val="24"/>
          <w:rtl w:val="0"/>
          <w:lang w:val="en-US"/>
        </w:rPr>
        <w:t>’</w:t>
      </w:r>
      <w:r>
        <w:rPr>
          <w:rFonts w:ascii="Times New Roman"/>
          <w:sz w:val="24"/>
          <w:szCs w:val="24"/>
          <w:rtl w:val="0"/>
          <w:lang w:val="en-US"/>
        </w:rPr>
        <w:t xml:space="preserve">Alexandre </w:t>
      </w:r>
      <w:r>
        <w:rPr>
          <w:rFonts w:hAnsi="Times New Roman" w:hint="default"/>
          <w:sz w:val="24"/>
          <w:szCs w:val="24"/>
          <w:rtl w:val="0"/>
          <w:lang w:val="en-US"/>
        </w:rPr>
        <w:t xml:space="preserve">à </w:t>
      </w:r>
      <w:r>
        <w:rPr>
          <w:rFonts w:ascii="Times New Roman"/>
          <w:sz w:val="24"/>
          <w:szCs w:val="24"/>
          <w:rtl w:val="0"/>
          <w:lang w:val="en-US"/>
        </w:rPr>
        <w:t>Mahometm June 14-16 1979 Universit</w:t>
      </w:r>
      <w:r>
        <w:rPr>
          <w:rFonts w:hAnsi="Times New Roman" w:hint="default"/>
          <w:sz w:val="24"/>
          <w:szCs w:val="24"/>
          <w:rtl w:val="0"/>
          <w:lang w:val="en-US"/>
        </w:rPr>
        <w:t xml:space="preserve">é  </w:t>
      </w:r>
      <w:r>
        <w:rPr>
          <w:rFonts w:ascii="Times New Roman"/>
          <w:sz w:val="24"/>
          <w:szCs w:val="24"/>
          <w:rtl w:val="0"/>
          <w:lang w:val="en-US"/>
        </w:rPr>
        <w:t>des sciences humines de Strasborg (Leiden 1981)</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Goldsworthy, A. 1996. The Roman Army at War 100BC-200AD. Oxford: Oxford University Press.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Hirt. A.M 2010 </w:t>
      </w:r>
      <w:r>
        <w:rPr>
          <w:rFonts w:hAnsi="Times New Roman" w:hint="default"/>
          <w:sz w:val="24"/>
          <w:szCs w:val="24"/>
          <w:rtl w:val="0"/>
          <w:lang w:val="en-US"/>
        </w:rPr>
        <w:t>‘</w:t>
      </w:r>
      <w:r>
        <w:rPr>
          <w:rFonts w:ascii="Times New Roman"/>
          <w:sz w:val="24"/>
          <w:szCs w:val="24"/>
          <w:rtl w:val="0"/>
          <w:lang w:val="en-US"/>
        </w:rPr>
        <w:t>Imperial mines and Quarries in the Roman world; organisational aspects 27BC- 223 AD</w:t>
      </w:r>
      <w:r>
        <w:rPr>
          <w:rFonts w:hAnsi="Times New Roman" w:hint="default"/>
          <w:sz w:val="24"/>
          <w:szCs w:val="24"/>
          <w:rtl w:val="0"/>
          <w:lang w:val="en-US"/>
        </w:rPr>
        <w:t xml:space="preserve">’ </w:t>
      </w:r>
      <w:r>
        <w:rPr>
          <w:rFonts w:ascii="Times New Roman"/>
          <w:sz w:val="24"/>
          <w:szCs w:val="24"/>
          <w:rtl w:val="0"/>
          <w:lang w:val="en-US"/>
        </w:rPr>
        <w:t>Oxford University Press</w:t>
      </w:r>
    </w:p>
    <w:p>
      <w:pPr>
        <w:pStyle w:val="Footnote"/>
        <w:rPr>
          <w:rFonts w:ascii="Times New Roman" w:cs="Times New Roman" w:hAnsi="Times New Roman" w:eastAsia="Times New Roman"/>
        </w:rPr>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Holder, P, A. 1982. The Roman Army in Britain. Essex: The Anchor Press Ltd.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Hunt A.S &amp; Edgar. C.C 1934  </w:t>
      </w:r>
      <w:r>
        <w:rPr>
          <w:rFonts w:hAnsi="Times New Roman" w:hint="default"/>
          <w:sz w:val="24"/>
          <w:szCs w:val="24"/>
          <w:rtl w:val="0"/>
          <w:lang w:val="en-US"/>
        </w:rPr>
        <w:t>‘</w:t>
      </w:r>
      <w:r>
        <w:rPr>
          <w:rFonts w:ascii="Times New Roman"/>
          <w:sz w:val="24"/>
          <w:szCs w:val="24"/>
          <w:rtl w:val="0"/>
          <w:lang w:val="en-US"/>
        </w:rPr>
        <w:t>Select Papyri</w:t>
      </w:r>
      <w:r>
        <w:rPr>
          <w:rFonts w:hAnsi="Times New Roman" w:hint="default"/>
          <w:sz w:val="24"/>
          <w:szCs w:val="24"/>
          <w:rtl w:val="0"/>
          <w:lang w:val="en-US"/>
        </w:rPr>
        <w:t xml:space="preserve">’ </w:t>
      </w:r>
      <w:r>
        <w:rPr>
          <w:rFonts w:ascii="Times New Roman"/>
          <w:sz w:val="24"/>
          <w:szCs w:val="24"/>
          <w:rtl w:val="0"/>
          <w:lang w:val="en-US"/>
        </w:rPr>
        <w:t>Volume II Loeb Classical Library</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nl-NL"/>
        </w:rPr>
        <w:t xml:space="preserve">Kooistra, M, K. 2013. </w:t>
      </w:r>
      <w:r>
        <w:rPr>
          <w:rFonts w:hAnsi="Times New Roman" w:hint="default"/>
          <w:sz w:val="24"/>
          <w:szCs w:val="24"/>
          <w:rtl w:val="0"/>
        </w:rPr>
        <w:t>‘</w:t>
      </w:r>
      <w:r>
        <w:rPr>
          <w:rFonts w:ascii="Times New Roman"/>
          <w:sz w:val="24"/>
          <w:szCs w:val="24"/>
          <w:rtl w:val="0"/>
          <w:lang w:val="en-US"/>
        </w:rPr>
        <w:t>Could the local population of the Lower Rhine delta supply the Roman army?</w:t>
      </w:r>
      <w:r>
        <w:rPr>
          <w:rFonts w:hAnsi="Times New Roman" w:hint="default"/>
          <w:sz w:val="24"/>
          <w:szCs w:val="24"/>
          <w:rtl w:val="0"/>
        </w:rPr>
        <w:t xml:space="preserve">’ </w:t>
      </w:r>
      <w:r>
        <w:rPr>
          <w:rFonts w:ascii="Times New Roman"/>
          <w:sz w:val="24"/>
          <w:szCs w:val="24"/>
          <w:rtl w:val="0"/>
          <w:lang w:val="en-US"/>
        </w:rPr>
        <w:t xml:space="preserve">Modelling the carrying capacity using archaeological, palaeo-ecological and geomorphological data. 1, 1-46.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Luttwak, E, N. 1976.  The Grand Strategy of the Roman Empire: From the First Century AD to the Third. London: The John Hopkins Press Ltd.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 xml:space="preserve">Mann J.C  1974 </w:t>
      </w:r>
      <w:r>
        <w:rPr>
          <w:rFonts w:hAnsi="Times New Roman" w:hint="default"/>
          <w:sz w:val="24"/>
          <w:szCs w:val="24"/>
          <w:rtl w:val="0"/>
          <w:lang w:val="en-US"/>
        </w:rPr>
        <w:t>‘</w:t>
      </w:r>
      <w:r>
        <w:rPr>
          <w:rFonts w:ascii="Times New Roman"/>
          <w:sz w:val="24"/>
          <w:szCs w:val="24"/>
          <w:rtl w:val="0"/>
          <w:lang w:val="en-US"/>
        </w:rPr>
        <w:t>The Frontiers of the Roman Principate</w:t>
      </w:r>
      <w:r>
        <w:rPr>
          <w:rFonts w:hAnsi="Times New Roman" w:hint="default"/>
          <w:sz w:val="24"/>
          <w:szCs w:val="24"/>
          <w:rtl w:val="0"/>
          <w:lang w:val="en-US"/>
        </w:rPr>
        <w:t xml:space="preserve">’ </w:t>
      </w:r>
      <w:r>
        <w:rPr>
          <w:rFonts w:ascii="Times New Roman"/>
          <w:i w:val="1"/>
          <w:iCs w:val="1"/>
          <w:sz w:val="24"/>
          <w:szCs w:val="24"/>
          <w:rtl w:val="0"/>
          <w:lang w:val="en-US"/>
        </w:rPr>
        <w:t>Aufsteif und Neidergang der R</w:t>
      </w:r>
      <w:r>
        <w:rPr>
          <w:rFonts w:hAnsi="Times New Roman" w:hint="default"/>
          <w:i w:val="1"/>
          <w:iCs w:val="1"/>
          <w:sz w:val="24"/>
          <w:szCs w:val="24"/>
          <w:rtl w:val="0"/>
          <w:lang w:val="en-US"/>
        </w:rPr>
        <w:t>ö</w:t>
      </w:r>
      <w:r>
        <w:rPr>
          <w:rFonts w:ascii="Times New Roman"/>
          <w:i w:val="1"/>
          <w:iCs w:val="1"/>
          <w:sz w:val="24"/>
          <w:szCs w:val="24"/>
          <w:rtl w:val="0"/>
          <w:lang w:val="en-US"/>
        </w:rPr>
        <w:t xml:space="preserve">mischen welt II  Principat I </w:t>
      </w:r>
      <w:r>
        <w:rPr>
          <w:rFonts w:ascii="Times New Roman"/>
          <w:sz w:val="24"/>
          <w:szCs w:val="24"/>
          <w:rtl w:val="0"/>
          <w:lang w:val="en-US"/>
        </w:rPr>
        <w:t>(ed.) Temporoni. H</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Mattingly, H. 1968. Roman Imperial Coinage, Vol I: Augustus to Vitellius. London: Spink &amp; Son Ltd.  </w:t>
      </w:r>
    </w:p>
    <w:p>
      <w:pPr>
        <w:pStyle w:val="Body 3"/>
        <w:rPr>
          <w:rFonts w:ascii="Times New Roman" w:cs="Times New Roman" w:hAnsi="Times New Roman" w:eastAsia="Times New Roman"/>
          <w:sz w:val="24"/>
          <w:szCs w:val="24"/>
        </w:rPr>
      </w:pPr>
    </w:p>
    <w:p>
      <w:pPr>
        <w:pStyle w:val="Footnote"/>
        <w:rPr>
          <w:rFonts w:ascii="Times New Roman" w:cs="Times New Roman" w:hAnsi="Times New Roman" w:eastAsia="Times New Roman"/>
          <w:sz w:val="24"/>
          <w:szCs w:val="24"/>
        </w:rPr>
      </w:pPr>
      <w:r>
        <w:rPr>
          <w:rFonts w:ascii="Times New Roman"/>
          <w:sz w:val="24"/>
          <w:szCs w:val="24"/>
          <w:rtl w:val="0"/>
          <w:lang w:val="en-US"/>
        </w:rPr>
        <w:t>Negri, A. and M. Hardt, 2000. Empire, Cambridge, Mass ; London: Harvard University Press</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Okun, M, L. 1989. The Early Roman Frontier in the Upper Rhine Are: Assimilation and Acculturation on a Roman Frontier. Oxford: B.A.R Publications.  </w:t>
      </w: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p>
    <w:p>
      <w:pPr>
        <w:pStyle w:val="Body 3"/>
        <w:rPr>
          <w:rFonts w:ascii="Times New Roman" w:cs="Times New Roman" w:hAnsi="Times New Roman" w:eastAsia="Times New Roman"/>
          <w:sz w:val="24"/>
          <w:szCs w:val="24"/>
        </w:rPr>
      </w:pPr>
      <w:r>
        <w:rPr>
          <w:rFonts w:ascii="Times New Roman"/>
          <w:sz w:val="24"/>
          <w:szCs w:val="24"/>
          <w:rtl w:val="0"/>
          <w:lang w:val="en-US"/>
        </w:rPr>
        <w:t xml:space="preserve">Whittaker, C, R. 2008. Rome and its Frontiers: The Dynamics of Empire. London: Routledge.  </w:t>
      </w:r>
    </w:p>
    <w:p>
      <w:pPr>
        <w:pStyle w:val="Body 3"/>
        <w:bidi w:val="0"/>
      </w:pPr>
    </w:p>
    <w:p>
      <w:pPr>
        <w:pStyle w:val="Body 3"/>
        <w:bidi w:val="0"/>
      </w:pPr>
      <w:r>
        <w:rPr>
          <w:rFonts w:ascii="Helvetica" w:cs="Arial Unicode MS" w:hAnsi="Arial Unicode MS" w:eastAsia="Arial Unicode MS"/>
          <w:rtl w:val="0"/>
        </w:rPr>
        <w:t xml:space="preserve"> </w:t>
      </w:r>
    </w:p>
    <w:sectPr>
      <w:headerReference w:type="default" r:id="rId13"/>
      <w:footerReference w:type="default" r:id="rId14"/>
      <w:pgSz w:w="11900" w:h="16840" w:orient="portrait"/>
      <w:pgMar w:top="1440" w:right="1247" w:bottom="1440" w:left="1247" w:header="720" w:footer="86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703"/>
        <w:tab w:val="right" w:pos="9406"/>
        <w:tab w:val="clear" w:pos="9020"/>
      </w:tabs>
      <w:jc w:val="left"/>
    </w:pPr>
    <w:r>
      <w:rPr/>
      <w:fldChar w:fldCharType="begin" w:fldLock="0"/>
    </w:r>
    <w:r>
      <w:t xml:space="preserve"> PAGE </w:t>
    </w:r>
    <w:r>
      <w:rPr/>
      <w:fldChar w:fldCharType="separate" w:fldLock="0"/>
    </w:r>
    <w:r>
      <w:t>9</w:t>
    </w:r>
    <w:r>
      <w:rPr/>
      <w:fldChar w:fldCharType="end" w:fldLock="0"/>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tabs>
        <w:tab w:val="center" w:pos="4703"/>
        <w:tab w:val="right" w:pos="9406"/>
        <w:tab w:val="clear" w:pos="9020"/>
      </w:tabs>
      <w:jc w:val="left"/>
    </w:pPr>
    <w:r>
      <w:rPr/>
      <w:fldChar w:fldCharType="begin" w:fldLock="0"/>
    </w:r>
    <w:r>
      <w:t xml:space="preserve"> PAGE </w:t>
    </w:r>
    <w:r>
      <w:rPr/>
      <w:fldChar w:fldCharType="separate" w:fldLock="0"/>
    </w:r>
    <w:r>
      <w:t>38</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pPr>
      <w:r>
        <w:rPr>
          <w:rFonts w:ascii="Times New Roman" w:cs="Times New Roman" w:hAnsi="Times New Roman" w:eastAsia="Times New Roman"/>
          <w:vertAlign w:val="superscript"/>
        </w:rPr>
        <w:footnoteRef/>
      </w:r>
      <w:r>
        <w:rPr>
          <w:rFonts w:ascii="Times New Roman"/>
          <w:rtl w:val="0"/>
          <w:lang w:val="en-US"/>
        </w:rPr>
        <w:t xml:space="preserve"> Homer </w:t>
      </w:r>
      <w:r>
        <w:rPr>
          <w:rFonts w:hAnsi="Times New Roman" w:hint="default"/>
          <w:rtl w:val="0"/>
        </w:rPr>
        <w:t>‘</w:t>
      </w:r>
      <w:r>
        <w:rPr>
          <w:rFonts w:ascii="Times New Roman"/>
          <w:rtl w:val="0"/>
          <w:lang w:val="pt-PT"/>
        </w:rPr>
        <w:t>Illiad</w:t>
      </w:r>
      <w:r>
        <w:rPr>
          <w:rFonts w:hAnsi="Times New Roman" w:hint="default"/>
          <w:rtl w:val="0"/>
        </w:rPr>
        <w:t xml:space="preserve">’ </w:t>
      </w:r>
      <w:r>
        <w:rPr>
          <w:rFonts w:ascii="Times New Roman"/>
          <w:rtl w:val="0"/>
          <w:lang w:val="en-US"/>
        </w:rPr>
        <w:t>Book XII 4-5 Trans. Chaplain. G. Wordsworth Classics 2003</w:t>
      </w:r>
    </w:p>
  </w:footnote>
  <w:footnote w:id="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Homer </w:t>
      </w:r>
      <w:r>
        <w:rPr>
          <w:rFonts w:hAnsi="Times New Roman" w:hint="default"/>
          <w:rtl w:val="0"/>
          <w:lang w:val="en-US"/>
        </w:rPr>
        <w:t>‘</w:t>
      </w:r>
      <w:r>
        <w:rPr>
          <w:rFonts w:ascii="Times New Roman"/>
          <w:rtl w:val="0"/>
          <w:lang w:val="en-US"/>
        </w:rPr>
        <w:t>Illiad</w:t>
      </w:r>
      <w:r>
        <w:rPr>
          <w:rFonts w:hAnsi="Times New Roman" w:hint="default"/>
          <w:rtl w:val="0"/>
          <w:lang w:val="en-US"/>
        </w:rPr>
        <w:t xml:space="preserve">’ </w:t>
      </w:r>
      <w:r>
        <w:rPr>
          <w:rFonts w:ascii="Times New Roman"/>
          <w:rtl w:val="0"/>
          <w:lang w:val="en-US"/>
        </w:rPr>
        <w:t>Book XII. 4-5</w:t>
      </w:r>
    </w:p>
  </w:footnote>
  <w:footnote w:id="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w:t>
      </w:r>
      <w:r>
        <w:rPr>
          <w:rFonts w:hAnsi="Times New Roman" w:hint="default"/>
          <w:rtl w:val="0"/>
          <w:lang w:val="en-US"/>
        </w:rPr>
        <w:t>‘</w:t>
      </w:r>
      <w:r>
        <w:rPr>
          <w:rFonts w:ascii="Times New Roman"/>
          <w:rtl w:val="0"/>
          <w:lang w:val="en-US"/>
        </w:rPr>
        <w:t>Roman Imperialism: Readings and Sources</w:t>
      </w:r>
      <w:r>
        <w:rPr>
          <w:rFonts w:hAnsi="Times New Roman" w:hint="default"/>
          <w:rtl w:val="0"/>
          <w:lang w:val="en-US"/>
        </w:rPr>
        <w:t>’</w:t>
      </w:r>
      <w:r>
        <w:rPr>
          <w:rFonts w:ascii="Times New Roman"/>
          <w:rtl w:val="0"/>
          <w:lang w:val="en-US"/>
        </w:rPr>
        <w:t>. Blackwell Publishing p.2</w:t>
      </w:r>
    </w:p>
  </w:footnote>
  <w:footnote w:id="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p2</w:t>
      </w:r>
    </w:p>
  </w:footnote>
  <w:footnote w:id="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p2</w:t>
      </w:r>
    </w:p>
  </w:footnote>
  <w:footnote w:id="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p3</w:t>
      </w:r>
    </w:p>
  </w:footnote>
  <w:footnote w:id="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Lenin.V.I 1920 </w:t>
      </w:r>
      <w:r>
        <w:rPr>
          <w:rFonts w:hAnsi="Times New Roman" w:hint="default"/>
          <w:rtl w:val="0"/>
          <w:lang w:val="en-US"/>
        </w:rPr>
        <w:t>‘</w:t>
      </w:r>
      <w:r>
        <w:rPr>
          <w:rFonts w:ascii="Times New Roman"/>
          <w:rtl w:val="0"/>
          <w:lang w:val="en-US"/>
        </w:rPr>
        <w:t>Imperialism; The Highest form of Capitalism</w:t>
      </w:r>
      <w:r>
        <w:rPr>
          <w:rFonts w:hAnsi="Times New Roman" w:hint="default"/>
          <w:rtl w:val="0"/>
          <w:lang w:val="en-US"/>
        </w:rPr>
        <w:t xml:space="preserve">’ </w:t>
      </w:r>
      <w:r>
        <w:rPr>
          <w:rFonts w:ascii="Times New Roman"/>
          <w:rtl w:val="0"/>
          <w:lang w:val="en-US"/>
        </w:rPr>
        <w:t xml:space="preserve">New York, repr. 1985 and Hobson. J.A  1902 </w:t>
      </w:r>
      <w:r>
        <w:rPr>
          <w:rFonts w:hAnsi="Times New Roman" w:hint="default"/>
          <w:rtl w:val="0"/>
          <w:lang w:val="en-US"/>
        </w:rPr>
        <w:t>‘</w:t>
      </w:r>
      <w:r>
        <w:rPr>
          <w:rFonts w:ascii="Times New Roman"/>
          <w:rtl w:val="0"/>
          <w:lang w:val="en-US"/>
        </w:rPr>
        <w:t>Imperialism; A Study</w:t>
      </w:r>
      <w:r>
        <w:rPr>
          <w:rFonts w:hAnsi="Times New Roman" w:hint="default"/>
          <w:rtl w:val="0"/>
          <w:lang w:val="en-US"/>
        </w:rPr>
        <w:t xml:space="preserve">’ </w:t>
      </w:r>
      <w:r>
        <w:rPr>
          <w:rFonts w:ascii="Times New Roman"/>
          <w:rtl w:val="0"/>
          <w:lang w:val="en-US"/>
        </w:rPr>
        <w:t xml:space="preserve">London in Eckstein. M. A 2006 </w:t>
      </w:r>
      <w:r>
        <w:rPr>
          <w:rFonts w:hAnsi="Times New Roman" w:hint="default"/>
          <w:rtl w:val="0"/>
        </w:rPr>
        <w:t>‘</w:t>
      </w:r>
      <w:r>
        <w:rPr>
          <w:rFonts w:ascii="Times New Roman"/>
          <w:rtl w:val="0"/>
          <w:lang w:val="en-US"/>
        </w:rPr>
        <w:t>Mediterranean anarchy, interstate war; and the rise of Rome</w:t>
      </w:r>
      <w:r>
        <w:rPr>
          <w:rFonts w:hAnsi="Times New Roman" w:hint="default"/>
          <w:rtl w:val="0"/>
        </w:rPr>
        <w:t xml:space="preserve">’ </w:t>
      </w:r>
      <w:r>
        <w:rPr>
          <w:rFonts w:ascii="Times New Roman"/>
          <w:rtl w:val="0"/>
          <w:lang w:val="en-US"/>
        </w:rPr>
        <w:t>University of California Press, London, England</w:t>
      </w:r>
      <w:r>
        <w:rPr>
          <w:rFonts w:ascii="Times New Roman"/>
          <w:rtl w:val="0"/>
          <w:lang w:val="en-US"/>
        </w:rPr>
        <w:t xml:space="preserve"> p.4 &amp; Champion 2004 p.4</w:t>
      </w:r>
    </w:p>
  </w:footnote>
  <w:footnote w:id="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Lenin 1920 &amp; Hobson 1902 in Champion.C 2004 </w:t>
      </w:r>
    </w:p>
  </w:footnote>
  <w:footnote w:id="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p2 </w:t>
      </w:r>
    </w:p>
  </w:footnote>
  <w:footnote w:id="1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For good examples see evidence of lucrative campaigns being carried out during the 1st and 2nd Century AD- Namely the successful campaigns of Caracalla, subsequently depleting regions of precious metals after his legions are victorious in the besiegement of a city. Here it would be also appropriate to point out that the prospect of plunder and booty in the Ancient world was most likely a significant factor in recruitment for the Army. </w:t>
      </w:r>
    </w:p>
  </w:footnote>
  <w:footnote w:id="1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See </w:t>
      </w:r>
      <w:r>
        <w:rPr>
          <w:rFonts w:ascii="Times New Roman"/>
          <w:rtl w:val="0"/>
          <w:lang w:val="en-US"/>
        </w:rPr>
        <w:t>Negri, A. and M. Hardt, 2000. Empire, Cambridge, Mass ; London: Harvard University Press</w:t>
      </w:r>
      <w:r>
        <w:rPr>
          <w:rFonts w:ascii="Times New Roman"/>
          <w:rtl w:val="0"/>
          <w:lang w:val="en-US"/>
        </w:rPr>
        <w:t xml:space="preserve"> for complimentary discussion of the imperial condition. </w:t>
      </w:r>
    </w:p>
  </w:footnote>
  <w:footnote w:id="1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Schumpter. J.A 1920 </w:t>
      </w:r>
      <w:r>
        <w:rPr>
          <w:rFonts w:hAnsi="Times New Roman" w:hint="default"/>
          <w:rtl w:val="0"/>
          <w:lang w:val="en-US"/>
        </w:rPr>
        <w:t>‘</w:t>
      </w:r>
      <w:r>
        <w:rPr>
          <w:rFonts w:ascii="Times New Roman"/>
          <w:rtl w:val="0"/>
          <w:lang w:val="en-US"/>
        </w:rPr>
        <w:t>Imperialism and Social Classes</w:t>
      </w:r>
      <w:r>
        <w:rPr>
          <w:rFonts w:hAnsi="Times New Roman" w:hint="default"/>
          <w:rtl w:val="0"/>
          <w:lang w:val="en-US"/>
        </w:rPr>
        <w:t xml:space="preserve">’  </w:t>
      </w:r>
      <w:r>
        <w:rPr>
          <w:rFonts w:ascii="Times New Roman"/>
          <w:rtl w:val="0"/>
          <w:lang w:val="en-US"/>
        </w:rPr>
        <w:t>Archiv f</w:t>
      </w:r>
      <w:r>
        <w:rPr>
          <w:rFonts w:hAnsi="Times New Roman" w:hint="default"/>
          <w:rtl w:val="0"/>
          <w:lang w:val="en-US"/>
        </w:rPr>
        <w:t>ü</w:t>
      </w:r>
      <w:r>
        <w:rPr>
          <w:rFonts w:ascii="Times New Roman"/>
          <w:rtl w:val="0"/>
          <w:lang w:val="en-US"/>
        </w:rPr>
        <w:t>r Sozialwissenschaft und Sozialpolitik Vol.46. T</w:t>
      </w:r>
      <w:r>
        <w:rPr>
          <w:rFonts w:hAnsi="Times New Roman" w:hint="default"/>
          <w:rtl w:val="0"/>
          <w:lang w:val="en-US"/>
        </w:rPr>
        <w:t>ü</w:t>
      </w:r>
      <w:r>
        <w:rPr>
          <w:rFonts w:ascii="Times New Roman"/>
          <w:rtl w:val="0"/>
          <w:lang w:val="en-US"/>
        </w:rPr>
        <w:t>bingen Germany p7</w:t>
      </w:r>
    </w:p>
  </w:footnote>
  <w:footnote w:id="1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p.3</w:t>
      </w:r>
    </w:p>
  </w:footnote>
  <w:footnote w:id="1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p.3 </w:t>
      </w:r>
    </w:p>
  </w:footnote>
  <w:footnote w:id="1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See Luttwak. E. N</w:t>
      </w:r>
      <w:r>
        <w:rPr>
          <w:rFonts w:hAnsi="Times New Roman" w:hint="default"/>
          <w:rtl w:val="0"/>
          <w:lang w:val="en-US"/>
        </w:rPr>
        <w:t>’</w:t>
      </w:r>
      <w:r>
        <w:rPr>
          <w:rFonts w:ascii="Times New Roman"/>
          <w:rtl w:val="0"/>
          <w:lang w:val="en-US"/>
        </w:rPr>
        <w:t>s discussion of the psychological aspects of Roman presence and the implications this may have on inter-state politics during the later republic and early Roman Empire. see also Leonidas</w:t>
      </w:r>
      <w:r>
        <w:rPr>
          <w:rFonts w:hAnsi="Times New Roman" w:hint="default"/>
          <w:rtl w:val="0"/>
          <w:lang w:val="en-US"/>
        </w:rPr>
        <w:t xml:space="preserve">’ </w:t>
      </w:r>
      <w:r>
        <w:rPr>
          <w:rFonts w:ascii="Times New Roman"/>
          <w:rtl w:val="0"/>
          <w:lang w:val="en-US"/>
        </w:rPr>
        <w:t xml:space="preserve">reply to Persian envoy asking the Spartan host to hand over their weapons stating that if the Persians want them they should </w:t>
      </w:r>
      <w:r>
        <w:rPr>
          <w:rFonts w:hAnsi="Times New Roman" w:hint="default"/>
          <w:rtl w:val="0"/>
          <w:lang w:val="en-US"/>
        </w:rPr>
        <w:t>‘</w:t>
      </w:r>
      <w:r>
        <w:rPr>
          <w:rFonts w:ascii="Times New Roman"/>
          <w:rtl w:val="0"/>
          <w:lang w:val="en-US"/>
        </w:rPr>
        <w:t>come and get them</w:t>
      </w:r>
      <w:r>
        <w:rPr>
          <w:rFonts w:hAnsi="Times New Roman" w:hint="default"/>
          <w:rtl w:val="0"/>
          <w:lang w:val="en-US"/>
        </w:rPr>
        <w:t>’</w:t>
      </w:r>
      <w:r>
        <w:rPr>
          <w:rFonts w:ascii="Times New Roman"/>
          <w:rtl w:val="0"/>
          <w:lang w:val="en-US"/>
        </w:rPr>
        <w:t xml:space="preserve">. </w:t>
      </w:r>
    </w:p>
  </w:footnote>
  <w:footnote w:id="1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p.4 </w:t>
      </w:r>
    </w:p>
  </w:footnote>
  <w:footnote w:id="1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Champion.C 2004 p.4</w:t>
      </w:r>
    </w:p>
  </w:footnote>
  <w:footnote w:id="1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p.4</w:t>
      </w:r>
    </w:p>
  </w:footnote>
  <w:footnote w:id="1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p.4</w:t>
      </w:r>
    </w:p>
  </w:footnote>
  <w:footnote w:id="2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This term is being used simply to generalise the complex political happenings which arise in history and ultimately would be categorised under pericentic analytic approach. It should by no means be taken as a complete substitute for a description of inter-state political events which happen to result in annexation etc. </w:t>
      </w:r>
    </w:p>
  </w:footnote>
  <w:footnote w:id="2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p.4 </w:t>
      </w:r>
    </w:p>
  </w:footnote>
  <w:footnote w:id="2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Champion.C 2004 p.4</w:t>
      </w:r>
    </w:p>
  </w:footnote>
  <w:footnote w:id="2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Champion. C 2004 p.4 </w:t>
      </w:r>
    </w:p>
  </w:footnote>
  <w:footnote w:id="2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Eckstein. M. A  2006 p1 </w:t>
      </w:r>
    </w:p>
  </w:footnote>
  <w:footnote w:id="2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Eckstein. M. A 2006 p.1 </w:t>
      </w:r>
    </w:p>
  </w:footnote>
  <w:footnote w:id="2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Eckstein. M. A 2006 </w:t>
      </w:r>
    </w:p>
  </w:footnote>
  <w:footnote w:id="2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pp. 5-6</w:t>
      </w:r>
    </w:p>
  </w:footnote>
  <w:footnote w:id="2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Schumpter. A.J 1957 p.7 </w:t>
      </w:r>
    </w:p>
  </w:footnote>
  <w:footnote w:id="2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See Schumpter A.J 1902 p.7, Hobson. A.J 1902 and Lenin. V.I 1920 in Champion 2004</w:t>
      </w:r>
    </w:p>
  </w:footnote>
  <w:footnote w:id="3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p.4</w:t>
      </w:r>
    </w:p>
  </w:footnote>
  <w:footnote w:id="3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p.4</w:t>
      </w:r>
    </w:p>
  </w:footnote>
  <w:footnote w:id="3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This notion is one which has not been discussed by most leading scholars in this subject and indeed is worthy of mention and further research with this in mind. Notably this observation is lacking from Luttwack 1971, Champion 2004, Dobson and Breeze 1976. However Potter 1992 is the closest to discussing this in depth. </w:t>
      </w:r>
    </w:p>
  </w:footnote>
  <w:footnote w:id="3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C 2004 p.4</w:t>
      </w:r>
    </w:p>
  </w:footnote>
  <w:footnote w:id="3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Luttwak N.E 1971 </w:t>
      </w:r>
      <w:r>
        <w:rPr>
          <w:rFonts w:hAnsi="Times New Roman" w:hint="default"/>
          <w:rtl w:val="0"/>
          <w:lang w:val="en-US"/>
        </w:rPr>
        <w:t>‘</w:t>
      </w:r>
      <w:r>
        <w:rPr>
          <w:rFonts w:ascii="Times New Roman"/>
          <w:rtl w:val="0"/>
          <w:lang w:val="en-US"/>
        </w:rPr>
        <w:t>The Grand Strategy Of The Roman Empire</w:t>
      </w:r>
      <w:r>
        <w:rPr>
          <w:rFonts w:hAnsi="Times New Roman" w:hint="default"/>
          <w:rtl w:val="0"/>
          <w:lang w:val="en-US"/>
        </w:rPr>
        <w:t xml:space="preserve">’  </w:t>
      </w:r>
      <w:r>
        <w:rPr>
          <w:rFonts w:ascii="Times New Roman"/>
          <w:rtl w:val="0"/>
          <w:lang w:val="en-US"/>
        </w:rPr>
        <w:t xml:space="preserve">The John Hopkins University Press. Baltimore and London </w:t>
      </w:r>
    </w:p>
  </w:footnote>
  <w:footnote w:id="3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Whittaker. C.R  2004 </w:t>
      </w:r>
      <w:r>
        <w:rPr>
          <w:rFonts w:hAnsi="Times New Roman" w:hint="default"/>
          <w:rtl w:val="0"/>
          <w:lang w:val="en-US"/>
        </w:rPr>
        <w:t>‘</w:t>
      </w:r>
      <w:r>
        <w:rPr>
          <w:rFonts w:ascii="Times New Roman"/>
          <w:rtl w:val="0"/>
          <w:lang w:val="en-US"/>
        </w:rPr>
        <w:t>Rome And Its Frontiers: The dynamics of Empire</w:t>
      </w:r>
      <w:r>
        <w:rPr>
          <w:rFonts w:hAnsi="Times New Roman" w:hint="default"/>
          <w:rtl w:val="0"/>
          <w:lang w:val="en-US"/>
        </w:rPr>
        <w:t xml:space="preserve">’ </w:t>
      </w:r>
      <w:r>
        <w:rPr>
          <w:rFonts w:ascii="Times New Roman"/>
          <w:rtl w:val="0"/>
          <w:lang w:val="en-US"/>
        </w:rPr>
        <w:t>Routledge London and New York</w:t>
      </w:r>
    </w:p>
  </w:footnote>
  <w:footnote w:id="3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Luttwak 1976 p8 and Map 1.1 of the Empire in AD 23- It is significant to note also that during the Flavian-Severan Dynasties, Vespasian took control of the empire after a stint serving on the Judaean frontiers, which may have been a major contributing factor the foreign border policy during his time as Imperator. </w:t>
      </w:r>
    </w:p>
  </w:footnote>
  <w:footnote w:id="3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Res Gestae Divi Augusti 26 and 29. </w:t>
      </w:r>
    </w:p>
  </w:footnote>
  <w:footnote w:id="3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Valerius Paterculus </w:t>
      </w:r>
      <w:r>
        <w:rPr>
          <w:rFonts w:hAnsi="Times New Roman" w:hint="default"/>
          <w:rtl w:val="0"/>
          <w:lang w:val="en-US"/>
        </w:rPr>
        <w:t>‘</w:t>
      </w:r>
      <w:r>
        <w:rPr>
          <w:rFonts w:ascii="Times New Roman"/>
          <w:rtl w:val="0"/>
          <w:lang w:val="en-US"/>
        </w:rPr>
        <w:t>Roman Histories</w:t>
      </w:r>
      <w:r>
        <w:rPr>
          <w:rFonts w:hAnsi="Times New Roman" w:hint="default"/>
          <w:rtl w:val="0"/>
          <w:lang w:val="en-US"/>
        </w:rPr>
        <w:t xml:space="preserve">’ </w:t>
      </w:r>
      <w:r>
        <w:rPr>
          <w:rFonts w:ascii="Times New Roman"/>
          <w:rtl w:val="0"/>
          <w:lang w:val="en-US"/>
        </w:rPr>
        <w:t>2.119 (Trans) F.W Shipley 1924 Loeb Classical Library</w:t>
      </w:r>
    </w:p>
  </w:footnote>
  <w:footnote w:id="39">
    <w:p>
      <w:pPr>
        <w:pStyle w:val="Footnote"/>
      </w:pPr>
      <w:r>
        <w:rPr>
          <w:rFonts w:ascii="Times New Roman" w:cs="Times New Roman" w:hAnsi="Times New Roman" w:eastAsia="Times New Roman"/>
          <w:vertAlign w:val="superscript"/>
        </w:rPr>
        <w:footnoteRef/>
      </w:r>
      <w:r>
        <w:rPr>
          <w:rFonts w:ascii="Times New Roman"/>
          <w:rtl w:val="0"/>
          <w:lang w:val="en-US"/>
        </w:rPr>
        <w:t xml:space="preserve">Caspari. M, O .B </w:t>
      </w:r>
      <w:r>
        <w:rPr>
          <w:rFonts w:hAnsi="Times New Roman" w:hint="default"/>
          <w:rtl w:val="0"/>
          <w:lang w:val="en-US"/>
        </w:rPr>
        <w:t>‘</w:t>
      </w:r>
      <w:r>
        <w:rPr>
          <w:rFonts w:ascii="Times New Roman"/>
          <w:rtl w:val="0"/>
          <w:lang w:val="en-US"/>
        </w:rPr>
        <w:t>Battle of Lake Trasimene</w:t>
      </w:r>
      <w:r>
        <w:rPr>
          <w:rFonts w:hAnsi="Times New Roman" w:hint="default"/>
          <w:rtl w:val="0"/>
          <w:lang w:val="en-US"/>
        </w:rPr>
        <w:t xml:space="preserve">’ </w:t>
      </w:r>
      <w:r>
        <w:rPr>
          <w:rFonts w:ascii="Times New Roman"/>
          <w:rtl w:val="0"/>
          <w:lang w:val="en-US"/>
        </w:rPr>
        <w:t>English Historical Review 1910 Vol. 25 pp. 417-430</w:t>
      </w:r>
    </w:p>
  </w:footnote>
  <w:footnote w:id="4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Tacitus. </w:t>
      </w:r>
      <w:r>
        <w:rPr>
          <w:rFonts w:hAnsi="Times New Roman" w:hint="default"/>
          <w:rtl w:val="0"/>
          <w:lang w:val="en-US"/>
        </w:rPr>
        <w:t>‘</w:t>
      </w:r>
      <w:r>
        <w:rPr>
          <w:rFonts w:ascii="Times New Roman"/>
          <w:rtl w:val="0"/>
          <w:lang w:val="en-US"/>
        </w:rPr>
        <w:t>Annals</w:t>
      </w:r>
      <w:r>
        <w:rPr>
          <w:rFonts w:hAnsi="Times New Roman" w:hint="default"/>
          <w:rtl w:val="0"/>
          <w:lang w:val="en-US"/>
        </w:rPr>
        <w:t xml:space="preserve">’ </w:t>
      </w:r>
      <w:r>
        <w:rPr>
          <w:rFonts w:ascii="Times New Roman"/>
          <w:rtl w:val="0"/>
          <w:lang w:val="en-US"/>
        </w:rPr>
        <w:t xml:space="preserve">1.11 </w:t>
      </w:r>
    </w:p>
  </w:footnote>
  <w:footnote w:id="4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Whittaker C.R </w:t>
      </w:r>
      <w:r>
        <w:rPr>
          <w:rFonts w:hAnsi="Times New Roman" w:hint="default"/>
          <w:rtl w:val="0"/>
          <w:lang w:val="en-US"/>
        </w:rPr>
        <w:t xml:space="preserve">‘ </w:t>
      </w:r>
      <w:r>
        <w:rPr>
          <w:rFonts w:ascii="Times New Roman"/>
          <w:rtl w:val="0"/>
          <w:lang w:val="en-US"/>
        </w:rPr>
        <w:t xml:space="preserve">2004 Routledge </w:t>
      </w:r>
    </w:p>
  </w:footnote>
  <w:footnote w:id="42">
    <w:p>
      <w:pPr>
        <w:pStyle w:val="Footnote"/>
      </w:pPr>
      <w:r>
        <w:rPr>
          <w:rFonts w:ascii="Times New Roman" w:cs="Times New Roman" w:hAnsi="Times New Roman" w:eastAsia="Times New Roman"/>
          <w:vertAlign w:val="superscript"/>
        </w:rPr>
        <w:footnoteRef/>
      </w:r>
      <w:r>
        <w:rPr>
          <w:rFonts w:ascii="Times New Roman"/>
          <w:rtl w:val="0"/>
          <w:lang w:val="en-US"/>
        </w:rPr>
        <w:t xml:space="preserve">Breeze &amp; Dobson 1976 </w:t>
      </w:r>
      <w:r>
        <w:rPr>
          <w:rFonts w:ascii="Times New Roman"/>
          <w:rtl w:val="0"/>
        </w:rPr>
        <w:t>Hadrian</w:t>
      </w:r>
      <w:r>
        <w:rPr>
          <w:rFonts w:hAnsi="Times New Roman" w:hint="default"/>
          <w:rtl w:val="0"/>
        </w:rPr>
        <w:t>’</w:t>
      </w:r>
      <w:r>
        <w:rPr>
          <w:rFonts w:ascii="Times New Roman"/>
          <w:rtl w:val="0"/>
          <w:lang w:val="de-DE"/>
        </w:rPr>
        <w:t>s Wall</w:t>
      </w:r>
      <w:r>
        <w:rPr>
          <w:rFonts w:hAnsi="Times New Roman" w:hint="default"/>
          <w:rtl w:val="0"/>
        </w:rPr>
        <w:t xml:space="preserve">’ </w:t>
      </w:r>
      <w:r>
        <w:rPr>
          <w:rFonts w:ascii="Times New Roman"/>
          <w:rtl w:val="0"/>
          <w:lang w:val="en-US"/>
        </w:rPr>
        <w:t>Penguin Books</w:t>
      </w:r>
      <w:r>
        <w:rPr>
          <w:rFonts w:ascii="Times New Roman"/>
          <w:rtl w:val="0"/>
          <w:lang w:val="en-US"/>
        </w:rPr>
        <w:t xml:space="preserve"> p.7</w:t>
      </w:r>
    </w:p>
  </w:footnote>
  <w:footnote w:id="4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Breeze &amp; Dobson 1976 </w:t>
      </w:r>
      <w:r>
        <w:rPr>
          <w:rFonts w:hAnsi="Times New Roman" w:hint="default"/>
          <w:rtl w:val="0"/>
          <w:lang w:val="en-US"/>
        </w:rPr>
        <w:t>‘</w:t>
      </w:r>
      <w:r>
        <w:rPr>
          <w:rFonts w:ascii="Times New Roman"/>
          <w:rtl w:val="0"/>
          <w:lang w:val="en-US"/>
        </w:rPr>
        <w:t>p7</w:t>
      </w:r>
    </w:p>
  </w:footnote>
  <w:footnote w:id="4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Whittaker C.R 2004 </w:t>
      </w:r>
    </w:p>
  </w:footnote>
  <w:footnote w:id="4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E.N 1971</w:t>
      </w:r>
    </w:p>
  </w:footnote>
  <w:footnote w:id="4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Goldsworthy. A.K 1996 </w:t>
      </w:r>
      <w:r>
        <w:rPr>
          <w:rFonts w:hAnsi="Times New Roman" w:hint="default"/>
          <w:rtl w:val="0"/>
          <w:lang w:val="en-US"/>
        </w:rPr>
        <w:t>‘</w:t>
      </w:r>
      <w:r>
        <w:rPr>
          <w:rFonts w:ascii="Times New Roman"/>
          <w:rtl w:val="0"/>
          <w:lang w:val="en-US"/>
        </w:rPr>
        <w:t>The Roman Army at War: 100 BC to 200 AD</w:t>
      </w:r>
      <w:r>
        <w:rPr>
          <w:rFonts w:hAnsi="Times New Roman" w:hint="default"/>
          <w:rtl w:val="0"/>
          <w:lang w:val="en-US"/>
        </w:rPr>
        <w:t xml:space="preserve">’ </w:t>
      </w:r>
      <w:r>
        <w:rPr>
          <w:rFonts w:ascii="Times New Roman"/>
          <w:rtl w:val="0"/>
          <w:lang w:val="en-US"/>
        </w:rPr>
        <w:t xml:space="preserve">Claredon press. Oxford p111 </w:t>
      </w:r>
      <w:r>
        <w:rPr>
          <w:rFonts w:ascii="Times New Roman"/>
          <w:i w:val="1"/>
          <w:iCs w:val="1"/>
          <w:rtl w:val="0"/>
          <w:lang w:val="en-US"/>
        </w:rPr>
        <w:t xml:space="preserve">cf. </w:t>
      </w:r>
      <w:r>
        <w:rPr>
          <w:rFonts w:ascii="Times New Roman"/>
          <w:rtl w:val="0"/>
          <w:lang w:val="en-US"/>
        </w:rPr>
        <w:t xml:space="preserve">Virgil </w:t>
      </w:r>
      <w:r>
        <w:rPr>
          <w:rFonts w:hAnsi="Times New Roman" w:hint="default"/>
          <w:rtl w:val="0"/>
          <w:lang w:val="en-US"/>
        </w:rPr>
        <w:t>‘</w:t>
      </w:r>
      <w:r>
        <w:rPr>
          <w:rFonts w:ascii="Times New Roman"/>
          <w:rtl w:val="0"/>
          <w:lang w:val="en-US"/>
        </w:rPr>
        <w:t>The Aeniad</w:t>
      </w:r>
      <w:r>
        <w:rPr>
          <w:rFonts w:hAnsi="Times New Roman" w:hint="default"/>
          <w:rtl w:val="0"/>
          <w:lang w:val="en-US"/>
        </w:rPr>
        <w:t xml:space="preserve">’ </w:t>
      </w:r>
      <w:r>
        <w:rPr>
          <w:rFonts w:ascii="Times New Roman"/>
          <w:rtl w:val="0"/>
          <w:lang w:val="en-US"/>
        </w:rPr>
        <w:t xml:space="preserve">7. 126-9 </w:t>
      </w:r>
    </w:p>
  </w:footnote>
  <w:footnote w:id="4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The usefulness of marching camps is remarked by a number of scholars to have been an instrumental part of the success of the army; see Luttwak 1971 and Cupeca. G 2015 for discussion of Marching camps. Furthermore the importance of the marching camp is reflected by the observations of J.C Mann in Breeze &amp; Dobson 1974. </w:t>
      </w:r>
    </w:p>
  </w:footnote>
  <w:footnote w:id="4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De Bruin. R 2015 </w:t>
      </w:r>
      <w:r>
        <w:rPr>
          <w:rFonts w:hAnsi="Times New Roman" w:hint="default"/>
          <w:rtl w:val="0"/>
          <w:lang w:val="en-US"/>
        </w:rPr>
        <w:t>‘</w:t>
      </w:r>
      <w:r>
        <w:rPr>
          <w:rFonts w:ascii="Times New Roman"/>
          <w:rtl w:val="0"/>
          <w:lang w:val="en-US"/>
        </w:rPr>
        <w:t>The Roman Frontier on the Rhine: the role of museums in revitalising an historical landscape</w:t>
      </w:r>
      <w:r>
        <w:rPr>
          <w:rFonts w:hAnsi="Times New Roman" w:hint="default"/>
          <w:rtl w:val="0"/>
          <w:lang w:val="en-US"/>
        </w:rPr>
        <w:t xml:space="preserve">’  </w:t>
      </w:r>
      <w:r>
        <w:rPr>
          <w:rFonts w:ascii="Times New Roman"/>
          <w:rtl w:val="0"/>
          <w:lang w:val="en-US"/>
        </w:rPr>
        <w:t>p3</w:t>
      </w:r>
    </w:p>
  </w:footnote>
  <w:footnote w:id="4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It should be noted that at anytime </w:t>
      </w:r>
      <w:r>
        <w:rPr>
          <w:rFonts w:hAnsi="Times New Roman" w:hint="default"/>
          <w:rtl w:val="0"/>
          <w:lang w:val="en-US"/>
        </w:rPr>
        <w:t>“</w:t>
      </w:r>
      <w:r>
        <w:rPr>
          <w:rFonts w:ascii="Times New Roman"/>
          <w:rtl w:val="0"/>
          <w:lang w:val="en-US"/>
        </w:rPr>
        <w:t>Fixed</w:t>
      </w:r>
      <w:r>
        <w:rPr>
          <w:rFonts w:hAnsi="Times New Roman" w:hint="default"/>
          <w:rtl w:val="0"/>
          <w:lang w:val="en-US"/>
        </w:rPr>
        <w:t xml:space="preserve">” </w:t>
      </w:r>
      <w:r>
        <w:rPr>
          <w:rFonts w:ascii="Times New Roman"/>
          <w:rtl w:val="0"/>
          <w:lang w:val="en-US"/>
        </w:rPr>
        <w:t xml:space="preserve">and </w:t>
      </w:r>
      <w:r>
        <w:rPr>
          <w:rFonts w:hAnsi="Times New Roman" w:hint="default"/>
          <w:rtl w:val="0"/>
          <w:lang w:val="en-US"/>
        </w:rPr>
        <w:t>“</w:t>
      </w:r>
      <w:r>
        <w:rPr>
          <w:rFonts w:ascii="Times New Roman"/>
          <w:rtl w:val="0"/>
          <w:lang w:val="en-US"/>
        </w:rPr>
        <w:t>Static</w:t>
      </w:r>
      <w:r>
        <w:rPr>
          <w:rFonts w:hAnsi="Times New Roman" w:hint="default"/>
          <w:rtl w:val="0"/>
          <w:lang w:val="en-US"/>
        </w:rPr>
        <w:t xml:space="preserve">” </w:t>
      </w:r>
      <w:r>
        <w:rPr>
          <w:rFonts w:ascii="Times New Roman"/>
          <w:rtl w:val="0"/>
          <w:lang w:val="en-US"/>
        </w:rPr>
        <w:t>are used in the context of frontier classification that the former refers to frontiers which once installed would not allow for organic development of its limits (Hadrian</w:t>
      </w:r>
      <w:r>
        <w:rPr>
          <w:rFonts w:hAnsi="Times New Roman" w:hint="default"/>
          <w:rtl w:val="0"/>
          <w:lang w:val="en-US"/>
        </w:rPr>
        <w:t>’</w:t>
      </w:r>
      <w:r>
        <w:rPr>
          <w:rFonts w:ascii="Times New Roman"/>
          <w:rtl w:val="0"/>
          <w:lang w:val="en-US"/>
        </w:rPr>
        <w:t xml:space="preserve">s Wall); whereas the latter would classify as a frontier system which while a permanent feature in the landscape, would allow for moderate flexibility in terms of demarcated limits. (Limes Germanicus) </w:t>
      </w:r>
    </w:p>
  </w:footnote>
  <w:footnote w:id="5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Whittaker. C.R </w:t>
      </w:r>
      <w:r>
        <w:rPr>
          <w:rFonts w:hAnsi="Times New Roman" w:hint="default"/>
          <w:rtl w:val="0"/>
          <w:lang w:val="en-US"/>
        </w:rPr>
        <w:t>‘</w:t>
      </w:r>
      <w:r>
        <w:rPr>
          <w:rFonts w:ascii="Times New Roman"/>
          <w:rtl w:val="0"/>
          <w:lang w:val="en-US"/>
        </w:rPr>
        <w:t>Rome and its Frontiers</w:t>
      </w:r>
      <w:r>
        <w:rPr>
          <w:rFonts w:hAnsi="Times New Roman" w:hint="default"/>
          <w:rtl w:val="0"/>
          <w:lang w:val="en-US"/>
        </w:rPr>
        <w:t xml:space="preserve">’ </w:t>
      </w:r>
      <w:r>
        <w:rPr>
          <w:rFonts w:ascii="Times New Roman"/>
          <w:rtl w:val="0"/>
          <w:lang w:val="en-US"/>
        </w:rPr>
        <w:t>2004 p31</w:t>
      </w:r>
    </w:p>
  </w:footnote>
  <w:footnote w:id="5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E. N 1971 p55</w:t>
      </w:r>
    </w:p>
  </w:footnote>
  <w:footnote w:id="5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E.N  1971 p57</w:t>
      </w:r>
    </w:p>
  </w:footnote>
  <w:footnote w:id="5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p.280</w:t>
      </w:r>
    </w:p>
  </w:footnote>
  <w:footnote w:id="5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Champion 2004 p.7</w:t>
      </w:r>
    </w:p>
  </w:footnote>
  <w:footnote w:id="5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See Augustus</w:t>
      </w:r>
      <w:r>
        <w:rPr>
          <w:rFonts w:hAnsi="Times New Roman" w:hint="default"/>
          <w:rtl w:val="0"/>
          <w:lang w:val="en-US"/>
        </w:rPr>
        <w:t xml:space="preserve">’ </w:t>
      </w:r>
      <w:r>
        <w:rPr>
          <w:rFonts w:ascii="Times New Roman"/>
          <w:rtl w:val="0"/>
          <w:lang w:val="en-US"/>
        </w:rPr>
        <w:t>advice to Tiberius regarding the safeguarding and maintenance of the existing limits of Rome</w:t>
      </w:r>
    </w:p>
  </w:footnote>
  <w:footnote w:id="5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Stewart. A </w:t>
      </w:r>
      <w:r>
        <w:rPr>
          <w:rFonts w:hAnsi="Times New Roman" w:hint="default"/>
          <w:rtl w:val="0"/>
          <w:lang w:val="en-US"/>
        </w:rPr>
        <w:t>‘</w:t>
      </w:r>
      <w:r>
        <w:rPr>
          <w:rFonts w:ascii="Times New Roman"/>
          <w:rtl w:val="0"/>
          <w:lang w:val="en-US"/>
        </w:rPr>
        <w:t>Images of Alexander</w:t>
      </w:r>
      <w:r>
        <w:rPr>
          <w:rFonts w:hAnsi="Times New Roman" w:hint="default"/>
          <w:rtl w:val="0"/>
          <w:lang w:val="en-US"/>
        </w:rPr>
        <w:t xml:space="preserve">’ </w:t>
      </w:r>
      <w:r>
        <w:rPr>
          <w:rFonts w:ascii="Times New Roman"/>
          <w:rtl w:val="0"/>
          <w:lang w:val="en-US"/>
        </w:rPr>
        <w:t>University of Cambridge Press 1993</w:t>
      </w:r>
    </w:p>
  </w:footnote>
  <w:footnote w:id="5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Tacitus </w:t>
      </w:r>
      <w:r>
        <w:rPr>
          <w:rFonts w:hAnsi="Times New Roman" w:hint="default"/>
          <w:rtl w:val="0"/>
          <w:lang w:val="en-US"/>
        </w:rPr>
        <w:t>‘</w:t>
      </w:r>
      <w:r>
        <w:rPr>
          <w:rFonts w:ascii="Times New Roman"/>
          <w:rtl w:val="0"/>
          <w:lang w:val="en-US"/>
        </w:rPr>
        <w:t>Histories</w:t>
      </w:r>
      <w:r>
        <w:rPr>
          <w:rFonts w:hAnsi="Times New Roman" w:hint="default"/>
          <w:rtl w:val="0"/>
          <w:lang w:val="en-US"/>
        </w:rPr>
        <w:t xml:space="preserve">’ </w:t>
      </w:r>
      <w:r>
        <w:rPr>
          <w:rFonts w:ascii="Times New Roman"/>
          <w:rtl w:val="0"/>
          <w:lang w:val="en-US"/>
        </w:rPr>
        <w:t xml:space="preserve">1.2. </w:t>
      </w:r>
    </w:p>
  </w:footnote>
  <w:footnote w:id="5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Potter. D 1992 </w:t>
      </w:r>
      <w:r>
        <w:rPr>
          <w:rFonts w:hAnsi="Times New Roman" w:hint="default"/>
          <w:rtl w:val="0"/>
          <w:lang w:val="en-US"/>
        </w:rPr>
        <w:t>‘</w:t>
      </w:r>
      <w:r>
        <w:rPr>
          <w:rFonts w:ascii="Times New Roman"/>
          <w:rtl w:val="0"/>
          <w:lang w:val="en-US"/>
        </w:rPr>
        <w:t>Empty Areas and Roman Frontier Policy</w:t>
      </w:r>
      <w:r>
        <w:rPr>
          <w:rFonts w:hAnsi="Times New Roman" w:hint="default"/>
          <w:rtl w:val="0"/>
          <w:lang w:val="en-US"/>
        </w:rPr>
        <w:t xml:space="preserve">’ </w:t>
      </w:r>
      <w:r>
        <w:rPr>
          <w:rFonts w:ascii="Times New Roman"/>
          <w:rtl w:val="0"/>
          <w:lang w:val="en-US"/>
        </w:rPr>
        <w:t>The American Journal Of Philology Vol. 113. No. 2 (1992) pp. 269-274 &amp; Luttwak E.N 1971</w:t>
      </w:r>
    </w:p>
  </w:footnote>
  <w:footnote w:id="5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E.N 1971 p.117</w:t>
      </w:r>
    </w:p>
  </w:footnote>
  <w:footnote w:id="6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E.N 1971 p.117</w:t>
      </w:r>
    </w:p>
  </w:footnote>
  <w:footnote w:id="6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Mann J.C  1974 </w:t>
      </w:r>
      <w:r>
        <w:rPr>
          <w:rFonts w:hAnsi="Times New Roman" w:hint="default"/>
          <w:rtl w:val="0"/>
          <w:lang w:val="en-US"/>
        </w:rPr>
        <w:t>‘</w:t>
      </w:r>
      <w:r>
        <w:rPr>
          <w:rFonts w:ascii="Times New Roman"/>
          <w:rtl w:val="0"/>
          <w:lang w:val="en-US"/>
        </w:rPr>
        <w:t>The Frontiers of the Roman Principate</w:t>
      </w:r>
      <w:r>
        <w:rPr>
          <w:rFonts w:hAnsi="Times New Roman" w:hint="default"/>
          <w:rtl w:val="0"/>
          <w:lang w:val="en-US"/>
        </w:rPr>
        <w:t xml:space="preserve">’ </w:t>
      </w:r>
      <w:r>
        <w:rPr>
          <w:rFonts w:ascii="Times New Roman"/>
          <w:i w:val="1"/>
          <w:iCs w:val="1"/>
          <w:rtl w:val="0"/>
          <w:lang w:val="en-US"/>
        </w:rPr>
        <w:t>Aufsteif und Neidergang der R</w:t>
      </w:r>
      <w:r>
        <w:rPr>
          <w:rFonts w:hAnsi="Times New Roman" w:hint="default"/>
          <w:i w:val="1"/>
          <w:iCs w:val="1"/>
          <w:rtl w:val="0"/>
          <w:lang w:val="en-US"/>
        </w:rPr>
        <w:t>ö</w:t>
      </w:r>
      <w:r>
        <w:rPr>
          <w:rFonts w:ascii="Times New Roman"/>
          <w:i w:val="1"/>
          <w:iCs w:val="1"/>
          <w:rtl w:val="0"/>
          <w:lang w:val="en-US"/>
        </w:rPr>
        <w:t xml:space="preserve">mischen welt II  Principat I </w:t>
      </w:r>
      <w:r>
        <w:rPr>
          <w:rFonts w:ascii="Times New Roman"/>
          <w:rtl w:val="0"/>
          <w:lang w:val="en-US"/>
        </w:rPr>
        <w:t>(ed.) Temporoni. H p.509</w:t>
      </w:r>
    </w:p>
  </w:footnote>
  <w:footnote w:id="6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Freezouls. Ed </w:t>
      </w:r>
      <w:r>
        <w:rPr>
          <w:rFonts w:hAnsi="Times New Roman" w:hint="default"/>
          <w:rtl w:val="0"/>
          <w:lang w:val="en-US"/>
        </w:rPr>
        <w:t>‘</w:t>
      </w:r>
      <w:r>
        <w:rPr>
          <w:rFonts w:ascii="Times New Roman"/>
          <w:rtl w:val="0"/>
          <w:lang w:val="en-US"/>
        </w:rPr>
        <w:t>Les Fluctuions de la fronti</w:t>
      </w:r>
      <w:r>
        <w:rPr>
          <w:rFonts w:hAnsi="Times New Roman" w:hint="default"/>
          <w:rtl w:val="0"/>
          <w:lang w:val="en-US"/>
        </w:rPr>
        <w:t>è</w:t>
      </w:r>
      <w:r>
        <w:rPr>
          <w:rFonts w:ascii="Times New Roman"/>
          <w:rtl w:val="0"/>
          <w:lang w:val="en-US"/>
        </w:rPr>
        <w:t>re Orientale de l</w:t>
      </w:r>
      <w:r>
        <w:rPr>
          <w:rFonts w:hAnsi="Times New Roman" w:hint="default"/>
          <w:rtl w:val="0"/>
          <w:lang w:val="en-US"/>
        </w:rPr>
        <w:t xml:space="preserve">’ </w:t>
      </w:r>
      <w:r>
        <w:rPr>
          <w:rFonts w:ascii="Times New Roman"/>
          <w:rtl w:val="0"/>
          <w:lang w:val="en-US"/>
        </w:rPr>
        <w:t>Empire Romain</w:t>
      </w:r>
      <w:r>
        <w:rPr>
          <w:rFonts w:hAnsi="Times New Roman" w:hint="default"/>
          <w:rtl w:val="0"/>
          <w:lang w:val="en-US"/>
        </w:rPr>
        <w:t xml:space="preserve">’ </w:t>
      </w:r>
      <w:r>
        <w:rPr>
          <w:rFonts w:ascii="Times New Roman"/>
          <w:rtl w:val="0"/>
          <w:lang w:val="en-US"/>
        </w:rPr>
        <w:t>La Geographie Administrative et Politique d</w:t>
      </w:r>
      <w:r>
        <w:rPr>
          <w:rFonts w:hAnsi="Times New Roman" w:hint="default"/>
          <w:rtl w:val="0"/>
          <w:lang w:val="en-US"/>
        </w:rPr>
        <w:t>’</w:t>
      </w:r>
      <w:r>
        <w:rPr>
          <w:rFonts w:ascii="Times New Roman"/>
          <w:rtl w:val="0"/>
          <w:lang w:val="en-US"/>
        </w:rPr>
        <w:t xml:space="preserve">Alexandre </w:t>
      </w:r>
      <w:r>
        <w:rPr>
          <w:rFonts w:hAnsi="Times New Roman" w:hint="default"/>
          <w:rtl w:val="0"/>
          <w:lang w:val="en-US"/>
        </w:rPr>
        <w:t xml:space="preserve">à </w:t>
      </w:r>
      <w:r>
        <w:rPr>
          <w:rFonts w:ascii="Times New Roman"/>
          <w:rtl w:val="0"/>
          <w:lang w:val="en-US"/>
        </w:rPr>
        <w:t>Mahometm June 14-16 1979 Universit</w:t>
      </w:r>
      <w:r>
        <w:rPr>
          <w:rFonts w:hAnsi="Times New Roman" w:hint="default"/>
          <w:rtl w:val="0"/>
          <w:lang w:val="en-US"/>
        </w:rPr>
        <w:t xml:space="preserve">é  </w:t>
      </w:r>
      <w:r>
        <w:rPr>
          <w:rFonts w:ascii="Times New Roman"/>
          <w:rtl w:val="0"/>
          <w:lang w:val="en-US"/>
        </w:rPr>
        <w:t>des sciences humines de Strasborg (Leiden 1981) pp.177- 225</w:t>
      </w:r>
    </w:p>
  </w:footnote>
  <w:footnote w:id="6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Potter. D 1999 p.269 </w:t>
      </w:r>
    </w:p>
  </w:footnote>
  <w:footnote w:id="6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Luttwak 1971 and Frere. S.S &amp; ST Joseph J.K.S 1983 </w:t>
      </w:r>
      <w:r>
        <w:rPr>
          <w:rFonts w:hAnsi="Times New Roman" w:hint="default"/>
          <w:rtl w:val="0"/>
          <w:lang w:val="en-US"/>
        </w:rPr>
        <w:t>‘</w:t>
      </w:r>
      <w:r>
        <w:rPr>
          <w:rFonts w:ascii="Times New Roman"/>
          <w:rtl w:val="0"/>
          <w:lang w:val="en-US"/>
        </w:rPr>
        <w:t>Roman Britain from the Air</w:t>
      </w:r>
      <w:r>
        <w:rPr>
          <w:rFonts w:hAnsi="Times New Roman" w:hint="default"/>
          <w:rtl w:val="0"/>
          <w:lang w:val="en-US"/>
        </w:rPr>
        <w:t xml:space="preserve">’ </w:t>
      </w:r>
      <w:r>
        <w:rPr>
          <w:rFonts w:ascii="Times New Roman"/>
          <w:rtl w:val="0"/>
          <w:lang w:val="en-US"/>
        </w:rPr>
        <w:t xml:space="preserve">Cambridge University Press p58 - the primary function of these roads is considered to be based primarily in enabling the Army to freely move around the province and ultimately further develop their process of romanisation contra to Luttwak -See Hill &amp;Ireland </w:t>
      </w:r>
      <w:r>
        <w:rPr>
          <w:rFonts w:hAnsi="Times New Roman" w:hint="default"/>
          <w:rtl w:val="0"/>
          <w:lang w:val="en-US"/>
        </w:rPr>
        <w:t>‘</w:t>
      </w:r>
      <w:r>
        <w:rPr>
          <w:rFonts w:ascii="Times New Roman"/>
          <w:rtl w:val="0"/>
          <w:lang w:val="en-US"/>
        </w:rPr>
        <w:t>Roman Britain</w:t>
      </w:r>
      <w:r>
        <w:rPr>
          <w:rFonts w:hAnsi="Times New Roman" w:hint="default"/>
          <w:rtl w:val="0"/>
          <w:lang w:val="en-US"/>
        </w:rPr>
        <w:t xml:space="preserve">’ </w:t>
      </w:r>
      <w:r>
        <w:rPr>
          <w:rFonts w:ascii="Times New Roman"/>
          <w:rtl w:val="0"/>
          <w:lang w:val="en-US"/>
        </w:rPr>
        <w:t>and their topographical plans of Oppida development in major towns for evidence of physical landscape changes and Romanisation to illuminate the discussion on this topic. Furthermore S. Frere</w:t>
      </w:r>
      <w:r>
        <w:rPr>
          <w:rFonts w:hAnsi="Times New Roman" w:hint="default"/>
          <w:rtl w:val="0"/>
          <w:lang w:val="en-US"/>
        </w:rPr>
        <w:t>’</w:t>
      </w:r>
      <w:r>
        <w:rPr>
          <w:rFonts w:ascii="Times New Roman"/>
          <w:rtl w:val="0"/>
          <w:lang w:val="en-US"/>
        </w:rPr>
        <w:t xml:space="preserve">s interjection that the word </w:t>
      </w:r>
      <w:r>
        <w:rPr>
          <w:rFonts w:hAnsi="Times New Roman" w:hint="default"/>
          <w:rtl w:val="0"/>
          <w:lang w:val="en-US"/>
        </w:rPr>
        <w:t>‘</w:t>
      </w:r>
      <w:r>
        <w:rPr>
          <w:rFonts w:ascii="Times New Roman"/>
          <w:rtl w:val="0"/>
          <w:lang w:val="en-US"/>
        </w:rPr>
        <w:t>limes</w:t>
      </w:r>
      <w:r>
        <w:rPr>
          <w:rFonts w:hAnsi="Times New Roman" w:hint="default"/>
          <w:rtl w:val="0"/>
          <w:lang w:val="en-US"/>
        </w:rPr>
        <w:t xml:space="preserve">’ </w:t>
      </w:r>
      <w:r>
        <w:rPr>
          <w:rFonts w:ascii="Times New Roman"/>
          <w:rtl w:val="0"/>
          <w:lang w:val="en-US"/>
        </w:rPr>
        <w:t xml:space="preserve">itself refers (in its original vein) to merely a road leading into hostile territory or land not under the occupation of the Roman state. </w:t>
      </w:r>
    </w:p>
  </w:footnote>
  <w:footnote w:id="6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We know from the linguistic choice used by Tacitus that both Frisians and Ampsivarii were fully aware that they had crossed into Roman territory- Potter 1992 p271 &amp; Tacitus </w:t>
      </w:r>
      <w:r>
        <w:rPr>
          <w:rFonts w:hAnsi="Times New Roman" w:hint="default"/>
          <w:rtl w:val="0"/>
          <w:lang w:val="en-US"/>
        </w:rPr>
        <w:t>‘</w:t>
      </w:r>
      <w:r>
        <w:rPr>
          <w:rFonts w:ascii="Times New Roman"/>
          <w:rtl w:val="0"/>
          <w:lang w:val="en-US"/>
        </w:rPr>
        <w:t>hist</w:t>
      </w:r>
      <w:r>
        <w:rPr>
          <w:rFonts w:hAnsi="Times New Roman" w:hint="default"/>
          <w:rtl w:val="0"/>
          <w:lang w:val="en-US"/>
        </w:rPr>
        <w:t xml:space="preserve">’ </w:t>
      </w:r>
      <w:r>
        <w:rPr>
          <w:rFonts w:ascii="Times New Roman"/>
          <w:rtl w:val="0"/>
          <w:lang w:val="en-US"/>
        </w:rPr>
        <w:t>13.54.1</w:t>
      </w:r>
    </w:p>
  </w:footnote>
  <w:footnote w:id="6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Tacitus </w:t>
      </w:r>
      <w:r>
        <w:rPr>
          <w:rFonts w:hAnsi="Times New Roman" w:hint="default"/>
          <w:rtl w:val="0"/>
          <w:lang w:val="en-US"/>
        </w:rPr>
        <w:t>‘</w:t>
      </w:r>
      <w:r>
        <w:rPr>
          <w:rFonts w:ascii="Times New Roman"/>
          <w:rtl w:val="0"/>
          <w:lang w:val="en-US"/>
        </w:rPr>
        <w:t>Ann</w:t>
      </w:r>
      <w:r>
        <w:rPr>
          <w:rFonts w:hAnsi="Times New Roman" w:hint="default"/>
          <w:rtl w:val="0"/>
          <w:lang w:val="en-US"/>
        </w:rPr>
        <w:t xml:space="preserve">’ </w:t>
      </w:r>
      <w:r>
        <w:rPr>
          <w:rFonts w:ascii="Times New Roman"/>
          <w:rtl w:val="0"/>
          <w:lang w:val="en-US"/>
        </w:rPr>
        <w:t>13.54.1</w:t>
      </w:r>
    </w:p>
  </w:footnote>
  <w:footnote w:id="67">
    <w:p>
      <w:pPr>
        <w:pStyle w:val="Footnote"/>
      </w:pPr>
      <w:r>
        <w:rPr>
          <w:rFonts w:ascii="Times New Roman" w:cs="Times New Roman" w:hAnsi="Times New Roman" w:eastAsia="Times New Roman"/>
          <w:vertAlign w:val="superscript"/>
        </w:rPr>
        <w:footnoteRef/>
      </w:r>
      <w:r>
        <w:rPr>
          <w:rFonts w:ascii="Times New Roman"/>
          <w:rtl w:val="0"/>
          <w:lang w:val="en-US"/>
        </w:rPr>
        <w:t xml:space="preserve"> In a somewhat similar fashion to </w:t>
      </w:r>
      <w:r>
        <w:rPr>
          <w:rFonts w:hAnsi="Times New Roman" w:hint="default"/>
          <w:rtl w:val="0"/>
          <w:lang w:val="en-US"/>
        </w:rPr>
        <w:t>‘</w:t>
      </w:r>
      <w:r>
        <w:rPr>
          <w:rFonts w:ascii="Times New Roman"/>
          <w:rtl w:val="0"/>
          <w:lang w:val="en-US"/>
        </w:rPr>
        <w:t>Fixed</w:t>
      </w:r>
      <w:r>
        <w:rPr>
          <w:rFonts w:hAnsi="Times New Roman" w:hint="default"/>
          <w:rtl w:val="0"/>
          <w:lang w:val="en-US"/>
        </w:rPr>
        <w:t xml:space="preserve">’  </w:t>
      </w:r>
      <w:r>
        <w:rPr>
          <w:rFonts w:ascii="Times New Roman"/>
          <w:rtl w:val="0"/>
          <w:lang w:val="en-US"/>
        </w:rPr>
        <w:t xml:space="preserve">and </w:t>
      </w:r>
      <w:r>
        <w:rPr>
          <w:rFonts w:hAnsi="Times New Roman" w:hint="default"/>
          <w:rtl w:val="0"/>
          <w:lang w:val="en-US"/>
        </w:rPr>
        <w:t>‘</w:t>
      </w:r>
      <w:r>
        <w:rPr>
          <w:rFonts w:ascii="Times New Roman"/>
          <w:rtl w:val="0"/>
          <w:lang w:val="en-US"/>
        </w:rPr>
        <w:t>static</w:t>
      </w:r>
      <w:r>
        <w:rPr>
          <w:rFonts w:hAnsi="Times New Roman" w:hint="default"/>
          <w:rtl w:val="0"/>
          <w:lang w:val="en-US"/>
        </w:rPr>
        <w:t xml:space="preserve">’ </w:t>
      </w:r>
      <w:r>
        <w:rPr>
          <w:rFonts w:ascii="Times New Roman"/>
          <w:rtl w:val="0"/>
          <w:lang w:val="en-US"/>
        </w:rPr>
        <w:t>borders, we may also see that systems such as the Rhine-Danube limes posses a peculiar ability to function as it was intended, however in a three dimensional vein; the opposite is true of Hadrian</w:t>
      </w:r>
      <w:r>
        <w:rPr>
          <w:rFonts w:hAnsi="Times New Roman" w:hint="default"/>
          <w:rtl w:val="0"/>
          <w:lang w:val="en-US"/>
        </w:rPr>
        <w:t>’</w:t>
      </w:r>
      <w:r>
        <w:rPr>
          <w:rFonts w:ascii="Times New Roman"/>
          <w:rtl w:val="0"/>
          <w:lang w:val="en-US"/>
        </w:rPr>
        <w:t xml:space="preserve">s wall however and with the border systems which may be seen in the southern African or Eastern desert frontiers. Instead entities such as these are fundamentally engineered to function in an omnidirectional sense, and can not be considered to fulfil a desire for total military security in this sense. </w:t>
      </w:r>
    </w:p>
  </w:footnote>
  <w:footnote w:id="6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Frere. S 1983 p64- Shows arial view of the legionary fortress facing westward, with the palisade and ramparts running along its northern edge. </w:t>
      </w:r>
    </w:p>
  </w:footnote>
  <w:footnote w:id="6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Ibid 1983 p61</w:t>
      </w:r>
    </w:p>
  </w:footnote>
  <w:footnote w:id="7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Luttwak 1971 Figure 2.3 p78 </w:t>
      </w:r>
    </w:p>
  </w:footnote>
  <w:footnote w:id="7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Figure. 2- relief from Trajan</w:t>
      </w:r>
      <w:r>
        <w:rPr>
          <w:rFonts w:hAnsi="Times New Roman" w:hint="default"/>
          <w:rtl w:val="0"/>
          <w:lang w:val="en-US"/>
        </w:rPr>
        <w:t>’</w:t>
      </w:r>
      <w:r>
        <w:rPr>
          <w:rFonts w:ascii="Times New Roman"/>
          <w:rtl w:val="0"/>
          <w:lang w:val="en-US"/>
        </w:rPr>
        <w:t xml:space="preserve">s column </w:t>
      </w:r>
    </w:p>
  </w:footnote>
  <w:footnote w:id="7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Figure 3.1 and 3.2 taken from Okun L. M 1989 </w:t>
      </w:r>
      <w:r>
        <w:rPr>
          <w:rFonts w:hAnsi="Times New Roman" w:hint="default"/>
          <w:rtl w:val="0"/>
          <w:lang w:val="en-US"/>
        </w:rPr>
        <w:t>‘</w:t>
      </w:r>
      <w:r>
        <w:rPr>
          <w:rFonts w:ascii="Times New Roman"/>
          <w:rtl w:val="0"/>
          <w:lang w:val="en-US"/>
        </w:rPr>
        <w:t>The early Roman Frontier in the upper Rhine area: assimilation and acculturation on a Roman frontier</w:t>
      </w:r>
      <w:r>
        <w:rPr>
          <w:rFonts w:hAnsi="Times New Roman" w:hint="default"/>
          <w:rtl w:val="0"/>
          <w:lang w:val="en-US"/>
        </w:rPr>
        <w:t xml:space="preserve">’ </w:t>
      </w:r>
      <w:r>
        <w:rPr>
          <w:rFonts w:ascii="Times New Roman"/>
          <w:rtl w:val="0"/>
          <w:lang w:val="en-US"/>
        </w:rPr>
        <w:t>BAR International series 547 p35</w:t>
      </w:r>
    </w:p>
  </w:footnote>
  <w:footnote w:id="7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1971 pp 130-188</w:t>
      </w:r>
    </w:p>
  </w:footnote>
  <w:footnote w:id="74">
    <w:p>
      <w:pPr>
        <w:pStyle w:val="Footnote"/>
      </w:pPr>
      <w:r>
        <w:rPr>
          <w:rFonts w:ascii="Times New Roman" w:cs="Times New Roman" w:hAnsi="Times New Roman" w:eastAsia="Times New Roman"/>
          <w:vertAlign w:val="superscript"/>
        </w:rPr>
        <w:footnoteRef/>
      </w:r>
      <w:r>
        <w:rPr>
          <w:rFonts w:ascii="Times New Roman"/>
          <w:rtl w:val="0"/>
          <w:lang w:val="en-US"/>
        </w:rPr>
        <w:t xml:space="preserve">Strabo </w:t>
      </w:r>
      <w:r>
        <w:rPr>
          <w:rFonts w:hAnsi="Times New Roman" w:hint="default"/>
          <w:rtl w:val="0"/>
          <w:lang w:val="en-US"/>
        </w:rPr>
        <w:t>‘</w:t>
      </w:r>
      <w:r>
        <w:rPr>
          <w:rFonts w:ascii="Times New Roman"/>
          <w:rtl w:val="0"/>
          <w:lang w:val="en-US"/>
        </w:rPr>
        <w:t>Geography</w:t>
      </w:r>
      <w:r>
        <w:rPr>
          <w:rFonts w:hAnsi="Times New Roman" w:hint="default"/>
          <w:rtl w:val="0"/>
          <w:lang w:val="en-US"/>
        </w:rPr>
        <w:t xml:space="preserve">’ </w:t>
      </w:r>
      <w:r>
        <w:rPr>
          <w:rFonts w:ascii="Times New Roman"/>
          <w:rtl w:val="0"/>
          <w:lang w:val="en-US"/>
        </w:rPr>
        <w:t xml:space="preserve">4.6 (trans) Falconer. W </w:t>
      </w:r>
    </w:p>
  </w:footnote>
  <w:footnote w:id="75">
    <w:p>
      <w:pPr>
        <w:pStyle w:val="Footnote"/>
      </w:pPr>
      <w:r>
        <w:rPr>
          <w:rFonts w:ascii="Times New Roman" w:cs="Times New Roman" w:hAnsi="Times New Roman" w:eastAsia="Times New Roman"/>
          <w:vertAlign w:val="superscript"/>
        </w:rPr>
        <w:footnoteRef/>
      </w:r>
      <w:r>
        <w:rPr>
          <w:rFonts w:ascii="Times New Roman"/>
          <w:rtl w:val="0"/>
          <w:lang w:val="en-US"/>
        </w:rPr>
        <w:t xml:space="preserve"> Potter. D 1992 p269-70</w:t>
      </w:r>
    </w:p>
  </w:footnote>
  <w:footnote w:id="7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Tacitus </w:t>
      </w:r>
      <w:r>
        <w:rPr>
          <w:rFonts w:hAnsi="Times New Roman" w:hint="default"/>
          <w:rtl w:val="0"/>
          <w:lang w:val="en-US"/>
        </w:rPr>
        <w:t>‘</w:t>
      </w:r>
      <w:r>
        <w:rPr>
          <w:rFonts w:ascii="Times New Roman"/>
          <w:rtl w:val="0"/>
          <w:lang w:val="en-US"/>
        </w:rPr>
        <w:t>Histories</w:t>
      </w:r>
      <w:r>
        <w:rPr>
          <w:rFonts w:hAnsi="Times New Roman" w:hint="default"/>
          <w:rtl w:val="0"/>
          <w:lang w:val="en-US"/>
        </w:rPr>
        <w:t xml:space="preserve">’ </w:t>
      </w:r>
      <w:r>
        <w:rPr>
          <w:rFonts w:ascii="Times New Roman"/>
          <w:rtl w:val="0"/>
          <w:lang w:val="en-US"/>
        </w:rPr>
        <w:t xml:space="preserve">13.15.4 </w:t>
      </w:r>
    </w:p>
  </w:footnote>
  <w:footnote w:id="7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 See Milestone from legions stationed at Hadrian's wall- RIB 1341 </w:t>
      </w:r>
    </w:p>
  </w:footnote>
  <w:footnote w:id="7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1971 pp127-188</w:t>
      </w:r>
    </w:p>
  </w:footnote>
  <w:footnote w:id="7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This is attested by the reference Luttwak 1971 to Caracalla</w:t>
      </w:r>
      <w:r>
        <w:rPr>
          <w:rFonts w:hAnsi="Times New Roman" w:hint="default"/>
          <w:rtl w:val="0"/>
          <w:lang w:val="en-US"/>
        </w:rPr>
        <w:t>’</w:t>
      </w:r>
      <w:r>
        <w:rPr>
          <w:rFonts w:ascii="Times New Roman"/>
          <w:rtl w:val="0"/>
          <w:lang w:val="en-US"/>
        </w:rPr>
        <w:t xml:space="preserve">s legions having adverse effects on the local economy subsequent to the looting substantial quantities of gold. </w:t>
      </w:r>
    </w:p>
  </w:footnote>
  <w:footnote w:id="8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Luttwak 1971 p.51</w:t>
      </w:r>
    </w:p>
  </w:footnote>
  <w:footnote w:id="81">
    <w:p>
      <w:pPr>
        <w:pStyle w:val="Footnote"/>
        <w:rPr>
          <w:rFonts w:ascii="Times New Roman" w:cs="Times New Roman" w:hAnsi="Times New Roman" w:eastAsia="Times New Roman"/>
        </w:rPr>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See Holder.P. A 1982 </w:t>
      </w:r>
      <w:r>
        <w:rPr>
          <w:rFonts w:hAnsi="Times New Roman" w:hint="default"/>
          <w:rtl w:val="0"/>
          <w:lang w:val="en-US"/>
        </w:rPr>
        <w:t>‘</w:t>
      </w:r>
      <w:r>
        <w:rPr>
          <w:rFonts w:ascii="Times New Roman"/>
          <w:rtl w:val="0"/>
          <w:lang w:val="en-US"/>
        </w:rPr>
        <w:t>The Roman Army in Britain</w:t>
      </w:r>
      <w:r>
        <w:rPr>
          <w:rFonts w:hAnsi="Times New Roman" w:hint="default"/>
          <w:rtl w:val="0"/>
          <w:lang w:val="en-US"/>
        </w:rPr>
        <w:t xml:space="preserve">’ </w:t>
      </w:r>
      <w:r>
        <w:rPr>
          <w:rFonts w:ascii="Times New Roman"/>
          <w:rtl w:val="0"/>
          <w:lang w:val="en-US"/>
        </w:rPr>
        <w:t xml:space="preserve">Batsford studies in Archaeology p30. </w:t>
      </w:r>
    </w:p>
    <w:p>
      <w:pPr>
        <w:pStyle w:val="Footnote"/>
      </w:pPr>
      <w:r>
        <w:rPr>
          <w:rFonts w:ascii="Times New Roman"/>
          <w:rtl w:val="0"/>
          <w:lang w:val="en-US"/>
        </w:rPr>
        <w:t xml:space="preserve">Luttwak 1971 Figure. 3.4 pp164-5 &amp; Dobson and Breeze 1974 </w:t>
      </w:r>
    </w:p>
  </w:footnote>
  <w:footnote w:id="8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Whittaker. C. R 2004 p.85</w:t>
      </w:r>
    </w:p>
  </w:footnote>
  <w:footnote w:id="8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Bowman. A.K 1994 </w:t>
      </w:r>
      <w:r>
        <w:rPr>
          <w:rFonts w:hAnsi="Times New Roman" w:hint="default"/>
          <w:rtl w:val="0"/>
          <w:lang w:val="en-US"/>
        </w:rPr>
        <w:t>‘</w:t>
      </w:r>
      <w:r>
        <w:rPr>
          <w:rFonts w:ascii="Times New Roman"/>
          <w:rtl w:val="0"/>
          <w:lang w:val="en-US"/>
        </w:rPr>
        <w:t>Life and Letters on the Roman Frontier</w:t>
      </w:r>
      <w:r>
        <w:rPr>
          <w:rFonts w:hAnsi="Times New Roman" w:hint="default"/>
          <w:rtl w:val="0"/>
          <w:lang w:val="en-US"/>
        </w:rPr>
        <w:t xml:space="preserve">’ </w:t>
      </w:r>
      <w:r>
        <w:rPr>
          <w:rFonts w:ascii="Times New Roman"/>
          <w:rtl w:val="0"/>
          <w:lang w:val="en-US"/>
        </w:rPr>
        <w:t xml:space="preserve">British museum press pp.123- 137 Tablets  Vindol. II 234 and 343 </w:t>
      </w:r>
    </w:p>
  </w:footnote>
  <w:footnote w:id="8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Vindolanda Tablets 233 &amp; 234</w:t>
      </w:r>
    </w:p>
  </w:footnote>
  <w:footnote w:id="8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Vindolana Tablet. II 343 Plate VIII</w:t>
      </w:r>
    </w:p>
  </w:footnote>
  <w:footnote w:id="8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Hunt A.S &amp; Edgar. C.C 1934  </w:t>
      </w:r>
      <w:r>
        <w:rPr>
          <w:rFonts w:hAnsi="Times New Roman" w:hint="default"/>
          <w:rtl w:val="0"/>
          <w:lang w:val="en-US"/>
        </w:rPr>
        <w:t>‘</w:t>
      </w:r>
      <w:r>
        <w:rPr>
          <w:rFonts w:ascii="Times New Roman"/>
          <w:rtl w:val="0"/>
          <w:lang w:val="en-US"/>
        </w:rPr>
        <w:t>Select Papyri</w:t>
      </w:r>
      <w:r>
        <w:rPr>
          <w:rFonts w:hAnsi="Times New Roman" w:hint="default"/>
          <w:rtl w:val="0"/>
          <w:lang w:val="en-US"/>
        </w:rPr>
        <w:t xml:space="preserve">’ </w:t>
      </w:r>
      <w:r>
        <w:rPr>
          <w:rFonts w:ascii="Times New Roman"/>
          <w:rtl w:val="0"/>
          <w:lang w:val="en-US"/>
        </w:rPr>
        <w:t>Volume II Loeb Classical Library</w:t>
      </w:r>
    </w:p>
  </w:footnote>
  <w:footnote w:id="8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Hunt A.S &amp; Edgar. C.C 1934 pp 490-493</w:t>
      </w:r>
    </w:p>
  </w:footnote>
  <w:footnote w:id="8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Vindolanda Tablets II 343 Plate VIII, 233 &amp; 234</w:t>
      </w:r>
    </w:p>
  </w:footnote>
  <w:footnote w:id="8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Cassius Dio 69.12.2 </w:t>
      </w:r>
    </w:p>
  </w:footnote>
  <w:footnote w:id="9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See Hirt. A.M 2010 </w:t>
      </w:r>
      <w:r>
        <w:rPr>
          <w:rFonts w:hAnsi="Times New Roman" w:hint="default"/>
          <w:rtl w:val="0"/>
          <w:lang w:val="en-US"/>
        </w:rPr>
        <w:t>‘</w:t>
      </w:r>
      <w:r>
        <w:rPr>
          <w:rFonts w:ascii="Times New Roman"/>
          <w:rtl w:val="0"/>
          <w:lang w:val="en-US"/>
        </w:rPr>
        <w:t>Imperial mines and Quarries in the Roman world; organisational aspects 27BC- 223 AD</w:t>
      </w:r>
      <w:r>
        <w:rPr>
          <w:rFonts w:hAnsi="Times New Roman" w:hint="default"/>
          <w:rtl w:val="0"/>
          <w:lang w:val="en-US"/>
        </w:rPr>
        <w:t xml:space="preserve">’ </w:t>
      </w:r>
      <w:r>
        <w:rPr>
          <w:rFonts w:ascii="Times New Roman"/>
          <w:rtl w:val="0"/>
          <w:lang w:val="en-US"/>
        </w:rPr>
        <w:t xml:space="preserve">Oxford University Press pp.53-82 for detailed discussion regarding the distribution of quarrying and mining sites in the eastern European continent- See specifically figures. 14 through 22 for maps detailing the locations of these sites. </w:t>
      </w:r>
    </w:p>
  </w:footnote>
  <w:footnote w:id="9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Shepard. R 1993 </w:t>
      </w:r>
      <w:r>
        <w:rPr>
          <w:rFonts w:hAnsi="Times New Roman" w:hint="default"/>
          <w:rtl w:val="0"/>
          <w:lang w:val="en-US"/>
        </w:rPr>
        <w:t>‘</w:t>
      </w:r>
      <w:r>
        <w:rPr>
          <w:rFonts w:ascii="Times New Roman"/>
          <w:rtl w:val="0"/>
          <w:lang w:val="en-US"/>
        </w:rPr>
        <w:t>Ancient Mining</w:t>
      </w:r>
      <w:r>
        <w:rPr>
          <w:rFonts w:hAnsi="Times New Roman" w:hint="default"/>
          <w:rtl w:val="0"/>
          <w:lang w:val="en-US"/>
        </w:rPr>
        <w:t xml:space="preserve">’ </w:t>
      </w:r>
      <w:r>
        <w:rPr>
          <w:rFonts w:ascii="Times New Roman"/>
          <w:rtl w:val="0"/>
          <w:lang w:val="en-US"/>
        </w:rPr>
        <w:t>London p55</w:t>
      </w:r>
    </w:p>
  </w:footnote>
  <w:footnote w:id="92">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Shepard. R 1993 p55</w:t>
      </w:r>
    </w:p>
  </w:footnote>
  <w:footnote w:id="93">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Livy 34.31.7</w:t>
      </w:r>
    </w:p>
  </w:footnote>
  <w:footnote w:id="94">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Tacitus </w:t>
      </w:r>
      <w:r>
        <w:rPr>
          <w:rFonts w:hAnsi="Times New Roman" w:hint="default"/>
          <w:rtl w:val="0"/>
          <w:lang w:val="en-US"/>
        </w:rPr>
        <w:t>‘</w:t>
      </w:r>
      <w:r>
        <w:rPr>
          <w:rFonts w:ascii="Times New Roman"/>
          <w:rtl w:val="0"/>
          <w:lang w:val="en-US"/>
        </w:rPr>
        <w:t>Annals</w:t>
      </w:r>
      <w:r>
        <w:rPr>
          <w:rFonts w:hAnsi="Times New Roman" w:hint="default"/>
          <w:rtl w:val="0"/>
          <w:lang w:val="en-US"/>
        </w:rPr>
        <w:t xml:space="preserve">’ </w:t>
      </w:r>
      <w:r>
        <w:rPr>
          <w:rFonts w:ascii="Times New Roman"/>
          <w:rtl w:val="0"/>
          <w:lang w:val="en-US"/>
        </w:rPr>
        <w:t>13.54.1</w:t>
      </w:r>
    </w:p>
  </w:footnote>
  <w:footnote w:id="95">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See Livy .34.31.4 </w:t>
      </w:r>
    </w:p>
  </w:footnote>
  <w:footnote w:id="96">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Kooistra. L.I 2013 </w:t>
      </w:r>
      <w:r>
        <w:rPr>
          <w:rFonts w:hAnsi="Times New Roman" w:hint="default"/>
          <w:rtl w:val="0"/>
          <w:lang w:val="en-US"/>
        </w:rPr>
        <w:t>‘</w:t>
      </w:r>
      <w:r>
        <w:rPr>
          <w:rFonts w:ascii="Times New Roman"/>
          <w:rtl w:val="0"/>
          <w:lang w:val="en-US"/>
        </w:rPr>
        <w:t xml:space="preserve">Could the population of the lower Rhine delta sustain the Roman army. Part 1: the historical and archaeological framework </w:t>
      </w:r>
      <w:r>
        <w:rPr>
          <w:rFonts w:hAnsi="Times New Roman" w:hint="default"/>
          <w:rtl w:val="0"/>
          <w:lang w:val="en-US"/>
        </w:rPr>
        <w:t xml:space="preserve">’ </w:t>
      </w:r>
      <w:r>
        <w:rPr>
          <w:rFonts w:ascii="Times New Roman"/>
          <w:rtl w:val="0"/>
          <w:lang w:val="en-US"/>
        </w:rPr>
        <w:t>2013 Journal of Archaeology in the Low countries. p11</w:t>
      </w:r>
    </w:p>
  </w:footnote>
  <w:footnote w:id="97">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Kooistra. L.I 2013 p.6</w:t>
      </w:r>
    </w:p>
  </w:footnote>
  <w:footnote w:id="98">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Davidson. D. P 1989 </w:t>
      </w:r>
      <w:r>
        <w:rPr>
          <w:rFonts w:hAnsi="Times New Roman" w:hint="default"/>
          <w:rtl w:val="0"/>
          <w:lang w:val="en-US"/>
        </w:rPr>
        <w:t>‘</w:t>
      </w:r>
      <w:r>
        <w:rPr>
          <w:rFonts w:ascii="Times New Roman"/>
          <w:rtl w:val="0"/>
          <w:lang w:val="en-US"/>
        </w:rPr>
        <w:t>The Barracks of the Roman Army</w:t>
      </w:r>
      <w:r>
        <w:rPr>
          <w:rFonts w:hAnsi="Times New Roman" w:hint="default"/>
          <w:rtl w:val="0"/>
          <w:lang w:val="en-US"/>
        </w:rPr>
        <w:t xml:space="preserve">’ </w:t>
      </w:r>
      <w:r>
        <w:rPr>
          <w:rFonts w:ascii="Times New Roman"/>
          <w:rtl w:val="0"/>
          <w:lang w:val="en-US"/>
        </w:rPr>
        <w:t>BAR International series p292</w:t>
      </w:r>
    </w:p>
  </w:footnote>
  <w:footnote w:id="99">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Koistra L.I 2013 p10</w:t>
      </w:r>
    </w:p>
  </w:footnote>
  <w:footnote w:id="100">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 xml:space="preserve">Koistra. L.I 2013 p10 </w:t>
      </w:r>
    </w:p>
  </w:footnote>
  <w:footnote w:id="101">
    <w:p>
      <w:pPr>
        <w:pStyle w:val="Footnote"/>
      </w:pPr>
      <w:r>
        <w:rPr>
          <w:rFonts w:ascii="Times New Roman" w:cs="Times New Roman" w:hAnsi="Times New Roman" w:eastAsia="Times New Roman"/>
          <w:vertAlign w:val="superscript"/>
        </w:rPr>
        <w:footnoteRef/>
      </w:r>
      <w:r>
        <w:rPr>
          <w:rFonts w:ascii="Times New Roman"/>
          <w:rtl w:val="0"/>
        </w:rPr>
        <w:t xml:space="preserve"> </w:t>
      </w:r>
      <w:r>
        <w:rPr>
          <w:rFonts w:ascii="Times New Roman"/>
          <w:rtl w:val="0"/>
          <w:lang w:val="en-US"/>
        </w:rPr>
        <w:t>Roman inscriptions of Britain 1065</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trackRevisions/>
  <w:defaultTabStop w:val="720"/>
  <w:autoHyphenation w:val="1"/>
  <w:evenAndOddHeaders w:val="0"/>
  <w:bookFoldPrinting w:val="0"/>
  <w:noLineBreaksAfter w:lang="" w:val="‘“(〔[{〈《「『【⦅〘〖«〝︵︷︹︻︽︿﹁﹃﹇﹙﹛﹝｢"/>
  <w:noLineBreaksBefore w:lang="" w:val="’”)〕]}〉"/>
  <w:footnotePr>
    <w:numFmt w:val="decimal"/>
    <w:numStart w:val="1"/>
    <w:numRestart w:val="continuous"/>
    <w:footnote w:id="-1"/>
    <w:footnote w:id="0"/>
    <w:footnote w:id="-2"/>
  </w:footnotePr>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Title">
    <w:name w:val="Title"/>
    <w:next w:val="Body 2"/>
    <w:pPr>
      <w:keepNext w:val="1"/>
      <w:keepLines w:val="0"/>
      <w:pageBreakBefore w:val="0"/>
      <w:widowControl w:val="1"/>
      <w:shd w:val="clear" w:color="auto" w:fill="auto"/>
      <w:suppressAutoHyphens w:val="0"/>
      <w:bidi w:val="0"/>
      <w:spacing w:before="0" w:after="0" w:line="480" w:lineRule="auto"/>
      <w:ind w:left="0" w:right="0" w:firstLine="0"/>
      <w:jc w:val="center"/>
      <w:outlineLvl w:val="0"/>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2">
    <w:name w:val="Body 2"/>
    <w:next w:val="Body 2"/>
    <w:pPr>
      <w:keepNext w:val="0"/>
      <w:keepLines w:val="0"/>
      <w:pageBreakBefore w:val="0"/>
      <w:widowControl w:val="1"/>
      <w:shd w:val="clear" w:color="auto" w:fill="auto"/>
      <w:suppressAutoHyphens w:val="0"/>
      <w:bidi w:val="0"/>
      <w:spacing w:before="0" w:after="0" w:line="480" w:lineRule="auto"/>
      <w:ind w:left="0" w:right="0" w:firstLine="72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Caption">
    <w:name w:val="Caption"/>
    <w:next w:val="Caption"/>
    <w:pPr>
      <w:keepNext w:val="0"/>
      <w:keepLines w:val="0"/>
      <w:pageBreakBefore w:val="0"/>
      <w:widowControl w:val="1"/>
      <w:shd w:val="clear" w:color="auto" w:fill="auto"/>
      <w:tabs>
        <w:tab w:val="left" w:pos="1150"/>
      </w:tabs>
      <w:suppressAutoHyphens w:val="0"/>
      <w:bidi w:val="0"/>
      <w:spacing w:before="0" w:after="0" w:line="240" w:lineRule="auto"/>
      <w:ind w:left="0" w:right="0" w:firstLine="0"/>
      <w:jc w:val="left"/>
      <w:outlineLvl w:val="9"/>
    </w:pPr>
    <w:rPr>
      <w:rFonts w:ascii="Helvetica" w:cs="Helvetica" w:hAnsi="Helvetica" w:eastAsia="Helvetica"/>
      <w:b w:val="1"/>
      <w:bCs w:val="1"/>
      <w:i w:val="0"/>
      <w:iCs w:val="0"/>
      <w:caps w:val="1"/>
      <w:strike w:val="0"/>
      <w:dstrike w:val="0"/>
      <w:outline w:val="0"/>
      <w:color w:val="000000"/>
      <w:spacing w:val="0"/>
      <w:kern w:val="0"/>
      <w:position w:val="0"/>
      <w:sz w:val="20"/>
      <w:szCs w:val="20"/>
      <w:u w:val="none"/>
      <w:vertAlign w:val="baseline"/>
    </w:rPr>
  </w:style>
  <w:style w:type="paragraph" w:styleId="Body 3">
    <w:name w:val="Body 3"/>
    <w:next w:val="Body 3"/>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Heading">
    <w:name w:val="Heading"/>
    <w:next w:val="Body 3"/>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w:cs="Helvetica" w:hAnsi="Helvetica" w:eastAsia="Helvetica"/>
      <w:b w:val="1"/>
      <w:bCs w:val="1"/>
      <w:i w:val="0"/>
      <w:iCs w:val="0"/>
      <w:caps w:val="0"/>
      <w:smallCaps w:val="0"/>
      <w:strike w:val="0"/>
      <w:dstrike w:val="0"/>
      <w:outline w:val="0"/>
      <w:color w:val="000000"/>
      <w:spacing w:val="0"/>
      <w:kern w:val="0"/>
      <w:position w:val="0"/>
      <w:sz w:val="36"/>
      <w:szCs w:val="36"/>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Helvetica" w:hAnsi="Helvetica" w:eastAsia="Helvetica"/>
      <w:b w:val="0"/>
      <w:bCs w:val="0"/>
      <w:i w:val="0"/>
      <w:iCs w:val="0"/>
      <w:caps w:val="0"/>
      <w:smallCaps w:val="0"/>
      <w:strike w:val="0"/>
      <w:dstrike w:val="0"/>
      <w:outline w:val="0"/>
      <w:color w:val="000000"/>
      <w:spacing w:val="0"/>
      <w:kern w:val="0"/>
      <w:position w:val="0"/>
      <w:sz w:val="22"/>
      <w:szCs w:val="22"/>
      <w:u w:val="none"/>
      <w:vertAlign w:val="baseline"/>
    </w:rPr>
  </w:style>
  <w:style w:type="character" w:styleId="Hyperlink.0">
    <w:name w:val="Hyperlink.0"/>
    <w:basedOn w:val="Hyperlink"/>
    <w:next w:val="Hyperlink.0"/>
    <w:rPr>
      <w:u w:val="single"/>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image" Target="media/image1.png"/><Relationship Id="rId7" Type="http://schemas.openxmlformats.org/officeDocument/2006/relationships/image" Target="media/image1.jpeg"/><Relationship Id="rId8" Type="http://schemas.openxmlformats.org/officeDocument/2006/relationships/image" Target="media/image2.jpeg"/><Relationship Id="rId9" Type="http://schemas.openxmlformats.org/officeDocument/2006/relationships/image" Target="media/image3.jpeg"/><Relationship Id="rId10" Type="http://schemas.openxmlformats.org/officeDocument/2006/relationships/header" Target="header2.xml"/><Relationship Id="rId11" Type="http://schemas.openxmlformats.org/officeDocument/2006/relationships/footer" Target="footer2.xml"/><Relationship Id="rId12" Type="http://schemas.openxmlformats.org/officeDocument/2006/relationships/hyperlink" Target="http://vindolanda.org.uk" TargetMode="Externa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footnotes" Target="footnotes.xml"/><Relationship Id="rId16"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r="http://schemas.openxmlformats.org/officeDocument/2006/relationships" name="00_ResearchPaper">
  <a:themeElements>
    <a:clrScheme name="00_ResearchPaper">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00_ResearchPaper">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