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5B688D4" w14:textId="77777777" w:rsidR="00F50227" w:rsidRDefault="00F50227" w:rsidP="005C2027">
      <w:pPr>
        <w:spacing w:after="120"/>
        <w:rPr>
          <w:rFonts w:ascii="Arial" w:hAnsi="Arial" w:cs="Arial"/>
        </w:rPr>
      </w:pPr>
    </w:p>
    <w:p w14:paraId="21C64344" w14:textId="77777777" w:rsidR="00F50227" w:rsidRDefault="00F50227" w:rsidP="005C2027">
      <w:pPr>
        <w:spacing w:after="120"/>
        <w:rPr>
          <w:rFonts w:ascii="Arial" w:hAnsi="Arial" w:cs="Arial"/>
        </w:rPr>
      </w:pPr>
    </w:p>
    <w:p w14:paraId="3B974BC7" w14:textId="77777777" w:rsidR="00F50227" w:rsidRDefault="00F50227" w:rsidP="005C2027">
      <w:pPr>
        <w:spacing w:after="120"/>
        <w:rPr>
          <w:rFonts w:ascii="Arial" w:hAnsi="Arial" w:cs="Arial"/>
        </w:rPr>
      </w:pPr>
    </w:p>
    <w:p w14:paraId="3EA55BA6" w14:textId="77777777" w:rsidR="00F50227" w:rsidRDefault="00F50227" w:rsidP="005C2027">
      <w:pPr>
        <w:spacing w:after="120"/>
        <w:rPr>
          <w:rFonts w:ascii="Arial" w:hAnsi="Arial" w:cs="Arial"/>
        </w:rPr>
      </w:pPr>
    </w:p>
    <w:p w14:paraId="7DEC86EE" w14:textId="26AA8C24" w:rsidR="00F50227" w:rsidRPr="00F50227" w:rsidRDefault="00F50227" w:rsidP="00F50227">
      <w:pPr>
        <w:spacing w:after="120" w:line="360" w:lineRule="auto"/>
        <w:jc w:val="center"/>
        <w:rPr>
          <w:rFonts w:cs="Arial"/>
          <w:sz w:val="40"/>
          <w:szCs w:val="40"/>
          <w:u w:val="single"/>
        </w:rPr>
      </w:pPr>
      <w:r w:rsidRPr="00F50227">
        <w:rPr>
          <w:rFonts w:cs="Arial"/>
          <w:sz w:val="40"/>
          <w:szCs w:val="40"/>
          <w:u w:val="single"/>
        </w:rPr>
        <w:t>Creation and Destruction</w:t>
      </w:r>
      <w:r>
        <w:rPr>
          <w:rFonts w:cs="Arial"/>
          <w:sz w:val="40"/>
          <w:szCs w:val="40"/>
          <w:u w:val="single"/>
        </w:rPr>
        <w:t xml:space="preserve"> -</w:t>
      </w:r>
      <w:r w:rsidRPr="00F50227">
        <w:rPr>
          <w:rFonts w:cs="Arial"/>
          <w:sz w:val="40"/>
          <w:szCs w:val="40"/>
          <w:u w:val="single"/>
        </w:rPr>
        <w:t xml:space="preserve"> Cultural Themes </w:t>
      </w:r>
      <w:r>
        <w:rPr>
          <w:rFonts w:cs="Arial"/>
          <w:sz w:val="40"/>
          <w:szCs w:val="40"/>
          <w:u w:val="single"/>
        </w:rPr>
        <w:t>and</w:t>
      </w:r>
      <w:r w:rsidRPr="00F50227">
        <w:rPr>
          <w:rFonts w:cs="Arial"/>
          <w:sz w:val="40"/>
          <w:szCs w:val="40"/>
          <w:u w:val="single"/>
        </w:rPr>
        <w:t xml:space="preserve"> Ancient Egyptian Civilisation</w:t>
      </w:r>
    </w:p>
    <w:p w14:paraId="29C7E522" w14:textId="77777777" w:rsidR="00F50227" w:rsidRDefault="00F50227" w:rsidP="00F50227">
      <w:pPr>
        <w:spacing w:after="120" w:line="360" w:lineRule="auto"/>
        <w:jc w:val="center"/>
        <w:rPr>
          <w:rFonts w:cs="Arial"/>
          <w:sz w:val="28"/>
          <w:szCs w:val="28"/>
        </w:rPr>
      </w:pPr>
    </w:p>
    <w:p w14:paraId="525E9BF6" w14:textId="77777777" w:rsidR="00F50227" w:rsidRDefault="00F50227" w:rsidP="00F50227">
      <w:pPr>
        <w:spacing w:after="120" w:line="360" w:lineRule="auto"/>
        <w:jc w:val="center"/>
        <w:rPr>
          <w:rFonts w:cs="Arial"/>
          <w:sz w:val="28"/>
          <w:szCs w:val="28"/>
        </w:rPr>
      </w:pPr>
    </w:p>
    <w:p w14:paraId="76B403B8" w14:textId="74AE00B8" w:rsidR="00F50227" w:rsidRPr="00F50227" w:rsidRDefault="00F50227" w:rsidP="00F50227">
      <w:pPr>
        <w:spacing w:after="120" w:line="360" w:lineRule="auto"/>
        <w:jc w:val="center"/>
        <w:rPr>
          <w:rFonts w:cs="Arial"/>
          <w:sz w:val="28"/>
          <w:szCs w:val="28"/>
        </w:rPr>
      </w:pPr>
      <w:r w:rsidRPr="00F50227">
        <w:rPr>
          <w:rFonts w:cs="Arial"/>
          <w:sz w:val="28"/>
          <w:szCs w:val="28"/>
        </w:rPr>
        <w:t>By</w:t>
      </w:r>
    </w:p>
    <w:p w14:paraId="0252B15C" w14:textId="51A52B75" w:rsidR="00F50227" w:rsidRPr="00F50227" w:rsidRDefault="00F50227" w:rsidP="00F50227">
      <w:pPr>
        <w:spacing w:after="120" w:line="360" w:lineRule="auto"/>
        <w:jc w:val="center"/>
        <w:rPr>
          <w:rFonts w:cs="Arial"/>
          <w:sz w:val="28"/>
          <w:szCs w:val="28"/>
        </w:rPr>
      </w:pPr>
      <w:r w:rsidRPr="00F50227">
        <w:rPr>
          <w:rFonts w:cs="Arial"/>
          <w:sz w:val="28"/>
          <w:szCs w:val="28"/>
        </w:rPr>
        <w:t xml:space="preserve">Annaliese Ellen Freeman </w:t>
      </w:r>
    </w:p>
    <w:p w14:paraId="75079945" w14:textId="04BF0A9E" w:rsidR="00F50227" w:rsidRDefault="00F50227" w:rsidP="00F50227">
      <w:pPr>
        <w:spacing w:after="120" w:line="360" w:lineRule="auto"/>
        <w:jc w:val="center"/>
        <w:rPr>
          <w:rFonts w:cs="Arial"/>
          <w:sz w:val="36"/>
          <w:szCs w:val="36"/>
        </w:rPr>
      </w:pPr>
    </w:p>
    <w:p w14:paraId="3006FADC" w14:textId="16D28AE3" w:rsidR="00F50227" w:rsidRDefault="00F50227" w:rsidP="00F50227">
      <w:pPr>
        <w:spacing w:after="120" w:line="360" w:lineRule="auto"/>
        <w:jc w:val="center"/>
        <w:rPr>
          <w:rFonts w:cs="Arial"/>
          <w:sz w:val="36"/>
          <w:szCs w:val="36"/>
        </w:rPr>
      </w:pPr>
    </w:p>
    <w:p w14:paraId="2626EC73" w14:textId="3E49C448" w:rsidR="00F50227" w:rsidRDefault="00F50227" w:rsidP="00F50227">
      <w:pPr>
        <w:spacing w:after="120" w:line="360" w:lineRule="auto"/>
        <w:jc w:val="center"/>
        <w:rPr>
          <w:rFonts w:cs="Arial"/>
          <w:sz w:val="36"/>
          <w:szCs w:val="36"/>
        </w:rPr>
      </w:pPr>
    </w:p>
    <w:p w14:paraId="2EFBC317" w14:textId="77777777" w:rsidR="00F50227" w:rsidRDefault="00F50227" w:rsidP="00F50227">
      <w:pPr>
        <w:spacing w:after="120" w:line="360" w:lineRule="auto"/>
        <w:jc w:val="center"/>
        <w:rPr>
          <w:rFonts w:cs="Arial"/>
          <w:sz w:val="36"/>
          <w:szCs w:val="36"/>
        </w:rPr>
      </w:pPr>
    </w:p>
    <w:p w14:paraId="72806EA0" w14:textId="26260320" w:rsidR="00F50227" w:rsidRDefault="00F50227" w:rsidP="00F50227">
      <w:pPr>
        <w:spacing w:after="120" w:line="360" w:lineRule="auto"/>
        <w:jc w:val="center"/>
        <w:rPr>
          <w:rFonts w:cs="Arial"/>
          <w:sz w:val="28"/>
          <w:szCs w:val="28"/>
        </w:rPr>
      </w:pPr>
      <w:r>
        <w:rPr>
          <w:rFonts w:cs="Arial"/>
          <w:sz w:val="28"/>
          <w:szCs w:val="28"/>
        </w:rPr>
        <w:t>A Dissertation</w:t>
      </w:r>
    </w:p>
    <w:p w14:paraId="1B52ACBB" w14:textId="57DB9CCF" w:rsidR="00F50227" w:rsidRDefault="00F50227" w:rsidP="00F50227">
      <w:pPr>
        <w:spacing w:after="120" w:line="360" w:lineRule="auto"/>
        <w:jc w:val="center"/>
        <w:rPr>
          <w:rFonts w:cs="Arial"/>
          <w:sz w:val="28"/>
          <w:szCs w:val="28"/>
        </w:rPr>
      </w:pPr>
      <w:r>
        <w:rPr>
          <w:rFonts w:cs="Arial"/>
          <w:sz w:val="28"/>
          <w:szCs w:val="28"/>
        </w:rPr>
        <w:t xml:space="preserve">Submitted to the Faculty of Humanities and Performing Arts </w:t>
      </w:r>
    </w:p>
    <w:p w14:paraId="1F1B9CE0" w14:textId="0542F389" w:rsidR="00F50227" w:rsidRDefault="00F50227" w:rsidP="00F50227">
      <w:pPr>
        <w:spacing w:after="120" w:line="360" w:lineRule="auto"/>
        <w:jc w:val="center"/>
        <w:rPr>
          <w:rFonts w:cs="Arial"/>
          <w:sz w:val="28"/>
          <w:szCs w:val="28"/>
        </w:rPr>
      </w:pPr>
      <w:r>
        <w:rPr>
          <w:rFonts w:cs="Arial"/>
          <w:sz w:val="28"/>
          <w:szCs w:val="28"/>
        </w:rPr>
        <w:t xml:space="preserve">University of Wales Trinity Saint David </w:t>
      </w:r>
    </w:p>
    <w:p w14:paraId="74857CFF" w14:textId="1E27E7D4" w:rsidR="00F50227" w:rsidRPr="00F50227" w:rsidRDefault="00F50227" w:rsidP="00F50227">
      <w:pPr>
        <w:spacing w:after="120" w:line="360" w:lineRule="auto"/>
        <w:jc w:val="center"/>
        <w:rPr>
          <w:rFonts w:cs="Arial"/>
          <w:sz w:val="28"/>
          <w:szCs w:val="28"/>
        </w:rPr>
      </w:pPr>
      <w:r>
        <w:rPr>
          <w:rFonts w:cs="Arial"/>
          <w:sz w:val="28"/>
          <w:szCs w:val="28"/>
        </w:rPr>
        <w:t>29</w:t>
      </w:r>
      <w:r w:rsidRPr="00F50227">
        <w:rPr>
          <w:rFonts w:cs="Arial"/>
          <w:sz w:val="28"/>
          <w:szCs w:val="28"/>
          <w:vertAlign w:val="superscript"/>
        </w:rPr>
        <w:t>th</w:t>
      </w:r>
      <w:r>
        <w:rPr>
          <w:rFonts w:cs="Arial"/>
          <w:sz w:val="28"/>
          <w:szCs w:val="28"/>
        </w:rPr>
        <w:t xml:space="preserve"> February 2020</w:t>
      </w:r>
    </w:p>
    <w:p w14:paraId="534B55A1" w14:textId="7BF57193" w:rsidR="00F50227" w:rsidRDefault="00F50227" w:rsidP="00F50227">
      <w:pPr>
        <w:spacing w:after="120" w:line="360" w:lineRule="auto"/>
        <w:jc w:val="center"/>
        <w:rPr>
          <w:rFonts w:cs="Arial"/>
          <w:sz w:val="28"/>
          <w:szCs w:val="28"/>
        </w:rPr>
      </w:pPr>
      <w:r w:rsidRPr="00F50227">
        <w:rPr>
          <w:rFonts w:cs="Arial"/>
          <w:sz w:val="28"/>
          <w:szCs w:val="28"/>
        </w:rPr>
        <w:t>Supervised by Dr Katharina Zinn</w:t>
      </w:r>
    </w:p>
    <w:p w14:paraId="12131223" w14:textId="77CF0064" w:rsidR="00F50227" w:rsidRDefault="00F50227" w:rsidP="00F50227">
      <w:pPr>
        <w:spacing w:after="120" w:line="360" w:lineRule="auto"/>
        <w:jc w:val="center"/>
        <w:rPr>
          <w:rFonts w:cs="Arial"/>
          <w:sz w:val="28"/>
          <w:szCs w:val="28"/>
        </w:rPr>
      </w:pPr>
      <w:r>
        <w:rPr>
          <w:rFonts w:cs="Arial"/>
          <w:sz w:val="28"/>
          <w:szCs w:val="28"/>
        </w:rPr>
        <w:t>Student Number: 1711087</w:t>
      </w:r>
    </w:p>
    <w:p w14:paraId="5B4EE8D3" w14:textId="77777777" w:rsidR="00F50227" w:rsidRPr="00F50227" w:rsidRDefault="00F50227" w:rsidP="00F50227">
      <w:pPr>
        <w:spacing w:after="120" w:line="360" w:lineRule="auto"/>
        <w:jc w:val="center"/>
        <w:rPr>
          <w:rFonts w:cs="Arial"/>
          <w:sz w:val="28"/>
          <w:szCs w:val="28"/>
        </w:rPr>
      </w:pPr>
    </w:p>
    <w:p w14:paraId="1ED7A4DF" w14:textId="23998355" w:rsidR="005C2027" w:rsidRPr="00951BBF" w:rsidRDefault="005C2027" w:rsidP="005C2027">
      <w:pPr>
        <w:spacing w:after="120"/>
        <w:rPr>
          <w:rFonts w:ascii="Arial" w:hAnsi="Arial" w:cs="Arial"/>
        </w:rPr>
      </w:pPr>
      <w:r>
        <w:rPr>
          <w:rFonts w:ascii="Arial" w:hAnsi="Arial" w:cs="Arial"/>
          <w:noProof/>
        </w:rPr>
        <w:lastRenderedPageBreak/>
        <w:drawing>
          <wp:inline distT="0" distB="0" distL="0" distR="0" wp14:anchorId="61789D85" wp14:editId="6B3FF38C">
            <wp:extent cx="1857375" cy="762000"/>
            <wp:effectExtent l="0" t="0" r="0" b="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7375" cy="762000"/>
                    </a:xfrm>
                    <a:prstGeom prst="rect">
                      <a:avLst/>
                    </a:prstGeom>
                    <a:noFill/>
                    <a:ln>
                      <a:noFill/>
                    </a:ln>
                  </pic:spPr>
                </pic:pic>
              </a:graphicData>
            </a:graphic>
          </wp:inline>
        </w:drawing>
      </w:r>
    </w:p>
    <w:p w14:paraId="51DCD3C1"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1FB47DAA"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6A45A178"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0C507A13"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Annaliese Ellen Freeman</w:t>
      </w:r>
    </w:p>
    <w:p w14:paraId="0667D996"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28/02/2020</w:t>
      </w:r>
    </w:p>
    <w:p w14:paraId="59130930"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A544B08"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2. This dissertation is being submitted in partial fulfilment of the requirements for the degree of ………………………………………………………………..................................</w:t>
      </w:r>
    </w:p>
    <w:p w14:paraId="1ECF4E85"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w:t>
      </w:r>
      <w:r>
        <w:rPr>
          <w:rFonts w:ascii="Arial" w:hAnsi="Arial" w:cs="Arial"/>
        </w:rPr>
        <w:t>me: Annaliese Ellen Freeman</w:t>
      </w:r>
      <w:r w:rsidRPr="00951BBF">
        <w:rPr>
          <w:rFonts w:ascii="Arial" w:hAnsi="Arial" w:cs="Arial"/>
        </w:rPr>
        <w:t>….</w:t>
      </w:r>
    </w:p>
    <w:p w14:paraId="12040B47"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w:t>
      </w:r>
      <w:r w:rsidRPr="00951BBF">
        <w:rPr>
          <w:rFonts w:ascii="Arial" w:hAnsi="Arial" w:cs="Arial"/>
        </w:rPr>
        <w:t xml:space="preserve"> </w:t>
      </w:r>
      <w:r>
        <w:rPr>
          <w:rFonts w:ascii="Arial" w:hAnsi="Arial" w:cs="Arial"/>
        </w:rPr>
        <w:t>28/02/202</w:t>
      </w:r>
    </w:p>
    <w:p w14:paraId="403156CB"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3FDB85D5"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63AA1F48"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107F045F"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73D7639C"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Annaliese Ellen Freeman </w:t>
      </w:r>
    </w:p>
    <w:p w14:paraId="2915533B"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28/02/2020</w:t>
      </w:r>
    </w:p>
    <w:p w14:paraId="3226C624"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148C2667"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5FA9F04B"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w:t>
      </w:r>
      <w:r>
        <w:rPr>
          <w:rFonts w:ascii="Arial" w:hAnsi="Arial" w:cs="Arial"/>
        </w:rPr>
        <w:t xml:space="preserve">e: Annaliese Ellen Freeman </w:t>
      </w:r>
    </w:p>
    <w:p w14:paraId="157453E7"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w:t>
      </w:r>
      <w:r>
        <w:rPr>
          <w:rFonts w:ascii="Arial" w:hAnsi="Arial" w:cs="Arial"/>
        </w:rPr>
        <w:t>e: 28/02/2020</w:t>
      </w:r>
      <w:r w:rsidRPr="00951BBF">
        <w:rPr>
          <w:rFonts w:ascii="Arial" w:hAnsi="Arial" w:cs="Arial"/>
        </w:rPr>
        <w:t>.</w:t>
      </w:r>
    </w:p>
    <w:p w14:paraId="2AC3728D"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270E5674"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6C1761B3" w14:textId="77777777" w:rsidR="005C2027" w:rsidRPr="00951BBF" w:rsidRDefault="005C2027" w:rsidP="005C2027">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3AE05DCD" w14:textId="3B9FF3A6" w:rsidR="00EB3CF5" w:rsidRDefault="005C2027" w:rsidP="00C675AE">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roofErr w:type="gramStart"/>
      <w:r>
        <w:rPr>
          <w:rFonts w:ascii="Arial" w:hAnsi="Arial" w:cs="Arial"/>
        </w:rPr>
        <w:t>…..</w:t>
      </w:r>
      <w:proofErr w:type="gramEnd"/>
    </w:p>
    <w:p w14:paraId="0253062B" w14:textId="77777777" w:rsidR="00C675AE" w:rsidRPr="00C675AE" w:rsidRDefault="00C675AE" w:rsidP="00C675AE">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p>
    <w:p w14:paraId="1FA57BED" w14:textId="77777777" w:rsidR="00F50227" w:rsidRDefault="00F50227" w:rsidP="00F50227">
      <w:pPr>
        <w:spacing w:after="120"/>
        <w:jc w:val="center"/>
        <w:rPr>
          <w:rFonts w:cs="Arial"/>
          <w:b/>
          <w:bCs/>
          <w:sz w:val="28"/>
          <w:szCs w:val="28"/>
          <w:u w:val="single"/>
        </w:rPr>
      </w:pPr>
      <w:r w:rsidRPr="005C2027">
        <w:rPr>
          <w:rFonts w:cs="Arial"/>
          <w:b/>
          <w:bCs/>
          <w:sz w:val="28"/>
          <w:szCs w:val="28"/>
          <w:u w:val="single"/>
        </w:rPr>
        <w:lastRenderedPageBreak/>
        <w:t>Contents</w:t>
      </w:r>
    </w:p>
    <w:p w14:paraId="2A8FE47A" w14:textId="77777777" w:rsidR="00F50227" w:rsidRDefault="00F50227" w:rsidP="00F50227">
      <w:pPr>
        <w:spacing w:after="120"/>
        <w:rPr>
          <w:rFonts w:cs="Arial"/>
          <w:b/>
          <w:bCs/>
          <w:sz w:val="28"/>
          <w:szCs w:val="28"/>
          <w:u w:val="single"/>
        </w:rPr>
      </w:pPr>
    </w:p>
    <w:sdt>
      <w:sdtPr>
        <w:id w:val="-7235868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D3CEAB1" w14:textId="77777777" w:rsidR="00F50227" w:rsidRDefault="00F50227" w:rsidP="00F50227">
          <w:pPr>
            <w:pStyle w:val="TOCHeading"/>
          </w:pPr>
        </w:p>
        <w:p w14:paraId="25937F65" w14:textId="6C835B12" w:rsidR="00C675AE" w:rsidRDefault="00F50227">
          <w:pPr>
            <w:pStyle w:val="TOC1"/>
            <w:rPr>
              <w:rFonts w:eastAsiaTheme="minorEastAsia"/>
              <w:b w:val="0"/>
              <w:bCs w:val="0"/>
              <w:i w:val="0"/>
              <w:iCs w:val="0"/>
              <w:lang w:eastAsia="en-GB"/>
            </w:rPr>
          </w:pPr>
          <w:r>
            <w:rPr>
              <w:noProof w:val="0"/>
            </w:rPr>
            <w:fldChar w:fldCharType="begin"/>
          </w:r>
          <w:r>
            <w:instrText xml:space="preserve"> TOC \o "1-3" \h \z \u </w:instrText>
          </w:r>
          <w:r>
            <w:rPr>
              <w:noProof w:val="0"/>
            </w:rPr>
            <w:fldChar w:fldCharType="separate"/>
          </w:r>
          <w:hyperlink w:anchor="_Toc33821825" w:history="1">
            <w:r w:rsidR="00C675AE" w:rsidRPr="00A3166B">
              <w:rPr>
                <w:rStyle w:val="Hyperlink"/>
              </w:rPr>
              <w:t>Abstract</w:t>
            </w:r>
            <w:r w:rsidR="00C675AE">
              <w:rPr>
                <w:webHidden/>
              </w:rPr>
              <w:tab/>
            </w:r>
            <w:r w:rsidR="00C675AE">
              <w:rPr>
                <w:webHidden/>
              </w:rPr>
              <w:fldChar w:fldCharType="begin"/>
            </w:r>
            <w:r w:rsidR="00C675AE">
              <w:rPr>
                <w:webHidden/>
              </w:rPr>
              <w:instrText xml:space="preserve"> PAGEREF _Toc33821825 \h </w:instrText>
            </w:r>
            <w:r w:rsidR="00C675AE">
              <w:rPr>
                <w:webHidden/>
              </w:rPr>
            </w:r>
            <w:r w:rsidR="00C675AE">
              <w:rPr>
                <w:webHidden/>
              </w:rPr>
              <w:fldChar w:fldCharType="separate"/>
            </w:r>
            <w:r w:rsidR="00C675AE">
              <w:rPr>
                <w:webHidden/>
              </w:rPr>
              <w:t>4</w:t>
            </w:r>
            <w:r w:rsidR="00C675AE">
              <w:rPr>
                <w:webHidden/>
              </w:rPr>
              <w:fldChar w:fldCharType="end"/>
            </w:r>
          </w:hyperlink>
        </w:p>
        <w:p w14:paraId="268AF9EB" w14:textId="78188C7A" w:rsidR="00C675AE" w:rsidRDefault="00C675AE">
          <w:pPr>
            <w:pStyle w:val="TOC1"/>
            <w:rPr>
              <w:rFonts w:eastAsiaTheme="minorEastAsia"/>
              <w:b w:val="0"/>
              <w:bCs w:val="0"/>
              <w:i w:val="0"/>
              <w:iCs w:val="0"/>
              <w:lang w:eastAsia="en-GB"/>
            </w:rPr>
          </w:pPr>
          <w:hyperlink w:anchor="_Toc33821826" w:history="1">
            <w:r w:rsidRPr="00A3166B">
              <w:rPr>
                <w:rStyle w:val="Hyperlink"/>
              </w:rPr>
              <w:t>Introduction</w:t>
            </w:r>
            <w:r>
              <w:rPr>
                <w:webHidden/>
              </w:rPr>
              <w:tab/>
            </w:r>
            <w:r>
              <w:rPr>
                <w:webHidden/>
              </w:rPr>
              <w:fldChar w:fldCharType="begin"/>
            </w:r>
            <w:r>
              <w:rPr>
                <w:webHidden/>
              </w:rPr>
              <w:instrText xml:space="preserve"> PAGEREF _Toc33821826 \h </w:instrText>
            </w:r>
            <w:r>
              <w:rPr>
                <w:webHidden/>
              </w:rPr>
            </w:r>
            <w:r>
              <w:rPr>
                <w:webHidden/>
              </w:rPr>
              <w:fldChar w:fldCharType="separate"/>
            </w:r>
            <w:r>
              <w:rPr>
                <w:webHidden/>
              </w:rPr>
              <w:t>5</w:t>
            </w:r>
            <w:r>
              <w:rPr>
                <w:webHidden/>
              </w:rPr>
              <w:fldChar w:fldCharType="end"/>
            </w:r>
          </w:hyperlink>
        </w:p>
        <w:p w14:paraId="3CA27700" w14:textId="359AA436" w:rsidR="00C675AE" w:rsidRDefault="00C675AE">
          <w:pPr>
            <w:pStyle w:val="TOC1"/>
            <w:rPr>
              <w:rFonts w:eastAsiaTheme="minorEastAsia"/>
              <w:b w:val="0"/>
              <w:bCs w:val="0"/>
              <w:i w:val="0"/>
              <w:iCs w:val="0"/>
              <w:lang w:eastAsia="en-GB"/>
            </w:rPr>
          </w:pPr>
          <w:hyperlink w:anchor="_Toc33821827" w:history="1">
            <w:r w:rsidRPr="00A3166B">
              <w:rPr>
                <w:rStyle w:val="Hyperlink"/>
              </w:rPr>
              <w:t>Chapter 1: The Themes of Creation and Destruction Within Egyptian Civilisation</w:t>
            </w:r>
            <w:r>
              <w:rPr>
                <w:webHidden/>
              </w:rPr>
              <w:tab/>
            </w:r>
            <w:r>
              <w:rPr>
                <w:webHidden/>
              </w:rPr>
              <w:fldChar w:fldCharType="begin"/>
            </w:r>
            <w:r>
              <w:rPr>
                <w:webHidden/>
              </w:rPr>
              <w:instrText xml:space="preserve"> PAGEREF _Toc33821827 \h </w:instrText>
            </w:r>
            <w:r>
              <w:rPr>
                <w:webHidden/>
              </w:rPr>
            </w:r>
            <w:r>
              <w:rPr>
                <w:webHidden/>
              </w:rPr>
              <w:fldChar w:fldCharType="separate"/>
            </w:r>
            <w:r>
              <w:rPr>
                <w:webHidden/>
              </w:rPr>
              <w:t>7</w:t>
            </w:r>
            <w:r>
              <w:rPr>
                <w:webHidden/>
              </w:rPr>
              <w:fldChar w:fldCharType="end"/>
            </w:r>
          </w:hyperlink>
        </w:p>
        <w:p w14:paraId="3FBC118B" w14:textId="145FC9C4"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28" w:history="1">
            <w:r w:rsidRPr="00A3166B">
              <w:rPr>
                <w:rStyle w:val="Hyperlink"/>
                <w:noProof/>
              </w:rPr>
              <w:t>1.1</w:t>
            </w:r>
            <w:r>
              <w:rPr>
                <w:rFonts w:eastAsiaTheme="minorEastAsia"/>
                <w:b w:val="0"/>
                <w:bCs w:val="0"/>
                <w:noProof/>
                <w:sz w:val="24"/>
                <w:szCs w:val="24"/>
                <w:lang w:eastAsia="en-GB"/>
              </w:rPr>
              <w:tab/>
            </w:r>
            <w:r w:rsidRPr="00A3166B">
              <w:rPr>
                <w:rStyle w:val="Hyperlink"/>
                <w:noProof/>
              </w:rPr>
              <w:t>Creation of the World and the Destruction of the Gods – Cosmology and Mythology</w:t>
            </w:r>
            <w:r>
              <w:rPr>
                <w:noProof/>
                <w:webHidden/>
              </w:rPr>
              <w:tab/>
            </w:r>
            <w:r>
              <w:rPr>
                <w:noProof/>
                <w:webHidden/>
              </w:rPr>
              <w:fldChar w:fldCharType="begin"/>
            </w:r>
            <w:r>
              <w:rPr>
                <w:noProof/>
                <w:webHidden/>
              </w:rPr>
              <w:instrText xml:space="preserve"> PAGEREF _Toc33821828 \h </w:instrText>
            </w:r>
            <w:r>
              <w:rPr>
                <w:noProof/>
                <w:webHidden/>
              </w:rPr>
            </w:r>
            <w:r>
              <w:rPr>
                <w:noProof/>
                <w:webHidden/>
              </w:rPr>
              <w:fldChar w:fldCharType="separate"/>
            </w:r>
            <w:r>
              <w:rPr>
                <w:noProof/>
                <w:webHidden/>
              </w:rPr>
              <w:t>8</w:t>
            </w:r>
            <w:r>
              <w:rPr>
                <w:noProof/>
                <w:webHidden/>
              </w:rPr>
              <w:fldChar w:fldCharType="end"/>
            </w:r>
          </w:hyperlink>
        </w:p>
        <w:p w14:paraId="2CF9D378" w14:textId="6D3678F5"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29" w:history="1">
            <w:r w:rsidRPr="00A3166B">
              <w:rPr>
                <w:rStyle w:val="Hyperlink"/>
                <w:noProof/>
              </w:rPr>
              <w:t>1.2</w:t>
            </w:r>
            <w:r>
              <w:rPr>
                <w:rFonts w:eastAsiaTheme="minorEastAsia"/>
                <w:b w:val="0"/>
                <w:bCs w:val="0"/>
                <w:noProof/>
                <w:sz w:val="24"/>
                <w:szCs w:val="24"/>
                <w:lang w:eastAsia="en-GB"/>
              </w:rPr>
              <w:tab/>
            </w:r>
            <w:r w:rsidRPr="00A3166B">
              <w:rPr>
                <w:rStyle w:val="Hyperlink"/>
                <w:noProof/>
              </w:rPr>
              <w:t>Creation and Destruction within the Egyptian Landscape</w:t>
            </w:r>
            <w:r>
              <w:rPr>
                <w:noProof/>
                <w:webHidden/>
              </w:rPr>
              <w:tab/>
            </w:r>
            <w:r>
              <w:rPr>
                <w:noProof/>
                <w:webHidden/>
              </w:rPr>
              <w:fldChar w:fldCharType="begin"/>
            </w:r>
            <w:r>
              <w:rPr>
                <w:noProof/>
                <w:webHidden/>
              </w:rPr>
              <w:instrText xml:space="preserve"> PAGEREF _Toc33821829 \h </w:instrText>
            </w:r>
            <w:r>
              <w:rPr>
                <w:noProof/>
                <w:webHidden/>
              </w:rPr>
            </w:r>
            <w:r>
              <w:rPr>
                <w:noProof/>
                <w:webHidden/>
              </w:rPr>
              <w:fldChar w:fldCharType="separate"/>
            </w:r>
            <w:r>
              <w:rPr>
                <w:noProof/>
                <w:webHidden/>
              </w:rPr>
              <w:t>11</w:t>
            </w:r>
            <w:r>
              <w:rPr>
                <w:noProof/>
                <w:webHidden/>
              </w:rPr>
              <w:fldChar w:fldCharType="end"/>
            </w:r>
          </w:hyperlink>
        </w:p>
        <w:p w14:paraId="0732717F" w14:textId="5C4A1F19"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0" w:history="1">
            <w:r w:rsidRPr="00A3166B">
              <w:rPr>
                <w:rStyle w:val="Hyperlink"/>
                <w:noProof/>
              </w:rPr>
              <w:t>1.3</w:t>
            </w:r>
            <w:r>
              <w:rPr>
                <w:rFonts w:eastAsiaTheme="minorEastAsia"/>
                <w:b w:val="0"/>
                <w:bCs w:val="0"/>
                <w:noProof/>
                <w:sz w:val="24"/>
                <w:szCs w:val="24"/>
                <w:lang w:eastAsia="en-GB"/>
              </w:rPr>
              <w:tab/>
            </w:r>
            <w:r w:rsidRPr="00A3166B">
              <w:rPr>
                <w:rStyle w:val="Hyperlink"/>
                <w:noProof/>
              </w:rPr>
              <w:t>Creation and Destruction within Egyptian Architecture</w:t>
            </w:r>
            <w:r>
              <w:rPr>
                <w:noProof/>
                <w:webHidden/>
              </w:rPr>
              <w:tab/>
            </w:r>
            <w:r>
              <w:rPr>
                <w:noProof/>
                <w:webHidden/>
              </w:rPr>
              <w:fldChar w:fldCharType="begin"/>
            </w:r>
            <w:r>
              <w:rPr>
                <w:noProof/>
                <w:webHidden/>
              </w:rPr>
              <w:instrText xml:space="preserve"> PAGEREF _Toc33821830 \h </w:instrText>
            </w:r>
            <w:r>
              <w:rPr>
                <w:noProof/>
                <w:webHidden/>
              </w:rPr>
            </w:r>
            <w:r>
              <w:rPr>
                <w:noProof/>
                <w:webHidden/>
              </w:rPr>
              <w:fldChar w:fldCharType="separate"/>
            </w:r>
            <w:r>
              <w:rPr>
                <w:noProof/>
                <w:webHidden/>
              </w:rPr>
              <w:t>13</w:t>
            </w:r>
            <w:r>
              <w:rPr>
                <w:noProof/>
                <w:webHidden/>
              </w:rPr>
              <w:fldChar w:fldCharType="end"/>
            </w:r>
          </w:hyperlink>
        </w:p>
        <w:p w14:paraId="3538D2E1" w14:textId="4787211D"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1" w:history="1">
            <w:r w:rsidRPr="00A3166B">
              <w:rPr>
                <w:rStyle w:val="Hyperlink"/>
                <w:noProof/>
              </w:rPr>
              <w:t>1.4</w:t>
            </w:r>
            <w:r>
              <w:rPr>
                <w:rFonts w:eastAsiaTheme="minorEastAsia"/>
                <w:b w:val="0"/>
                <w:bCs w:val="0"/>
                <w:noProof/>
                <w:sz w:val="24"/>
                <w:szCs w:val="24"/>
                <w:lang w:eastAsia="en-GB"/>
              </w:rPr>
              <w:tab/>
            </w:r>
            <w:r w:rsidRPr="00A3166B">
              <w:rPr>
                <w:rStyle w:val="Hyperlink"/>
                <w:i/>
                <w:iCs/>
                <w:noProof/>
              </w:rPr>
              <w:t>Heka</w:t>
            </w:r>
            <w:r w:rsidRPr="00A3166B">
              <w:rPr>
                <w:rStyle w:val="Hyperlink"/>
                <w:noProof/>
              </w:rPr>
              <w:t xml:space="preserve"> – A Creative or Destructive Force?</w:t>
            </w:r>
            <w:r>
              <w:rPr>
                <w:noProof/>
                <w:webHidden/>
              </w:rPr>
              <w:tab/>
            </w:r>
            <w:r>
              <w:rPr>
                <w:noProof/>
                <w:webHidden/>
              </w:rPr>
              <w:fldChar w:fldCharType="begin"/>
            </w:r>
            <w:r>
              <w:rPr>
                <w:noProof/>
                <w:webHidden/>
              </w:rPr>
              <w:instrText xml:space="preserve"> PAGEREF _Toc33821831 \h </w:instrText>
            </w:r>
            <w:r>
              <w:rPr>
                <w:noProof/>
                <w:webHidden/>
              </w:rPr>
            </w:r>
            <w:r>
              <w:rPr>
                <w:noProof/>
                <w:webHidden/>
              </w:rPr>
              <w:fldChar w:fldCharType="separate"/>
            </w:r>
            <w:r>
              <w:rPr>
                <w:noProof/>
                <w:webHidden/>
              </w:rPr>
              <w:t>15</w:t>
            </w:r>
            <w:r>
              <w:rPr>
                <w:noProof/>
                <w:webHidden/>
              </w:rPr>
              <w:fldChar w:fldCharType="end"/>
            </w:r>
          </w:hyperlink>
        </w:p>
        <w:p w14:paraId="5FFECEFD" w14:textId="57D129AA"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2" w:history="1">
            <w:r w:rsidRPr="00A3166B">
              <w:rPr>
                <w:rStyle w:val="Hyperlink"/>
                <w:noProof/>
              </w:rPr>
              <w:t>1.5</w:t>
            </w:r>
            <w:r>
              <w:rPr>
                <w:rFonts w:eastAsiaTheme="minorEastAsia"/>
                <w:b w:val="0"/>
                <w:bCs w:val="0"/>
                <w:noProof/>
                <w:sz w:val="24"/>
                <w:szCs w:val="24"/>
                <w:lang w:eastAsia="en-GB"/>
              </w:rPr>
              <w:tab/>
            </w:r>
            <w:r w:rsidRPr="00A3166B">
              <w:rPr>
                <w:rStyle w:val="Hyperlink"/>
                <w:noProof/>
              </w:rPr>
              <w:t xml:space="preserve">Creation of </w:t>
            </w:r>
            <w:r w:rsidRPr="00A3166B">
              <w:rPr>
                <w:rStyle w:val="Hyperlink"/>
                <w:i/>
                <w:iCs/>
                <w:noProof/>
              </w:rPr>
              <w:t>maat</w:t>
            </w:r>
            <w:r w:rsidRPr="00A3166B">
              <w:rPr>
                <w:rStyle w:val="Hyperlink"/>
                <w:noProof/>
              </w:rPr>
              <w:t xml:space="preserve"> and the Destruction of </w:t>
            </w:r>
            <w:r w:rsidRPr="00A3166B">
              <w:rPr>
                <w:rStyle w:val="Hyperlink"/>
                <w:i/>
                <w:iCs/>
                <w:noProof/>
              </w:rPr>
              <w:t>isfet</w:t>
            </w:r>
            <w:r>
              <w:rPr>
                <w:noProof/>
                <w:webHidden/>
              </w:rPr>
              <w:tab/>
            </w:r>
            <w:r>
              <w:rPr>
                <w:noProof/>
                <w:webHidden/>
              </w:rPr>
              <w:fldChar w:fldCharType="begin"/>
            </w:r>
            <w:r>
              <w:rPr>
                <w:noProof/>
                <w:webHidden/>
              </w:rPr>
              <w:instrText xml:space="preserve"> PAGEREF _Toc33821832 \h </w:instrText>
            </w:r>
            <w:r>
              <w:rPr>
                <w:noProof/>
                <w:webHidden/>
              </w:rPr>
            </w:r>
            <w:r>
              <w:rPr>
                <w:noProof/>
                <w:webHidden/>
              </w:rPr>
              <w:fldChar w:fldCharType="separate"/>
            </w:r>
            <w:r>
              <w:rPr>
                <w:noProof/>
                <w:webHidden/>
              </w:rPr>
              <w:t>17</w:t>
            </w:r>
            <w:r>
              <w:rPr>
                <w:noProof/>
                <w:webHidden/>
              </w:rPr>
              <w:fldChar w:fldCharType="end"/>
            </w:r>
          </w:hyperlink>
        </w:p>
        <w:p w14:paraId="4D57A42A" w14:textId="1310DE03"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3" w:history="1">
            <w:r w:rsidRPr="00A3166B">
              <w:rPr>
                <w:rStyle w:val="Hyperlink"/>
                <w:noProof/>
              </w:rPr>
              <w:t>1.6.</w:t>
            </w:r>
            <w:r>
              <w:rPr>
                <w:rFonts w:eastAsiaTheme="minorEastAsia"/>
                <w:b w:val="0"/>
                <w:bCs w:val="0"/>
                <w:noProof/>
                <w:sz w:val="24"/>
                <w:szCs w:val="24"/>
                <w:lang w:eastAsia="en-GB"/>
              </w:rPr>
              <w:tab/>
            </w:r>
            <w:r w:rsidRPr="00A3166B">
              <w:rPr>
                <w:rStyle w:val="Hyperlink"/>
                <w:noProof/>
              </w:rPr>
              <w:t>Creation and Destruction within the Kingships of Egypt</w:t>
            </w:r>
            <w:r>
              <w:rPr>
                <w:noProof/>
                <w:webHidden/>
              </w:rPr>
              <w:tab/>
            </w:r>
            <w:r>
              <w:rPr>
                <w:noProof/>
                <w:webHidden/>
              </w:rPr>
              <w:fldChar w:fldCharType="begin"/>
            </w:r>
            <w:r>
              <w:rPr>
                <w:noProof/>
                <w:webHidden/>
              </w:rPr>
              <w:instrText xml:space="preserve"> PAGEREF _Toc33821833 \h </w:instrText>
            </w:r>
            <w:r>
              <w:rPr>
                <w:noProof/>
                <w:webHidden/>
              </w:rPr>
            </w:r>
            <w:r>
              <w:rPr>
                <w:noProof/>
                <w:webHidden/>
              </w:rPr>
              <w:fldChar w:fldCharType="separate"/>
            </w:r>
            <w:r>
              <w:rPr>
                <w:noProof/>
                <w:webHidden/>
              </w:rPr>
              <w:t>18</w:t>
            </w:r>
            <w:r>
              <w:rPr>
                <w:noProof/>
                <w:webHidden/>
              </w:rPr>
              <w:fldChar w:fldCharType="end"/>
            </w:r>
          </w:hyperlink>
        </w:p>
        <w:p w14:paraId="3641BA72" w14:textId="1351E2B3" w:rsidR="00C675AE" w:rsidRDefault="00C675AE">
          <w:pPr>
            <w:pStyle w:val="TOC1"/>
            <w:rPr>
              <w:rFonts w:eastAsiaTheme="minorEastAsia"/>
              <w:b w:val="0"/>
              <w:bCs w:val="0"/>
              <w:i w:val="0"/>
              <w:iCs w:val="0"/>
              <w:lang w:eastAsia="en-GB"/>
            </w:rPr>
          </w:pPr>
          <w:hyperlink w:anchor="_Toc33821834" w:history="1">
            <w:r w:rsidRPr="00A3166B">
              <w:rPr>
                <w:rStyle w:val="Hyperlink"/>
              </w:rPr>
              <w:t>Chapter 2: Creation and Destruction within the reign of Hatshepsut</w:t>
            </w:r>
            <w:r>
              <w:rPr>
                <w:webHidden/>
              </w:rPr>
              <w:tab/>
            </w:r>
            <w:r>
              <w:rPr>
                <w:webHidden/>
              </w:rPr>
              <w:fldChar w:fldCharType="begin"/>
            </w:r>
            <w:r>
              <w:rPr>
                <w:webHidden/>
              </w:rPr>
              <w:instrText xml:space="preserve"> PAGEREF _Toc33821834 \h </w:instrText>
            </w:r>
            <w:r>
              <w:rPr>
                <w:webHidden/>
              </w:rPr>
            </w:r>
            <w:r>
              <w:rPr>
                <w:webHidden/>
              </w:rPr>
              <w:fldChar w:fldCharType="separate"/>
            </w:r>
            <w:r>
              <w:rPr>
                <w:webHidden/>
              </w:rPr>
              <w:t>20</w:t>
            </w:r>
            <w:r>
              <w:rPr>
                <w:webHidden/>
              </w:rPr>
              <w:fldChar w:fldCharType="end"/>
            </w:r>
          </w:hyperlink>
        </w:p>
        <w:p w14:paraId="129A836E" w14:textId="0C03B22B"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5" w:history="1">
            <w:r w:rsidRPr="00A3166B">
              <w:rPr>
                <w:rStyle w:val="Hyperlink"/>
                <w:noProof/>
              </w:rPr>
              <w:t>2.1</w:t>
            </w:r>
            <w:r>
              <w:rPr>
                <w:rFonts w:eastAsiaTheme="minorEastAsia"/>
                <w:b w:val="0"/>
                <w:bCs w:val="0"/>
                <w:noProof/>
                <w:sz w:val="24"/>
                <w:szCs w:val="24"/>
                <w:lang w:eastAsia="en-GB"/>
              </w:rPr>
              <w:tab/>
            </w:r>
            <w:r w:rsidRPr="00A3166B">
              <w:rPr>
                <w:rStyle w:val="Hyperlink"/>
                <w:noProof/>
              </w:rPr>
              <w:t>The Creation of a Kingship</w:t>
            </w:r>
            <w:r>
              <w:rPr>
                <w:noProof/>
                <w:webHidden/>
              </w:rPr>
              <w:tab/>
            </w:r>
            <w:r>
              <w:rPr>
                <w:noProof/>
                <w:webHidden/>
              </w:rPr>
              <w:fldChar w:fldCharType="begin"/>
            </w:r>
            <w:r>
              <w:rPr>
                <w:noProof/>
                <w:webHidden/>
              </w:rPr>
              <w:instrText xml:space="preserve"> PAGEREF _Toc33821835 \h </w:instrText>
            </w:r>
            <w:r>
              <w:rPr>
                <w:noProof/>
                <w:webHidden/>
              </w:rPr>
            </w:r>
            <w:r>
              <w:rPr>
                <w:noProof/>
                <w:webHidden/>
              </w:rPr>
              <w:fldChar w:fldCharType="separate"/>
            </w:r>
            <w:r>
              <w:rPr>
                <w:noProof/>
                <w:webHidden/>
              </w:rPr>
              <w:t>21</w:t>
            </w:r>
            <w:r>
              <w:rPr>
                <w:noProof/>
                <w:webHidden/>
              </w:rPr>
              <w:fldChar w:fldCharType="end"/>
            </w:r>
          </w:hyperlink>
        </w:p>
        <w:p w14:paraId="4CB0C889" w14:textId="262FDA0F"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6" w:history="1">
            <w:r w:rsidRPr="00A3166B">
              <w:rPr>
                <w:rStyle w:val="Hyperlink"/>
                <w:noProof/>
              </w:rPr>
              <w:t>2.2</w:t>
            </w:r>
            <w:r>
              <w:rPr>
                <w:rFonts w:eastAsiaTheme="minorEastAsia"/>
                <w:b w:val="0"/>
                <w:bCs w:val="0"/>
                <w:noProof/>
                <w:sz w:val="24"/>
                <w:szCs w:val="24"/>
                <w:lang w:eastAsia="en-GB"/>
              </w:rPr>
              <w:tab/>
            </w:r>
            <w:r w:rsidRPr="00A3166B">
              <w:rPr>
                <w:rStyle w:val="Hyperlink"/>
                <w:noProof/>
              </w:rPr>
              <w:t>The Creation of Authority - The Legitimisation of Hatshepsut</w:t>
            </w:r>
            <w:r>
              <w:rPr>
                <w:noProof/>
                <w:webHidden/>
              </w:rPr>
              <w:tab/>
            </w:r>
            <w:r>
              <w:rPr>
                <w:noProof/>
                <w:webHidden/>
              </w:rPr>
              <w:fldChar w:fldCharType="begin"/>
            </w:r>
            <w:r>
              <w:rPr>
                <w:noProof/>
                <w:webHidden/>
              </w:rPr>
              <w:instrText xml:space="preserve"> PAGEREF _Toc33821836 \h </w:instrText>
            </w:r>
            <w:r>
              <w:rPr>
                <w:noProof/>
                <w:webHidden/>
              </w:rPr>
            </w:r>
            <w:r>
              <w:rPr>
                <w:noProof/>
                <w:webHidden/>
              </w:rPr>
              <w:fldChar w:fldCharType="separate"/>
            </w:r>
            <w:r>
              <w:rPr>
                <w:noProof/>
                <w:webHidden/>
              </w:rPr>
              <w:t>26</w:t>
            </w:r>
            <w:r>
              <w:rPr>
                <w:noProof/>
                <w:webHidden/>
              </w:rPr>
              <w:fldChar w:fldCharType="end"/>
            </w:r>
          </w:hyperlink>
        </w:p>
        <w:p w14:paraId="350A04BD" w14:textId="4D1B52C9"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7" w:history="1">
            <w:r w:rsidRPr="00A3166B">
              <w:rPr>
                <w:rStyle w:val="Hyperlink"/>
                <w:noProof/>
              </w:rPr>
              <w:t>2.3</w:t>
            </w:r>
            <w:r>
              <w:rPr>
                <w:rFonts w:eastAsiaTheme="minorEastAsia"/>
                <w:b w:val="0"/>
                <w:bCs w:val="0"/>
                <w:noProof/>
                <w:sz w:val="24"/>
                <w:szCs w:val="24"/>
                <w:lang w:eastAsia="en-GB"/>
              </w:rPr>
              <w:tab/>
            </w:r>
            <w:r w:rsidRPr="00A3166B">
              <w:rPr>
                <w:rStyle w:val="Hyperlink"/>
                <w:noProof/>
              </w:rPr>
              <w:t>The Creation of a New Design - The evolution of Architecture and Monumentality</w:t>
            </w:r>
            <w:r>
              <w:rPr>
                <w:noProof/>
                <w:webHidden/>
              </w:rPr>
              <w:tab/>
            </w:r>
            <w:r>
              <w:rPr>
                <w:noProof/>
                <w:webHidden/>
              </w:rPr>
              <w:fldChar w:fldCharType="begin"/>
            </w:r>
            <w:r>
              <w:rPr>
                <w:noProof/>
                <w:webHidden/>
              </w:rPr>
              <w:instrText xml:space="preserve"> PAGEREF _Toc33821837 \h </w:instrText>
            </w:r>
            <w:r>
              <w:rPr>
                <w:noProof/>
                <w:webHidden/>
              </w:rPr>
            </w:r>
            <w:r>
              <w:rPr>
                <w:noProof/>
                <w:webHidden/>
              </w:rPr>
              <w:fldChar w:fldCharType="separate"/>
            </w:r>
            <w:r>
              <w:rPr>
                <w:noProof/>
                <w:webHidden/>
              </w:rPr>
              <w:t>29</w:t>
            </w:r>
            <w:r>
              <w:rPr>
                <w:noProof/>
                <w:webHidden/>
              </w:rPr>
              <w:fldChar w:fldCharType="end"/>
            </w:r>
          </w:hyperlink>
        </w:p>
        <w:p w14:paraId="5C649FC0" w14:textId="38949290"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8" w:history="1">
            <w:r w:rsidRPr="00A3166B">
              <w:rPr>
                <w:rStyle w:val="Hyperlink"/>
                <w:noProof/>
              </w:rPr>
              <w:t>2.4</w:t>
            </w:r>
            <w:r>
              <w:rPr>
                <w:rFonts w:eastAsiaTheme="minorEastAsia"/>
                <w:b w:val="0"/>
                <w:bCs w:val="0"/>
                <w:noProof/>
                <w:sz w:val="24"/>
                <w:szCs w:val="24"/>
                <w:lang w:eastAsia="en-GB"/>
              </w:rPr>
              <w:tab/>
            </w:r>
            <w:r w:rsidRPr="00A3166B">
              <w:rPr>
                <w:rStyle w:val="Hyperlink"/>
                <w:noProof/>
              </w:rPr>
              <w:t>The Creation of a New Image</w:t>
            </w:r>
            <w:r>
              <w:rPr>
                <w:noProof/>
                <w:webHidden/>
              </w:rPr>
              <w:tab/>
            </w:r>
            <w:r>
              <w:rPr>
                <w:noProof/>
                <w:webHidden/>
              </w:rPr>
              <w:fldChar w:fldCharType="begin"/>
            </w:r>
            <w:r>
              <w:rPr>
                <w:noProof/>
                <w:webHidden/>
              </w:rPr>
              <w:instrText xml:space="preserve"> PAGEREF _Toc33821838 \h </w:instrText>
            </w:r>
            <w:r>
              <w:rPr>
                <w:noProof/>
                <w:webHidden/>
              </w:rPr>
            </w:r>
            <w:r>
              <w:rPr>
                <w:noProof/>
                <w:webHidden/>
              </w:rPr>
              <w:fldChar w:fldCharType="separate"/>
            </w:r>
            <w:r>
              <w:rPr>
                <w:noProof/>
                <w:webHidden/>
              </w:rPr>
              <w:t>30</w:t>
            </w:r>
            <w:r>
              <w:rPr>
                <w:noProof/>
                <w:webHidden/>
              </w:rPr>
              <w:fldChar w:fldCharType="end"/>
            </w:r>
          </w:hyperlink>
        </w:p>
        <w:p w14:paraId="1B516178" w14:textId="52343C2E"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39" w:history="1">
            <w:r w:rsidRPr="00A3166B">
              <w:rPr>
                <w:rStyle w:val="Hyperlink"/>
                <w:noProof/>
              </w:rPr>
              <w:t>2.5</w:t>
            </w:r>
            <w:r>
              <w:rPr>
                <w:rFonts w:eastAsiaTheme="minorEastAsia"/>
                <w:b w:val="0"/>
                <w:bCs w:val="0"/>
                <w:noProof/>
                <w:sz w:val="24"/>
                <w:szCs w:val="24"/>
                <w:lang w:eastAsia="en-GB"/>
              </w:rPr>
              <w:tab/>
            </w:r>
            <w:r w:rsidRPr="00A3166B">
              <w:rPr>
                <w:rStyle w:val="Hyperlink"/>
                <w:noProof/>
              </w:rPr>
              <w:t>The Creation of a Divine Identity</w:t>
            </w:r>
            <w:r>
              <w:rPr>
                <w:noProof/>
                <w:webHidden/>
              </w:rPr>
              <w:tab/>
            </w:r>
            <w:r>
              <w:rPr>
                <w:noProof/>
                <w:webHidden/>
              </w:rPr>
              <w:fldChar w:fldCharType="begin"/>
            </w:r>
            <w:r>
              <w:rPr>
                <w:noProof/>
                <w:webHidden/>
              </w:rPr>
              <w:instrText xml:space="preserve"> PAGEREF _Toc33821839 \h </w:instrText>
            </w:r>
            <w:r>
              <w:rPr>
                <w:noProof/>
                <w:webHidden/>
              </w:rPr>
            </w:r>
            <w:r>
              <w:rPr>
                <w:noProof/>
                <w:webHidden/>
              </w:rPr>
              <w:fldChar w:fldCharType="separate"/>
            </w:r>
            <w:r>
              <w:rPr>
                <w:noProof/>
                <w:webHidden/>
              </w:rPr>
              <w:t>33</w:t>
            </w:r>
            <w:r>
              <w:rPr>
                <w:noProof/>
                <w:webHidden/>
              </w:rPr>
              <w:fldChar w:fldCharType="end"/>
            </w:r>
          </w:hyperlink>
        </w:p>
        <w:p w14:paraId="1C14EE78" w14:textId="583C885A"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40" w:history="1">
            <w:r w:rsidRPr="00A3166B">
              <w:rPr>
                <w:rStyle w:val="Hyperlink"/>
                <w:noProof/>
              </w:rPr>
              <w:t>2.6</w:t>
            </w:r>
            <w:r>
              <w:rPr>
                <w:rFonts w:eastAsiaTheme="minorEastAsia"/>
                <w:b w:val="0"/>
                <w:bCs w:val="0"/>
                <w:noProof/>
                <w:sz w:val="24"/>
                <w:szCs w:val="24"/>
                <w:lang w:eastAsia="en-GB"/>
              </w:rPr>
              <w:tab/>
            </w:r>
            <w:r w:rsidRPr="00A3166B">
              <w:rPr>
                <w:rStyle w:val="Hyperlink"/>
                <w:noProof/>
              </w:rPr>
              <w:t>The Destruction of Hatshepsut</w:t>
            </w:r>
            <w:r>
              <w:rPr>
                <w:noProof/>
                <w:webHidden/>
              </w:rPr>
              <w:tab/>
            </w:r>
            <w:r>
              <w:rPr>
                <w:noProof/>
                <w:webHidden/>
              </w:rPr>
              <w:fldChar w:fldCharType="begin"/>
            </w:r>
            <w:r>
              <w:rPr>
                <w:noProof/>
                <w:webHidden/>
              </w:rPr>
              <w:instrText xml:space="preserve"> PAGEREF _Toc33821840 \h </w:instrText>
            </w:r>
            <w:r>
              <w:rPr>
                <w:noProof/>
                <w:webHidden/>
              </w:rPr>
            </w:r>
            <w:r>
              <w:rPr>
                <w:noProof/>
                <w:webHidden/>
              </w:rPr>
              <w:fldChar w:fldCharType="separate"/>
            </w:r>
            <w:r>
              <w:rPr>
                <w:noProof/>
                <w:webHidden/>
              </w:rPr>
              <w:t>35</w:t>
            </w:r>
            <w:r>
              <w:rPr>
                <w:noProof/>
                <w:webHidden/>
              </w:rPr>
              <w:fldChar w:fldCharType="end"/>
            </w:r>
          </w:hyperlink>
        </w:p>
        <w:p w14:paraId="6A0D3C12" w14:textId="399AFB4D" w:rsidR="00C675AE" w:rsidRDefault="00C675AE">
          <w:pPr>
            <w:pStyle w:val="TOC1"/>
            <w:rPr>
              <w:rFonts w:eastAsiaTheme="minorEastAsia"/>
              <w:b w:val="0"/>
              <w:bCs w:val="0"/>
              <w:i w:val="0"/>
              <w:iCs w:val="0"/>
              <w:lang w:eastAsia="en-GB"/>
            </w:rPr>
          </w:pPr>
          <w:hyperlink w:anchor="_Toc33821841" w:history="1">
            <w:r w:rsidRPr="00A3166B">
              <w:rPr>
                <w:rStyle w:val="Hyperlink"/>
              </w:rPr>
              <w:t>Chapter 3: Creation and Destruction throughout the Amarna Period – The Reign of King Akhenaten</w:t>
            </w:r>
            <w:r>
              <w:rPr>
                <w:webHidden/>
              </w:rPr>
              <w:tab/>
            </w:r>
            <w:r>
              <w:rPr>
                <w:webHidden/>
              </w:rPr>
              <w:fldChar w:fldCharType="begin"/>
            </w:r>
            <w:r>
              <w:rPr>
                <w:webHidden/>
              </w:rPr>
              <w:instrText xml:space="preserve"> PAGEREF _Toc33821841 \h </w:instrText>
            </w:r>
            <w:r>
              <w:rPr>
                <w:webHidden/>
              </w:rPr>
            </w:r>
            <w:r>
              <w:rPr>
                <w:webHidden/>
              </w:rPr>
              <w:fldChar w:fldCharType="separate"/>
            </w:r>
            <w:r>
              <w:rPr>
                <w:webHidden/>
              </w:rPr>
              <w:t>36</w:t>
            </w:r>
            <w:r>
              <w:rPr>
                <w:webHidden/>
              </w:rPr>
              <w:fldChar w:fldCharType="end"/>
            </w:r>
          </w:hyperlink>
        </w:p>
        <w:p w14:paraId="18C66D83" w14:textId="3FD6437E"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42" w:history="1">
            <w:r w:rsidRPr="00A3166B">
              <w:rPr>
                <w:rStyle w:val="Hyperlink"/>
                <w:noProof/>
              </w:rPr>
              <w:t>3.1</w:t>
            </w:r>
            <w:r>
              <w:rPr>
                <w:rFonts w:eastAsiaTheme="minorEastAsia"/>
                <w:b w:val="0"/>
                <w:bCs w:val="0"/>
                <w:noProof/>
                <w:sz w:val="24"/>
                <w:szCs w:val="24"/>
                <w:lang w:eastAsia="en-GB"/>
              </w:rPr>
              <w:tab/>
            </w:r>
            <w:r w:rsidRPr="00A3166B">
              <w:rPr>
                <w:rStyle w:val="Hyperlink"/>
                <w:noProof/>
              </w:rPr>
              <w:t>The Creation of a New Religious Ideology – the evolution of Atenism and solar religion</w:t>
            </w:r>
            <w:r>
              <w:rPr>
                <w:noProof/>
                <w:webHidden/>
              </w:rPr>
              <w:tab/>
            </w:r>
            <w:r>
              <w:rPr>
                <w:noProof/>
                <w:webHidden/>
              </w:rPr>
              <w:fldChar w:fldCharType="begin"/>
            </w:r>
            <w:r>
              <w:rPr>
                <w:noProof/>
                <w:webHidden/>
              </w:rPr>
              <w:instrText xml:space="preserve"> PAGEREF _Toc33821842 \h </w:instrText>
            </w:r>
            <w:r>
              <w:rPr>
                <w:noProof/>
                <w:webHidden/>
              </w:rPr>
            </w:r>
            <w:r>
              <w:rPr>
                <w:noProof/>
                <w:webHidden/>
              </w:rPr>
              <w:fldChar w:fldCharType="separate"/>
            </w:r>
            <w:r>
              <w:rPr>
                <w:noProof/>
                <w:webHidden/>
              </w:rPr>
              <w:t>37</w:t>
            </w:r>
            <w:r>
              <w:rPr>
                <w:noProof/>
                <w:webHidden/>
              </w:rPr>
              <w:fldChar w:fldCharType="end"/>
            </w:r>
          </w:hyperlink>
        </w:p>
        <w:p w14:paraId="0F63EE72" w14:textId="100A14DB"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43" w:history="1">
            <w:r w:rsidRPr="00A3166B">
              <w:rPr>
                <w:rStyle w:val="Hyperlink"/>
                <w:noProof/>
              </w:rPr>
              <w:t>3.3</w:t>
            </w:r>
            <w:r>
              <w:rPr>
                <w:rFonts w:eastAsiaTheme="minorEastAsia"/>
                <w:b w:val="0"/>
                <w:bCs w:val="0"/>
                <w:noProof/>
                <w:sz w:val="24"/>
                <w:szCs w:val="24"/>
                <w:lang w:eastAsia="en-GB"/>
              </w:rPr>
              <w:tab/>
            </w:r>
            <w:r w:rsidRPr="00A3166B">
              <w:rPr>
                <w:rStyle w:val="Hyperlink"/>
                <w:noProof/>
              </w:rPr>
              <w:t>The Destruction of Amun-Ra – Political or Religious in nature?</w:t>
            </w:r>
            <w:r>
              <w:rPr>
                <w:noProof/>
                <w:webHidden/>
              </w:rPr>
              <w:tab/>
            </w:r>
            <w:r>
              <w:rPr>
                <w:noProof/>
                <w:webHidden/>
              </w:rPr>
              <w:fldChar w:fldCharType="begin"/>
            </w:r>
            <w:r>
              <w:rPr>
                <w:noProof/>
                <w:webHidden/>
              </w:rPr>
              <w:instrText xml:space="preserve"> PAGEREF _Toc33821843 \h </w:instrText>
            </w:r>
            <w:r>
              <w:rPr>
                <w:noProof/>
                <w:webHidden/>
              </w:rPr>
            </w:r>
            <w:r>
              <w:rPr>
                <w:noProof/>
                <w:webHidden/>
              </w:rPr>
              <w:fldChar w:fldCharType="separate"/>
            </w:r>
            <w:r>
              <w:rPr>
                <w:noProof/>
                <w:webHidden/>
              </w:rPr>
              <w:t>42</w:t>
            </w:r>
            <w:r>
              <w:rPr>
                <w:noProof/>
                <w:webHidden/>
              </w:rPr>
              <w:fldChar w:fldCharType="end"/>
            </w:r>
          </w:hyperlink>
        </w:p>
        <w:p w14:paraId="07BF3334" w14:textId="24832803"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44" w:history="1">
            <w:r w:rsidRPr="00A3166B">
              <w:rPr>
                <w:rStyle w:val="Hyperlink"/>
                <w:noProof/>
              </w:rPr>
              <w:t>3.4</w:t>
            </w:r>
            <w:r>
              <w:rPr>
                <w:rFonts w:eastAsiaTheme="minorEastAsia"/>
                <w:b w:val="0"/>
                <w:bCs w:val="0"/>
                <w:noProof/>
                <w:sz w:val="24"/>
                <w:szCs w:val="24"/>
                <w:lang w:eastAsia="en-GB"/>
              </w:rPr>
              <w:tab/>
            </w:r>
            <w:r w:rsidRPr="00A3166B">
              <w:rPr>
                <w:rStyle w:val="Hyperlink"/>
                <w:noProof/>
              </w:rPr>
              <w:t>The Creation of a New City – The Establishment of Akhetaten</w:t>
            </w:r>
            <w:r>
              <w:rPr>
                <w:noProof/>
                <w:webHidden/>
              </w:rPr>
              <w:tab/>
            </w:r>
            <w:r>
              <w:rPr>
                <w:noProof/>
                <w:webHidden/>
              </w:rPr>
              <w:fldChar w:fldCharType="begin"/>
            </w:r>
            <w:r>
              <w:rPr>
                <w:noProof/>
                <w:webHidden/>
              </w:rPr>
              <w:instrText xml:space="preserve"> PAGEREF _Toc33821844 \h </w:instrText>
            </w:r>
            <w:r>
              <w:rPr>
                <w:noProof/>
                <w:webHidden/>
              </w:rPr>
            </w:r>
            <w:r>
              <w:rPr>
                <w:noProof/>
                <w:webHidden/>
              </w:rPr>
              <w:fldChar w:fldCharType="separate"/>
            </w:r>
            <w:r>
              <w:rPr>
                <w:noProof/>
                <w:webHidden/>
              </w:rPr>
              <w:t>43</w:t>
            </w:r>
            <w:r>
              <w:rPr>
                <w:noProof/>
                <w:webHidden/>
              </w:rPr>
              <w:fldChar w:fldCharType="end"/>
            </w:r>
          </w:hyperlink>
        </w:p>
        <w:p w14:paraId="4D1C16AD" w14:textId="530199BB"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45" w:history="1">
            <w:r w:rsidRPr="00A3166B">
              <w:rPr>
                <w:rStyle w:val="Hyperlink"/>
                <w:noProof/>
              </w:rPr>
              <w:t>3.5</w:t>
            </w:r>
            <w:r>
              <w:rPr>
                <w:rFonts w:eastAsiaTheme="minorEastAsia"/>
                <w:b w:val="0"/>
                <w:bCs w:val="0"/>
                <w:noProof/>
                <w:sz w:val="24"/>
                <w:szCs w:val="24"/>
                <w:lang w:eastAsia="en-GB"/>
              </w:rPr>
              <w:tab/>
            </w:r>
            <w:r w:rsidRPr="00A3166B">
              <w:rPr>
                <w:rStyle w:val="Hyperlink"/>
                <w:noProof/>
              </w:rPr>
              <w:t>The Creation of a New Design- The Evolution of Architecture</w:t>
            </w:r>
            <w:r>
              <w:rPr>
                <w:noProof/>
                <w:webHidden/>
              </w:rPr>
              <w:tab/>
            </w:r>
            <w:r>
              <w:rPr>
                <w:noProof/>
                <w:webHidden/>
              </w:rPr>
              <w:fldChar w:fldCharType="begin"/>
            </w:r>
            <w:r>
              <w:rPr>
                <w:noProof/>
                <w:webHidden/>
              </w:rPr>
              <w:instrText xml:space="preserve"> PAGEREF _Toc33821845 \h </w:instrText>
            </w:r>
            <w:r>
              <w:rPr>
                <w:noProof/>
                <w:webHidden/>
              </w:rPr>
            </w:r>
            <w:r>
              <w:rPr>
                <w:noProof/>
                <w:webHidden/>
              </w:rPr>
              <w:fldChar w:fldCharType="separate"/>
            </w:r>
            <w:r>
              <w:rPr>
                <w:noProof/>
                <w:webHidden/>
              </w:rPr>
              <w:t>46</w:t>
            </w:r>
            <w:r>
              <w:rPr>
                <w:noProof/>
                <w:webHidden/>
              </w:rPr>
              <w:fldChar w:fldCharType="end"/>
            </w:r>
          </w:hyperlink>
        </w:p>
        <w:p w14:paraId="499EBAF2" w14:textId="1F2F08CF"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46" w:history="1">
            <w:r w:rsidRPr="00A3166B">
              <w:rPr>
                <w:rStyle w:val="Hyperlink"/>
                <w:noProof/>
              </w:rPr>
              <w:t>3.6</w:t>
            </w:r>
            <w:r>
              <w:rPr>
                <w:rFonts w:eastAsiaTheme="minorEastAsia"/>
                <w:b w:val="0"/>
                <w:bCs w:val="0"/>
                <w:noProof/>
                <w:sz w:val="24"/>
                <w:szCs w:val="24"/>
                <w:lang w:eastAsia="en-GB"/>
              </w:rPr>
              <w:tab/>
            </w:r>
            <w:r w:rsidRPr="00A3166B">
              <w:rPr>
                <w:rStyle w:val="Hyperlink"/>
                <w:noProof/>
              </w:rPr>
              <w:t>The Creation of New Artforms - Iconography in the Amarna Period</w:t>
            </w:r>
            <w:r>
              <w:rPr>
                <w:noProof/>
                <w:webHidden/>
              </w:rPr>
              <w:tab/>
            </w:r>
            <w:r>
              <w:rPr>
                <w:noProof/>
                <w:webHidden/>
              </w:rPr>
              <w:fldChar w:fldCharType="begin"/>
            </w:r>
            <w:r>
              <w:rPr>
                <w:noProof/>
                <w:webHidden/>
              </w:rPr>
              <w:instrText xml:space="preserve"> PAGEREF _Toc33821846 \h </w:instrText>
            </w:r>
            <w:r>
              <w:rPr>
                <w:noProof/>
                <w:webHidden/>
              </w:rPr>
            </w:r>
            <w:r>
              <w:rPr>
                <w:noProof/>
                <w:webHidden/>
              </w:rPr>
              <w:fldChar w:fldCharType="separate"/>
            </w:r>
            <w:r>
              <w:rPr>
                <w:noProof/>
                <w:webHidden/>
              </w:rPr>
              <w:t>49</w:t>
            </w:r>
            <w:r>
              <w:rPr>
                <w:noProof/>
                <w:webHidden/>
              </w:rPr>
              <w:fldChar w:fldCharType="end"/>
            </w:r>
          </w:hyperlink>
        </w:p>
        <w:p w14:paraId="6976B66B" w14:textId="1E85A956"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47" w:history="1">
            <w:r w:rsidRPr="00A3166B">
              <w:rPr>
                <w:rStyle w:val="Hyperlink"/>
                <w:noProof/>
              </w:rPr>
              <w:t>3.7</w:t>
            </w:r>
            <w:r>
              <w:rPr>
                <w:rFonts w:eastAsiaTheme="minorEastAsia"/>
                <w:b w:val="0"/>
                <w:bCs w:val="0"/>
                <w:noProof/>
                <w:sz w:val="24"/>
                <w:szCs w:val="24"/>
                <w:lang w:eastAsia="en-GB"/>
              </w:rPr>
              <w:tab/>
            </w:r>
            <w:r w:rsidRPr="00A3166B">
              <w:rPr>
                <w:rStyle w:val="Hyperlink"/>
                <w:noProof/>
              </w:rPr>
              <w:t>Creation of a Goddess– Nefertiti’s role within the Amarna Period</w:t>
            </w:r>
            <w:r>
              <w:rPr>
                <w:noProof/>
                <w:webHidden/>
              </w:rPr>
              <w:tab/>
            </w:r>
            <w:r>
              <w:rPr>
                <w:noProof/>
                <w:webHidden/>
              </w:rPr>
              <w:fldChar w:fldCharType="begin"/>
            </w:r>
            <w:r>
              <w:rPr>
                <w:noProof/>
                <w:webHidden/>
              </w:rPr>
              <w:instrText xml:space="preserve"> PAGEREF _Toc33821847 \h </w:instrText>
            </w:r>
            <w:r>
              <w:rPr>
                <w:noProof/>
                <w:webHidden/>
              </w:rPr>
            </w:r>
            <w:r>
              <w:rPr>
                <w:noProof/>
                <w:webHidden/>
              </w:rPr>
              <w:fldChar w:fldCharType="separate"/>
            </w:r>
            <w:r>
              <w:rPr>
                <w:noProof/>
                <w:webHidden/>
              </w:rPr>
              <w:t>51</w:t>
            </w:r>
            <w:r>
              <w:rPr>
                <w:noProof/>
                <w:webHidden/>
              </w:rPr>
              <w:fldChar w:fldCharType="end"/>
            </w:r>
          </w:hyperlink>
        </w:p>
        <w:p w14:paraId="0A412547" w14:textId="1855B414" w:rsidR="00C675AE" w:rsidRDefault="00C675AE">
          <w:pPr>
            <w:pStyle w:val="TOC2"/>
            <w:tabs>
              <w:tab w:val="left" w:pos="960"/>
              <w:tab w:val="right" w:leader="dot" w:pos="9010"/>
            </w:tabs>
            <w:rPr>
              <w:rFonts w:eastAsiaTheme="minorEastAsia"/>
              <w:b w:val="0"/>
              <w:bCs w:val="0"/>
              <w:noProof/>
              <w:sz w:val="24"/>
              <w:szCs w:val="24"/>
              <w:lang w:eastAsia="en-GB"/>
            </w:rPr>
          </w:pPr>
          <w:hyperlink w:anchor="_Toc33821848" w:history="1">
            <w:r w:rsidRPr="00A3166B">
              <w:rPr>
                <w:rStyle w:val="Hyperlink"/>
                <w:noProof/>
              </w:rPr>
              <w:t>3.8</w:t>
            </w:r>
            <w:r>
              <w:rPr>
                <w:rFonts w:eastAsiaTheme="minorEastAsia"/>
                <w:b w:val="0"/>
                <w:bCs w:val="0"/>
                <w:noProof/>
                <w:sz w:val="24"/>
                <w:szCs w:val="24"/>
                <w:lang w:eastAsia="en-GB"/>
              </w:rPr>
              <w:tab/>
            </w:r>
            <w:r w:rsidRPr="00A3166B">
              <w:rPr>
                <w:rStyle w:val="Hyperlink"/>
                <w:noProof/>
              </w:rPr>
              <w:t>The Destruction of a King - The Restoration of Egypt</w:t>
            </w:r>
            <w:r>
              <w:rPr>
                <w:noProof/>
                <w:webHidden/>
              </w:rPr>
              <w:tab/>
            </w:r>
            <w:r>
              <w:rPr>
                <w:noProof/>
                <w:webHidden/>
              </w:rPr>
              <w:fldChar w:fldCharType="begin"/>
            </w:r>
            <w:r>
              <w:rPr>
                <w:noProof/>
                <w:webHidden/>
              </w:rPr>
              <w:instrText xml:space="preserve"> PAGEREF _Toc33821848 \h </w:instrText>
            </w:r>
            <w:r>
              <w:rPr>
                <w:noProof/>
                <w:webHidden/>
              </w:rPr>
            </w:r>
            <w:r>
              <w:rPr>
                <w:noProof/>
                <w:webHidden/>
              </w:rPr>
              <w:fldChar w:fldCharType="separate"/>
            </w:r>
            <w:r>
              <w:rPr>
                <w:noProof/>
                <w:webHidden/>
              </w:rPr>
              <w:t>52</w:t>
            </w:r>
            <w:r>
              <w:rPr>
                <w:noProof/>
                <w:webHidden/>
              </w:rPr>
              <w:fldChar w:fldCharType="end"/>
            </w:r>
          </w:hyperlink>
        </w:p>
        <w:p w14:paraId="003FD8AF" w14:textId="5BAAF51C" w:rsidR="00C675AE" w:rsidRDefault="00C675AE">
          <w:pPr>
            <w:pStyle w:val="TOC1"/>
            <w:rPr>
              <w:rFonts w:eastAsiaTheme="minorEastAsia"/>
              <w:b w:val="0"/>
              <w:bCs w:val="0"/>
              <w:i w:val="0"/>
              <w:iCs w:val="0"/>
              <w:lang w:eastAsia="en-GB"/>
            </w:rPr>
          </w:pPr>
          <w:hyperlink w:anchor="_Toc33821849" w:history="1">
            <w:r w:rsidRPr="00A3166B">
              <w:rPr>
                <w:rStyle w:val="Hyperlink"/>
              </w:rPr>
              <w:t>Conclusion</w:t>
            </w:r>
            <w:r>
              <w:rPr>
                <w:webHidden/>
              </w:rPr>
              <w:tab/>
            </w:r>
            <w:r>
              <w:rPr>
                <w:webHidden/>
              </w:rPr>
              <w:fldChar w:fldCharType="begin"/>
            </w:r>
            <w:r>
              <w:rPr>
                <w:webHidden/>
              </w:rPr>
              <w:instrText xml:space="preserve"> PAGEREF _Toc33821849 \h </w:instrText>
            </w:r>
            <w:r>
              <w:rPr>
                <w:webHidden/>
              </w:rPr>
            </w:r>
            <w:r>
              <w:rPr>
                <w:webHidden/>
              </w:rPr>
              <w:fldChar w:fldCharType="separate"/>
            </w:r>
            <w:r>
              <w:rPr>
                <w:webHidden/>
              </w:rPr>
              <w:t>54</w:t>
            </w:r>
            <w:r>
              <w:rPr>
                <w:webHidden/>
              </w:rPr>
              <w:fldChar w:fldCharType="end"/>
            </w:r>
          </w:hyperlink>
        </w:p>
        <w:p w14:paraId="2C68546B" w14:textId="641A8D1D" w:rsidR="00C675AE" w:rsidRDefault="00C675AE">
          <w:pPr>
            <w:pStyle w:val="TOC1"/>
            <w:rPr>
              <w:rFonts w:eastAsiaTheme="minorEastAsia"/>
              <w:b w:val="0"/>
              <w:bCs w:val="0"/>
              <w:i w:val="0"/>
              <w:iCs w:val="0"/>
              <w:lang w:eastAsia="en-GB"/>
            </w:rPr>
          </w:pPr>
          <w:hyperlink w:anchor="_Toc33821850" w:history="1">
            <w:r w:rsidRPr="00A3166B">
              <w:rPr>
                <w:rStyle w:val="Hyperlink"/>
              </w:rPr>
              <w:t>Bibliography</w:t>
            </w:r>
            <w:r>
              <w:rPr>
                <w:webHidden/>
              </w:rPr>
              <w:tab/>
            </w:r>
            <w:r>
              <w:rPr>
                <w:webHidden/>
              </w:rPr>
              <w:fldChar w:fldCharType="begin"/>
            </w:r>
            <w:r>
              <w:rPr>
                <w:webHidden/>
              </w:rPr>
              <w:instrText xml:space="preserve"> PAGEREF _Toc33821850 \h </w:instrText>
            </w:r>
            <w:r>
              <w:rPr>
                <w:webHidden/>
              </w:rPr>
            </w:r>
            <w:r>
              <w:rPr>
                <w:webHidden/>
              </w:rPr>
              <w:fldChar w:fldCharType="separate"/>
            </w:r>
            <w:r>
              <w:rPr>
                <w:webHidden/>
              </w:rPr>
              <w:t>58</w:t>
            </w:r>
            <w:r>
              <w:rPr>
                <w:webHidden/>
              </w:rPr>
              <w:fldChar w:fldCharType="end"/>
            </w:r>
          </w:hyperlink>
        </w:p>
        <w:p w14:paraId="3CEA14DB" w14:textId="397B521B" w:rsidR="005C2027" w:rsidRDefault="00F50227" w:rsidP="00F50227">
          <w:pPr>
            <w:spacing w:line="360" w:lineRule="auto"/>
            <w:jc w:val="center"/>
            <w:rPr>
              <w:b/>
              <w:bCs/>
              <w:sz w:val="28"/>
              <w:szCs w:val="28"/>
              <w:u w:val="single"/>
            </w:rPr>
          </w:pPr>
          <w:r>
            <w:rPr>
              <w:b/>
              <w:bCs/>
              <w:noProof/>
            </w:rPr>
            <w:fldChar w:fldCharType="end"/>
          </w:r>
        </w:p>
      </w:sdtContent>
    </w:sdt>
    <w:p w14:paraId="60D7718F" w14:textId="4F234538" w:rsidR="00CF4564" w:rsidRDefault="00CF4564" w:rsidP="00CF4564">
      <w:pPr>
        <w:pStyle w:val="Heading1"/>
        <w:rPr>
          <w:rFonts w:asciiTheme="minorHAnsi" w:hAnsiTheme="minorHAnsi"/>
          <w:b/>
          <w:bCs/>
          <w:color w:val="000000" w:themeColor="text1"/>
          <w:u w:val="single"/>
        </w:rPr>
      </w:pPr>
    </w:p>
    <w:p w14:paraId="17235ACD" w14:textId="77777777" w:rsidR="00F50227" w:rsidRPr="00F50227" w:rsidRDefault="00F50227" w:rsidP="00F50227"/>
    <w:p w14:paraId="641CE71A" w14:textId="77777777" w:rsidR="00C675AE" w:rsidRDefault="00C675AE" w:rsidP="00C675AE">
      <w:pPr>
        <w:spacing w:line="360" w:lineRule="auto"/>
        <w:jc w:val="center"/>
        <w:rPr>
          <w:b/>
          <w:bCs/>
          <w:sz w:val="28"/>
          <w:szCs w:val="28"/>
          <w:u w:val="single"/>
        </w:rPr>
      </w:pPr>
    </w:p>
    <w:p w14:paraId="090E03D9" w14:textId="43DAC449" w:rsidR="00C675AE" w:rsidRPr="00C675AE" w:rsidRDefault="00C675AE" w:rsidP="00C675AE">
      <w:pPr>
        <w:pStyle w:val="Heading1"/>
        <w:jc w:val="center"/>
        <w:rPr>
          <w:rFonts w:asciiTheme="minorHAnsi" w:hAnsiTheme="minorHAnsi"/>
          <w:b/>
          <w:bCs/>
          <w:color w:val="000000" w:themeColor="text1"/>
          <w:sz w:val="28"/>
          <w:szCs w:val="28"/>
          <w:u w:val="single"/>
        </w:rPr>
      </w:pPr>
      <w:bookmarkStart w:id="0" w:name="_Toc33821825"/>
      <w:r w:rsidRPr="00C675AE">
        <w:rPr>
          <w:rFonts w:asciiTheme="minorHAnsi" w:hAnsiTheme="minorHAnsi"/>
          <w:b/>
          <w:bCs/>
          <w:color w:val="000000" w:themeColor="text1"/>
          <w:sz w:val="28"/>
          <w:szCs w:val="28"/>
          <w:u w:val="single"/>
        </w:rPr>
        <w:t>Abstract</w:t>
      </w:r>
      <w:bookmarkEnd w:id="0"/>
    </w:p>
    <w:p w14:paraId="79B64424" w14:textId="77777777" w:rsidR="00C675AE" w:rsidRDefault="00C675AE" w:rsidP="00C675AE">
      <w:pPr>
        <w:spacing w:line="360" w:lineRule="auto"/>
        <w:jc w:val="center"/>
        <w:rPr>
          <w:b/>
          <w:bCs/>
          <w:sz w:val="28"/>
          <w:szCs w:val="28"/>
          <w:u w:val="single"/>
        </w:rPr>
      </w:pPr>
    </w:p>
    <w:p w14:paraId="60610EA4" w14:textId="77777777" w:rsidR="00C675AE" w:rsidRPr="00EB3CF5" w:rsidRDefault="00C675AE" w:rsidP="00C675AE">
      <w:r w:rsidRPr="00EB3CF5">
        <w:t>The aim of this discussion is to analyse the themes of creation and destruction and their role within Egyptian civilisation. It will provide a broad overview of creation and destruction with</w:t>
      </w:r>
      <w:r>
        <w:t>in</w:t>
      </w:r>
      <w:r w:rsidRPr="00EB3CF5">
        <w:t xml:space="preserve"> different cultural spheres of Egyp</w:t>
      </w:r>
      <w:r>
        <w:t>t, including the religious and socio-political domains</w:t>
      </w:r>
      <w:r w:rsidRPr="00EB3CF5">
        <w:t>.</w:t>
      </w:r>
      <w:r>
        <w:t xml:space="preserve"> The definitions of “creation” and “destruction” as terms will be considered in order to understand how they emerge within Egyptian civilisation. Furthermore, the terminology and etymology of traditional concepts central to Egyptian society, such as </w:t>
      </w:r>
      <w:r>
        <w:rPr>
          <w:i/>
          <w:iCs/>
        </w:rPr>
        <w:t xml:space="preserve">maat, isfet </w:t>
      </w:r>
      <w:r>
        <w:t xml:space="preserve">and </w:t>
      </w:r>
      <w:r>
        <w:rPr>
          <w:i/>
          <w:iCs/>
        </w:rPr>
        <w:t xml:space="preserve">heka, </w:t>
      </w:r>
      <w:r>
        <w:t xml:space="preserve">will be examined to help us understand how the themes of creation and destruction fit within them. </w:t>
      </w:r>
      <w:r w:rsidRPr="00EB3CF5">
        <w:t xml:space="preserve">Stepping away from modern scholarship in terms of cosmogony and mythology, </w:t>
      </w:r>
      <w:r>
        <w:t xml:space="preserve">this discussion </w:t>
      </w:r>
      <w:r w:rsidRPr="00EB3CF5">
        <w:t xml:space="preserve">will </w:t>
      </w:r>
      <w:r>
        <w:t xml:space="preserve">particularly focus on </w:t>
      </w:r>
      <w:r w:rsidRPr="00EB3CF5">
        <w:t>Ancient Egypt</w:t>
      </w:r>
      <w:r>
        <w:t>ian Kingship</w:t>
      </w:r>
      <w:r w:rsidRPr="00EB3CF5">
        <w:t xml:space="preserve">. Two </w:t>
      </w:r>
      <w:r>
        <w:t xml:space="preserve">Kings </w:t>
      </w:r>
      <w:r w:rsidRPr="00EB3CF5">
        <w:t xml:space="preserve">within the </w:t>
      </w:r>
      <w:r>
        <w:t>18</w:t>
      </w:r>
      <w:r w:rsidRPr="00985266">
        <w:rPr>
          <w:vertAlign w:val="superscript"/>
        </w:rPr>
        <w:t>th</w:t>
      </w:r>
      <w:r>
        <w:t xml:space="preserve"> Dynasty </w:t>
      </w:r>
      <w:r w:rsidRPr="00EB3CF5">
        <w:t>New Kingdom</w:t>
      </w:r>
      <w:r>
        <w:t xml:space="preserve">, Hatshepsut and Akhenaten, have been </w:t>
      </w:r>
      <w:r w:rsidRPr="00EB3CF5">
        <w:t>specifically chosen as case-studies in order to</w:t>
      </w:r>
      <w:r>
        <w:t xml:space="preserve"> showcase the themes of creation and destruction within Egyptian Kingship</w:t>
      </w:r>
      <w:r w:rsidRPr="00EB3CF5">
        <w:t>.</w:t>
      </w:r>
      <w:r>
        <w:t xml:space="preserve"> The idea of the cyclical death/rebirth of the kingship will be explored alongside the constant evolution of state ideology and the radical changes to the religious structure of Egypt seen especially within the Amarna Period. Furthermore, g</w:t>
      </w:r>
      <w:r w:rsidRPr="00EB3CF5">
        <w:t>ender roles and their place within Egyptian kingship</w:t>
      </w:r>
      <w:r>
        <w:t xml:space="preserve">, and society, </w:t>
      </w:r>
      <w:r w:rsidRPr="00EB3CF5">
        <w:t>will be explored in relation to creation and destruction</w:t>
      </w:r>
      <w:r>
        <w:t xml:space="preserve"> and the i</w:t>
      </w:r>
      <w:r w:rsidRPr="00EB3CF5">
        <w:t>conography and</w:t>
      </w:r>
      <w:r>
        <w:t xml:space="preserve"> </w:t>
      </w:r>
      <w:r w:rsidRPr="00EB3CF5">
        <w:t>architectural innovations of each reign</w:t>
      </w:r>
      <w:r>
        <w:t xml:space="preserve"> will also be accounted for</w:t>
      </w:r>
      <w:r w:rsidRPr="00EB3CF5">
        <w:t>.</w:t>
      </w:r>
      <w:r>
        <w:t xml:space="preserve"> </w:t>
      </w:r>
      <w:r w:rsidRPr="00EB3CF5">
        <w:t>Problems within the sources such as gender bias and misogynism will</w:t>
      </w:r>
      <w:r>
        <w:t xml:space="preserve"> be examined</w:t>
      </w:r>
      <w:r w:rsidRPr="00EB3CF5">
        <w:t xml:space="preserve"> w</w:t>
      </w:r>
      <w:r>
        <w:t>hen dealing with modern scholarship and primary sources</w:t>
      </w:r>
      <w:r w:rsidRPr="00EB3CF5">
        <w:t xml:space="preserve">. </w:t>
      </w:r>
      <w:r>
        <w:t xml:space="preserve">Finally, context </w:t>
      </w:r>
      <w:r w:rsidRPr="00EB3CF5">
        <w:t>will be considered carefully</w:t>
      </w:r>
      <w:r>
        <w:t xml:space="preserve"> when dealing with the archaeological record. </w:t>
      </w:r>
    </w:p>
    <w:p w14:paraId="0483EE67" w14:textId="77777777" w:rsidR="00C675AE" w:rsidRDefault="00C675AE" w:rsidP="00CF4564">
      <w:pPr>
        <w:pStyle w:val="Heading1"/>
        <w:jc w:val="center"/>
        <w:rPr>
          <w:rFonts w:asciiTheme="minorHAnsi" w:hAnsiTheme="minorHAnsi"/>
          <w:b/>
          <w:bCs/>
          <w:color w:val="000000" w:themeColor="text1"/>
          <w:u w:val="single"/>
        </w:rPr>
      </w:pPr>
    </w:p>
    <w:p w14:paraId="2654D424" w14:textId="77777777" w:rsidR="00C675AE" w:rsidRDefault="00C675AE" w:rsidP="00CF4564">
      <w:pPr>
        <w:pStyle w:val="Heading1"/>
        <w:jc w:val="center"/>
        <w:rPr>
          <w:rFonts w:asciiTheme="minorHAnsi" w:hAnsiTheme="minorHAnsi"/>
          <w:b/>
          <w:bCs/>
          <w:color w:val="000000" w:themeColor="text1"/>
          <w:u w:val="single"/>
        </w:rPr>
      </w:pPr>
    </w:p>
    <w:p w14:paraId="07B36A9F" w14:textId="77777777" w:rsidR="00C675AE" w:rsidRDefault="00C675AE" w:rsidP="00CF4564">
      <w:pPr>
        <w:pStyle w:val="Heading1"/>
        <w:jc w:val="center"/>
        <w:rPr>
          <w:rFonts w:asciiTheme="minorHAnsi" w:hAnsiTheme="minorHAnsi"/>
          <w:b/>
          <w:bCs/>
          <w:color w:val="000000" w:themeColor="text1"/>
          <w:u w:val="single"/>
        </w:rPr>
      </w:pPr>
    </w:p>
    <w:p w14:paraId="2D7A6174" w14:textId="4AF96FB0" w:rsidR="00C675AE" w:rsidRDefault="00C675AE" w:rsidP="00C675AE">
      <w:pPr>
        <w:pStyle w:val="Heading1"/>
        <w:rPr>
          <w:rFonts w:asciiTheme="minorHAnsi" w:hAnsiTheme="minorHAnsi"/>
          <w:b/>
          <w:bCs/>
          <w:color w:val="000000" w:themeColor="text1"/>
          <w:u w:val="single"/>
        </w:rPr>
      </w:pPr>
      <w:bookmarkStart w:id="1" w:name="_Toc33821826"/>
    </w:p>
    <w:p w14:paraId="5E3E96E4" w14:textId="222F8E82" w:rsidR="00C675AE" w:rsidRDefault="00C675AE" w:rsidP="00C675AE"/>
    <w:p w14:paraId="157AD75D" w14:textId="24A4BEDD" w:rsidR="00C675AE" w:rsidRDefault="00C675AE" w:rsidP="00C675AE"/>
    <w:p w14:paraId="5F3AE0FA" w14:textId="70D5B59A" w:rsidR="00C675AE" w:rsidRDefault="00C675AE" w:rsidP="00C675AE"/>
    <w:p w14:paraId="51A4CC88" w14:textId="3A47535A" w:rsidR="00C675AE" w:rsidRDefault="00C675AE" w:rsidP="00C675AE"/>
    <w:p w14:paraId="5D556448" w14:textId="2FF50E07" w:rsidR="00C675AE" w:rsidRDefault="00C675AE" w:rsidP="00C675AE"/>
    <w:p w14:paraId="6727DD49" w14:textId="7F6122F1" w:rsidR="00C675AE" w:rsidRDefault="00C675AE" w:rsidP="00C675AE"/>
    <w:p w14:paraId="4C866732" w14:textId="5B31B584" w:rsidR="00C675AE" w:rsidRDefault="00C675AE" w:rsidP="00C675AE"/>
    <w:p w14:paraId="1D0D6651" w14:textId="261AF157" w:rsidR="00C675AE" w:rsidRDefault="00C675AE" w:rsidP="00C675AE"/>
    <w:p w14:paraId="72A96E1E" w14:textId="68F27B18" w:rsidR="00C675AE" w:rsidRDefault="00C675AE" w:rsidP="00C675AE"/>
    <w:p w14:paraId="39692DD9" w14:textId="1310A76A" w:rsidR="00C675AE" w:rsidRDefault="00C675AE" w:rsidP="00C675AE"/>
    <w:p w14:paraId="00F34F39" w14:textId="1132FCA6" w:rsidR="00C675AE" w:rsidRDefault="00C675AE" w:rsidP="00C675AE"/>
    <w:p w14:paraId="6C1335F5" w14:textId="77777777" w:rsidR="00C675AE" w:rsidRPr="00C675AE" w:rsidRDefault="00C675AE" w:rsidP="00C675AE"/>
    <w:p w14:paraId="743A23C1" w14:textId="396D3441" w:rsidR="005C2027" w:rsidRPr="00C675AE" w:rsidRDefault="005C2027" w:rsidP="00C675AE">
      <w:pPr>
        <w:pStyle w:val="Heading1"/>
        <w:jc w:val="center"/>
        <w:rPr>
          <w:rFonts w:asciiTheme="minorHAnsi" w:hAnsiTheme="minorHAnsi"/>
          <w:b/>
          <w:bCs/>
          <w:color w:val="000000" w:themeColor="text1"/>
          <w:sz w:val="28"/>
          <w:szCs w:val="28"/>
          <w:u w:val="single"/>
        </w:rPr>
      </w:pPr>
      <w:r w:rsidRPr="00C675AE">
        <w:rPr>
          <w:rFonts w:asciiTheme="minorHAnsi" w:hAnsiTheme="minorHAnsi"/>
          <w:b/>
          <w:bCs/>
          <w:color w:val="000000" w:themeColor="text1"/>
          <w:sz w:val="28"/>
          <w:szCs w:val="28"/>
          <w:u w:val="single"/>
        </w:rPr>
        <w:lastRenderedPageBreak/>
        <w:t>Introduction</w:t>
      </w:r>
      <w:bookmarkEnd w:id="1"/>
    </w:p>
    <w:p w14:paraId="7E56C38A" w14:textId="77777777" w:rsidR="005C2027" w:rsidRDefault="005C2027" w:rsidP="005C2027">
      <w:pPr>
        <w:spacing w:line="360" w:lineRule="auto"/>
      </w:pPr>
    </w:p>
    <w:p w14:paraId="1E8B9068" w14:textId="609832BD" w:rsidR="005C2027" w:rsidRDefault="005C2027" w:rsidP="005C2027">
      <w:pPr>
        <w:spacing w:line="360" w:lineRule="auto"/>
      </w:pPr>
      <w:r w:rsidRPr="005C2027">
        <w:t>Ancient Egypt was predominantly a dualistic civilisation with a discernible interest in symmetry within all spheres of their civilisation</w:t>
      </w:r>
      <w:r w:rsidR="000C76ED">
        <w:t>.</w:t>
      </w:r>
      <w:r w:rsidRPr="005C2027">
        <w:rPr>
          <w:rStyle w:val="FootnoteReference"/>
        </w:rPr>
        <w:footnoteReference w:id="1"/>
      </w:r>
      <w:r w:rsidRPr="005C2027">
        <w:t xml:space="preserve"> The relationships of opposites, e.g. light and dark, life and death, day and night, </w:t>
      </w:r>
      <w:r w:rsidR="00B760DC">
        <w:t xml:space="preserve">plays a </w:t>
      </w:r>
      <w:r w:rsidRPr="005C2027">
        <w:t xml:space="preserve">central </w:t>
      </w:r>
      <w:r w:rsidR="00B760DC">
        <w:t xml:space="preserve">role </w:t>
      </w:r>
      <w:r w:rsidRPr="005C2027">
        <w:t xml:space="preserve">within Egyptian culture and civilisation. Among </w:t>
      </w:r>
      <w:r w:rsidR="00B760DC">
        <w:t xml:space="preserve">these </w:t>
      </w:r>
      <w:r w:rsidRPr="005C2027">
        <w:t xml:space="preserve">pairings are creation and destruction. Creation and </w:t>
      </w:r>
      <w:r w:rsidR="00B760DC">
        <w:t>d</w:t>
      </w:r>
      <w:r w:rsidRPr="005C2027">
        <w:t xml:space="preserve">estruction </w:t>
      </w:r>
      <w:r w:rsidR="00B760DC">
        <w:t xml:space="preserve">could be seen to </w:t>
      </w:r>
      <w:r w:rsidRPr="005C2027">
        <w:t>permeate all aspects of Egyptian life</w:t>
      </w:r>
      <w:r w:rsidR="000C76ED">
        <w:t xml:space="preserve">, emerging in different forms. However, </w:t>
      </w:r>
      <w:r w:rsidR="00B760DC">
        <w:t xml:space="preserve">modern scholarship </w:t>
      </w:r>
      <w:r w:rsidRPr="005C2027">
        <w:t xml:space="preserve">seems to focus mainly on the cosmologies of Ancient Egypt </w:t>
      </w:r>
      <w:r w:rsidR="000C76ED">
        <w:t xml:space="preserve">specifically </w:t>
      </w:r>
      <w:r w:rsidRPr="005C2027">
        <w:t>creation myth</w:t>
      </w:r>
      <w:r w:rsidR="000C76ED">
        <w:t>s.</w:t>
      </w:r>
      <w:r w:rsidRPr="005C2027">
        <w:rPr>
          <w:rStyle w:val="FootnoteReference"/>
        </w:rPr>
        <w:footnoteReference w:id="2"/>
      </w:r>
      <w:r w:rsidRPr="005C2027">
        <w:t xml:space="preserve"> Of course, an understanding of the modern research undertaken </w:t>
      </w:r>
      <w:r w:rsidR="000C76ED">
        <w:t xml:space="preserve">is </w:t>
      </w:r>
      <w:r w:rsidRPr="005C2027">
        <w:t xml:space="preserve">paramount </w:t>
      </w:r>
      <w:r w:rsidR="00B760DC">
        <w:t xml:space="preserve">in </w:t>
      </w:r>
      <w:r w:rsidRPr="005C2027">
        <w:t>provid</w:t>
      </w:r>
      <w:r w:rsidR="00B760DC">
        <w:t>ing</w:t>
      </w:r>
      <w:r w:rsidRPr="005C2027">
        <w:t xml:space="preserve"> an initial understanding</w:t>
      </w:r>
      <w:r w:rsidR="000C76ED">
        <w:t xml:space="preserve"> of how creation and destruction are perceived as cultural themes</w:t>
      </w:r>
      <w:r w:rsidRPr="005C2027">
        <w:t xml:space="preserve">. Nevertheless, this essay aims to </w:t>
      </w:r>
      <w:r w:rsidR="00B760DC">
        <w:t xml:space="preserve">take a different approach by </w:t>
      </w:r>
      <w:r w:rsidRPr="005C2027">
        <w:t>consider</w:t>
      </w:r>
      <w:r w:rsidR="00B760DC">
        <w:t>ing</w:t>
      </w:r>
      <w:r w:rsidRPr="005C2027">
        <w:t xml:space="preserve"> the</w:t>
      </w:r>
      <w:r w:rsidR="000C76ED">
        <w:t>se themes with</w:t>
      </w:r>
      <w:r w:rsidRPr="005C2027">
        <w:t>in different contexts</w:t>
      </w:r>
      <w:r w:rsidR="000C76ED">
        <w:t xml:space="preserve">, </w:t>
      </w:r>
      <w:r w:rsidR="00B760DC">
        <w:t xml:space="preserve">stepping away from a singular approach. </w:t>
      </w:r>
      <w:r w:rsidR="000C76ED">
        <w:t>Therefore, t</w:t>
      </w:r>
      <w:r w:rsidR="00B760DC">
        <w:t xml:space="preserve">he </w:t>
      </w:r>
      <w:r w:rsidRPr="005C2027">
        <w:t>religious, political and socio-economical spheres of Egyptian civilisation</w:t>
      </w:r>
      <w:r w:rsidR="00B760DC">
        <w:t xml:space="preserve"> will all be considered here</w:t>
      </w:r>
      <w:r w:rsidR="000C76ED">
        <w:t xml:space="preserve"> along with the natural and man-made landscape of Egypt</w:t>
      </w:r>
      <w:r w:rsidR="00B760DC">
        <w:t xml:space="preserve">. </w:t>
      </w:r>
      <w:r w:rsidRPr="005C2027">
        <w:t xml:space="preserve"> </w:t>
      </w:r>
      <w:r w:rsidR="000C76ED">
        <w:t>Furthermore, this discussion will focus particularly</w:t>
      </w:r>
      <w:r w:rsidRPr="005C2027">
        <w:t xml:space="preserve"> on </w:t>
      </w:r>
      <w:r w:rsidR="000C76ED">
        <w:t>Egyptian</w:t>
      </w:r>
      <w:r w:rsidRPr="005C2027">
        <w:t xml:space="preserve"> Kingship</w:t>
      </w:r>
      <w:r w:rsidR="000C76ED">
        <w:t xml:space="preserve">, specifically within the </w:t>
      </w:r>
      <w:r w:rsidR="00EF7C48">
        <w:t xml:space="preserve">radical and innovative </w:t>
      </w:r>
      <w:r w:rsidR="000C76ED">
        <w:t>18</w:t>
      </w:r>
      <w:r w:rsidR="000C76ED" w:rsidRPr="000C76ED">
        <w:rPr>
          <w:vertAlign w:val="superscript"/>
        </w:rPr>
        <w:t>th</w:t>
      </w:r>
      <w:r w:rsidR="000C76ED">
        <w:t xml:space="preserve"> Dynasty</w:t>
      </w:r>
      <w:r w:rsidR="00EF7C48">
        <w:t xml:space="preserve"> </w:t>
      </w:r>
      <w:r w:rsidR="000C76ED">
        <w:t>reigns of Hatshepsut and Akhenaten.</w:t>
      </w:r>
      <w:r w:rsidR="00EF7C48">
        <w:t xml:space="preserve"> Chapter</w:t>
      </w:r>
      <w:r w:rsidR="00447EB3">
        <w:t>s</w:t>
      </w:r>
      <w:r w:rsidR="00EF7C48">
        <w:t xml:space="preserve"> 2 and 3 will deal with these kingships as case-studies in order to emphasise </w:t>
      </w:r>
      <w:r w:rsidR="00EF7C48">
        <w:t>creation and destruction as cultural themes</w:t>
      </w:r>
      <w:r w:rsidR="00EF7C48" w:rsidRPr="005C2027">
        <w:t xml:space="preserve"> within</w:t>
      </w:r>
      <w:r w:rsidR="00EF7C48">
        <w:t xml:space="preserve"> Egyptian</w:t>
      </w:r>
      <w:r w:rsidR="00EF7C48" w:rsidRPr="005C2027">
        <w:t xml:space="preserve"> Kingship</w:t>
      </w:r>
      <w:r w:rsidR="00EF7C48">
        <w:t xml:space="preserve">. </w:t>
      </w:r>
    </w:p>
    <w:p w14:paraId="5EB266D6" w14:textId="77777777" w:rsidR="005C2027" w:rsidRPr="005C2027" w:rsidRDefault="005C2027" w:rsidP="005C2027">
      <w:pPr>
        <w:spacing w:line="360" w:lineRule="auto"/>
      </w:pPr>
    </w:p>
    <w:p w14:paraId="6B2FA192" w14:textId="1762C48A" w:rsidR="005C2027" w:rsidRPr="005C2027" w:rsidRDefault="00EF7C48" w:rsidP="005C2027">
      <w:pPr>
        <w:spacing w:line="360" w:lineRule="auto"/>
      </w:pPr>
      <w:r>
        <w:t xml:space="preserve">Chapter 1 will </w:t>
      </w:r>
      <w:r w:rsidR="005C2027" w:rsidRPr="005C2027">
        <w:t xml:space="preserve">aim to provide a general overview of the themes of creation and destruction found within Egyptian civilisation. As this is a broad subject, it </w:t>
      </w:r>
      <w:r w:rsidR="005B1D45">
        <w:t xml:space="preserve">will be </w:t>
      </w:r>
      <w:r w:rsidR="005C2027" w:rsidRPr="005C2027">
        <w:t>broken down into sub-categories in order to give a brief and concise insight into how creation and destruction seem to permeate all domains within Egyptian culture.</w:t>
      </w:r>
      <w:r>
        <w:t xml:space="preserve"> Nevertheless, it must also be considered that many of these sub-categories overlap, as the Egyptians had no notion of compartmentalising</w:t>
      </w:r>
      <w:r w:rsidR="005B1D45">
        <w:t xml:space="preserve">. Mancini advised that </w:t>
      </w:r>
      <w:r>
        <w:t>“</w:t>
      </w:r>
      <w:r>
        <w:t>all aspects of life and knowledge were fully integrated</w:t>
      </w:r>
      <w:r>
        <w:t>”</w:t>
      </w:r>
      <w:r w:rsidR="005B1D45">
        <w:t xml:space="preserve"> within Egyptian civilisation, therefore intersections are to be expected</w:t>
      </w:r>
      <w:r>
        <w:t>.</w:t>
      </w:r>
      <w:r>
        <w:rPr>
          <w:rStyle w:val="FootnoteReference"/>
        </w:rPr>
        <w:footnoteReference w:id="3"/>
      </w:r>
      <w:r>
        <w:t xml:space="preserve"> Religion </w:t>
      </w:r>
      <w:r w:rsidR="005C2027" w:rsidRPr="005C2027">
        <w:t>plays a crucial role in this discussion, especially concerning mythology and cosmology</w:t>
      </w:r>
      <w:r w:rsidR="005B1D45">
        <w:t>,</w:t>
      </w:r>
      <w:r w:rsidR="005C2027" w:rsidRPr="005C2027">
        <w:t xml:space="preserve"> as </w:t>
      </w:r>
      <w:r w:rsidR="005B1D45">
        <w:t>it</w:t>
      </w:r>
      <w:r w:rsidR="005C2027" w:rsidRPr="005C2027">
        <w:t xml:space="preserve"> w</w:t>
      </w:r>
      <w:r w:rsidR="005B1D45">
        <w:t>as</w:t>
      </w:r>
      <w:r w:rsidR="005C2027" w:rsidRPr="005C2027">
        <w:t xml:space="preserve"> embedded within the every-day life of the Egyptians.  The concepts of </w:t>
      </w:r>
      <w:r w:rsidR="008F0634">
        <w:rPr>
          <w:i/>
          <w:iCs/>
        </w:rPr>
        <w:t>m</w:t>
      </w:r>
      <w:r w:rsidR="005C2027" w:rsidRPr="005C2027">
        <w:rPr>
          <w:i/>
          <w:iCs/>
        </w:rPr>
        <w:t xml:space="preserve">aat, </w:t>
      </w:r>
      <w:r w:rsidR="008F0634">
        <w:rPr>
          <w:i/>
          <w:iCs/>
        </w:rPr>
        <w:t>i</w:t>
      </w:r>
      <w:r w:rsidR="005C2027" w:rsidRPr="005C2027">
        <w:rPr>
          <w:i/>
          <w:iCs/>
        </w:rPr>
        <w:t xml:space="preserve">sfet </w:t>
      </w:r>
      <w:r w:rsidR="005C2027" w:rsidRPr="005C2027">
        <w:t xml:space="preserve">and </w:t>
      </w:r>
      <w:r w:rsidR="008F0634">
        <w:rPr>
          <w:i/>
          <w:iCs/>
        </w:rPr>
        <w:t>h</w:t>
      </w:r>
      <w:r w:rsidR="005C2027" w:rsidRPr="005C2027">
        <w:rPr>
          <w:i/>
          <w:iCs/>
        </w:rPr>
        <w:t>eka</w:t>
      </w:r>
      <w:r w:rsidR="005C2027" w:rsidRPr="005C2027">
        <w:t xml:space="preserve"> </w:t>
      </w:r>
      <w:r w:rsidR="005B1D45">
        <w:t>will be</w:t>
      </w:r>
      <w:r w:rsidR="005C2027" w:rsidRPr="005C2027">
        <w:t xml:space="preserve"> also considered given their central roles within society. Problems concerning </w:t>
      </w:r>
      <w:r w:rsidR="005C2027" w:rsidRPr="005C2027">
        <w:lastRenderedPageBreak/>
        <w:t xml:space="preserve">the definitions of such terms </w:t>
      </w:r>
      <w:r w:rsidR="005B1D45">
        <w:t>will</w:t>
      </w:r>
      <w:r w:rsidR="005C2027" w:rsidRPr="005C2027">
        <w:t xml:space="preserve"> be discussed </w:t>
      </w:r>
      <w:r>
        <w:t xml:space="preserve">and </w:t>
      </w:r>
      <w:r w:rsidR="005C2027" w:rsidRPr="005C2027">
        <w:t>included in order to understand</w:t>
      </w:r>
      <w:r>
        <w:t xml:space="preserve"> their usage</w:t>
      </w:r>
      <w:r w:rsidR="005C2027" w:rsidRPr="005C2027">
        <w:t>. L</w:t>
      </w:r>
      <w:r w:rsidR="005B1D45">
        <w:t>astly, t</w:t>
      </w:r>
      <w:r w:rsidR="005C2027" w:rsidRPr="005C2027">
        <w:t xml:space="preserve">his chapter </w:t>
      </w:r>
      <w:r w:rsidR="005B1D45">
        <w:t>will introduce the concept of Egyptian Kingship</w:t>
      </w:r>
      <w:r w:rsidR="00447EB3">
        <w:t>.</w:t>
      </w:r>
      <w:r w:rsidR="005B1D45">
        <w:t xml:space="preserve"> </w:t>
      </w:r>
      <w:r w:rsidR="00447EB3">
        <w:t xml:space="preserve"> </w:t>
      </w:r>
      <w:r w:rsidR="00F55B1B">
        <w:t xml:space="preserve">As the central institution of Egyptian society, the subject of Kingship is extremely important to consider when dealing with the themes of creation and destruction. </w:t>
      </w:r>
      <w:r w:rsidR="005C2027" w:rsidRPr="005C2027">
        <w:t>The cyclical</w:t>
      </w:r>
      <w:r w:rsidR="00F55B1B">
        <w:t xml:space="preserve"> nature </w:t>
      </w:r>
      <w:r w:rsidR="005C2027" w:rsidRPr="005C2027">
        <w:t xml:space="preserve">of the </w:t>
      </w:r>
      <w:r w:rsidR="00F55B1B">
        <w:t>Kingship is crucial to consider here as we see the death and rebirth of dynasty’s and kingdoms throughout Egyptian history.</w:t>
      </w:r>
      <w:r w:rsidR="005C2027" w:rsidRPr="005C2027">
        <w:t xml:space="preserve"> </w:t>
      </w:r>
      <w:r w:rsidR="00447EB3">
        <w:t>T</w:t>
      </w:r>
      <w:r w:rsidR="00447EB3" w:rsidRPr="005C2027">
        <w:t xml:space="preserve">wo case studies have </w:t>
      </w:r>
      <w:r w:rsidR="00447EB3">
        <w:t xml:space="preserve">therefore </w:t>
      </w:r>
      <w:r w:rsidR="00447EB3" w:rsidRPr="005C2027">
        <w:t xml:space="preserve">been </w:t>
      </w:r>
      <w:r w:rsidR="00447EB3">
        <w:t>chosen to help visualise these themes within Egyptian Kingship</w:t>
      </w:r>
      <w:r w:rsidR="00CD44D3">
        <w:t>.</w:t>
      </w:r>
    </w:p>
    <w:p w14:paraId="0B143CC4" w14:textId="77777777" w:rsidR="005C2027" w:rsidRDefault="005C2027" w:rsidP="005C2027">
      <w:pPr>
        <w:spacing w:line="360" w:lineRule="auto"/>
      </w:pPr>
    </w:p>
    <w:p w14:paraId="1D565C4C" w14:textId="24FA54DB" w:rsidR="005C2027" w:rsidRPr="005C2027" w:rsidRDefault="005C2027" w:rsidP="005C2027">
      <w:pPr>
        <w:spacing w:line="360" w:lineRule="auto"/>
      </w:pPr>
      <w:r w:rsidRPr="005C2027">
        <w:t>Hatshepsut, the female-King of the 18</w:t>
      </w:r>
      <w:r w:rsidRPr="005C2027">
        <w:rPr>
          <w:vertAlign w:val="superscript"/>
        </w:rPr>
        <w:t>th</w:t>
      </w:r>
      <w:r w:rsidRPr="005C2027">
        <w:t xml:space="preserve"> Dynasty New Kingdom, is the first case study </w:t>
      </w:r>
      <w:r w:rsidR="00F55B1B">
        <w:t xml:space="preserve">that will be </w:t>
      </w:r>
      <w:r w:rsidRPr="005C2027">
        <w:t xml:space="preserve">considered within this discussion. Traditional conventions and features of the Kingship are seen to be recreated and reformed within this exciting period of Egyptian history. </w:t>
      </w:r>
      <w:r w:rsidR="00F55B1B">
        <w:t>C</w:t>
      </w:r>
      <w:r w:rsidRPr="005C2027">
        <w:t xml:space="preserve">reation and destruction as cultural themes are evident within the mythological rhetoric, iconography and architecture. </w:t>
      </w:r>
      <w:r w:rsidR="00F55B1B">
        <w:t>The concept of a female-king within an inherent</w:t>
      </w:r>
      <w:r w:rsidR="00F55B1B">
        <w:t>ly patriarchal society will be discussed in depth and how this affected the ideology of the Kingship. Furthermore, t</w:t>
      </w:r>
      <w:r w:rsidRPr="005C2027">
        <w:t>he re</w:t>
      </w:r>
      <w:r w:rsidR="00F55B1B">
        <w:t>-</w:t>
      </w:r>
      <w:r w:rsidRPr="005C2027">
        <w:t xml:space="preserve">creation and destruction of traditional gender roles within the Egyptian monarchy </w:t>
      </w:r>
      <w:r w:rsidR="00F55B1B">
        <w:t xml:space="preserve">will be </w:t>
      </w:r>
      <w:r w:rsidRPr="005C2027">
        <w:t>considered</w:t>
      </w:r>
      <w:r w:rsidR="00F55B1B">
        <w:t xml:space="preserve"> alongside the problems of gender bias and misogynism within modern scholarship. </w:t>
      </w:r>
    </w:p>
    <w:p w14:paraId="4E5A9EF0" w14:textId="77777777" w:rsidR="005C2027" w:rsidRDefault="005C2027" w:rsidP="005C2027">
      <w:pPr>
        <w:spacing w:line="360" w:lineRule="auto"/>
      </w:pPr>
    </w:p>
    <w:p w14:paraId="5584F1A8" w14:textId="76FEC906" w:rsidR="005C2027" w:rsidRPr="00CD44D3" w:rsidRDefault="005C2027" w:rsidP="00CF4564">
      <w:pPr>
        <w:spacing w:line="360" w:lineRule="auto"/>
      </w:pPr>
      <w:r w:rsidRPr="005C2027">
        <w:t xml:space="preserve">The final chapter will focus on the reign of Akhenaten (Amenhotep IV) and the radical reforms implemented during his kingship. </w:t>
      </w:r>
      <w:r w:rsidR="005B1D45">
        <w:t>The</w:t>
      </w:r>
      <w:r w:rsidRPr="005C2027">
        <w:t xml:space="preserve"> Amarna period is one of the most </w:t>
      </w:r>
      <w:r w:rsidR="00F55B1B">
        <w:t xml:space="preserve">fascinating and complex </w:t>
      </w:r>
      <w:r w:rsidRPr="005C2027">
        <w:t>periods</w:t>
      </w:r>
      <w:r w:rsidR="00F55B1B">
        <w:t xml:space="preserve"> throughout</w:t>
      </w:r>
      <w:r w:rsidRPr="005C2027">
        <w:t xml:space="preserve"> Egypt</w:t>
      </w:r>
      <w:r w:rsidR="00F55B1B">
        <w:t>ian history</w:t>
      </w:r>
      <w:r w:rsidR="005B1D45">
        <w:t>. Creation and destruction as cultural themes are highly evident during this particular stage of Egyptian history</w:t>
      </w:r>
      <w:r w:rsidRPr="005C2027">
        <w:t>.</w:t>
      </w:r>
      <w:r w:rsidR="005B1D45">
        <w:rPr>
          <w:rStyle w:val="FootnoteReference"/>
        </w:rPr>
        <w:footnoteReference w:id="4"/>
      </w:r>
      <w:r w:rsidRPr="005C2027">
        <w:t xml:space="preserve"> </w:t>
      </w:r>
      <w:r w:rsidR="00F55B1B">
        <w:t xml:space="preserve">Solar </w:t>
      </w:r>
      <w:r w:rsidRPr="005C2027">
        <w:t>religion</w:t>
      </w:r>
      <w:r w:rsidR="00F55B1B">
        <w:t xml:space="preserve"> and cult </w:t>
      </w:r>
      <w:r w:rsidRPr="005C2027">
        <w:t xml:space="preserve">will be </w:t>
      </w:r>
      <w:r w:rsidR="00F55B1B">
        <w:t>examined in order to understand its evolution throughout Egyptian history and how this influenced Atenism within the Amarna Period</w:t>
      </w:r>
      <w:r w:rsidRPr="005C2027">
        <w:t xml:space="preserve">. </w:t>
      </w:r>
      <w:r w:rsidR="00F55B1B">
        <w:t xml:space="preserve">The attempted </w:t>
      </w:r>
      <w:r w:rsidRPr="005C2027">
        <w:t xml:space="preserve">destruction of the traditional </w:t>
      </w:r>
      <w:r w:rsidR="00F55B1B">
        <w:t xml:space="preserve">religious </w:t>
      </w:r>
      <w:r w:rsidRPr="005C2027">
        <w:t>pantheon</w:t>
      </w:r>
      <w:r w:rsidR="00F55B1B">
        <w:t xml:space="preserve"> will also be taken into account here in order to establish w</w:t>
      </w:r>
      <w:r w:rsidRPr="005C2027">
        <w:t xml:space="preserve">hether or not Akhenaten </w:t>
      </w:r>
      <w:r w:rsidR="00F55B1B">
        <w:t xml:space="preserve">succeeded in creating a </w:t>
      </w:r>
      <w:r w:rsidRPr="005C2027">
        <w:t xml:space="preserve">monotheistic society. This contentious subject will be </w:t>
      </w:r>
      <w:r w:rsidR="00F55B1B">
        <w:t xml:space="preserve">examined </w:t>
      </w:r>
      <w:r w:rsidRPr="005C2027">
        <w:t>briefly within this chapter in order to</w:t>
      </w:r>
      <w:r w:rsidR="00F55B1B">
        <w:t xml:space="preserve"> gain an insight into the different viewpoints of modern scholarship. Indeed, context will need to be considered when dealing with archaeological sources and texts</w:t>
      </w:r>
      <w:r w:rsidR="005B1D45">
        <w:t xml:space="preserve"> as </w:t>
      </w:r>
      <w:r w:rsidR="00F55B1B">
        <w:t>bias within scholarship is still alive and well</w:t>
      </w:r>
      <w:r w:rsidR="005B1D45">
        <w:t>.</w:t>
      </w:r>
    </w:p>
    <w:p w14:paraId="0652FCA5" w14:textId="7DE074EA" w:rsidR="00FC6F8A" w:rsidRPr="005C2027" w:rsidRDefault="00FC6F8A" w:rsidP="005C2027">
      <w:pPr>
        <w:pStyle w:val="Heading1"/>
        <w:jc w:val="center"/>
        <w:rPr>
          <w:rFonts w:asciiTheme="minorHAnsi" w:hAnsiTheme="minorHAnsi"/>
          <w:b/>
          <w:bCs/>
          <w:color w:val="000000" w:themeColor="text1"/>
          <w:sz w:val="28"/>
          <w:szCs w:val="28"/>
          <w:u w:val="single"/>
        </w:rPr>
      </w:pPr>
      <w:bookmarkStart w:id="2" w:name="_Toc33821827"/>
      <w:r w:rsidRPr="005C2027">
        <w:rPr>
          <w:rFonts w:asciiTheme="minorHAnsi" w:hAnsiTheme="minorHAnsi"/>
          <w:b/>
          <w:bCs/>
          <w:color w:val="000000" w:themeColor="text1"/>
          <w:sz w:val="28"/>
          <w:szCs w:val="28"/>
          <w:u w:val="single"/>
        </w:rPr>
        <w:lastRenderedPageBreak/>
        <w:t>Chapter 1</w:t>
      </w:r>
      <w:r w:rsidR="005C2027">
        <w:rPr>
          <w:rFonts w:asciiTheme="minorHAnsi" w:hAnsiTheme="minorHAnsi"/>
          <w:b/>
          <w:bCs/>
          <w:color w:val="000000" w:themeColor="text1"/>
          <w:sz w:val="28"/>
          <w:szCs w:val="28"/>
          <w:u w:val="single"/>
        </w:rPr>
        <w:t xml:space="preserve">: </w:t>
      </w:r>
      <w:r w:rsidRPr="005C2027">
        <w:rPr>
          <w:rFonts w:asciiTheme="minorHAnsi" w:hAnsiTheme="minorHAnsi"/>
          <w:b/>
          <w:bCs/>
          <w:color w:val="000000" w:themeColor="text1"/>
          <w:sz w:val="28"/>
          <w:szCs w:val="28"/>
          <w:u w:val="single"/>
        </w:rPr>
        <w:t>The Themes of Creation and Destruction Within Egyptian Civilisation</w:t>
      </w:r>
      <w:bookmarkEnd w:id="2"/>
    </w:p>
    <w:p w14:paraId="34A041CF" w14:textId="77777777" w:rsidR="00FC6F8A" w:rsidRPr="00FC6F8A" w:rsidRDefault="00FC6F8A" w:rsidP="00FC6F8A">
      <w:pPr>
        <w:spacing w:line="360" w:lineRule="auto"/>
        <w:jc w:val="center"/>
        <w:rPr>
          <w:b/>
          <w:bCs/>
          <w:sz w:val="28"/>
          <w:szCs w:val="28"/>
          <w:u w:val="single"/>
        </w:rPr>
      </w:pPr>
    </w:p>
    <w:p w14:paraId="38B3099A" w14:textId="77777777" w:rsidR="00FC6F8A" w:rsidRPr="00620CF5" w:rsidRDefault="00FC6F8A" w:rsidP="00FC6F8A">
      <w:pPr>
        <w:spacing w:line="360" w:lineRule="auto"/>
      </w:pPr>
      <w:r w:rsidRPr="00620CF5">
        <w:t xml:space="preserve">When considering both creation and destruction as cultural themes within Ancient Egyptian civilisation and religion, it is first and foremost important to consider the definitions of both terms. </w:t>
      </w:r>
    </w:p>
    <w:p w14:paraId="4784339C" w14:textId="77777777" w:rsidR="00FC6F8A" w:rsidRPr="00620CF5" w:rsidRDefault="00FC6F8A" w:rsidP="00FC6F8A">
      <w:pPr>
        <w:spacing w:line="360" w:lineRule="auto"/>
      </w:pPr>
    </w:p>
    <w:p w14:paraId="35BCB945" w14:textId="77777777" w:rsidR="00FC6F8A" w:rsidRPr="00620CF5" w:rsidRDefault="00FC6F8A" w:rsidP="00FC6F8A">
      <w:pPr>
        <w:spacing w:line="360" w:lineRule="auto"/>
        <w:jc w:val="center"/>
        <w:rPr>
          <w:b/>
          <w:bCs/>
        </w:rPr>
      </w:pPr>
      <w:r w:rsidRPr="00620CF5">
        <w:rPr>
          <w:b/>
          <w:bCs/>
        </w:rPr>
        <w:t xml:space="preserve">Creation </w:t>
      </w:r>
    </w:p>
    <w:p w14:paraId="241C5E7D" w14:textId="4FABE3DF" w:rsidR="00FC6F8A" w:rsidRPr="00620CF5" w:rsidRDefault="00FC6F8A" w:rsidP="00FC6F8A">
      <w:pPr>
        <w:pStyle w:val="ListParagraph"/>
        <w:numPr>
          <w:ilvl w:val="0"/>
          <w:numId w:val="1"/>
        </w:numPr>
        <w:spacing w:line="360" w:lineRule="auto"/>
        <w:rPr>
          <w:sz w:val="24"/>
          <w:szCs w:val="24"/>
        </w:rPr>
      </w:pPr>
      <w:r w:rsidRPr="00620CF5">
        <w:rPr>
          <w:sz w:val="24"/>
          <w:szCs w:val="24"/>
        </w:rPr>
        <w:t>The action or process of bringing something into existence</w:t>
      </w:r>
      <w:r w:rsidR="00A41D2E">
        <w:rPr>
          <w:sz w:val="24"/>
          <w:szCs w:val="24"/>
        </w:rPr>
        <w:t>.</w:t>
      </w:r>
    </w:p>
    <w:p w14:paraId="6F61B3C1" w14:textId="77777777" w:rsidR="00FC6F8A" w:rsidRPr="00620CF5" w:rsidRDefault="00FC6F8A" w:rsidP="00FC6F8A">
      <w:pPr>
        <w:pStyle w:val="ListParagraph"/>
        <w:numPr>
          <w:ilvl w:val="0"/>
          <w:numId w:val="1"/>
        </w:numPr>
        <w:spacing w:after="0" w:line="360" w:lineRule="auto"/>
        <w:rPr>
          <w:rFonts w:eastAsia="Times New Roman" w:cstheme="minorHAnsi"/>
          <w:sz w:val="24"/>
          <w:szCs w:val="24"/>
          <w:lang w:eastAsia="en-GB"/>
        </w:rPr>
      </w:pPr>
      <w:r w:rsidRPr="00620CF5">
        <w:rPr>
          <w:rFonts w:eastAsia="Times New Roman" w:cstheme="minorHAnsi"/>
          <w:color w:val="222222"/>
          <w:sz w:val="24"/>
          <w:szCs w:val="24"/>
          <w:shd w:val="clear" w:color="auto" w:fill="FFFFFF"/>
          <w:lang w:eastAsia="en-GB"/>
        </w:rPr>
        <w:t>A thing which has been made or invented, especially something showing artistic talent.</w:t>
      </w:r>
    </w:p>
    <w:p w14:paraId="1239E4DC" w14:textId="77777777" w:rsidR="00FC6F8A" w:rsidRPr="00620CF5" w:rsidRDefault="00FC6F8A" w:rsidP="00FC6F8A">
      <w:pPr>
        <w:pStyle w:val="ListParagraph"/>
        <w:numPr>
          <w:ilvl w:val="0"/>
          <w:numId w:val="1"/>
        </w:numPr>
        <w:spacing w:after="0" w:line="360" w:lineRule="auto"/>
        <w:rPr>
          <w:rFonts w:eastAsia="Times New Roman" w:cstheme="minorHAnsi"/>
          <w:sz w:val="24"/>
          <w:szCs w:val="24"/>
          <w:lang w:eastAsia="en-GB"/>
        </w:rPr>
      </w:pPr>
      <w:r w:rsidRPr="00620CF5">
        <w:rPr>
          <w:rFonts w:eastAsia="Times New Roman" w:cstheme="minorHAnsi"/>
          <w:color w:val="222222"/>
          <w:sz w:val="24"/>
          <w:szCs w:val="24"/>
          <w:shd w:val="clear" w:color="auto" w:fill="FFFFFF"/>
          <w:lang w:eastAsia="en-GB"/>
        </w:rPr>
        <w:t>The creating of the universe, especially when regarded as an act of God.</w:t>
      </w:r>
    </w:p>
    <w:p w14:paraId="520D7535" w14:textId="77777777" w:rsidR="00FC6F8A" w:rsidRPr="00620CF5" w:rsidRDefault="00FC6F8A" w:rsidP="00FC6F8A">
      <w:pPr>
        <w:pStyle w:val="ListParagraph"/>
        <w:numPr>
          <w:ilvl w:val="0"/>
          <w:numId w:val="1"/>
        </w:numPr>
        <w:spacing w:after="0" w:line="360" w:lineRule="auto"/>
        <w:rPr>
          <w:rFonts w:eastAsia="Times New Roman" w:cstheme="minorHAnsi"/>
          <w:sz w:val="24"/>
          <w:szCs w:val="24"/>
          <w:lang w:eastAsia="en-GB"/>
        </w:rPr>
      </w:pPr>
      <w:r w:rsidRPr="00620CF5">
        <w:rPr>
          <w:rFonts w:eastAsia="Times New Roman" w:cstheme="minorHAnsi"/>
          <w:color w:val="222222"/>
          <w:sz w:val="24"/>
          <w:szCs w:val="24"/>
          <w:shd w:val="clear" w:color="auto" w:fill="FFFFFF"/>
          <w:lang w:eastAsia="en-GB"/>
        </w:rPr>
        <w:t>The action of investing someone with a title of nobility</w:t>
      </w:r>
      <w:r>
        <w:rPr>
          <w:rFonts w:eastAsia="Times New Roman" w:cstheme="minorHAnsi"/>
          <w:color w:val="222222"/>
          <w:sz w:val="24"/>
          <w:szCs w:val="24"/>
          <w:shd w:val="clear" w:color="auto" w:fill="FFFFFF"/>
          <w:lang w:eastAsia="en-GB"/>
        </w:rPr>
        <w:t>.</w:t>
      </w:r>
      <w:r w:rsidRPr="00620CF5">
        <w:rPr>
          <w:rStyle w:val="FootnoteReference"/>
          <w:rFonts w:eastAsia="Times New Roman" w:cstheme="minorHAnsi"/>
          <w:color w:val="222222"/>
          <w:sz w:val="24"/>
          <w:szCs w:val="24"/>
          <w:shd w:val="clear" w:color="auto" w:fill="FFFFFF"/>
          <w:lang w:eastAsia="en-GB"/>
        </w:rPr>
        <w:footnoteReference w:id="5"/>
      </w:r>
    </w:p>
    <w:p w14:paraId="69564F50" w14:textId="77777777" w:rsidR="00FC6F8A" w:rsidRPr="00620CF5" w:rsidRDefault="00FC6F8A" w:rsidP="00FC6F8A">
      <w:pPr>
        <w:spacing w:line="360" w:lineRule="auto"/>
        <w:rPr>
          <w:rFonts w:eastAsia="Times New Roman" w:cstheme="minorHAnsi"/>
          <w:lang w:eastAsia="en-GB"/>
        </w:rPr>
      </w:pPr>
    </w:p>
    <w:p w14:paraId="2F2DA0D5" w14:textId="77777777" w:rsidR="00FC6F8A" w:rsidRPr="00620CF5" w:rsidRDefault="00FC6F8A" w:rsidP="00FC6F8A">
      <w:pPr>
        <w:spacing w:line="360" w:lineRule="auto"/>
        <w:jc w:val="center"/>
        <w:rPr>
          <w:rFonts w:eastAsia="Times New Roman" w:cstheme="minorHAnsi"/>
          <w:b/>
          <w:bCs/>
          <w:lang w:eastAsia="en-GB"/>
        </w:rPr>
      </w:pPr>
      <w:r w:rsidRPr="00620CF5">
        <w:rPr>
          <w:rFonts w:eastAsia="Times New Roman" w:cstheme="minorHAnsi"/>
          <w:b/>
          <w:bCs/>
          <w:lang w:eastAsia="en-GB"/>
        </w:rPr>
        <w:t>Destruction</w:t>
      </w:r>
    </w:p>
    <w:p w14:paraId="047FCD05" w14:textId="77777777" w:rsidR="00FC6F8A" w:rsidRPr="00620CF5" w:rsidRDefault="00FC6F8A" w:rsidP="00FC6F8A">
      <w:pPr>
        <w:pStyle w:val="ListParagraph"/>
        <w:numPr>
          <w:ilvl w:val="0"/>
          <w:numId w:val="2"/>
        </w:numPr>
        <w:spacing w:after="0" w:line="360" w:lineRule="auto"/>
        <w:rPr>
          <w:rFonts w:eastAsia="Times New Roman" w:cstheme="minorHAnsi"/>
          <w:sz w:val="24"/>
          <w:szCs w:val="24"/>
          <w:lang w:eastAsia="en-GB"/>
        </w:rPr>
      </w:pPr>
      <w:r w:rsidRPr="00620CF5">
        <w:rPr>
          <w:rFonts w:eastAsia="Times New Roman" w:cstheme="minorHAnsi"/>
          <w:color w:val="222222"/>
          <w:sz w:val="24"/>
          <w:szCs w:val="24"/>
          <w:shd w:val="clear" w:color="auto" w:fill="FFFFFF"/>
          <w:lang w:eastAsia="en-GB"/>
        </w:rPr>
        <w:t>The action or process of causing so much damage to something that it no longer exists or cannot be repaired.</w:t>
      </w:r>
    </w:p>
    <w:p w14:paraId="35E8F0CA" w14:textId="77777777" w:rsidR="00FC6F8A" w:rsidRPr="00620CF5" w:rsidRDefault="00FC6F8A" w:rsidP="00FC6F8A">
      <w:pPr>
        <w:pStyle w:val="ListParagraph"/>
        <w:numPr>
          <w:ilvl w:val="0"/>
          <w:numId w:val="2"/>
        </w:numPr>
        <w:spacing w:after="0" w:line="360" w:lineRule="auto"/>
        <w:rPr>
          <w:rFonts w:eastAsia="Times New Roman" w:cstheme="minorHAnsi"/>
          <w:sz w:val="24"/>
          <w:szCs w:val="24"/>
          <w:lang w:eastAsia="en-GB"/>
        </w:rPr>
      </w:pPr>
      <w:r w:rsidRPr="00620CF5">
        <w:rPr>
          <w:rFonts w:eastAsia="Times New Roman" w:cstheme="minorHAnsi"/>
          <w:color w:val="222222"/>
          <w:sz w:val="24"/>
          <w:szCs w:val="24"/>
          <w:shd w:val="clear" w:color="auto" w:fill="FFFFFF"/>
          <w:lang w:eastAsia="en-GB"/>
        </w:rPr>
        <w:t>The action or process of killing or being killed.</w:t>
      </w:r>
    </w:p>
    <w:p w14:paraId="446A4329" w14:textId="77777777" w:rsidR="00FC6F8A" w:rsidRPr="00620CF5" w:rsidRDefault="00FC6F8A" w:rsidP="00FC6F8A">
      <w:pPr>
        <w:pStyle w:val="ListParagraph"/>
        <w:numPr>
          <w:ilvl w:val="0"/>
          <w:numId w:val="2"/>
        </w:numPr>
        <w:spacing w:after="0" w:line="360" w:lineRule="auto"/>
        <w:rPr>
          <w:rFonts w:eastAsia="Times New Roman" w:cstheme="minorHAnsi"/>
          <w:sz w:val="24"/>
          <w:szCs w:val="24"/>
          <w:lang w:eastAsia="en-GB"/>
        </w:rPr>
      </w:pPr>
      <w:r w:rsidRPr="00620CF5">
        <w:rPr>
          <w:rFonts w:eastAsia="Times New Roman" w:cstheme="minorHAnsi"/>
          <w:color w:val="222222"/>
          <w:sz w:val="24"/>
          <w:szCs w:val="24"/>
          <w:shd w:val="clear" w:color="auto" w:fill="FFFFFF"/>
          <w:lang w:eastAsia="en-GB"/>
        </w:rPr>
        <w:t>A cause of someone's ruin.</w:t>
      </w:r>
      <w:r w:rsidRPr="00620CF5">
        <w:rPr>
          <w:rStyle w:val="FootnoteReference"/>
          <w:rFonts w:eastAsia="Times New Roman" w:cstheme="minorHAnsi"/>
          <w:color w:val="222222"/>
          <w:sz w:val="24"/>
          <w:szCs w:val="24"/>
          <w:shd w:val="clear" w:color="auto" w:fill="FFFFFF"/>
          <w:lang w:eastAsia="en-GB"/>
        </w:rPr>
        <w:footnoteReference w:id="6"/>
      </w:r>
    </w:p>
    <w:p w14:paraId="3B9F4433" w14:textId="77777777" w:rsidR="00FC6F8A" w:rsidRPr="00620CF5" w:rsidRDefault="00FC6F8A" w:rsidP="00FC6F8A">
      <w:pPr>
        <w:spacing w:line="360" w:lineRule="auto"/>
        <w:rPr>
          <w:rFonts w:eastAsia="Times New Roman" w:cstheme="minorHAnsi"/>
          <w:lang w:eastAsia="en-GB"/>
        </w:rPr>
      </w:pPr>
    </w:p>
    <w:p w14:paraId="68083D3B" w14:textId="77777777" w:rsidR="00FC6F8A" w:rsidRPr="00620CF5" w:rsidRDefault="00FC6F8A" w:rsidP="00FC6F8A">
      <w:pPr>
        <w:spacing w:line="360" w:lineRule="auto"/>
      </w:pPr>
      <w:r w:rsidRPr="00620CF5">
        <w:rPr>
          <w:rFonts w:eastAsia="Times New Roman" w:cstheme="minorHAnsi"/>
          <w:lang w:eastAsia="en-GB"/>
        </w:rPr>
        <w:t>It is evident that both themes emerge in almost every cultural sphere. This chapter will primarily focus on the themes of creation and destruction within the everyday lives of the Egyptians. First and foremost</w:t>
      </w:r>
      <w:r>
        <w:rPr>
          <w:rFonts w:eastAsia="Times New Roman" w:cstheme="minorHAnsi"/>
          <w:lang w:eastAsia="en-GB"/>
        </w:rPr>
        <w:t>,</w:t>
      </w:r>
      <w:r w:rsidRPr="00620CF5">
        <w:rPr>
          <w:rFonts w:eastAsia="Times New Roman" w:cstheme="minorHAnsi"/>
          <w:lang w:eastAsia="en-GB"/>
        </w:rPr>
        <w:t xml:space="preserve"> it will consider Egyptian mythology</w:t>
      </w:r>
      <w:r>
        <w:rPr>
          <w:rFonts w:eastAsia="Times New Roman" w:cstheme="minorHAnsi"/>
          <w:lang w:eastAsia="en-GB"/>
        </w:rPr>
        <w:t xml:space="preserve"> </w:t>
      </w:r>
      <w:r w:rsidRPr="00620CF5">
        <w:rPr>
          <w:rFonts w:eastAsia="Times New Roman" w:cstheme="minorHAnsi"/>
          <w:lang w:eastAsia="en-GB"/>
        </w:rPr>
        <w:t>and how myth permeated all aspects of civilisation</w:t>
      </w:r>
      <w:r w:rsidRPr="00620CF5">
        <w:t>.</w:t>
      </w:r>
      <w:r>
        <w:t xml:space="preserve"> Cosmogony and creation myths will be examined and their importance within Egyptian culture considered.</w:t>
      </w:r>
      <w:r w:rsidRPr="00620CF5">
        <w:t xml:space="preserve"> Creation and destruction, however, are not confined to the mythological sphere, but are also represented in the daily life and landscape of the Egyptians. Therefore, the physical/sacred landscape and the architectural accomplishments of the Egyptian people will also be considered here. </w:t>
      </w:r>
      <w:r w:rsidRPr="00620CF5">
        <w:rPr>
          <w:rFonts w:eastAsia="Times New Roman" w:cstheme="minorHAnsi"/>
          <w:lang w:eastAsia="en-GB"/>
        </w:rPr>
        <w:t>Fundamental concepts such as</w:t>
      </w:r>
      <w:r w:rsidRPr="008F252F">
        <w:rPr>
          <w:rFonts w:eastAsia="Times New Roman" w:cstheme="minorHAnsi"/>
          <w:i/>
          <w:iCs/>
          <w:lang w:eastAsia="en-GB"/>
        </w:rPr>
        <w:t xml:space="preserve"> </w:t>
      </w:r>
      <w:r>
        <w:rPr>
          <w:rFonts w:eastAsia="Times New Roman" w:cstheme="minorHAnsi"/>
          <w:i/>
          <w:iCs/>
          <w:lang w:eastAsia="en-GB"/>
        </w:rPr>
        <w:t>m</w:t>
      </w:r>
      <w:r w:rsidRPr="008F252F">
        <w:rPr>
          <w:rFonts w:eastAsia="Times New Roman" w:cstheme="minorHAnsi"/>
          <w:i/>
          <w:iCs/>
          <w:lang w:eastAsia="en-GB"/>
        </w:rPr>
        <w:t>aat</w:t>
      </w:r>
      <w:r w:rsidRPr="00620CF5">
        <w:rPr>
          <w:rFonts w:eastAsia="Times New Roman" w:cstheme="minorHAnsi"/>
          <w:lang w:eastAsia="en-GB"/>
        </w:rPr>
        <w:t xml:space="preserve">, </w:t>
      </w:r>
      <w:r>
        <w:rPr>
          <w:rFonts w:eastAsia="Times New Roman" w:cstheme="minorHAnsi"/>
          <w:i/>
          <w:iCs/>
          <w:lang w:eastAsia="en-GB"/>
        </w:rPr>
        <w:t>i</w:t>
      </w:r>
      <w:r w:rsidRPr="008F252F">
        <w:rPr>
          <w:rFonts w:eastAsia="Times New Roman" w:cstheme="minorHAnsi"/>
          <w:i/>
          <w:iCs/>
          <w:lang w:eastAsia="en-GB"/>
        </w:rPr>
        <w:t xml:space="preserve">sfet </w:t>
      </w:r>
      <w:r w:rsidRPr="00620CF5">
        <w:rPr>
          <w:rFonts w:eastAsia="Times New Roman" w:cstheme="minorHAnsi"/>
          <w:lang w:eastAsia="en-GB"/>
        </w:rPr>
        <w:t xml:space="preserve">and </w:t>
      </w:r>
      <w:r>
        <w:rPr>
          <w:rFonts w:eastAsia="Times New Roman" w:cstheme="minorHAnsi"/>
          <w:i/>
          <w:iCs/>
          <w:lang w:eastAsia="en-GB"/>
        </w:rPr>
        <w:t>h</w:t>
      </w:r>
      <w:r w:rsidRPr="008F252F">
        <w:rPr>
          <w:rFonts w:eastAsia="Times New Roman" w:cstheme="minorHAnsi"/>
          <w:i/>
          <w:iCs/>
          <w:lang w:eastAsia="en-GB"/>
        </w:rPr>
        <w:t xml:space="preserve">eka </w:t>
      </w:r>
      <w:r w:rsidRPr="00620CF5">
        <w:rPr>
          <w:rFonts w:eastAsia="Times New Roman" w:cstheme="minorHAnsi"/>
          <w:lang w:eastAsia="en-GB"/>
        </w:rPr>
        <w:t>will be explored</w:t>
      </w:r>
      <w:r>
        <w:rPr>
          <w:rFonts w:eastAsia="Times New Roman" w:cstheme="minorHAnsi"/>
          <w:lang w:eastAsia="en-GB"/>
        </w:rPr>
        <w:t xml:space="preserve"> and examine</w:t>
      </w:r>
      <w:r w:rsidRPr="00620CF5">
        <w:rPr>
          <w:rFonts w:eastAsia="Times New Roman" w:cstheme="minorHAnsi"/>
          <w:lang w:eastAsia="en-GB"/>
        </w:rPr>
        <w:t xml:space="preserve"> in order to understand </w:t>
      </w:r>
      <w:r w:rsidRPr="00620CF5">
        <w:rPr>
          <w:rFonts w:eastAsia="Times New Roman" w:cstheme="minorHAnsi"/>
          <w:lang w:eastAsia="en-GB"/>
        </w:rPr>
        <w:lastRenderedPageBreak/>
        <w:t>how they embody both creation and destruction</w:t>
      </w:r>
      <w:r w:rsidRPr="00620CF5">
        <w:t xml:space="preserve">. Finally, it will introduce the concept of Egyptian kingship, from its mythological foundations to its historical reality. </w:t>
      </w:r>
    </w:p>
    <w:p w14:paraId="1F21DF12" w14:textId="77777777" w:rsidR="00FC6F8A" w:rsidRPr="005C2027" w:rsidRDefault="00FC6F8A" w:rsidP="00FC6F8A">
      <w:pPr>
        <w:spacing w:line="360" w:lineRule="auto"/>
        <w:rPr>
          <w:u w:val="single"/>
        </w:rPr>
      </w:pPr>
    </w:p>
    <w:p w14:paraId="0E222CA1" w14:textId="6409A81B" w:rsidR="00CF4564" w:rsidRPr="00CF4564" w:rsidRDefault="00FC6F8A" w:rsidP="00CF4564">
      <w:pPr>
        <w:pStyle w:val="Heading2"/>
        <w:numPr>
          <w:ilvl w:val="1"/>
          <w:numId w:val="15"/>
        </w:numPr>
        <w:spacing w:line="360" w:lineRule="auto"/>
        <w:rPr>
          <w:rFonts w:asciiTheme="minorHAnsi" w:hAnsiTheme="minorHAnsi"/>
          <w:color w:val="000000" w:themeColor="text1"/>
          <w:sz w:val="24"/>
          <w:szCs w:val="24"/>
          <w:u w:val="single"/>
        </w:rPr>
      </w:pPr>
      <w:bookmarkStart w:id="3" w:name="_Toc33821828"/>
      <w:r w:rsidRPr="005C2027">
        <w:rPr>
          <w:rFonts w:asciiTheme="minorHAnsi" w:hAnsiTheme="minorHAnsi"/>
          <w:color w:val="000000" w:themeColor="text1"/>
          <w:sz w:val="24"/>
          <w:szCs w:val="24"/>
          <w:u w:val="single"/>
        </w:rPr>
        <w:t>Creation of the World and the Destruction of the Gods – Cosmology and Mythology</w:t>
      </w:r>
      <w:bookmarkEnd w:id="3"/>
    </w:p>
    <w:p w14:paraId="67233C04" w14:textId="77777777" w:rsidR="00FC6F8A" w:rsidRPr="00620CF5" w:rsidRDefault="00FC6F8A" w:rsidP="005C2027">
      <w:pPr>
        <w:spacing w:line="360" w:lineRule="auto"/>
      </w:pPr>
      <w:r w:rsidRPr="00620CF5">
        <w:t>Egyptian mythology is both complex and diverse, pervading all aspects of Egyptian life. Many scholars have argued over what constitutes a myth</w:t>
      </w:r>
      <w:r w:rsidRPr="00620CF5">
        <w:rPr>
          <w:rStyle w:val="FootnoteReference"/>
        </w:rPr>
        <w:footnoteReference w:id="7"/>
      </w:r>
      <w:r w:rsidRPr="00620CF5">
        <w:t>, and whether or not myth existed within Egyptian culture. For the purposes of this discussion, myths are understood to be stories set in the distant past, featuring the divine and used by the Egyptians to help make sense of their surroundings, resolve problems and to clarify their relationships with the divine world</w:t>
      </w:r>
      <w:r>
        <w:t>.</w:t>
      </w:r>
      <w:r w:rsidRPr="00620CF5">
        <w:rPr>
          <w:rStyle w:val="FootnoteReference"/>
        </w:rPr>
        <w:footnoteReference w:id="8"/>
      </w:r>
      <w:r w:rsidRPr="00620CF5">
        <w:t xml:space="preserve"> Myths were created in order to give a degree of psychological control to the Egyptian people and were used instead of logic to understand their role in the universe</w:t>
      </w:r>
      <w:r>
        <w:t>.</w:t>
      </w:r>
      <w:r w:rsidRPr="00620CF5">
        <w:rPr>
          <w:rStyle w:val="FootnoteReference"/>
        </w:rPr>
        <w:footnoteReference w:id="9"/>
      </w:r>
    </w:p>
    <w:p w14:paraId="4DC26355" w14:textId="77777777" w:rsidR="00FC6F8A" w:rsidRPr="00620CF5" w:rsidRDefault="00FC6F8A" w:rsidP="00FC6F8A">
      <w:pPr>
        <w:spacing w:line="360" w:lineRule="auto"/>
      </w:pPr>
    </w:p>
    <w:p w14:paraId="356993B7" w14:textId="77777777" w:rsidR="00FC6F8A" w:rsidRPr="00620CF5" w:rsidRDefault="00FC6F8A" w:rsidP="00FC6F8A">
      <w:pPr>
        <w:spacing w:line="360" w:lineRule="auto"/>
      </w:pPr>
      <w:r w:rsidRPr="00620CF5">
        <w:t>Within Egyptian mythology, creation and destruction were central themes. Scholarship tends to focus mainly on cosmology when discussing creation as a cultural theme</w:t>
      </w:r>
      <w:r>
        <w:t>.</w:t>
      </w:r>
      <w:r w:rsidRPr="00620CF5">
        <w:rPr>
          <w:rStyle w:val="FootnoteReference"/>
        </w:rPr>
        <w:footnoteReference w:id="10"/>
      </w:r>
      <w:r w:rsidRPr="00620CF5">
        <w:t>Creation myths were used by the Egyptians as a method of understanding how their world began and to establish their place within the cosmos. They answered relevant questions in terms of human origin and also existed to explain the unexplained.  Creation itself is seen in its purest form within Egyptian creation myth, where an ultimate creator god brings the universe into existence. The myths themselves are various and no two accounts are exactly the same. There appears, however, to be four main accounts of creation known as the Heliopolitan, Hermopolitan, Memphite and Theban creation myths</w:t>
      </w:r>
      <w:r>
        <w:t>.</w:t>
      </w:r>
      <w:r w:rsidRPr="00620CF5">
        <w:rPr>
          <w:rStyle w:val="FootnoteReference"/>
        </w:rPr>
        <w:footnoteReference w:id="11"/>
      </w:r>
      <w:r w:rsidRPr="00620CF5">
        <w:t xml:space="preserve"> Even though the precise details of these myths may vary, they all nevertheless appear to share similar concepts: the emergence of life from the primordial waters and the birth of the sun god</w:t>
      </w:r>
      <w:r>
        <w:t>.</w:t>
      </w:r>
      <w:r w:rsidRPr="00620CF5">
        <w:rPr>
          <w:rStyle w:val="FootnoteReference"/>
        </w:rPr>
        <w:footnoteReference w:id="12"/>
      </w:r>
      <w:r w:rsidRPr="00620CF5">
        <w:t xml:space="preserve"> Solar deities </w:t>
      </w:r>
      <w:r w:rsidRPr="00620CF5">
        <w:lastRenderedPageBreak/>
        <w:t>seem to play a large role within cosmogony in terms of the creation process however some scholars have argued over the nature of that role and what it entails</w:t>
      </w:r>
      <w:r>
        <w:t>.</w:t>
      </w:r>
      <w:r w:rsidRPr="00620CF5">
        <w:rPr>
          <w:rStyle w:val="FootnoteReference"/>
        </w:rPr>
        <w:footnoteReference w:id="13"/>
      </w:r>
      <w:r w:rsidRPr="00620CF5">
        <w:t xml:space="preserve"> Additionally, the details and subjects of the creation myth itself seem to depend on their geographical location and where they originated from</w:t>
      </w:r>
      <w:r>
        <w:t>.</w:t>
      </w:r>
      <w:r w:rsidRPr="00620CF5">
        <w:rPr>
          <w:rStyle w:val="FootnoteReference"/>
        </w:rPr>
        <w:footnoteReference w:id="14"/>
      </w:r>
      <w:r w:rsidRPr="00620CF5">
        <w:t xml:space="preserve"> For instance, within the Memphite theology, Ptah, is seen as the creator of life, whereas Heliopolitan theology states that it was the god Atum who first brought life into being. With these differences in mind, it seems that creation myths not only served to explain the divine beginnings of the world but also to legitimise the office of kingship and to validate the power of city states</w:t>
      </w:r>
      <w:r>
        <w:t>.</w:t>
      </w:r>
      <w:r w:rsidRPr="00620CF5">
        <w:rPr>
          <w:rStyle w:val="FootnoteReference"/>
        </w:rPr>
        <w:footnoteReference w:id="15"/>
      </w:r>
      <w:r w:rsidRPr="00620CF5">
        <w:t xml:space="preserve"> Religion can be seen to be embedded within Egyptian civilisation, including the political sphere. Therefore</w:t>
      </w:r>
      <w:r>
        <w:t>,</w:t>
      </w:r>
      <w:r w:rsidRPr="00620CF5">
        <w:t xml:space="preserve"> one could argue that creation myths are not solely religious at heart, but political also. </w:t>
      </w:r>
    </w:p>
    <w:p w14:paraId="2E54932C" w14:textId="77777777" w:rsidR="00FC6F8A" w:rsidRPr="00620CF5" w:rsidRDefault="00FC6F8A" w:rsidP="00FC6F8A">
      <w:pPr>
        <w:spacing w:line="360" w:lineRule="auto"/>
      </w:pPr>
    </w:p>
    <w:p w14:paraId="7D9EC198" w14:textId="77777777" w:rsidR="00FC6F8A" w:rsidRPr="00620CF5" w:rsidRDefault="00FC6F8A" w:rsidP="00FC6F8A">
      <w:pPr>
        <w:spacing w:line="360" w:lineRule="auto"/>
      </w:pPr>
      <w:r w:rsidRPr="00620CF5">
        <w:t>The theme of destruction is also popular within Egyptian mythology, especially concerning the annihilation of the world and its inhabitants</w:t>
      </w:r>
      <w:r>
        <w:t>.</w:t>
      </w:r>
      <w:r w:rsidRPr="00620CF5">
        <w:rPr>
          <w:rStyle w:val="FootnoteReference"/>
        </w:rPr>
        <w:footnoteReference w:id="16"/>
      </w:r>
      <w:r w:rsidRPr="00620CF5">
        <w:t xml:space="preserve"> </w:t>
      </w:r>
      <w:r w:rsidRPr="00620CF5">
        <w:rPr>
          <w:i/>
          <w:iCs/>
        </w:rPr>
        <w:t>The Book of the Heavenly Cow</w:t>
      </w:r>
      <w:r w:rsidRPr="00620CF5">
        <w:rPr>
          <w:rStyle w:val="FootnoteReference"/>
          <w:i/>
          <w:iCs/>
        </w:rPr>
        <w:footnoteReference w:id="17"/>
      </w:r>
      <w:r w:rsidRPr="00620CF5">
        <w:t xml:space="preserve"> is the best example of this and shows that destruction is a necessary tool in which to keep the world of chaos at bay</w:t>
      </w:r>
      <w:r>
        <w:t>.</w:t>
      </w:r>
      <w:r w:rsidRPr="00620CF5">
        <w:rPr>
          <w:rStyle w:val="FootnoteReference"/>
        </w:rPr>
        <w:footnoteReference w:id="18"/>
      </w:r>
      <w:r w:rsidRPr="00620CF5">
        <w:t xml:space="preserve"> This account shows the destructive temperament of the gods, highlighting the dual nature of the divine within Egyptian religion</w:t>
      </w:r>
      <w:r>
        <w:t>.</w:t>
      </w:r>
      <w:r w:rsidRPr="00620CF5">
        <w:rPr>
          <w:rStyle w:val="FootnoteReference"/>
        </w:rPr>
        <w:footnoteReference w:id="19"/>
      </w:r>
      <w:r w:rsidRPr="00620CF5">
        <w:t xml:space="preserve"> Where one could create, they could also destroy and kill, showing that both cultural themes go hand in hand </w:t>
      </w:r>
      <w:r w:rsidRPr="00620CF5">
        <w:lastRenderedPageBreak/>
        <w:t>within mythology. Destruction however seems to be multifaceted within Egyptian religion. To many, the traditional notion of destruction embodies chaos, which in turn is a threat to the state and the ordered world. When dealing with the myth of Osiris and Seth, the latter is seen to symbolise destruction and death, as the god of the desert lands and foreigners representing chaos and disorder</w:t>
      </w:r>
      <w:r>
        <w:t>.</w:t>
      </w:r>
      <w:r w:rsidRPr="00620CF5">
        <w:rPr>
          <w:rStyle w:val="FootnoteReference"/>
        </w:rPr>
        <w:footnoteReference w:id="20"/>
      </w:r>
      <w:r w:rsidRPr="00620CF5">
        <w:t xml:space="preserve"> However, as can be seen in </w:t>
      </w:r>
      <w:r w:rsidRPr="00620CF5">
        <w:rPr>
          <w:i/>
          <w:iCs/>
        </w:rPr>
        <w:t xml:space="preserve">The Book of the Heavenly </w:t>
      </w:r>
      <w:r w:rsidRPr="00620CF5">
        <w:t>Cow, destruction could be ordered and viewed as a valuable tool that could be used to destroy threats and to protect order</w:t>
      </w:r>
      <w:r>
        <w:t>.</w:t>
      </w:r>
      <w:r w:rsidRPr="00620CF5">
        <w:rPr>
          <w:rStyle w:val="FootnoteReference"/>
        </w:rPr>
        <w:footnoteReference w:id="21"/>
      </w:r>
      <w:r w:rsidRPr="00620CF5">
        <w:t xml:space="preserve">  </w:t>
      </w:r>
    </w:p>
    <w:p w14:paraId="4E75D06A" w14:textId="77777777" w:rsidR="00FC6F8A" w:rsidRPr="00620CF5" w:rsidRDefault="00FC6F8A" w:rsidP="00FC6F8A">
      <w:pPr>
        <w:spacing w:line="360" w:lineRule="auto"/>
      </w:pPr>
    </w:p>
    <w:p w14:paraId="3F39C0BA" w14:textId="55194551" w:rsidR="005C2027" w:rsidRPr="005C2027" w:rsidRDefault="00FC6F8A" w:rsidP="00CF4564">
      <w:pPr>
        <w:pStyle w:val="Heading2"/>
        <w:numPr>
          <w:ilvl w:val="1"/>
          <w:numId w:val="15"/>
        </w:numPr>
        <w:spacing w:line="360" w:lineRule="auto"/>
        <w:rPr>
          <w:rFonts w:asciiTheme="minorHAnsi" w:hAnsiTheme="minorHAnsi"/>
          <w:color w:val="000000" w:themeColor="text1"/>
          <w:sz w:val="24"/>
          <w:szCs w:val="24"/>
          <w:u w:val="single"/>
        </w:rPr>
      </w:pPr>
      <w:bookmarkStart w:id="4" w:name="_Toc33821829"/>
      <w:r w:rsidRPr="005C2027">
        <w:rPr>
          <w:rFonts w:asciiTheme="minorHAnsi" w:hAnsiTheme="minorHAnsi"/>
          <w:color w:val="000000" w:themeColor="text1"/>
          <w:sz w:val="24"/>
          <w:szCs w:val="24"/>
          <w:u w:val="single"/>
        </w:rPr>
        <w:t xml:space="preserve">Creation and </w:t>
      </w:r>
      <w:r w:rsidR="00CF4564">
        <w:rPr>
          <w:rFonts w:asciiTheme="minorHAnsi" w:hAnsiTheme="minorHAnsi"/>
          <w:color w:val="000000" w:themeColor="text1"/>
          <w:sz w:val="24"/>
          <w:szCs w:val="24"/>
          <w:u w:val="single"/>
        </w:rPr>
        <w:t>D</w:t>
      </w:r>
      <w:r w:rsidRPr="005C2027">
        <w:rPr>
          <w:rFonts w:asciiTheme="minorHAnsi" w:hAnsiTheme="minorHAnsi"/>
          <w:color w:val="000000" w:themeColor="text1"/>
          <w:sz w:val="24"/>
          <w:szCs w:val="24"/>
          <w:u w:val="single"/>
        </w:rPr>
        <w:t>estruction within the Egyptian Landscape</w:t>
      </w:r>
      <w:bookmarkEnd w:id="4"/>
    </w:p>
    <w:p w14:paraId="5D5B6B92" w14:textId="77777777" w:rsidR="00FC6F8A" w:rsidRPr="00620CF5" w:rsidRDefault="00FC6F8A" w:rsidP="005C2027">
      <w:pPr>
        <w:spacing w:line="360" w:lineRule="auto"/>
      </w:pPr>
      <w:r w:rsidRPr="00620CF5">
        <w:t xml:space="preserve">Egyptian mythology is not the only aspect of Egyptian civilisation that showcases the themes of creation and destruction so heavily. These </w:t>
      </w:r>
      <w:r>
        <w:t xml:space="preserve">themes </w:t>
      </w:r>
      <w:r w:rsidRPr="00620CF5">
        <w:t>can also be seen within the physical world of Ancient Egypt and its ecological landscape</w:t>
      </w:r>
      <w:r>
        <w:t>.</w:t>
      </w:r>
      <w:r w:rsidRPr="00620CF5">
        <w:rPr>
          <w:rStyle w:val="FootnoteReference"/>
        </w:rPr>
        <w:footnoteReference w:id="22"/>
      </w:r>
      <w:r w:rsidRPr="00620CF5">
        <w:t>They are especially visible when considering the River Nile and its cyclical nature. Given its unique qualities</w:t>
      </w:r>
      <w:r w:rsidRPr="00620CF5">
        <w:rPr>
          <w:rStyle w:val="FootnoteReference"/>
        </w:rPr>
        <w:footnoteReference w:id="23"/>
      </w:r>
      <w:r w:rsidRPr="00620CF5">
        <w:t>, the Nile was considered to be the life-giving force of the region, the creator of fertile lands upon which the Egyptians relied upon to survive</w:t>
      </w:r>
      <w:r>
        <w:t>.</w:t>
      </w:r>
      <w:r w:rsidRPr="00620CF5">
        <w:rPr>
          <w:rStyle w:val="FootnoteReference"/>
        </w:rPr>
        <w:footnoteReference w:id="24"/>
      </w:r>
      <w:r w:rsidRPr="00620CF5">
        <w:t xml:space="preserve"> The river created a liveable environment in which Egyptian civilisation could thrive and grow within the arid climate creating large desert areas.</w:t>
      </w:r>
      <w:r w:rsidRPr="00620CF5">
        <w:rPr>
          <w:rStyle w:val="FootnoteReference"/>
        </w:rPr>
        <w:footnoteReference w:id="25"/>
      </w:r>
      <w:r w:rsidRPr="00620CF5">
        <w:t xml:space="preserve">Additionally, the river enabled the transportation and distribution of goods which was essential to the growth and economy of Egypt, providing an efficient way for people to </w:t>
      </w:r>
      <w:r w:rsidRPr="00620CF5">
        <w:lastRenderedPageBreak/>
        <w:t>trade and gain resources to build</w:t>
      </w:r>
      <w:r>
        <w:t>.</w:t>
      </w:r>
      <w:r w:rsidRPr="00620CF5">
        <w:rPr>
          <w:rStyle w:val="FootnoteReference"/>
        </w:rPr>
        <w:footnoteReference w:id="26"/>
      </w:r>
      <w:r w:rsidRPr="00620CF5">
        <w:t xml:space="preserve"> The creation of a civilisation began around the Nile as the main backbone of society, where life developed and evolved. </w:t>
      </w:r>
    </w:p>
    <w:p w14:paraId="173A9F6D" w14:textId="77777777" w:rsidR="00FC6F8A" w:rsidRPr="00620CF5" w:rsidRDefault="00FC6F8A" w:rsidP="00FC6F8A">
      <w:pPr>
        <w:spacing w:line="360" w:lineRule="auto"/>
      </w:pPr>
    </w:p>
    <w:p w14:paraId="3F02D4D7" w14:textId="77777777" w:rsidR="00FC6F8A" w:rsidRPr="00620CF5" w:rsidRDefault="00FC6F8A" w:rsidP="00FC6F8A">
      <w:pPr>
        <w:spacing w:line="360" w:lineRule="auto"/>
      </w:pPr>
      <w:r w:rsidRPr="00620CF5">
        <w:t>The Nile not only created a sustainable landscape upon which Egypt could grow and thrive economically, but also established a sacred landscape upon which the religious ideology of Egypt itself could centre.  The cyclicality of nature and its processes within the Egyptian landscape were considered sacred, almost ritualistic in their essence</w:t>
      </w:r>
      <w:r>
        <w:t>.</w:t>
      </w:r>
      <w:r w:rsidRPr="00620CF5">
        <w:rPr>
          <w:rStyle w:val="FootnoteReference"/>
        </w:rPr>
        <w:footnoteReference w:id="27"/>
      </w:r>
      <w:r w:rsidRPr="00620CF5">
        <w:t xml:space="preserve"> A whole cosmology is based around the Nile itself, where the river with its annual flood and the constant changes within the delta inspire the myths of emergence, hence symbolising the river as the ultimate creator</w:t>
      </w:r>
      <w:r>
        <w:t>.</w:t>
      </w:r>
      <w:r w:rsidRPr="00620CF5">
        <w:rPr>
          <w:rStyle w:val="FootnoteReference"/>
        </w:rPr>
        <w:footnoteReference w:id="28"/>
      </w:r>
      <w:r w:rsidRPr="00620CF5">
        <w:t xml:space="preserve"> It was also seen as the symbolic unifier of the land of Egypt</w:t>
      </w:r>
      <w:r w:rsidRPr="00620CF5">
        <w:rPr>
          <w:rStyle w:val="FootnoteReference"/>
        </w:rPr>
        <w:footnoteReference w:id="29"/>
      </w:r>
      <w:r w:rsidRPr="00620CF5">
        <w:t xml:space="preserve">, connecting upper and lower Egypt to each other, </w:t>
      </w:r>
      <w:r>
        <w:t>providing</w:t>
      </w:r>
      <w:r w:rsidRPr="00620CF5">
        <w:t xml:space="preserve"> life to all. </w:t>
      </w:r>
    </w:p>
    <w:p w14:paraId="6AAC1771" w14:textId="77777777" w:rsidR="00FC6F8A" w:rsidRPr="00620CF5" w:rsidRDefault="00FC6F8A" w:rsidP="00FC6F8A">
      <w:pPr>
        <w:spacing w:line="360" w:lineRule="auto"/>
      </w:pPr>
    </w:p>
    <w:p w14:paraId="670C33FF" w14:textId="77777777" w:rsidR="00FC6F8A" w:rsidRPr="00620CF5" w:rsidRDefault="00FC6F8A" w:rsidP="00FC6F8A">
      <w:pPr>
        <w:spacing w:line="360" w:lineRule="auto"/>
      </w:pPr>
      <w:r w:rsidRPr="00620CF5">
        <w:t>The river</w:t>
      </w:r>
      <w:r>
        <w:t xml:space="preserve"> </w:t>
      </w:r>
      <w:r w:rsidRPr="00620CF5">
        <w:t>was also seen to provide essential materials that were used by the Egyptians to survive. Mud brick and clay were fundamental building materials used by the Egyptians to create houses and structures</w:t>
      </w:r>
      <w:r>
        <w:t>.</w:t>
      </w:r>
      <w:r w:rsidRPr="00620CF5">
        <w:rPr>
          <w:rStyle w:val="FootnoteReference"/>
        </w:rPr>
        <w:footnoteReference w:id="30"/>
      </w:r>
      <w:r w:rsidRPr="00620CF5">
        <w:t xml:space="preserve"> These materials could also be seen as sacred offerings and had links to the Elephantine god Khnum, who used the</w:t>
      </w:r>
      <w:r>
        <w:t>m</w:t>
      </w:r>
      <w:r w:rsidRPr="00620CF5">
        <w:t xml:space="preserve"> on his potter’s wheel to create the human race</w:t>
      </w:r>
      <w:r>
        <w:t>.</w:t>
      </w:r>
      <w:r w:rsidRPr="00620CF5">
        <w:rPr>
          <w:rStyle w:val="FootnoteReference"/>
        </w:rPr>
        <w:footnoteReference w:id="31"/>
      </w:r>
      <w:r w:rsidRPr="00620CF5">
        <w:t xml:space="preserve"> The</w:t>
      </w:r>
      <w:r>
        <w:t xml:space="preserve">y </w:t>
      </w:r>
      <w:r w:rsidRPr="00620CF5">
        <w:t>c</w:t>
      </w:r>
      <w:r>
        <w:t>ould</w:t>
      </w:r>
      <w:r w:rsidRPr="00620CF5">
        <w:t xml:space="preserve"> be seen to imbibe creative powers and protective qualities, </w:t>
      </w:r>
      <w:r>
        <w:t>and</w:t>
      </w:r>
      <w:r w:rsidRPr="00620CF5">
        <w:t xml:space="preserve"> were also used in rituals to create magic amulets</w:t>
      </w:r>
      <w:r>
        <w:t>.</w:t>
      </w:r>
      <w:r w:rsidRPr="00620CF5">
        <w:rPr>
          <w:rStyle w:val="FootnoteReference"/>
        </w:rPr>
        <w:footnoteReference w:id="32"/>
      </w:r>
      <w:r w:rsidRPr="00620CF5">
        <w:t xml:space="preserve"> The fact that they are gifts of the Nile therefore leads us to the conclusion that the Nile is the ultimate life source, where materials used to build the human race within myth emerge from its waters. Parallels, therefore, start to emerge when dealing with the Nile and the theme of creation. </w:t>
      </w:r>
    </w:p>
    <w:p w14:paraId="5A33B7B2" w14:textId="77777777" w:rsidR="00FC6F8A" w:rsidRPr="00620CF5" w:rsidRDefault="00FC6F8A" w:rsidP="00FC6F8A">
      <w:pPr>
        <w:spacing w:line="360" w:lineRule="auto"/>
      </w:pPr>
    </w:p>
    <w:p w14:paraId="0D1AFD63" w14:textId="0B49AEC0" w:rsidR="00FC6F8A" w:rsidRPr="00620CF5" w:rsidRDefault="00FC6F8A" w:rsidP="00FC6F8A">
      <w:pPr>
        <w:spacing w:line="360" w:lineRule="auto"/>
      </w:pPr>
      <w:r w:rsidRPr="00620CF5">
        <w:lastRenderedPageBreak/>
        <w:t>The Nile could be seen to both give and take away and even though the Nile was viewed as a source of creation, it could also be a source of destruction</w:t>
      </w:r>
      <w:r>
        <w:t>.</w:t>
      </w:r>
      <w:r w:rsidRPr="00620CF5">
        <w:rPr>
          <w:rStyle w:val="FootnoteReference"/>
        </w:rPr>
        <w:footnoteReference w:id="33"/>
      </w:r>
      <w:r w:rsidRPr="00620CF5">
        <w:t xml:space="preserve"> The inundation of the Nile was seen to be unpredictable and this psychological need to overcome the worries over the flood manifested itself in myth, shaping Egyptian civilisation and its relationship with the river itself</w:t>
      </w:r>
      <w:r>
        <w:t>.</w:t>
      </w:r>
      <w:r w:rsidRPr="00620CF5">
        <w:rPr>
          <w:rStyle w:val="FootnoteReference"/>
        </w:rPr>
        <w:footnoteReference w:id="34"/>
      </w:r>
      <w:r w:rsidRPr="00620CF5">
        <w:t xml:space="preserve"> High flood levels could result in massive flash floods and storms that could sweep away villages and towns, resulting in death and destruction</w:t>
      </w:r>
      <w:r>
        <w:t>.</w:t>
      </w:r>
      <w:r w:rsidRPr="00620CF5">
        <w:rPr>
          <w:rStyle w:val="FootnoteReference"/>
        </w:rPr>
        <w:footnoteReference w:id="35"/>
      </w:r>
      <w:r w:rsidRPr="00620CF5">
        <w:t xml:space="preserve"> Alternatively, if the flood level was low, there may not be enough silt left behind to fertilise the land leading to a shortage of crops. Drought was feared by many</w:t>
      </w:r>
      <w:r w:rsidRPr="00620CF5">
        <w:rPr>
          <w:rStyle w:val="FootnoteReference"/>
        </w:rPr>
        <w:footnoteReference w:id="36"/>
      </w:r>
      <w:r w:rsidRPr="00620CF5">
        <w:t xml:space="preserve">, which is not surprising given the climate. </w:t>
      </w:r>
    </w:p>
    <w:p w14:paraId="5F776AA5" w14:textId="77777777" w:rsidR="00FC6F8A" w:rsidRPr="00620CF5" w:rsidRDefault="00FC6F8A" w:rsidP="00FC6F8A">
      <w:pPr>
        <w:spacing w:line="360" w:lineRule="auto"/>
      </w:pPr>
    </w:p>
    <w:p w14:paraId="0343382D" w14:textId="77777777" w:rsidR="00FC6F8A" w:rsidRPr="00620CF5" w:rsidRDefault="00FC6F8A" w:rsidP="00FC6F8A">
      <w:pPr>
        <w:spacing w:line="360" w:lineRule="auto"/>
      </w:pPr>
      <w:r w:rsidRPr="00620CF5">
        <w:t>The desert must also be considered when accounting for the ecological landscape of Egypt. Unlike the Nile, which was seen as the life-force of Egypt, the desert was seen as a wasteland where people could not hope to survive. Associated with disorder and home to forces that were hostile to creation</w:t>
      </w:r>
      <w:r w:rsidRPr="00620CF5">
        <w:rPr>
          <w:rStyle w:val="FootnoteReference"/>
        </w:rPr>
        <w:footnoteReference w:id="37"/>
      </w:r>
      <w:r w:rsidRPr="00620CF5">
        <w:t>, the desert was known as “The Red Land” and, within mythological accounts, existed to be feared. Connected to the deities Seth and Sekhmet</w:t>
      </w:r>
      <w:r>
        <w:t>,</w:t>
      </w:r>
      <w:r w:rsidRPr="00620CF5">
        <w:rPr>
          <w:rStyle w:val="FootnoteReference"/>
        </w:rPr>
        <w:footnoteReference w:id="38"/>
      </w:r>
      <w:r>
        <w:t xml:space="preserve"> the</w:t>
      </w:r>
      <w:r w:rsidRPr="00620CF5">
        <w:t xml:space="preserve"> landscape highlight</w:t>
      </w:r>
      <w:r>
        <w:t>s</w:t>
      </w:r>
      <w:r w:rsidRPr="00620CF5">
        <w:t xml:space="preserve"> the chaotic and destructive nature of the desert environment. Nevertheless, it could be argued that even though the desert was destructive in nature, it also had creative powers in the sense that it created a boundary within which Egypt was protected. Enemies would have to cross the dangerous desert in order to get to Egypt, therefore Egypt was protected from a multitude of invasions</w:t>
      </w:r>
      <w:r>
        <w:t>.</w:t>
      </w:r>
      <w:r w:rsidRPr="00620CF5">
        <w:rPr>
          <w:rStyle w:val="FootnoteReference"/>
        </w:rPr>
        <w:footnoteReference w:id="39"/>
      </w:r>
      <w:r w:rsidRPr="00620CF5">
        <w:t xml:space="preserve"> </w:t>
      </w:r>
    </w:p>
    <w:p w14:paraId="4D0D2AB9" w14:textId="77777777" w:rsidR="00FC6F8A" w:rsidRPr="00620CF5" w:rsidRDefault="00FC6F8A" w:rsidP="005C2027">
      <w:pPr>
        <w:spacing w:line="360" w:lineRule="auto"/>
        <w:rPr>
          <w:u w:val="single"/>
        </w:rPr>
      </w:pPr>
    </w:p>
    <w:p w14:paraId="08678B87" w14:textId="5AC19CEE" w:rsidR="005C2027" w:rsidRPr="005C2027" w:rsidRDefault="00FC6F8A" w:rsidP="00CF4564">
      <w:pPr>
        <w:pStyle w:val="Heading2"/>
        <w:numPr>
          <w:ilvl w:val="1"/>
          <w:numId w:val="15"/>
        </w:numPr>
        <w:spacing w:line="360" w:lineRule="auto"/>
        <w:rPr>
          <w:rFonts w:asciiTheme="minorHAnsi" w:hAnsiTheme="minorHAnsi"/>
          <w:color w:val="000000" w:themeColor="text1"/>
          <w:sz w:val="24"/>
          <w:szCs w:val="24"/>
          <w:u w:val="single"/>
        </w:rPr>
      </w:pPr>
      <w:bookmarkStart w:id="5" w:name="_Toc33821830"/>
      <w:r w:rsidRPr="005C2027">
        <w:rPr>
          <w:rFonts w:asciiTheme="minorHAnsi" w:hAnsiTheme="minorHAnsi"/>
          <w:color w:val="000000" w:themeColor="text1"/>
          <w:sz w:val="24"/>
          <w:szCs w:val="24"/>
          <w:u w:val="single"/>
        </w:rPr>
        <w:t>Creation and Destruction within Egyptian Architecture</w:t>
      </w:r>
      <w:bookmarkEnd w:id="5"/>
      <w:r w:rsidRPr="005C2027">
        <w:rPr>
          <w:rFonts w:asciiTheme="minorHAnsi" w:hAnsiTheme="minorHAnsi"/>
          <w:color w:val="000000" w:themeColor="text1"/>
          <w:sz w:val="24"/>
          <w:szCs w:val="24"/>
          <w:u w:val="single"/>
        </w:rPr>
        <w:t xml:space="preserve"> </w:t>
      </w:r>
    </w:p>
    <w:p w14:paraId="4A30F1A7" w14:textId="77777777" w:rsidR="00FC6F8A" w:rsidRPr="00620CF5" w:rsidRDefault="00FC6F8A" w:rsidP="005C2027">
      <w:pPr>
        <w:spacing w:line="360" w:lineRule="auto"/>
      </w:pPr>
      <w:r w:rsidRPr="00620CF5">
        <w:t xml:space="preserve">The natural landscape was not the only place where creation and destruction could be viewed so openly. They also </w:t>
      </w:r>
      <w:r>
        <w:t>infiltrated</w:t>
      </w:r>
      <w:r w:rsidRPr="00620CF5">
        <w:t xml:space="preserve"> the human landscape and influenced the various architectural style of the Egyptian state. This can be seen within the religious architecture of </w:t>
      </w:r>
      <w:r w:rsidRPr="00620CF5">
        <w:lastRenderedPageBreak/>
        <w:t>Ancient Egypt, especially within cult and mortuary temples. Through the study of religious architecture, we are able to catch a glimpse of the accepted Egyptian ideology</w:t>
      </w:r>
      <w:r>
        <w:t>.</w:t>
      </w:r>
      <w:r w:rsidRPr="00620CF5">
        <w:rPr>
          <w:rStyle w:val="FootnoteReference"/>
        </w:rPr>
        <w:footnoteReference w:id="40"/>
      </w:r>
      <w:r w:rsidRPr="00620CF5">
        <w:t xml:space="preserve"> </w:t>
      </w:r>
    </w:p>
    <w:p w14:paraId="52B35DEC" w14:textId="77777777" w:rsidR="00FC6F8A" w:rsidRPr="00620CF5" w:rsidRDefault="00FC6F8A" w:rsidP="00FC6F8A">
      <w:pPr>
        <w:spacing w:line="360" w:lineRule="auto"/>
      </w:pPr>
    </w:p>
    <w:p w14:paraId="462700CC" w14:textId="77777777" w:rsidR="00FC6F8A" w:rsidRPr="00620CF5" w:rsidRDefault="00FC6F8A" w:rsidP="00FC6F8A">
      <w:pPr>
        <w:spacing w:line="360" w:lineRule="auto"/>
      </w:pPr>
      <w:r w:rsidRPr="00620CF5">
        <w:t>It is evident that the standard Egyptian temple was built in order to replicate the moment of creation</w:t>
      </w:r>
      <w:r>
        <w:t>.</w:t>
      </w:r>
      <w:r w:rsidRPr="00620CF5">
        <w:rPr>
          <w:rStyle w:val="FootnoteReference"/>
        </w:rPr>
        <w:footnoteReference w:id="41"/>
      </w:r>
      <w:r w:rsidRPr="00620CF5">
        <w:t xml:space="preserve"> The temple was seen as a miniature cosmos</w:t>
      </w:r>
      <w:r w:rsidRPr="00620CF5">
        <w:rPr>
          <w:rStyle w:val="FootnoteReference"/>
        </w:rPr>
        <w:footnoteReference w:id="42"/>
      </w:r>
      <w:r w:rsidRPr="00620CF5">
        <w:t xml:space="preserve"> and was traditionally enclosed, separating the everyday from the sacred. By building high walls around the sanctuary, the temple was able to keep out the chaotic and destructive forces of the outside world, keeping the inner sanctuary safe within the ordered and structured environment. The outer wall is seen to undulate, symbolising the primordial waters of Nun surrounding the mound of creation</w:t>
      </w:r>
      <w:r>
        <w:t>.</w:t>
      </w:r>
      <w:r w:rsidRPr="00620CF5">
        <w:rPr>
          <w:rStyle w:val="FootnoteReference"/>
        </w:rPr>
        <w:footnoteReference w:id="43"/>
      </w:r>
      <w:r w:rsidRPr="00620CF5">
        <w:t xml:space="preserve"> Such symbolism is important as it highlights the temple as being the perfect state of existence, as it was at the first moment of creation when the primeval mound appears, surrounded by the waters of chaos. Such a distinction between the outside world of chaos and the inside world of order highlights the duality between creation and destruction and its roles within Egypt. By destroying a temple and its walls, this could essentially symbolise the destruction of </w:t>
      </w:r>
      <w:r w:rsidRPr="008F0634">
        <w:rPr>
          <w:i/>
          <w:iCs/>
        </w:rPr>
        <w:t>maat</w:t>
      </w:r>
      <w:r w:rsidRPr="00620CF5">
        <w:t>, allowing chaos to infiltrate the sanctuary contaminating sacred space. This destruction would result in the absence of the cult god, as they would no longer have a safe place to reside</w:t>
      </w:r>
      <w:r>
        <w:t>.</w:t>
      </w:r>
      <w:r w:rsidRPr="00620CF5">
        <w:rPr>
          <w:rStyle w:val="FootnoteReference"/>
        </w:rPr>
        <w:footnoteReference w:id="44"/>
      </w:r>
      <w:r w:rsidRPr="00620CF5">
        <w:t xml:space="preserve"> </w:t>
      </w:r>
    </w:p>
    <w:p w14:paraId="615678AF" w14:textId="77777777" w:rsidR="00FC6F8A" w:rsidRPr="00620CF5" w:rsidRDefault="00FC6F8A" w:rsidP="00FC6F8A">
      <w:pPr>
        <w:spacing w:line="360" w:lineRule="auto"/>
      </w:pPr>
    </w:p>
    <w:p w14:paraId="4D60C4F7" w14:textId="372C8191" w:rsidR="00FC6F8A" w:rsidRDefault="00FC6F8A" w:rsidP="00FC6F8A">
      <w:pPr>
        <w:spacing w:line="360" w:lineRule="auto"/>
      </w:pPr>
      <w:r w:rsidRPr="00620CF5">
        <w:t>It is evident that temples were built in different styles, according to the ideology of their connecting cities, patrons and their cult gods</w:t>
      </w:r>
      <w:r>
        <w:t>.</w:t>
      </w:r>
      <w:r w:rsidRPr="00620CF5">
        <w:rPr>
          <w:rStyle w:val="FootnoteReference"/>
        </w:rPr>
        <w:footnoteReference w:id="45"/>
      </w:r>
      <w:r>
        <w:t xml:space="preserve"> </w:t>
      </w:r>
      <w:r w:rsidRPr="00620CF5">
        <w:t xml:space="preserve">Nevertheless, there are key aspects that seem to be recreated and integrated into nearly every single cult centre. </w:t>
      </w:r>
      <w:r>
        <w:t>S</w:t>
      </w:r>
      <w:r w:rsidRPr="00620CF5">
        <w:t>anctuaries were</w:t>
      </w:r>
      <w:r>
        <w:t xml:space="preserve"> often</w:t>
      </w:r>
      <w:r w:rsidRPr="00620CF5">
        <w:t xml:space="preserve"> built on top of a small sand hill in order to symbolise the primordial mound of creation. By building their sanctuary on top of</w:t>
      </w:r>
      <w:r w:rsidR="00A41D2E">
        <w:t xml:space="preserve"> a</w:t>
      </w:r>
      <w:r w:rsidRPr="00620CF5">
        <w:t xml:space="preserve"> hill, it would emulate the conditions that </w:t>
      </w:r>
      <w:r w:rsidRPr="00620CF5">
        <w:lastRenderedPageBreak/>
        <w:t>were present during the “first occasion”</w:t>
      </w:r>
      <w:r>
        <w:t>.</w:t>
      </w:r>
      <w:r w:rsidRPr="00620CF5">
        <w:rPr>
          <w:rStyle w:val="FootnoteReference"/>
        </w:rPr>
        <w:footnoteReference w:id="46"/>
      </w:r>
      <w:r w:rsidRPr="00620CF5">
        <w:t xml:space="preserve"> Rising floor levels within the sanctuaries are seen to symbolise the journey towards the mound of creation upon which all life began</w:t>
      </w:r>
      <w:r>
        <w:t>.</w:t>
      </w:r>
      <w:r w:rsidRPr="00620CF5">
        <w:rPr>
          <w:rStyle w:val="FootnoteReference"/>
        </w:rPr>
        <w:footnoteReference w:id="47"/>
      </w:r>
      <w:r>
        <w:t>T</w:t>
      </w:r>
      <w:r w:rsidRPr="00620CF5">
        <w:t>he columns within the temples were decorated with papyrus and lotus plants</w:t>
      </w:r>
      <w:r w:rsidRPr="00620CF5">
        <w:rPr>
          <w:rStyle w:val="FootnoteReference"/>
        </w:rPr>
        <w:footnoteReference w:id="48"/>
      </w:r>
      <w:r w:rsidRPr="00620CF5">
        <w:t>, symbolising the naturalistic, fertile qualities of the mound and the life that emerged from it.</w:t>
      </w:r>
      <w:r>
        <w:t xml:space="preserve"> Additionally, we must consider the famous mortuary tombs of the</w:t>
      </w:r>
      <w:r w:rsidRPr="00620CF5">
        <w:t xml:space="preserve"> Old Kingdom</w:t>
      </w:r>
      <w:r>
        <w:t xml:space="preserve"> when discussing the themes of creation and destruction within Egyptian architecture.</w:t>
      </w:r>
      <w:r w:rsidRPr="00620CF5">
        <w:t xml:space="preserve"> </w:t>
      </w:r>
      <w:r>
        <w:t>Within the architectural layout of the pyramid complexes, we can see a link between the tomb and rebirth. Symbolically, t</w:t>
      </w:r>
      <w:r w:rsidRPr="00620CF5">
        <w:t>he burial chamber buried deep in the heart of the pyramid could be seen to represent the womb, where the king would be reborn</w:t>
      </w:r>
      <w:r>
        <w:t xml:space="preserve">. He would then be </w:t>
      </w:r>
      <w:r w:rsidRPr="00620CF5">
        <w:t>delivered through corridors that symbolise the birth canal of the goddess Nut</w:t>
      </w:r>
      <w:r>
        <w:rPr>
          <w:rStyle w:val="FootnoteReference"/>
        </w:rPr>
        <w:footnoteReference w:id="49"/>
      </w:r>
      <w:r>
        <w:t xml:space="preserve">. </w:t>
      </w:r>
    </w:p>
    <w:p w14:paraId="14710715" w14:textId="77777777" w:rsidR="00FC6F8A" w:rsidRPr="00620CF5" w:rsidRDefault="00FC6F8A" w:rsidP="00FC6F8A">
      <w:pPr>
        <w:spacing w:line="360" w:lineRule="auto"/>
      </w:pPr>
    </w:p>
    <w:p w14:paraId="4F2971D1" w14:textId="77777777" w:rsidR="00FC6F8A" w:rsidRPr="00620CF5" w:rsidRDefault="00FC6F8A" w:rsidP="00FC6F8A">
      <w:pPr>
        <w:spacing w:line="360" w:lineRule="auto"/>
      </w:pPr>
      <w:r w:rsidRPr="00620CF5">
        <w:t>Not only did temples function as physical manifestations of religious ideology, but also as sacred spaces within which ritual action could be undertaken</w:t>
      </w:r>
      <w:r>
        <w:t>.</w:t>
      </w:r>
      <w:r w:rsidRPr="00620CF5">
        <w:rPr>
          <w:rStyle w:val="FootnoteReference"/>
        </w:rPr>
        <w:footnoteReference w:id="50"/>
      </w:r>
      <w:r w:rsidRPr="00620CF5">
        <w:t xml:space="preserve"> Within the temple itself, the power of creation could be channelled, chaos could be contained, and cosmic order recreated anew</w:t>
      </w:r>
      <w:r>
        <w:t>.</w:t>
      </w:r>
      <w:r w:rsidRPr="00620CF5">
        <w:rPr>
          <w:rStyle w:val="FootnoteReference"/>
        </w:rPr>
        <w:footnoteReference w:id="51"/>
      </w:r>
      <w:r w:rsidRPr="00620CF5">
        <w:t xml:space="preserve"> The temple created a space in which creation and destruction could be used for the good of the state and for the good of its people</w:t>
      </w:r>
      <w:r>
        <w:t>.</w:t>
      </w:r>
      <w:r w:rsidRPr="00620CF5">
        <w:rPr>
          <w:rStyle w:val="FootnoteReference"/>
        </w:rPr>
        <w:footnoteReference w:id="52"/>
      </w:r>
      <w:r w:rsidRPr="00620CF5">
        <w:t xml:space="preserve"> </w:t>
      </w:r>
    </w:p>
    <w:p w14:paraId="040039D1" w14:textId="77777777" w:rsidR="00FC6F8A" w:rsidRPr="00620CF5" w:rsidRDefault="00FC6F8A" w:rsidP="00FC6F8A">
      <w:pPr>
        <w:spacing w:line="360" w:lineRule="auto"/>
      </w:pPr>
    </w:p>
    <w:p w14:paraId="59FF9D3C" w14:textId="414BE0AE" w:rsidR="00FC6F8A" w:rsidRPr="005C2027" w:rsidRDefault="005C2027" w:rsidP="00CF4564">
      <w:pPr>
        <w:pStyle w:val="Heading2"/>
        <w:numPr>
          <w:ilvl w:val="1"/>
          <w:numId w:val="15"/>
        </w:numPr>
        <w:spacing w:line="360" w:lineRule="auto"/>
        <w:rPr>
          <w:rFonts w:asciiTheme="minorHAnsi" w:hAnsiTheme="minorHAnsi"/>
          <w:color w:val="000000" w:themeColor="text1"/>
          <w:sz w:val="24"/>
          <w:szCs w:val="24"/>
          <w:u w:val="single"/>
        </w:rPr>
      </w:pPr>
      <w:r>
        <w:rPr>
          <w:rFonts w:asciiTheme="minorHAnsi" w:hAnsiTheme="minorHAnsi"/>
          <w:color w:val="000000" w:themeColor="text1"/>
          <w:sz w:val="24"/>
          <w:szCs w:val="24"/>
          <w:u w:val="single"/>
        </w:rPr>
        <w:t xml:space="preserve"> </w:t>
      </w:r>
      <w:bookmarkStart w:id="6" w:name="_Toc33821831"/>
      <w:r w:rsidR="00FC6F8A" w:rsidRPr="00223589">
        <w:rPr>
          <w:rFonts w:asciiTheme="minorHAnsi" w:hAnsiTheme="minorHAnsi"/>
          <w:i/>
          <w:iCs/>
          <w:color w:val="000000" w:themeColor="text1"/>
          <w:sz w:val="24"/>
          <w:szCs w:val="24"/>
          <w:u w:val="single"/>
        </w:rPr>
        <w:t>Heka</w:t>
      </w:r>
      <w:r w:rsidR="00FC6F8A" w:rsidRPr="005C2027">
        <w:rPr>
          <w:rFonts w:asciiTheme="minorHAnsi" w:hAnsiTheme="minorHAnsi"/>
          <w:color w:val="000000" w:themeColor="text1"/>
          <w:sz w:val="24"/>
          <w:szCs w:val="24"/>
          <w:u w:val="single"/>
        </w:rPr>
        <w:t xml:space="preserve"> – A Creative or Destructive Force?</w:t>
      </w:r>
      <w:bookmarkEnd w:id="6"/>
      <w:r w:rsidR="00FC6F8A" w:rsidRPr="005C2027">
        <w:rPr>
          <w:rFonts w:asciiTheme="minorHAnsi" w:hAnsiTheme="minorHAnsi"/>
          <w:color w:val="000000" w:themeColor="text1"/>
          <w:sz w:val="24"/>
          <w:szCs w:val="24"/>
          <w:u w:val="single"/>
        </w:rPr>
        <w:t xml:space="preserve"> </w:t>
      </w:r>
    </w:p>
    <w:p w14:paraId="3E3FDA44" w14:textId="716696E6" w:rsidR="00FC6F8A" w:rsidRPr="00620CF5" w:rsidRDefault="00FC6F8A" w:rsidP="005C2027">
      <w:pPr>
        <w:spacing w:line="360" w:lineRule="auto"/>
      </w:pPr>
      <w:r w:rsidRPr="00620CF5">
        <w:t xml:space="preserve">When considering ritual practice within Egyptian civilisation, it is crucial to consider the ancient Egyptian concept of </w:t>
      </w:r>
      <w:r w:rsidRPr="00223589">
        <w:rPr>
          <w:i/>
          <w:iCs/>
        </w:rPr>
        <w:t>heka</w:t>
      </w:r>
      <w:r w:rsidRPr="00620CF5">
        <w:t xml:space="preserve">. </w:t>
      </w:r>
      <w:r w:rsidRPr="00223589">
        <w:rPr>
          <w:i/>
          <w:iCs/>
        </w:rPr>
        <w:t>Heka</w:t>
      </w:r>
      <w:r w:rsidRPr="00620CF5">
        <w:t xml:space="preserve"> is the Egyptian term for what is known to the modern audience as magic</w:t>
      </w:r>
      <w:r w:rsidRPr="00620CF5">
        <w:rPr>
          <w:rStyle w:val="FootnoteReference"/>
        </w:rPr>
        <w:footnoteReference w:id="53"/>
      </w:r>
      <w:r w:rsidRPr="00620CF5">
        <w:t xml:space="preserve">, and could be seen both as a concept or personified as a god. Magic was used daily within ritual practice in order to harness the creative power that existed during the “first occasion”. </w:t>
      </w:r>
      <w:r w:rsidRPr="00223589">
        <w:rPr>
          <w:i/>
          <w:iCs/>
        </w:rPr>
        <w:t xml:space="preserve">Heka </w:t>
      </w:r>
      <w:r w:rsidRPr="00620CF5">
        <w:t>was seen as a gift to mankind from the gods</w:t>
      </w:r>
      <w:r w:rsidRPr="00620CF5">
        <w:rPr>
          <w:rStyle w:val="FootnoteReference"/>
        </w:rPr>
        <w:footnoteReference w:id="54"/>
      </w:r>
      <w:r w:rsidRPr="00620CF5">
        <w:t xml:space="preserve">, </w:t>
      </w:r>
      <w:r w:rsidRPr="00620CF5">
        <w:lastRenderedPageBreak/>
        <w:t xml:space="preserve">where ritual practice was used as a tool with which to harness the power of </w:t>
      </w:r>
      <w:r w:rsidR="00223589">
        <w:rPr>
          <w:i/>
          <w:iCs/>
        </w:rPr>
        <w:t>h</w:t>
      </w:r>
      <w:r w:rsidRPr="00223589">
        <w:rPr>
          <w:i/>
          <w:iCs/>
        </w:rPr>
        <w:t>eka</w:t>
      </w:r>
      <w:r w:rsidRPr="00620CF5">
        <w:t xml:space="preserve">, to maintain </w:t>
      </w:r>
      <w:r w:rsidRPr="00620CF5">
        <w:rPr>
          <w:i/>
          <w:iCs/>
        </w:rPr>
        <w:t>maat</w:t>
      </w:r>
      <w:r w:rsidRPr="00620CF5">
        <w:t xml:space="preserve"> and to repel </w:t>
      </w:r>
      <w:r w:rsidRPr="00620CF5">
        <w:rPr>
          <w:i/>
          <w:iCs/>
        </w:rPr>
        <w:t>isfet</w:t>
      </w:r>
      <w:r>
        <w:rPr>
          <w:i/>
          <w:iCs/>
        </w:rPr>
        <w:t>.</w:t>
      </w:r>
      <w:r w:rsidRPr="00620CF5">
        <w:rPr>
          <w:rStyle w:val="FootnoteReference"/>
        </w:rPr>
        <w:footnoteReference w:id="55"/>
      </w:r>
    </w:p>
    <w:p w14:paraId="32A549E1" w14:textId="77777777" w:rsidR="00FC6F8A" w:rsidRPr="00620CF5" w:rsidRDefault="00FC6F8A" w:rsidP="00FC6F8A">
      <w:pPr>
        <w:spacing w:line="360" w:lineRule="auto"/>
      </w:pPr>
    </w:p>
    <w:p w14:paraId="0A101B27" w14:textId="33093717" w:rsidR="00FC6F8A" w:rsidRPr="00620CF5" w:rsidRDefault="00FC6F8A" w:rsidP="00FC6F8A">
      <w:pPr>
        <w:spacing w:line="360" w:lineRule="auto"/>
      </w:pPr>
      <w:r w:rsidRPr="00620CF5">
        <w:t>The boundary between magic and religion is contentious in Egyptian ritual practice</w:t>
      </w:r>
      <w:r w:rsidRPr="00620CF5">
        <w:rPr>
          <w:rStyle w:val="FootnoteReference"/>
        </w:rPr>
        <w:footnoteReference w:id="56"/>
      </w:r>
      <w:r w:rsidRPr="00620CF5">
        <w:t xml:space="preserve">and it is difficult to see where one ends and the other begins. Nevertheless, even though religion and magic may overlap, they are not the same. </w:t>
      </w:r>
      <w:r w:rsidRPr="00223589">
        <w:rPr>
          <w:i/>
          <w:iCs/>
        </w:rPr>
        <w:t>Heka</w:t>
      </w:r>
      <w:r w:rsidRPr="00620CF5">
        <w:t xml:space="preserve"> was not considered as magic within Egypt itself, at least not in the modern sense of the word. Negative attitudes towards magic were not encountered until the Greco-Roman period where limitations were placed on magical practice and decrees were made outlawing the use of such rituals</w:t>
      </w:r>
      <w:r>
        <w:t>.</w:t>
      </w:r>
      <w:r w:rsidRPr="00620CF5">
        <w:rPr>
          <w:rStyle w:val="FootnoteReference"/>
        </w:rPr>
        <w:footnoteReference w:id="57"/>
      </w:r>
      <w:r w:rsidRPr="00620CF5">
        <w:t xml:space="preserve"> A shift in cultural understanding can be seen here, where the creative powers of </w:t>
      </w:r>
      <w:r w:rsidR="00223589" w:rsidRPr="00223589">
        <w:rPr>
          <w:i/>
          <w:iCs/>
        </w:rPr>
        <w:t>h</w:t>
      </w:r>
      <w:r w:rsidRPr="00223589">
        <w:rPr>
          <w:i/>
          <w:iCs/>
        </w:rPr>
        <w:t>eka</w:t>
      </w:r>
      <w:r w:rsidRPr="00620CF5">
        <w:t xml:space="preserve"> are abandoned in favour of destructive forces. Egyptologists of the 19</w:t>
      </w:r>
      <w:r w:rsidRPr="00620CF5">
        <w:rPr>
          <w:vertAlign w:val="superscript"/>
        </w:rPr>
        <w:t>th</w:t>
      </w:r>
      <w:r w:rsidRPr="00620CF5">
        <w:t>-20</w:t>
      </w:r>
      <w:r w:rsidRPr="00620CF5">
        <w:rPr>
          <w:vertAlign w:val="superscript"/>
        </w:rPr>
        <w:t>th</w:t>
      </w:r>
      <w:r w:rsidRPr="00620CF5">
        <w:t xml:space="preserve"> century also held ethnocentric beliefs on magic as a concept within Egyptian religion</w:t>
      </w:r>
      <w:r w:rsidRPr="00620CF5">
        <w:rPr>
          <w:rStyle w:val="FootnoteReference"/>
        </w:rPr>
        <w:footnoteReference w:id="58"/>
      </w:r>
      <w:r w:rsidRPr="00620CF5">
        <w:t>, viewing magic as a superstitious practice of which one should be suspicious</w:t>
      </w:r>
      <w:r>
        <w:t>.</w:t>
      </w:r>
      <w:r w:rsidRPr="00620CF5">
        <w:rPr>
          <w:rStyle w:val="FootnoteReference"/>
        </w:rPr>
        <w:footnoteReference w:id="59"/>
      </w:r>
      <w:r w:rsidRPr="00620CF5">
        <w:t xml:space="preserve"> Thankfully, this view is now being challenged and many scholars now believe that magic played an integral part within Egyptian civilisation, alongside religion</w:t>
      </w:r>
      <w:r>
        <w:t>.</w:t>
      </w:r>
      <w:r w:rsidRPr="00620CF5">
        <w:rPr>
          <w:rStyle w:val="FootnoteReference"/>
        </w:rPr>
        <w:footnoteReference w:id="60"/>
      </w:r>
      <w:r w:rsidRPr="00620CF5">
        <w:t xml:space="preserve"> </w:t>
      </w:r>
    </w:p>
    <w:p w14:paraId="26EE558D" w14:textId="77777777" w:rsidR="00FC6F8A" w:rsidRPr="00620CF5" w:rsidRDefault="00FC6F8A" w:rsidP="00FC6F8A">
      <w:pPr>
        <w:spacing w:line="360" w:lineRule="auto"/>
      </w:pPr>
    </w:p>
    <w:p w14:paraId="2054C669" w14:textId="1278015E" w:rsidR="00FC6F8A" w:rsidRPr="00620CF5" w:rsidRDefault="00FC6F8A" w:rsidP="00FC6F8A">
      <w:pPr>
        <w:spacing w:line="360" w:lineRule="auto"/>
      </w:pPr>
      <w:r w:rsidRPr="00223589">
        <w:rPr>
          <w:i/>
          <w:iCs/>
        </w:rPr>
        <w:t>Heka</w:t>
      </w:r>
      <w:r w:rsidRPr="00620CF5">
        <w:t xml:space="preserve"> was considered as a neutral force, being neither good nor bad in practice</w:t>
      </w:r>
      <w:r>
        <w:t>.</w:t>
      </w:r>
      <w:r w:rsidRPr="00620CF5">
        <w:rPr>
          <w:rStyle w:val="FootnoteReference"/>
        </w:rPr>
        <w:footnoteReference w:id="61"/>
      </w:r>
      <w:r w:rsidRPr="00620CF5">
        <w:t>Dependant on the intentions of the user, magic could be used</w:t>
      </w:r>
      <w:r>
        <w:t xml:space="preserve"> as a tool</w:t>
      </w:r>
      <w:r w:rsidRPr="00620CF5">
        <w:t xml:space="preserve"> to create and cure or to maim and destroy</w:t>
      </w:r>
      <w:r>
        <w:t>.</w:t>
      </w:r>
      <w:r w:rsidRPr="00620CF5">
        <w:rPr>
          <w:rStyle w:val="FootnoteReference"/>
        </w:rPr>
        <w:footnoteReference w:id="62"/>
      </w:r>
      <w:r w:rsidRPr="00620CF5">
        <w:t xml:space="preserve"> Therefore, it could be argued that any study on the inherent nature of magic is automatically biased as magic is manipulated by its user, thus we receive a pre-meditative account. In terms of its creative powers,</w:t>
      </w:r>
      <w:r w:rsidRPr="00223589">
        <w:rPr>
          <w:i/>
          <w:iCs/>
        </w:rPr>
        <w:t xml:space="preserve"> </w:t>
      </w:r>
      <w:r w:rsidR="00223589" w:rsidRPr="00223589">
        <w:rPr>
          <w:i/>
          <w:iCs/>
        </w:rPr>
        <w:t>h</w:t>
      </w:r>
      <w:r w:rsidRPr="00223589">
        <w:rPr>
          <w:i/>
          <w:iCs/>
        </w:rPr>
        <w:t>eka</w:t>
      </w:r>
      <w:r w:rsidRPr="00620CF5">
        <w:t xml:space="preserve"> is seen in Egyptian culture as the primordial </w:t>
      </w:r>
      <w:r w:rsidRPr="00620CF5">
        <w:lastRenderedPageBreak/>
        <w:t xml:space="preserve">force that is present during the “first occasion”, used by the creator god to create the world. Morning rituals within the temples themselves seen to mirror this particular moment in Egyptian history and were performed to aid the continuation of </w:t>
      </w:r>
      <w:r w:rsidR="008F0634" w:rsidRPr="008F0634">
        <w:rPr>
          <w:i/>
          <w:iCs/>
        </w:rPr>
        <w:t>m</w:t>
      </w:r>
      <w:r w:rsidRPr="008F0634">
        <w:rPr>
          <w:i/>
          <w:iCs/>
        </w:rPr>
        <w:t>aat</w:t>
      </w:r>
      <w:r>
        <w:t>.</w:t>
      </w:r>
      <w:r w:rsidRPr="00620CF5">
        <w:rPr>
          <w:rStyle w:val="FootnoteReference"/>
        </w:rPr>
        <w:footnoteReference w:id="63"/>
      </w:r>
      <w:r w:rsidRPr="00620CF5">
        <w:t xml:space="preserve"> Creative magical power can be seen within mythology also when considering the role of the goddess Isis, a powerful magician who uses the power of </w:t>
      </w:r>
      <w:r w:rsidR="00223589" w:rsidRPr="00223589">
        <w:rPr>
          <w:i/>
          <w:iCs/>
        </w:rPr>
        <w:t>h</w:t>
      </w:r>
      <w:r w:rsidRPr="00223589">
        <w:rPr>
          <w:i/>
          <w:iCs/>
        </w:rPr>
        <w:t>eka</w:t>
      </w:r>
      <w:r w:rsidRPr="00620CF5">
        <w:t xml:space="preserve"> to piece her dead husband Osiris back together again after his mutilation at the hands of his brother Seth.</w:t>
      </w:r>
      <w:r w:rsidRPr="00620CF5">
        <w:rPr>
          <w:rStyle w:val="FootnoteReference"/>
        </w:rPr>
        <w:footnoteReference w:id="64"/>
      </w:r>
    </w:p>
    <w:p w14:paraId="6F4C68DB" w14:textId="77777777" w:rsidR="00FC6F8A" w:rsidRPr="00620CF5" w:rsidRDefault="00FC6F8A" w:rsidP="00FC6F8A">
      <w:pPr>
        <w:spacing w:line="360" w:lineRule="auto"/>
      </w:pPr>
    </w:p>
    <w:p w14:paraId="615F9B08" w14:textId="4774A53C" w:rsidR="00FC6F8A" w:rsidRPr="00620CF5" w:rsidRDefault="00FC6F8A" w:rsidP="00FC6F8A">
      <w:pPr>
        <w:spacing w:line="360" w:lineRule="auto"/>
      </w:pPr>
      <w:r w:rsidRPr="00620CF5">
        <w:t>Magic could also be used to destroy. This is evident when Heka, in its personification as God, assists the sun god Re in his journey to destroy the primordial serpent Apophis</w:t>
      </w:r>
      <w:r>
        <w:t>.</w:t>
      </w:r>
      <w:r>
        <w:rPr>
          <w:rStyle w:val="FootnoteReference"/>
        </w:rPr>
        <w:footnoteReference w:id="65"/>
      </w:r>
      <w:r w:rsidRPr="00620CF5">
        <w:t xml:space="preserve"> The rituals of destruction can be found in </w:t>
      </w:r>
      <w:r w:rsidRPr="00620CF5">
        <w:rPr>
          <w:i/>
          <w:iCs/>
        </w:rPr>
        <w:t>The Book of Overcoming Apep</w:t>
      </w:r>
      <w:r>
        <w:rPr>
          <w:i/>
          <w:iCs/>
        </w:rPr>
        <w:t>.</w:t>
      </w:r>
      <w:r>
        <w:rPr>
          <w:rStyle w:val="FootnoteReference"/>
          <w:i/>
          <w:iCs/>
        </w:rPr>
        <w:footnoteReference w:id="66"/>
      </w:r>
      <w:r w:rsidRPr="00620CF5">
        <w:t xml:space="preserve"> We can also see destruction when considering</w:t>
      </w:r>
      <w:r>
        <w:t xml:space="preserve"> execration</w:t>
      </w:r>
      <w:r w:rsidRPr="00620CF5">
        <w:t xml:space="preserve"> rituals that include the destruction of clay models, in order to maim or destroy an enemy</w:t>
      </w:r>
      <w:r>
        <w:t>.</w:t>
      </w:r>
      <w:r>
        <w:rPr>
          <w:rStyle w:val="FootnoteReference"/>
        </w:rPr>
        <w:footnoteReference w:id="67"/>
      </w:r>
      <w:r w:rsidRPr="00620CF5">
        <w:t xml:space="preserve"> These rituals were extremely popular during the New Kingdom where they were used in the political sphere to help with foreign invasions or uprisings</w:t>
      </w:r>
      <w:r>
        <w:t>.</w:t>
      </w:r>
      <w:r w:rsidRPr="00620CF5">
        <w:rPr>
          <w:rStyle w:val="FootnoteReference"/>
        </w:rPr>
        <w:footnoteReference w:id="68"/>
      </w:r>
      <w:r w:rsidRPr="00620CF5">
        <w:t xml:space="preserve"> Here we see </w:t>
      </w:r>
      <w:r w:rsidR="00223589" w:rsidRPr="00223589">
        <w:rPr>
          <w:i/>
          <w:iCs/>
        </w:rPr>
        <w:t>h</w:t>
      </w:r>
      <w:r w:rsidRPr="00223589">
        <w:rPr>
          <w:i/>
          <w:iCs/>
        </w:rPr>
        <w:t>eka</w:t>
      </w:r>
      <w:r w:rsidRPr="00620CF5">
        <w:t xml:space="preserve"> used as a form of protection. </w:t>
      </w:r>
    </w:p>
    <w:p w14:paraId="2BCB7D51" w14:textId="77777777" w:rsidR="00FC6F8A" w:rsidRPr="00620CF5" w:rsidRDefault="00FC6F8A" w:rsidP="00FC6F8A">
      <w:pPr>
        <w:spacing w:line="360" w:lineRule="auto"/>
      </w:pPr>
    </w:p>
    <w:p w14:paraId="3893461F" w14:textId="77777777" w:rsidR="00FC6F8A" w:rsidRPr="00620CF5" w:rsidRDefault="00FC6F8A" w:rsidP="00FC6F8A">
      <w:pPr>
        <w:spacing w:line="360" w:lineRule="auto"/>
      </w:pPr>
      <w:r w:rsidRPr="00223589">
        <w:rPr>
          <w:i/>
          <w:iCs/>
        </w:rPr>
        <w:t>Heka</w:t>
      </w:r>
      <w:r w:rsidRPr="00620CF5">
        <w:t xml:space="preserve"> could also be seen to create a social hierarchy. Certain types of magic could be used by all, however possession of certain books and the use of certain rituals was restricted to priestly professionals and kept highly secret</w:t>
      </w:r>
      <w:r>
        <w:t>.</w:t>
      </w:r>
      <w:r w:rsidRPr="00620CF5">
        <w:rPr>
          <w:rStyle w:val="FootnoteReference"/>
        </w:rPr>
        <w:footnoteReference w:id="69"/>
      </w:r>
      <w:r w:rsidRPr="00620CF5">
        <w:t xml:space="preserve"> This shows a hierarchal power structure in the sense that it provided certain groups with a certain amount of power and prestige. By keeping certain rituals and materials a secret, they held power over those who were uninformed and ill equipped when it came to certain situations.</w:t>
      </w:r>
    </w:p>
    <w:p w14:paraId="04F5E7DC" w14:textId="77777777" w:rsidR="00FC6F8A" w:rsidRPr="00620CF5" w:rsidRDefault="00FC6F8A" w:rsidP="005C2027">
      <w:pPr>
        <w:spacing w:line="360" w:lineRule="auto"/>
        <w:rPr>
          <w:sz w:val="28"/>
          <w:szCs w:val="28"/>
        </w:rPr>
      </w:pPr>
    </w:p>
    <w:p w14:paraId="0C1CF3F2" w14:textId="1AABEAC6" w:rsidR="00FC6F8A" w:rsidRPr="005C2027" w:rsidRDefault="00FC6F8A" w:rsidP="00CF4564">
      <w:pPr>
        <w:pStyle w:val="Heading2"/>
        <w:numPr>
          <w:ilvl w:val="1"/>
          <w:numId w:val="15"/>
        </w:numPr>
        <w:spacing w:line="360" w:lineRule="auto"/>
        <w:rPr>
          <w:rFonts w:asciiTheme="minorHAnsi" w:hAnsiTheme="minorHAnsi"/>
          <w:color w:val="000000" w:themeColor="text1"/>
          <w:sz w:val="24"/>
          <w:szCs w:val="24"/>
          <w:u w:val="single"/>
        </w:rPr>
      </w:pPr>
      <w:bookmarkStart w:id="7" w:name="_Toc33821832"/>
      <w:r w:rsidRPr="005C2027">
        <w:rPr>
          <w:rFonts w:asciiTheme="minorHAnsi" w:hAnsiTheme="minorHAnsi"/>
          <w:color w:val="000000" w:themeColor="text1"/>
          <w:sz w:val="24"/>
          <w:szCs w:val="24"/>
          <w:u w:val="single"/>
        </w:rPr>
        <w:t xml:space="preserve">Creation of </w:t>
      </w:r>
      <w:r w:rsidR="008F0634">
        <w:rPr>
          <w:rFonts w:asciiTheme="minorHAnsi" w:hAnsiTheme="minorHAnsi"/>
          <w:i/>
          <w:iCs/>
          <w:color w:val="000000" w:themeColor="text1"/>
          <w:sz w:val="24"/>
          <w:szCs w:val="24"/>
          <w:u w:val="single"/>
        </w:rPr>
        <w:t>m</w:t>
      </w:r>
      <w:r w:rsidRPr="008F0634">
        <w:rPr>
          <w:rFonts w:asciiTheme="minorHAnsi" w:hAnsiTheme="minorHAnsi"/>
          <w:i/>
          <w:iCs/>
          <w:color w:val="000000" w:themeColor="text1"/>
          <w:sz w:val="24"/>
          <w:szCs w:val="24"/>
          <w:u w:val="single"/>
        </w:rPr>
        <w:t>aat</w:t>
      </w:r>
      <w:r w:rsidRPr="005C2027">
        <w:rPr>
          <w:rFonts w:asciiTheme="minorHAnsi" w:hAnsiTheme="minorHAnsi"/>
          <w:color w:val="000000" w:themeColor="text1"/>
          <w:sz w:val="24"/>
          <w:szCs w:val="24"/>
          <w:u w:val="single"/>
        </w:rPr>
        <w:t xml:space="preserve"> and the Destruction of </w:t>
      </w:r>
      <w:r w:rsidR="008F0634">
        <w:rPr>
          <w:rFonts w:asciiTheme="minorHAnsi" w:hAnsiTheme="minorHAnsi"/>
          <w:i/>
          <w:iCs/>
          <w:color w:val="000000" w:themeColor="text1"/>
          <w:sz w:val="24"/>
          <w:szCs w:val="24"/>
          <w:u w:val="single"/>
        </w:rPr>
        <w:t>i</w:t>
      </w:r>
      <w:r w:rsidRPr="008F0634">
        <w:rPr>
          <w:rFonts w:asciiTheme="minorHAnsi" w:hAnsiTheme="minorHAnsi"/>
          <w:i/>
          <w:iCs/>
          <w:color w:val="000000" w:themeColor="text1"/>
          <w:sz w:val="24"/>
          <w:szCs w:val="24"/>
          <w:u w:val="single"/>
        </w:rPr>
        <w:t>sfet</w:t>
      </w:r>
      <w:bookmarkEnd w:id="7"/>
      <w:r w:rsidRPr="005C2027">
        <w:rPr>
          <w:rFonts w:asciiTheme="minorHAnsi" w:hAnsiTheme="minorHAnsi"/>
          <w:color w:val="000000" w:themeColor="text1"/>
          <w:sz w:val="24"/>
          <w:szCs w:val="24"/>
          <w:u w:val="single"/>
        </w:rPr>
        <w:t xml:space="preserve"> </w:t>
      </w:r>
    </w:p>
    <w:p w14:paraId="4DC73EEA" w14:textId="553E7854" w:rsidR="00FC6F8A" w:rsidRPr="00620CF5" w:rsidRDefault="00FC6F8A" w:rsidP="005C2027">
      <w:pPr>
        <w:spacing w:line="360" w:lineRule="auto"/>
      </w:pPr>
      <w:r w:rsidRPr="00620CF5">
        <w:t xml:space="preserve">Having looked at the material discussed so far, there seems to exist one major principle, central to the ideology of Ancient Egyptian civilisation, permeating all areas of Egyptian life. </w:t>
      </w:r>
      <w:r w:rsidRPr="00620CF5">
        <w:lastRenderedPageBreak/>
        <w:t xml:space="preserve">This principle is known as </w:t>
      </w:r>
      <w:r w:rsidRPr="00620CF5">
        <w:rPr>
          <w:i/>
          <w:iCs/>
        </w:rPr>
        <w:t>maat</w:t>
      </w:r>
      <w:r w:rsidRPr="00620CF5">
        <w:t>, otherwise known as order, justice, truth and life</w:t>
      </w:r>
      <w:r w:rsidRPr="00620CF5">
        <w:rPr>
          <w:rStyle w:val="FootnoteReference"/>
        </w:rPr>
        <w:footnoteReference w:id="70"/>
      </w:r>
      <w:r w:rsidRPr="00620CF5">
        <w:t>.  All structural elements of Egyptian culture, such as religion, mythology, architecture and nature, embraced this highly inclusive concept</w:t>
      </w:r>
      <w:r>
        <w:t>.</w:t>
      </w:r>
      <w:r w:rsidRPr="00620CF5">
        <w:rPr>
          <w:rStyle w:val="FootnoteReference"/>
        </w:rPr>
        <w:footnoteReference w:id="71"/>
      </w:r>
      <w:r w:rsidRPr="00620CF5">
        <w:t xml:space="preserve"> </w:t>
      </w:r>
      <w:r w:rsidRPr="00620CF5">
        <w:rPr>
          <w:i/>
          <w:iCs/>
        </w:rPr>
        <w:t>Maat</w:t>
      </w:r>
      <w:r w:rsidRPr="00620CF5">
        <w:t xml:space="preserve"> is seen as the moral foundation upon which Egyptian life is built and was central to the state</w:t>
      </w:r>
      <w:r>
        <w:t>.</w:t>
      </w:r>
      <w:r w:rsidRPr="00620CF5">
        <w:t xml:space="preserve"> </w:t>
      </w:r>
      <w:r w:rsidRPr="00620CF5">
        <w:rPr>
          <w:i/>
          <w:iCs/>
        </w:rPr>
        <w:t>Maat</w:t>
      </w:r>
      <w:r w:rsidRPr="00620CF5">
        <w:t xml:space="preserve"> was seen as the essence of existence and the binding agent for order within creation</w:t>
      </w:r>
      <w:r>
        <w:t>.</w:t>
      </w:r>
      <w:r w:rsidRPr="00620CF5">
        <w:rPr>
          <w:rStyle w:val="FootnoteReference"/>
        </w:rPr>
        <w:footnoteReference w:id="72"/>
      </w:r>
      <w:r w:rsidRPr="00620CF5">
        <w:t xml:space="preserve"> </w:t>
      </w:r>
      <w:r w:rsidRPr="00620CF5">
        <w:rPr>
          <w:i/>
          <w:iCs/>
        </w:rPr>
        <w:t>Maat</w:t>
      </w:r>
      <w:r w:rsidRPr="00620CF5">
        <w:t xml:space="preserve"> is also seen as the destroyer of </w:t>
      </w:r>
      <w:r w:rsidR="008F0634" w:rsidRPr="008F0634">
        <w:rPr>
          <w:i/>
          <w:iCs/>
        </w:rPr>
        <w:t>i</w:t>
      </w:r>
      <w:r w:rsidRPr="008F0634">
        <w:rPr>
          <w:i/>
          <w:iCs/>
        </w:rPr>
        <w:t xml:space="preserve">sfet </w:t>
      </w:r>
      <w:r w:rsidRPr="00620CF5">
        <w:t xml:space="preserve">(chaos, disorder, violence etc.) and is responsible for the continuity of the world as it was known </w:t>
      </w:r>
    </w:p>
    <w:p w14:paraId="6FC57318" w14:textId="77777777" w:rsidR="00FC6F8A" w:rsidRPr="00620CF5" w:rsidRDefault="00FC6F8A" w:rsidP="00FC6F8A">
      <w:pPr>
        <w:spacing w:line="360" w:lineRule="auto"/>
      </w:pPr>
    </w:p>
    <w:p w14:paraId="04DD42A1" w14:textId="77777777" w:rsidR="00FC6F8A" w:rsidRPr="00620CF5" w:rsidRDefault="00FC6F8A" w:rsidP="00FC6F8A">
      <w:pPr>
        <w:spacing w:line="360" w:lineRule="auto"/>
      </w:pPr>
      <w:r w:rsidRPr="00620CF5">
        <w:t xml:space="preserve">The definitions of </w:t>
      </w:r>
      <w:r>
        <w:rPr>
          <w:i/>
          <w:iCs/>
        </w:rPr>
        <w:t>m</w:t>
      </w:r>
      <w:r w:rsidRPr="00620CF5">
        <w:rPr>
          <w:i/>
          <w:iCs/>
        </w:rPr>
        <w:t>aat</w:t>
      </w:r>
      <w:r w:rsidRPr="00620CF5">
        <w:t xml:space="preserve"> are </w:t>
      </w:r>
      <w:r>
        <w:t xml:space="preserve">complex </w:t>
      </w:r>
      <w:r w:rsidRPr="00620CF5">
        <w:t>and must be considered</w:t>
      </w:r>
      <w:r>
        <w:t>.</w:t>
      </w:r>
      <w:r w:rsidRPr="00620CF5">
        <w:rPr>
          <w:rStyle w:val="FootnoteReference"/>
        </w:rPr>
        <w:footnoteReference w:id="73"/>
      </w:r>
      <w:r w:rsidRPr="00620CF5">
        <w:t xml:space="preserve">  First of all, it is difficult to know what the Egyptians believed </w:t>
      </w:r>
      <w:r>
        <w:rPr>
          <w:i/>
          <w:iCs/>
        </w:rPr>
        <w:t>m</w:t>
      </w:r>
      <w:r w:rsidRPr="00620CF5">
        <w:rPr>
          <w:i/>
          <w:iCs/>
        </w:rPr>
        <w:t>aat</w:t>
      </w:r>
      <w:r w:rsidRPr="00620CF5">
        <w:t xml:space="preserve"> entailed as no full contemporary written account on such a subject has ever been found. Modern interpretations have been pieced together by the literary accounts that have survived.  Therefore, it is arguable that its definition could be the victim of authorial bias</w:t>
      </w:r>
      <w:r>
        <w:t>.</w:t>
      </w:r>
      <w:r w:rsidRPr="00620CF5">
        <w:rPr>
          <w:rStyle w:val="FootnoteReference"/>
        </w:rPr>
        <w:footnoteReference w:id="74"/>
      </w:r>
      <w:r w:rsidRPr="00620CF5">
        <w:t xml:space="preserve"> Additionally, it is evident </w:t>
      </w:r>
      <w:r w:rsidRPr="00620CF5">
        <w:rPr>
          <w:i/>
          <w:iCs/>
        </w:rPr>
        <w:t>maat</w:t>
      </w:r>
      <w:r w:rsidRPr="00620CF5">
        <w:t xml:space="preserve"> has multiple meanings and can be viewed differently according to what school of thought is defining it</w:t>
      </w:r>
      <w:r>
        <w:t>.</w:t>
      </w:r>
      <w:r w:rsidRPr="00620CF5">
        <w:rPr>
          <w:rStyle w:val="FootnoteReference"/>
        </w:rPr>
        <w:footnoteReference w:id="75"/>
      </w:r>
      <w:r>
        <w:t xml:space="preserve"> </w:t>
      </w:r>
      <w:r w:rsidRPr="00620CF5">
        <w:t>According to Obenga</w:t>
      </w:r>
      <w:r w:rsidRPr="00620CF5">
        <w:rPr>
          <w:rStyle w:val="FootnoteReference"/>
        </w:rPr>
        <w:footnoteReference w:id="76"/>
      </w:r>
      <w:r w:rsidRPr="00620CF5">
        <w:t xml:space="preserve">, </w:t>
      </w:r>
      <w:r w:rsidRPr="00620CF5">
        <w:rPr>
          <w:i/>
          <w:iCs/>
        </w:rPr>
        <w:t>maat</w:t>
      </w:r>
      <w:r w:rsidRPr="00620CF5">
        <w:t xml:space="preserve"> presents itself in many different spheres such as the universal, political, social and personal.</w:t>
      </w:r>
      <w:r>
        <w:t xml:space="preserve"> Therefore</w:t>
      </w:r>
      <w:r w:rsidRPr="00620CF5">
        <w:t xml:space="preserve">, </w:t>
      </w:r>
      <w:r w:rsidRPr="00620CF5">
        <w:rPr>
          <w:i/>
          <w:iCs/>
        </w:rPr>
        <w:t>maat</w:t>
      </w:r>
      <w:r w:rsidRPr="00620CF5">
        <w:t>’s definition</w:t>
      </w:r>
      <w:r>
        <w:t xml:space="preserve"> can be seen to be</w:t>
      </w:r>
      <w:r w:rsidRPr="00620CF5">
        <w:t xml:space="preserve"> fluid. Nevertheless, its meaning of order, stability and rightness is constantly and repeatedly affirmed, as a force both born and constitutive of creation itself.</w:t>
      </w:r>
    </w:p>
    <w:p w14:paraId="3751C4F9" w14:textId="77777777" w:rsidR="00FC6F8A" w:rsidRPr="00620CF5" w:rsidRDefault="00FC6F8A" w:rsidP="00FC6F8A">
      <w:pPr>
        <w:spacing w:line="360" w:lineRule="auto"/>
      </w:pPr>
    </w:p>
    <w:p w14:paraId="56FE5DEC" w14:textId="367C1A94" w:rsidR="00FC6F8A" w:rsidRPr="00620CF5" w:rsidRDefault="00FC6F8A" w:rsidP="00FC6F8A">
      <w:pPr>
        <w:spacing w:line="360" w:lineRule="auto"/>
      </w:pPr>
      <w:r w:rsidRPr="00620CF5">
        <w:t>The all-encompassing nature of the definition of</w:t>
      </w:r>
      <w:r w:rsidRPr="00620CF5">
        <w:rPr>
          <w:i/>
          <w:iCs/>
        </w:rPr>
        <w:t xml:space="preserve"> </w:t>
      </w:r>
      <w:r>
        <w:rPr>
          <w:i/>
          <w:iCs/>
        </w:rPr>
        <w:t>m</w:t>
      </w:r>
      <w:r w:rsidRPr="00620CF5">
        <w:rPr>
          <w:i/>
          <w:iCs/>
        </w:rPr>
        <w:t>aat</w:t>
      </w:r>
      <w:r w:rsidRPr="00620CF5">
        <w:t xml:space="preserve"> shows how important the concept of </w:t>
      </w:r>
      <w:r>
        <w:rPr>
          <w:i/>
          <w:iCs/>
        </w:rPr>
        <w:t>m</w:t>
      </w:r>
      <w:r w:rsidRPr="00620CF5">
        <w:rPr>
          <w:i/>
          <w:iCs/>
        </w:rPr>
        <w:t xml:space="preserve">aat </w:t>
      </w:r>
      <w:r w:rsidRPr="00620CF5">
        <w:t xml:space="preserve">was to Egyptian culture. </w:t>
      </w:r>
      <w:r w:rsidRPr="00620CF5">
        <w:rPr>
          <w:i/>
          <w:iCs/>
        </w:rPr>
        <w:t>Maat</w:t>
      </w:r>
      <w:r w:rsidRPr="00620CF5">
        <w:t xml:space="preserve"> can also be defined somewhat in its absence</w:t>
      </w:r>
      <w:r>
        <w:t xml:space="preserve"> by looking at its characteristics in a reverse setting.</w:t>
      </w:r>
      <w:r w:rsidRPr="00620CF5">
        <w:rPr>
          <w:rStyle w:val="FootnoteReference"/>
        </w:rPr>
        <w:footnoteReference w:id="77"/>
      </w:r>
      <w:r>
        <w:t xml:space="preserve"> </w:t>
      </w:r>
      <w:r w:rsidRPr="00620CF5">
        <w:t xml:space="preserve">Without </w:t>
      </w:r>
      <w:r>
        <w:rPr>
          <w:i/>
          <w:iCs/>
        </w:rPr>
        <w:t>m</w:t>
      </w:r>
      <w:r w:rsidRPr="00620CF5">
        <w:rPr>
          <w:i/>
          <w:iCs/>
        </w:rPr>
        <w:t>aat</w:t>
      </w:r>
      <w:r w:rsidRPr="00620CF5">
        <w:t xml:space="preserve">, Egyptians believed that the world </w:t>
      </w:r>
      <w:r w:rsidRPr="00620CF5">
        <w:lastRenderedPageBreak/>
        <w:t xml:space="preserve">would descend into chaos and darkness, where destruction would reign supreme. This chaos was known to the Egyptian as </w:t>
      </w:r>
      <w:r w:rsidR="008F0634" w:rsidRPr="008F0634">
        <w:rPr>
          <w:i/>
          <w:iCs/>
        </w:rPr>
        <w:t>i</w:t>
      </w:r>
      <w:r w:rsidRPr="008F0634">
        <w:rPr>
          <w:i/>
          <w:iCs/>
        </w:rPr>
        <w:t>sfet</w:t>
      </w:r>
      <w:r w:rsidRPr="00620CF5">
        <w:t xml:space="preserve"> and was seen as the dual aspect of </w:t>
      </w:r>
      <w:r>
        <w:rPr>
          <w:i/>
          <w:iCs/>
        </w:rPr>
        <w:t>m</w:t>
      </w:r>
      <w:r w:rsidRPr="008F252F">
        <w:rPr>
          <w:i/>
          <w:iCs/>
        </w:rPr>
        <w:t>aat</w:t>
      </w:r>
      <w:r w:rsidRPr="00620CF5">
        <w:t>. Within Egyptian mythology</w:t>
      </w:r>
      <w:r w:rsidRPr="008F252F">
        <w:rPr>
          <w:i/>
          <w:iCs/>
        </w:rPr>
        <w:t xml:space="preserve"> </w:t>
      </w:r>
      <w:r w:rsidRPr="008F0634">
        <w:t>Maat</w:t>
      </w:r>
      <w:r w:rsidRPr="00620CF5">
        <w:t xml:space="preserve">, in her personification as goddess, is seen to destroy the darkness who is the enemy of Ra and is therefore seen as the light that creates life. Destruction was in itself destroyed by the creative powers of Maat and order was restored. Here duality helps us to understand the basic concept. Nevertheless, Destruction in itself does not necessarily equate to chaos as mentioned before. It could also be a means of which to bring about order. Therefore, we cannot assimilate destruction with </w:t>
      </w:r>
      <w:r w:rsidRPr="008F0634">
        <w:rPr>
          <w:i/>
          <w:iCs/>
        </w:rPr>
        <w:t xml:space="preserve">isfet </w:t>
      </w:r>
      <w:r w:rsidRPr="00620CF5">
        <w:t>as destruction does not always bring about chaos.</w:t>
      </w:r>
      <w:r w:rsidRPr="00620CF5">
        <w:rPr>
          <w:rStyle w:val="FootnoteReference"/>
        </w:rPr>
        <w:footnoteReference w:id="78"/>
      </w:r>
    </w:p>
    <w:p w14:paraId="7765FBED" w14:textId="77777777" w:rsidR="00FC6F8A" w:rsidRPr="00620CF5" w:rsidRDefault="00FC6F8A" w:rsidP="005C2027">
      <w:pPr>
        <w:spacing w:line="360" w:lineRule="auto"/>
      </w:pPr>
    </w:p>
    <w:p w14:paraId="7AF6E211" w14:textId="663FEB0E" w:rsidR="00FC6F8A" w:rsidRPr="005C2027" w:rsidRDefault="00FC6F8A" w:rsidP="00CF4564">
      <w:pPr>
        <w:pStyle w:val="Heading2"/>
        <w:numPr>
          <w:ilvl w:val="1"/>
          <w:numId w:val="17"/>
        </w:numPr>
        <w:spacing w:line="360" w:lineRule="auto"/>
        <w:rPr>
          <w:rFonts w:asciiTheme="minorHAnsi" w:hAnsiTheme="minorHAnsi"/>
          <w:u w:val="single"/>
        </w:rPr>
      </w:pPr>
      <w:bookmarkStart w:id="8" w:name="_Toc33821833"/>
      <w:r w:rsidRPr="005C2027">
        <w:rPr>
          <w:rFonts w:asciiTheme="minorHAnsi" w:hAnsiTheme="minorHAnsi"/>
          <w:color w:val="000000" w:themeColor="text1"/>
          <w:sz w:val="24"/>
          <w:szCs w:val="24"/>
          <w:u w:val="single"/>
        </w:rPr>
        <w:t>Creation and Destruction within the Kingships of Egypt</w:t>
      </w:r>
      <w:bookmarkEnd w:id="8"/>
    </w:p>
    <w:p w14:paraId="6C4BA9E6" w14:textId="77777777" w:rsidR="00FC6F8A" w:rsidRPr="00620CF5" w:rsidRDefault="00FC6F8A" w:rsidP="005C2027">
      <w:pPr>
        <w:spacing w:line="360" w:lineRule="auto"/>
      </w:pPr>
      <w:r w:rsidRPr="00620CF5">
        <w:t xml:space="preserve">Where </w:t>
      </w:r>
      <w:r w:rsidRPr="00620CF5">
        <w:rPr>
          <w:i/>
          <w:iCs/>
        </w:rPr>
        <w:t xml:space="preserve">maat </w:t>
      </w:r>
      <w:r w:rsidRPr="00620CF5">
        <w:t>appears to be the backbone of Egyptian civilisation, it is evident that kingship became the central institution of society</w:t>
      </w:r>
      <w:r w:rsidRPr="00620CF5">
        <w:rPr>
          <w:rStyle w:val="FootnoteReference"/>
        </w:rPr>
        <w:footnoteReference w:id="79"/>
      </w:r>
      <w:r w:rsidRPr="00620CF5">
        <w:t xml:space="preserve">, where the King </w:t>
      </w:r>
      <w:r>
        <w:t>was</w:t>
      </w:r>
      <w:r w:rsidRPr="00620CF5">
        <w:t xml:space="preserve"> both unifier and mediator between the divine and human realms.</w:t>
      </w:r>
      <w:r w:rsidRPr="00620CF5">
        <w:rPr>
          <w:rStyle w:val="FootnoteReference"/>
        </w:rPr>
        <w:footnoteReference w:id="80"/>
      </w:r>
      <w:r w:rsidRPr="00620CF5">
        <w:t xml:space="preserve"> Egyptian kingship is multidimensional and is an extremely complex subject to consider, so much so that it can be approached by many viewpoints</w:t>
      </w:r>
      <w:r>
        <w:t>.</w:t>
      </w:r>
      <w:r w:rsidRPr="00620CF5">
        <w:rPr>
          <w:rStyle w:val="FootnoteReference"/>
        </w:rPr>
        <w:footnoteReference w:id="81"/>
      </w:r>
      <w:r w:rsidRPr="00620CF5">
        <w:t xml:space="preserve"> Nevertheless, many agree that the main role of the Egyptian King was to create and enforce </w:t>
      </w:r>
      <w:r w:rsidRPr="00620CF5">
        <w:rPr>
          <w:i/>
          <w:iCs/>
        </w:rPr>
        <w:t xml:space="preserve">maat </w:t>
      </w:r>
      <w:r w:rsidRPr="00620CF5">
        <w:t xml:space="preserve">by destroying </w:t>
      </w:r>
      <w:r w:rsidRPr="008F252F">
        <w:rPr>
          <w:i/>
          <w:iCs/>
        </w:rPr>
        <w:t>isfet</w:t>
      </w:r>
      <w:r>
        <w:t>.</w:t>
      </w:r>
      <w:r w:rsidRPr="00620CF5">
        <w:rPr>
          <w:rStyle w:val="FootnoteReference"/>
        </w:rPr>
        <w:footnoteReference w:id="82"/>
      </w:r>
      <w:r w:rsidRPr="00620CF5">
        <w:t xml:space="preserve"> The king was seen to channel the cosmic power of </w:t>
      </w:r>
      <w:r>
        <w:rPr>
          <w:i/>
          <w:iCs/>
        </w:rPr>
        <w:t>m</w:t>
      </w:r>
      <w:r w:rsidRPr="008F252F">
        <w:rPr>
          <w:i/>
          <w:iCs/>
        </w:rPr>
        <w:t>aat</w:t>
      </w:r>
      <w:r w:rsidRPr="00620CF5">
        <w:t xml:space="preserve"> and was seen as the conduit through which the human world could be sustained by </w:t>
      </w:r>
      <w:r>
        <w:rPr>
          <w:i/>
          <w:iCs/>
        </w:rPr>
        <w:t>m</w:t>
      </w:r>
      <w:r w:rsidRPr="008F252F">
        <w:rPr>
          <w:i/>
          <w:iCs/>
        </w:rPr>
        <w:t>aat</w:t>
      </w:r>
      <w:r>
        <w:t>.</w:t>
      </w:r>
      <w:r w:rsidRPr="00620CF5">
        <w:rPr>
          <w:rStyle w:val="FootnoteReference"/>
        </w:rPr>
        <w:footnoteReference w:id="83"/>
      </w:r>
      <w:r>
        <w:t xml:space="preserve">Furthermore, the king </w:t>
      </w:r>
      <w:r w:rsidRPr="00620CF5">
        <w:t>fulfilled the role of creator on Earth as the mirror image of the creator god himself.</w:t>
      </w:r>
      <w:r w:rsidRPr="00620CF5">
        <w:rPr>
          <w:rStyle w:val="FootnoteReference"/>
        </w:rPr>
        <w:footnoteReference w:id="84"/>
      </w:r>
      <w:r w:rsidRPr="00620CF5">
        <w:t xml:space="preserve"> </w:t>
      </w:r>
      <w:r>
        <w:t xml:space="preserve">As the </w:t>
      </w:r>
      <w:r w:rsidRPr="00620CF5">
        <w:t>protector of the Egyptian state</w:t>
      </w:r>
      <w:r>
        <w:t>, the King</w:t>
      </w:r>
      <w:r w:rsidRPr="00620CF5">
        <w:t xml:space="preserve"> is </w:t>
      </w:r>
      <w:r>
        <w:t>often</w:t>
      </w:r>
      <w:r w:rsidRPr="00620CF5">
        <w:t xml:space="preserve"> </w:t>
      </w:r>
      <w:r>
        <w:t xml:space="preserve">depicted </w:t>
      </w:r>
      <w:r w:rsidRPr="00620CF5">
        <w:t>in</w:t>
      </w:r>
      <w:r>
        <w:t xml:space="preserve"> royal</w:t>
      </w:r>
      <w:r w:rsidRPr="00620CF5">
        <w:t xml:space="preserve"> iconography</w:t>
      </w:r>
      <w:r>
        <w:t xml:space="preserve"> as </w:t>
      </w:r>
      <w:r w:rsidRPr="00620CF5">
        <w:t>smiting his enemies</w:t>
      </w:r>
      <w:r>
        <w:t>.</w:t>
      </w:r>
      <w:r w:rsidRPr="00620CF5">
        <w:rPr>
          <w:rStyle w:val="FootnoteReference"/>
        </w:rPr>
        <w:footnoteReference w:id="85"/>
      </w:r>
      <w:r w:rsidRPr="00620CF5">
        <w:t xml:space="preserve"> The smiting scenes are famous amongst Egyptologists and can be seen as methods of propaganda and also ideological proclamations. In their role as destroyer, the King is proving that he can withstand chaos and maintain order within Egypt.</w:t>
      </w:r>
      <w:r>
        <w:t xml:space="preserve"> By attacking the enemy,</w:t>
      </w:r>
      <w:r w:rsidRPr="00620CF5">
        <w:t xml:space="preserve"> the king is seen as the guarding force of Egypt. Here we see destruction being used, again, to uphold the concept of </w:t>
      </w:r>
      <w:r w:rsidRPr="008F0634">
        <w:rPr>
          <w:i/>
          <w:iCs/>
        </w:rPr>
        <w:t>maat</w:t>
      </w:r>
      <w:r w:rsidRPr="00620CF5">
        <w:t xml:space="preserve">. </w:t>
      </w:r>
    </w:p>
    <w:p w14:paraId="2DC1C2FC" w14:textId="77777777" w:rsidR="00FC6F8A" w:rsidRPr="00620CF5" w:rsidRDefault="00FC6F8A" w:rsidP="00FC6F8A">
      <w:pPr>
        <w:spacing w:line="360" w:lineRule="auto"/>
      </w:pPr>
    </w:p>
    <w:p w14:paraId="7D61FCB5" w14:textId="77777777" w:rsidR="00FC6F8A" w:rsidRPr="00620CF5" w:rsidRDefault="00FC6F8A" w:rsidP="00FC6F8A">
      <w:pPr>
        <w:spacing w:line="360" w:lineRule="auto"/>
      </w:pPr>
      <w:r w:rsidRPr="00620CF5">
        <w:lastRenderedPageBreak/>
        <w:t>The cyclical nature of Egyptian kingship itself can be seen to imitate the life-death-rebirth process of the sun god himself. In Egyptian cosmogony, the King is seen to be the direct successor of the sun god himself, embodying Horus the first human King</w:t>
      </w:r>
      <w:r>
        <w:t>.</w:t>
      </w:r>
      <w:r w:rsidRPr="00620CF5">
        <w:rPr>
          <w:rStyle w:val="FootnoteReference"/>
        </w:rPr>
        <w:footnoteReference w:id="86"/>
      </w:r>
      <w:r w:rsidRPr="00620CF5">
        <w:t xml:space="preserve"> With each reign a pattern emerges; the ending of a dynasty and the beginning of a new one symbolises the destruction of the old and the creation of the new. This </w:t>
      </w:r>
      <w:r>
        <w:t xml:space="preserve">is also evident </w:t>
      </w:r>
      <w:r w:rsidRPr="00620CF5">
        <w:t>in the intermediate periods that existed between the Old, Middle and New Kingdoms. These episodes throughout Egyptian history were seen as periods of political unrest and social upheaval</w:t>
      </w:r>
      <w:r>
        <w:t>.</w:t>
      </w:r>
      <w:r w:rsidRPr="00620CF5">
        <w:rPr>
          <w:rStyle w:val="FootnoteReference"/>
        </w:rPr>
        <w:footnoteReference w:id="87"/>
      </w:r>
      <w:r w:rsidRPr="00620CF5">
        <w:t xml:space="preserve"> Multiple kingdoms could emerge, in direct opposition to traditional Egyptian ideology, causing the destruction and breakdown of the centralised government</w:t>
      </w:r>
      <w:r>
        <w:t>.</w:t>
      </w:r>
      <w:r w:rsidRPr="00620CF5">
        <w:rPr>
          <w:rStyle w:val="FootnoteReference"/>
        </w:rPr>
        <w:footnoteReference w:id="88"/>
      </w:r>
      <w:r w:rsidRPr="00620CF5">
        <w:t xml:space="preserve"> This in itself symbolised the destruction of order within the socio-political sphere. Nevertheless, the subsequent recovery after each intermediary period could be seen as a rebirth or recreation of the divine office of Pharaoh, evocative of the cyclical regeneration of the cosmos</w:t>
      </w:r>
      <w:r>
        <w:t>.</w:t>
      </w:r>
      <w:r w:rsidRPr="00620CF5">
        <w:rPr>
          <w:rStyle w:val="FootnoteReference"/>
        </w:rPr>
        <w:footnoteReference w:id="89"/>
      </w:r>
      <w:r w:rsidRPr="00620CF5">
        <w:t xml:space="preserve"> The most famous example of this can be seen in the New Kingdom, after the invasion of the foreign Hyksos</w:t>
      </w:r>
      <w:r>
        <w:t>.</w:t>
      </w:r>
      <w:r w:rsidRPr="00620CF5">
        <w:rPr>
          <w:rStyle w:val="FootnoteReference"/>
        </w:rPr>
        <w:footnoteReference w:id="90"/>
      </w:r>
      <w:r w:rsidRPr="00620CF5">
        <w:t xml:space="preserve"> Within the New Kingdom, some of the most dynamic kingships emerge, famous for their </w:t>
      </w:r>
      <w:r>
        <w:t xml:space="preserve">abilities to recreate and innovate. </w:t>
      </w:r>
      <w:r w:rsidRPr="00620CF5">
        <w:t>For this reason, it is the New Kingdom on which the next two chapters of this discussion will focus.</w:t>
      </w:r>
    </w:p>
    <w:p w14:paraId="00B986FA" w14:textId="687BE6FB" w:rsidR="00060E63" w:rsidRDefault="00060E63" w:rsidP="00FC6F8A">
      <w:pPr>
        <w:spacing w:line="360" w:lineRule="auto"/>
      </w:pPr>
    </w:p>
    <w:p w14:paraId="745913EF" w14:textId="185E9A95" w:rsidR="00060E63" w:rsidRDefault="00060E63" w:rsidP="00FC6F8A">
      <w:pPr>
        <w:spacing w:line="360" w:lineRule="auto"/>
      </w:pPr>
    </w:p>
    <w:p w14:paraId="2E2CB855" w14:textId="72C5F179" w:rsidR="00FC6F8A" w:rsidRDefault="00FC6F8A" w:rsidP="00FC6F8A">
      <w:pPr>
        <w:spacing w:line="360" w:lineRule="auto"/>
        <w:rPr>
          <w:sz w:val="28"/>
          <w:szCs w:val="22"/>
          <w:u w:val="single"/>
        </w:rPr>
      </w:pPr>
    </w:p>
    <w:p w14:paraId="2ECDB24F" w14:textId="77777777" w:rsidR="00FC6F8A" w:rsidRDefault="00FC6F8A" w:rsidP="00FC6F8A">
      <w:pPr>
        <w:spacing w:line="360" w:lineRule="auto"/>
        <w:rPr>
          <w:sz w:val="28"/>
          <w:szCs w:val="22"/>
          <w:u w:val="single"/>
        </w:rPr>
      </w:pPr>
    </w:p>
    <w:p w14:paraId="550A5225" w14:textId="77777777" w:rsidR="005C2027" w:rsidRDefault="005C2027" w:rsidP="005C2027">
      <w:pPr>
        <w:spacing w:line="360" w:lineRule="auto"/>
        <w:jc w:val="center"/>
        <w:rPr>
          <w:b/>
          <w:bCs/>
          <w:sz w:val="28"/>
          <w:szCs w:val="22"/>
          <w:u w:val="single"/>
        </w:rPr>
      </w:pPr>
    </w:p>
    <w:p w14:paraId="3CEFF443" w14:textId="77777777" w:rsidR="005C2027" w:rsidRDefault="005C2027" w:rsidP="005C2027">
      <w:pPr>
        <w:spacing w:line="360" w:lineRule="auto"/>
        <w:jc w:val="center"/>
        <w:rPr>
          <w:b/>
          <w:bCs/>
          <w:sz w:val="28"/>
          <w:szCs w:val="22"/>
          <w:u w:val="single"/>
        </w:rPr>
      </w:pPr>
    </w:p>
    <w:p w14:paraId="60E73F7D" w14:textId="77777777" w:rsidR="005C2027" w:rsidRDefault="005C2027" w:rsidP="005C2027">
      <w:pPr>
        <w:spacing w:line="360" w:lineRule="auto"/>
        <w:jc w:val="center"/>
        <w:rPr>
          <w:b/>
          <w:bCs/>
          <w:sz w:val="28"/>
          <w:szCs w:val="22"/>
          <w:u w:val="single"/>
        </w:rPr>
      </w:pPr>
    </w:p>
    <w:p w14:paraId="788FA096" w14:textId="77777777" w:rsidR="005C2027" w:rsidRDefault="005C2027" w:rsidP="005C2027">
      <w:pPr>
        <w:spacing w:line="360" w:lineRule="auto"/>
        <w:jc w:val="center"/>
        <w:rPr>
          <w:b/>
          <w:bCs/>
          <w:sz w:val="28"/>
          <w:szCs w:val="22"/>
          <w:u w:val="single"/>
        </w:rPr>
      </w:pPr>
    </w:p>
    <w:p w14:paraId="6067EE30" w14:textId="154DD608" w:rsidR="00FC6F8A" w:rsidRPr="00CF4564" w:rsidRDefault="00060E63" w:rsidP="00CF4564">
      <w:pPr>
        <w:pStyle w:val="Heading1"/>
        <w:jc w:val="center"/>
        <w:rPr>
          <w:rFonts w:asciiTheme="minorHAnsi" w:hAnsiTheme="minorHAnsi"/>
          <w:b/>
          <w:bCs/>
          <w:color w:val="000000" w:themeColor="text1"/>
          <w:sz w:val="28"/>
          <w:szCs w:val="28"/>
          <w:u w:val="single"/>
        </w:rPr>
      </w:pPr>
      <w:bookmarkStart w:id="9" w:name="_Toc33821834"/>
      <w:r w:rsidRPr="00CF4564">
        <w:rPr>
          <w:rFonts w:asciiTheme="minorHAnsi" w:hAnsiTheme="minorHAnsi"/>
          <w:b/>
          <w:bCs/>
          <w:color w:val="000000" w:themeColor="text1"/>
          <w:sz w:val="28"/>
          <w:szCs w:val="28"/>
          <w:u w:val="single"/>
        </w:rPr>
        <w:lastRenderedPageBreak/>
        <w:t>Chapter 2</w:t>
      </w:r>
      <w:r w:rsidR="00CF4564" w:rsidRPr="00CF4564">
        <w:rPr>
          <w:rFonts w:asciiTheme="minorHAnsi" w:hAnsiTheme="minorHAnsi"/>
          <w:b/>
          <w:bCs/>
          <w:color w:val="000000" w:themeColor="text1"/>
          <w:sz w:val="28"/>
          <w:szCs w:val="28"/>
          <w:u w:val="single"/>
        </w:rPr>
        <w:t xml:space="preserve">: </w:t>
      </w:r>
      <w:r w:rsidRPr="00CF4564">
        <w:rPr>
          <w:rFonts w:asciiTheme="minorHAnsi" w:hAnsiTheme="minorHAnsi"/>
          <w:b/>
          <w:bCs/>
          <w:color w:val="000000" w:themeColor="text1"/>
          <w:sz w:val="28"/>
          <w:szCs w:val="28"/>
          <w:u w:val="single"/>
        </w:rPr>
        <w:t>Creation and Destruction within the reign of Hatshepsut</w:t>
      </w:r>
      <w:bookmarkEnd w:id="9"/>
    </w:p>
    <w:p w14:paraId="3C911DBF" w14:textId="77777777" w:rsidR="005C2027" w:rsidRPr="00FC6F8A" w:rsidRDefault="005C2027" w:rsidP="005C2027">
      <w:pPr>
        <w:spacing w:line="360" w:lineRule="auto"/>
        <w:jc w:val="center"/>
        <w:rPr>
          <w:b/>
          <w:bCs/>
          <w:sz w:val="28"/>
          <w:szCs w:val="22"/>
          <w:u w:val="single"/>
        </w:rPr>
      </w:pPr>
    </w:p>
    <w:p w14:paraId="425FFB30" w14:textId="793C3B4C" w:rsidR="00060E63" w:rsidRDefault="00060E63" w:rsidP="005C2027">
      <w:pPr>
        <w:spacing w:line="360" w:lineRule="auto"/>
      </w:pPr>
      <w:r w:rsidRPr="00A4008B">
        <w:t xml:space="preserve">The </w:t>
      </w:r>
      <w:r>
        <w:t>concept</w:t>
      </w:r>
      <w:r w:rsidRPr="00A4008B">
        <w:t xml:space="preserve"> of </w:t>
      </w:r>
      <w:r>
        <w:t>K</w:t>
      </w:r>
      <w:r w:rsidRPr="00A4008B">
        <w:t>ingshi</w:t>
      </w:r>
      <w:r>
        <w:t xml:space="preserve">p is an extremely important topic to consider when </w:t>
      </w:r>
      <w:r w:rsidR="008F0634">
        <w:t xml:space="preserve">examining </w:t>
      </w:r>
      <w:r>
        <w:t>Ancient Egyptian civilisation as it pervades all aspects of Egyptian life. Myth was used abundantly here to create a “coherent system of sense and order” and to explain how and why the monarchy came about.</w:t>
      </w:r>
      <w:r>
        <w:rPr>
          <w:rStyle w:val="FootnoteReference"/>
        </w:rPr>
        <w:footnoteReference w:id="91"/>
      </w:r>
      <w:r>
        <w:t xml:space="preserve"> </w:t>
      </w:r>
      <w:r w:rsidR="008F0634">
        <w:t>Furthermore, i</w:t>
      </w:r>
      <w:r>
        <w:t xml:space="preserve">conography and various artworks were used as a way of educating the public on the power of the kingship and the </w:t>
      </w:r>
      <w:r w:rsidR="008F0634">
        <w:t>king’s</w:t>
      </w:r>
      <w:r>
        <w:t xml:space="preserve"> divine right to rule. We can see this especially within the </w:t>
      </w:r>
      <w:r w:rsidR="008F0634">
        <w:t xml:space="preserve">18th </w:t>
      </w:r>
      <w:r>
        <w:t>Dynasty of the New Kingdom, where the rhetoric on kingship seems to evolve and change from earlier traditions. This particular period is one of the most interesting periods to study within the historic timeline of Ancient Egypt as we are witness to some of the most dynamic rulers Egypt has ever seen. One, in particular, appears to break all traditional conventions of rule during this period. This reference is to Hatshepsut, the female-king</w:t>
      </w:r>
      <w:r w:rsidR="008F0634">
        <w:t>,</w:t>
      </w:r>
      <w:r>
        <w:t xml:space="preserve"> whose reign was far from orthodox. From the conception of the divine birth myth</w:t>
      </w:r>
      <w:r>
        <w:rPr>
          <w:rStyle w:val="FootnoteReference"/>
        </w:rPr>
        <w:footnoteReference w:id="92"/>
      </w:r>
      <w:r>
        <w:t xml:space="preserve">, to the innovations seen in the iconography and artworks of the time, creation and destruction are apparent each step of the way. The political and social implications of such a reign will also be discussed throughout the chapter. Key elements such as gender roles within Egypt itself and the religious structure of the civilisation at that time will be discussed, as will the architectural advances and the political climate at that time. </w:t>
      </w:r>
    </w:p>
    <w:p w14:paraId="773433CB" w14:textId="77777777" w:rsidR="00060E63" w:rsidRPr="005C2027" w:rsidRDefault="00060E63" w:rsidP="005C2027">
      <w:pPr>
        <w:spacing w:line="360" w:lineRule="auto"/>
        <w:rPr>
          <w:sz w:val="28"/>
          <w:szCs w:val="28"/>
        </w:rPr>
      </w:pPr>
    </w:p>
    <w:p w14:paraId="1C010633" w14:textId="15F16615" w:rsidR="005C2027" w:rsidRPr="00CF4564" w:rsidRDefault="00060E63" w:rsidP="00CF4564">
      <w:pPr>
        <w:pStyle w:val="Heading2"/>
        <w:numPr>
          <w:ilvl w:val="1"/>
          <w:numId w:val="19"/>
        </w:numPr>
        <w:spacing w:line="360" w:lineRule="auto"/>
        <w:rPr>
          <w:rFonts w:asciiTheme="minorHAnsi" w:hAnsiTheme="minorHAnsi"/>
          <w:color w:val="000000" w:themeColor="text1"/>
          <w:sz w:val="24"/>
          <w:szCs w:val="24"/>
          <w:u w:val="single"/>
        </w:rPr>
      </w:pPr>
      <w:bookmarkStart w:id="10" w:name="_Toc33821835"/>
      <w:r w:rsidRPr="00CF4564">
        <w:rPr>
          <w:rFonts w:asciiTheme="minorHAnsi" w:hAnsiTheme="minorHAnsi"/>
          <w:color w:val="000000" w:themeColor="text1"/>
          <w:sz w:val="24"/>
          <w:szCs w:val="24"/>
          <w:u w:val="single"/>
        </w:rPr>
        <w:t>The Creation of a Kingship</w:t>
      </w:r>
      <w:bookmarkEnd w:id="10"/>
    </w:p>
    <w:p w14:paraId="2E1EB223" w14:textId="33C51B85" w:rsidR="00060E63" w:rsidRDefault="00060E63" w:rsidP="00CF4564">
      <w:pPr>
        <w:spacing w:line="360" w:lineRule="auto"/>
      </w:pPr>
      <w:r>
        <w:t>Hatshepsut was not born to be King, when looking at the monarchy from a traditional, modern viewpoint.</w:t>
      </w:r>
      <w:r>
        <w:rPr>
          <w:rStyle w:val="FootnoteReference"/>
        </w:rPr>
        <w:footnoteReference w:id="93"/>
      </w:r>
      <w:r>
        <w:t xml:space="preserve"> Instead, as the daughter of Thutmose I,</w:t>
      </w:r>
      <w:r>
        <w:rPr>
          <w:rStyle w:val="FootnoteReference"/>
        </w:rPr>
        <w:footnoteReference w:id="94"/>
      </w:r>
      <w:r>
        <w:t xml:space="preserve"> Hatshepsut’s destiny was to become the Great wife of Thutmose II. She was bestowed titles such as “Gods wife of Amun” and held an extremely influential and prestigious role as consort to the Pharaoh and priestess within the cult of Amun. After the premature death of her husband, Thutmose II and the lack of a male heir, the throne was then passed to his successor, Thutmose III who </w:t>
      </w:r>
      <w:r>
        <w:lastRenderedPageBreak/>
        <w:t>was the child of a secondary royal wife named Isis. As Thutmose III was only a young child upon the death of his father, Hatshepsut was required to step in to act as regent, taking care of the day to day running of the country.</w:t>
      </w:r>
      <w:r>
        <w:rPr>
          <w:rStyle w:val="FootnoteReference"/>
        </w:rPr>
        <w:footnoteReference w:id="95"/>
      </w:r>
      <w:r>
        <w:t xml:space="preserve"> This is the beginning of what we consider to be one of the most controversial and unusual co-regencies and kingships that has ever existed throughout Egyptian History.</w:t>
      </w:r>
      <w:r>
        <w:rPr>
          <w:rStyle w:val="FootnoteReference"/>
        </w:rPr>
        <w:footnoteReference w:id="96"/>
      </w:r>
      <w:r>
        <w:t xml:space="preserve"> </w:t>
      </w:r>
    </w:p>
    <w:p w14:paraId="6AA4AA20" w14:textId="77777777" w:rsidR="00060E63" w:rsidRDefault="00060E63" w:rsidP="00FC6F8A">
      <w:pPr>
        <w:spacing w:line="360" w:lineRule="auto"/>
      </w:pPr>
    </w:p>
    <w:p w14:paraId="4A1F7D6B" w14:textId="77777777" w:rsidR="00060E63" w:rsidRDefault="00060E63" w:rsidP="00FC6F8A">
      <w:pPr>
        <w:spacing w:line="360" w:lineRule="auto"/>
      </w:pPr>
      <w:r>
        <w:t>Between the second and seventh year of the reign of Thutmose III, Hatshepsut was crowned king after years of acting as regent</w:t>
      </w:r>
      <w:r>
        <w:rPr>
          <w:rStyle w:val="FootnoteReference"/>
        </w:rPr>
        <w:footnoteReference w:id="97"/>
      </w:r>
      <w:r>
        <w:t xml:space="preserve"> Here we see a creation of sorts of a new type of monarchy within Ancient Egypt and a very unique co-regency. Of course, co-regencies themselves were nothing new when considering politics within Ancient Egyptian society.</w:t>
      </w:r>
      <w:r>
        <w:rPr>
          <w:rStyle w:val="FootnoteReference"/>
        </w:rPr>
        <w:footnoteReference w:id="98"/>
      </w:r>
      <w:r>
        <w:t xml:space="preserve"> Often, they occurred when an older Pharaoh crowned his successor, in order to act alongside them, to educate them on the important aspects of becoming Pharaoh.</w:t>
      </w:r>
      <w:r>
        <w:rPr>
          <w:rStyle w:val="FootnoteReference"/>
        </w:rPr>
        <w:footnoteReference w:id="99"/>
      </w:r>
      <w:r>
        <w:t xml:space="preserve"> Nevertheless, in the case of Hatshepsut and Thutmose III we see that this particular co-regency is distinctive from all those before it, hence the creation of a new method of kingship.  </w:t>
      </w:r>
    </w:p>
    <w:p w14:paraId="351B4C03" w14:textId="77777777" w:rsidR="00060E63" w:rsidRDefault="00060E63" w:rsidP="00FC6F8A">
      <w:pPr>
        <w:spacing w:line="360" w:lineRule="auto"/>
      </w:pPr>
    </w:p>
    <w:p w14:paraId="733FD645" w14:textId="77777777" w:rsidR="00060E63" w:rsidRDefault="00060E63" w:rsidP="00FC6F8A">
      <w:pPr>
        <w:spacing w:line="360" w:lineRule="auto"/>
      </w:pPr>
      <w:r>
        <w:t>First, it must be considered that the legitimate heir in this case was a young boy who had assumed the throne through the death of his predecessor. Hatshepsut was not appointed co-ruler but rather took on the role herself.</w:t>
      </w:r>
      <w:r>
        <w:rPr>
          <w:rStyle w:val="FootnoteReference"/>
        </w:rPr>
        <w:footnoteReference w:id="100"/>
      </w:r>
      <w:r>
        <w:t xml:space="preserve"> There is no specific answer as to why Hatshepsut assumed the role of Pharaoh.</w:t>
      </w:r>
      <w:r>
        <w:rPr>
          <w:rStyle w:val="FootnoteReference"/>
        </w:rPr>
        <w:footnoteReference w:id="101"/>
      </w:r>
      <w:r>
        <w:t xml:space="preserve"> In many ways, she already held the reins of power and was Pharaoh in everything but name.</w:t>
      </w:r>
      <w:r>
        <w:rPr>
          <w:rStyle w:val="FootnoteReference"/>
        </w:rPr>
        <w:footnoteReference w:id="102"/>
      </w:r>
      <w:r>
        <w:t xml:space="preserve"> We can see evidence for this in an inscription found within the tomb of Ineni.</w:t>
      </w:r>
      <w:r>
        <w:rPr>
          <w:rStyle w:val="FootnoteReference"/>
        </w:rPr>
        <w:footnoteReference w:id="103"/>
      </w:r>
      <w:r>
        <w:t xml:space="preserve"> Therefore, it is understandable as to why this </w:t>
      </w:r>
      <w:r>
        <w:lastRenderedPageBreak/>
        <w:t>particular co-regency inspired countless theories, especially when discussing the nature of co-regency within Ancient Egyptian civilisation.</w:t>
      </w:r>
      <w:r>
        <w:rPr>
          <w:rStyle w:val="FootnoteReference"/>
        </w:rPr>
        <w:footnoteReference w:id="104"/>
      </w:r>
      <w:r>
        <w:t xml:space="preserve">  </w:t>
      </w:r>
    </w:p>
    <w:p w14:paraId="730C0455" w14:textId="77777777" w:rsidR="00060E63" w:rsidRDefault="00060E63" w:rsidP="00FC6F8A">
      <w:pPr>
        <w:spacing w:line="360" w:lineRule="auto"/>
      </w:pPr>
    </w:p>
    <w:p w14:paraId="56493666" w14:textId="77777777" w:rsidR="008F0634" w:rsidRDefault="00060E63" w:rsidP="00FC6F8A">
      <w:pPr>
        <w:spacing w:line="360" w:lineRule="auto"/>
      </w:pPr>
      <w:r>
        <w:t>Considering the period after the death of Thutmose II, it is possible to argue that this was an uncertain time for the Egyptian monarchy. According to Goebs</w:t>
      </w:r>
      <w:r>
        <w:rPr>
          <w:rStyle w:val="FootnoteReference"/>
        </w:rPr>
        <w:footnoteReference w:id="105"/>
      </w:r>
      <w:r>
        <w:t xml:space="preserve">, </w:t>
      </w:r>
      <w:r>
        <w:rPr>
          <w:i/>
        </w:rPr>
        <w:t xml:space="preserve">maat </w:t>
      </w:r>
      <w:r>
        <w:t>was under threat whenever a king passed away. This meant that every new ruler had a duty to reinstate that order and to unify the two lands again with their coronation</w:t>
      </w:r>
      <w:r>
        <w:rPr>
          <w:rStyle w:val="FootnoteReference"/>
        </w:rPr>
        <w:footnoteReference w:id="106"/>
      </w:r>
      <w:r>
        <w:t xml:space="preserve">. Here we see the existence of creation and destruction as potential results of change within kingship. With every new kingship we see the destruction of the </w:t>
      </w:r>
      <w:r w:rsidR="008F0634">
        <w:t>reign</w:t>
      </w:r>
      <w:r>
        <w:t xml:space="preserve"> before</w:t>
      </w:r>
      <w:r>
        <w:rPr>
          <w:rStyle w:val="FootnoteReference"/>
        </w:rPr>
        <w:footnoteReference w:id="107"/>
      </w:r>
      <w:r>
        <w:t xml:space="preserve"> and the creation of a new kingship. This </w:t>
      </w:r>
      <w:r w:rsidR="008F0634">
        <w:t xml:space="preserve">is </w:t>
      </w:r>
      <w:r>
        <w:t>reminiscent of the cyclical death and rebirth present in the centuries old mythological journey of the sun-god. According to Egyptian mythology, when Atum brought forth the first occasion of sunrise, he set in motion the “cyclical equilibrium of the Egyptian cosmos” that included the reign of its kings.</w:t>
      </w:r>
      <w:r>
        <w:rPr>
          <w:rStyle w:val="FootnoteReference"/>
        </w:rPr>
        <w:footnoteReference w:id="108"/>
      </w:r>
      <w:r>
        <w:t xml:space="preserve"> Thus, instigating the rebirth of centuries old dogma where kings consistently recreate the struggle between </w:t>
      </w:r>
      <w:r>
        <w:rPr>
          <w:i/>
        </w:rPr>
        <w:t>maat</w:t>
      </w:r>
      <w:r>
        <w:t xml:space="preserve"> and </w:t>
      </w:r>
      <w:r w:rsidRPr="00D26B59">
        <w:rPr>
          <w:i/>
        </w:rPr>
        <w:t>isfet</w:t>
      </w:r>
      <w:r>
        <w:t>.</w:t>
      </w:r>
    </w:p>
    <w:p w14:paraId="3A340730" w14:textId="77777777" w:rsidR="008F0634" w:rsidRDefault="008F0634" w:rsidP="00FC6F8A">
      <w:pPr>
        <w:spacing w:line="360" w:lineRule="auto"/>
      </w:pPr>
    </w:p>
    <w:p w14:paraId="2F0F270B" w14:textId="727FA3DF" w:rsidR="00060E63" w:rsidRDefault="00060E63" w:rsidP="00FC6F8A">
      <w:pPr>
        <w:spacing w:line="360" w:lineRule="auto"/>
      </w:pPr>
      <w:r>
        <w:t>The premature death of Thutmose II left both Hatshepsut and the throne in a fairly uncertain position. As Hatshepsut was not the biological mother of the successor, the title of Queen mother that had commanded respect for centuries could not be bestowed upon herself, thus leaving her place within the political structure of Egypt questionable.</w:t>
      </w:r>
      <w:r>
        <w:rPr>
          <w:rStyle w:val="FootnoteReference"/>
        </w:rPr>
        <w:footnoteReference w:id="109"/>
      </w:r>
      <w:r>
        <w:t xml:space="preserve"> The title of God’s Wife of Amun afforded her some form of prestige and authority however this may not have been enough.</w:t>
      </w:r>
      <w:r>
        <w:rPr>
          <w:rStyle w:val="FootnoteReference"/>
        </w:rPr>
        <w:footnoteReference w:id="110"/>
      </w:r>
      <w:r>
        <w:t xml:space="preserve"> Perhaps this is why she recreated herself as Pharaoh? Throughout the 18th </w:t>
      </w:r>
      <w:r w:rsidR="000C76ED">
        <w:t>D</w:t>
      </w:r>
      <w:r>
        <w:t xml:space="preserve">ynasty it was certainly not uncommon for women to step up as regent to protect the throne, in order to assist with the smooth transition of accession, </w:t>
      </w:r>
      <w:r>
        <w:lastRenderedPageBreak/>
        <w:t>should the successor be unfit to take the throne at that time (i.e. too young)</w:t>
      </w:r>
      <w:r>
        <w:rPr>
          <w:rStyle w:val="FootnoteReference"/>
        </w:rPr>
        <w:footnoteReference w:id="111"/>
      </w:r>
      <w:r>
        <w:t>. Indeed, one could argue that it was mostly women who ruled Egypt during this particular period.</w:t>
      </w:r>
      <w:r>
        <w:rPr>
          <w:rStyle w:val="FootnoteReference"/>
        </w:rPr>
        <w:footnoteReference w:id="112"/>
      </w:r>
      <w:r>
        <w:t xml:space="preserve"> Therefore Hatshepsut, who had descended from a long line of powerful women who had done just that, recreates this.</w:t>
      </w:r>
      <w:r>
        <w:rPr>
          <w:rStyle w:val="FootnoteReference"/>
        </w:rPr>
        <w:footnoteReference w:id="113"/>
      </w:r>
      <w:r>
        <w:t xml:space="preserve"> Furthermore, by creating herself as Pharaoh, Hatshepsut recreates</w:t>
      </w:r>
      <w:r w:rsidRPr="009E05E8">
        <w:rPr>
          <w:i/>
        </w:rPr>
        <w:t xml:space="preserve"> maat</w:t>
      </w:r>
      <w:r>
        <w:t>, therefore reinstating control over the throne and the country for when Thutmose is ready to ascend the throne. Some have argued it may have been due to a political crisis that required a fully adult king.</w:t>
      </w:r>
      <w:r>
        <w:rPr>
          <w:rStyle w:val="FootnoteReference"/>
        </w:rPr>
        <w:footnoteReference w:id="114"/>
      </w:r>
      <w:r>
        <w:t xml:space="preserve"> One could therefore argue that Hatshepsut creates an image as the ultimate mother of Egypt who protects not only the heir to throne but also the throne itself, by appointing herself as Pharaoh. Nevertheless, Hatshepsut also created another identity for herself, one that is all ambition and self-interest. It has been argued that her accession to the throne was nothing more than a usurpation of power, a self-serving female who wanted to further her own cause.</w:t>
      </w:r>
      <w:r>
        <w:rPr>
          <w:rStyle w:val="FootnoteReference"/>
        </w:rPr>
        <w:footnoteReference w:id="115"/>
      </w:r>
      <w:r>
        <w:t xml:space="preserve">  Many scholarly considerations on Hatshepsut throughout the nineteenth and twentieth centuries depict her as such</w:t>
      </w:r>
      <w:r>
        <w:rPr>
          <w:rStyle w:val="FootnoteReference"/>
        </w:rPr>
        <w:footnoteReference w:id="116"/>
      </w:r>
      <w:r>
        <w:t>, although recent approaches have argued this matter.</w:t>
      </w:r>
      <w:r>
        <w:rPr>
          <w:rStyle w:val="FootnoteReference"/>
        </w:rPr>
        <w:footnoteReference w:id="117"/>
      </w:r>
      <w:r>
        <w:t xml:space="preserve"> One could debate that Hatshepsut is doing the opposite of creating </w:t>
      </w:r>
      <w:r>
        <w:rPr>
          <w:i/>
        </w:rPr>
        <w:t>maat</w:t>
      </w:r>
      <w:r>
        <w:t xml:space="preserve"> and in herself embodies </w:t>
      </w:r>
      <w:r w:rsidRPr="005B2769">
        <w:rPr>
          <w:i/>
        </w:rPr>
        <w:t>isfet</w:t>
      </w:r>
      <w:r>
        <w:t>. Nevertheless, care must be taken when considering such theories especially when we factor in the viewpoints of such scholars and the time period in which they written. Sadly, misogynism is ever present within historical accounts and feminist icons were often treated with suspicion.</w:t>
      </w:r>
      <w:r>
        <w:rPr>
          <w:rStyle w:val="FootnoteReference"/>
        </w:rPr>
        <w:footnoteReference w:id="118"/>
      </w:r>
    </w:p>
    <w:p w14:paraId="735995B4" w14:textId="77777777" w:rsidR="00060E63" w:rsidRDefault="00060E63" w:rsidP="00FC6F8A">
      <w:pPr>
        <w:spacing w:line="360" w:lineRule="auto"/>
      </w:pPr>
    </w:p>
    <w:p w14:paraId="4ED109E2" w14:textId="6C3DDD15" w:rsidR="00060E63" w:rsidRDefault="00060E63" w:rsidP="00FC6F8A">
      <w:pPr>
        <w:spacing w:line="360" w:lineRule="auto"/>
      </w:pPr>
      <w:r>
        <w:t>The length of this co-regency is also something that must be accounted for when we look at the creation of new type of kingship. In no other period do we see a co-regency that lasts as long as this one.</w:t>
      </w:r>
      <w:r>
        <w:rPr>
          <w:rStyle w:val="FootnoteReference"/>
        </w:rPr>
        <w:footnoteReference w:id="119"/>
      </w:r>
      <w:r>
        <w:t xml:space="preserve">  It is indeed questionable as to why Hatshepsut held onto power for so </w:t>
      </w:r>
      <w:r>
        <w:lastRenderedPageBreak/>
        <w:t xml:space="preserve">long, especially after the coming of age of Thutmose III. Again, we see scholars painting Hatshepsut as an ambitious and greedy woman that, having tasted power, wanted to keep the throne herself. However, when a person is crowned Pharaoh of Egypt, not only do they take on all earthly roles in terms of maintaining </w:t>
      </w:r>
      <w:r w:rsidRPr="008F0634">
        <w:rPr>
          <w:i/>
          <w:iCs/>
        </w:rPr>
        <w:t>maat</w:t>
      </w:r>
      <w:r>
        <w:t xml:space="preserve"> and keeping order within the state, but they also transcend their human status to become semi-divine.</w:t>
      </w:r>
      <w:r>
        <w:rPr>
          <w:rStyle w:val="FootnoteReference"/>
        </w:rPr>
        <w:footnoteReference w:id="120"/>
      </w:r>
      <w:r>
        <w:t xml:space="preserve"> The coronation and its rituals are seen as a sacred journey, in which the Pharaoh is created anew and appointed to the divine office of kingship</w:t>
      </w:r>
      <w:r>
        <w:rPr>
          <w:rStyle w:val="FootnoteReference"/>
        </w:rPr>
        <w:footnoteReference w:id="121"/>
      </w:r>
      <w:r>
        <w:t xml:space="preserve">.  Abdication was not an option here, for when a Pharaoh </w:t>
      </w:r>
      <w:r w:rsidR="008F0634">
        <w:t>dies,</w:t>
      </w:r>
      <w:r>
        <w:t xml:space="preserve"> they are seen to be recreated, merging with the god Osiris. Their successor, the new Pharaoh, subsequently becomes the living embodiment of Horus, the son of Osiris.</w:t>
      </w:r>
      <w:r>
        <w:rPr>
          <w:rStyle w:val="FootnoteReference"/>
        </w:rPr>
        <w:footnoteReference w:id="122"/>
      </w:r>
      <w:r>
        <w:t xml:space="preserve"> Thus, the cycle continues. To break this cycle would have meant destruction of the cosmic order and the destruction of </w:t>
      </w:r>
      <w:r>
        <w:rPr>
          <w:i/>
        </w:rPr>
        <w:t>maat</w:t>
      </w:r>
      <w:r>
        <w:t>. Hatshepsut was therefore crowned for life.</w:t>
      </w:r>
      <w:r>
        <w:rPr>
          <w:rStyle w:val="FootnoteReference"/>
        </w:rPr>
        <w:footnoteReference w:id="123"/>
      </w:r>
      <w:r>
        <w:t xml:space="preserve"> In order to safeguard the throne, she would have to see this through to the end. Therefore, it could be argued that by taking on the role of Pharaoh she did not do so lightly. The gap between the succession of Thutmose III and her coronation as King could attest to this.</w:t>
      </w:r>
      <w:r>
        <w:rPr>
          <w:rStyle w:val="FootnoteReference"/>
        </w:rPr>
        <w:footnoteReference w:id="124"/>
      </w:r>
    </w:p>
    <w:p w14:paraId="447507BB" w14:textId="77777777" w:rsidR="00060E63" w:rsidRDefault="00060E63" w:rsidP="00FC6F8A">
      <w:pPr>
        <w:spacing w:line="360" w:lineRule="auto"/>
      </w:pPr>
    </w:p>
    <w:p w14:paraId="58B66899" w14:textId="14180E89" w:rsidR="00060E63" w:rsidRDefault="00060E63" w:rsidP="00FC6F8A">
      <w:pPr>
        <w:spacing w:line="360" w:lineRule="auto"/>
      </w:pPr>
      <w:r>
        <w:t>We must consider the patrilineal aspect of Pharaonic succession when examining this particular co-regency. Tradition stated that the throne was passed from father to son and in the rare case that a woman took over rule, it would be as regent, overseen by others</w:t>
      </w:r>
      <w:r w:rsidR="008F0634">
        <w:t>.</w:t>
      </w:r>
      <w:r>
        <w:rPr>
          <w:rStyle w:val="FootnoteReference"/>
        </w:rPr>
        <w:footnoteReference w:id="125"/>
      </w:r>
      <w:r>
        <w:t xml:space="preserve"> This patrilineal tradition is based on the Heliopolitan myth of Osiris and Horus, where the succession of father to son was set in motion by the creator god themselves.</w:t>
      </w:r>
      <w:r>
        <w:rPr>
          <w:rStyle w:val="FootnoteReference"/>
        </w:rPr>
        <w:footnoteReference w:id="126"/>
      </w:r>
      <w:r>
        <w:t xml:space="preserve"> The Pharaoh was therefore seen as the earthly manifestation of Horus, and descendant of the creator god Atum.</w:t>
      </w:r>
      <w:r>
        <w:rPr>
          <w:rStyle w:val="FootnoteReference"/>
        </w:rPr>
        <w:footnoteReference w:id="127"/>
      </w:r>
      <w:r>
        <w:t xml:space="preserve"> Here, we see that the political structure of Egyptian civilisation is based on cosmogony and religious doctrine</w:t>
      </w:r>
      <w:r w:rsidR="008F0634">
        <w:t>,</w:t>
      </w:r>
      <w:r>
        <w:t xml:space="preserve"> where the kingship is seen as a continuation of creation and history. Given the masculine tone of the creation myth of kingship, one could question whether there is any room at all within the kingship for a female ruler. According to Ray, </w:t>
      </w:r>
      <w:r>
        <w:lastRenderedPageBreak/>
        <w:t>theoretically there is no reason as to why a ruler could not be female as the creator gods themselves are not gendered specifically.</w:t>
      </w:r>
      <w:r w:rsidRPr="005B2769">
        <w:t xml:space="preserve"> </w:t>
      </w:r>
      <w:r>
        <w:t>However, he also states that it is “one thing to consider an abstract possibility and another to welcome its embodiment.”.</w:t>
      </w:r>
      <w:r>
        <w:rPr>
          <w:rStyle w:val="FootnoteReference"/>
        </w:rPr>
        <w:footnoteReference w:id="128"/>
      </w:r>
      <w:r>
        <w:t xml:space="preserve"> The reign of Hatshepsut is not the first instance that Egypt has seen a woman Pharaoh. Three thousand years previous, we see Sobekneferu take on the role of King, however she does so at the end of a dynasty</w:t>
      </w:r>
      <w:r>
        <w:rPr>
          <w:rStyle w:val="FootnoteReference"/>
        </w:rPr>
        <w:footnoteReference w:id="129"/>
      </w:r>
      <w:r>
        <w:t xml:space="preserve"> when there is no other to take her place. This example differs from Hatshepsut’s reign where there is already a legitimate heir. The co-regency of Hatshepsut therefore is the first known occasion of a mixed gender co-regency.</w:t>
      </w:r>
      <w:r>
        <w:rPr>
          <w:rStyle w:val="FootnoteReference"/>
        </w:rPr>
        <w:footnoteReference w:id="130"/>
      </w:r>
      <w:r>
        <w:t xml:space="preserve"> Again, a new type of </w:t>
      </w:r>
      <w:r w:rsidR="008F0634">
        <w:t>kingship</w:t>
      </w:r>
      <w:r>
        <w:t xml:space="preserve"> is created here. Hatshepsut is attempting to overcome gender barriers by becoming Pharaoh and appointing herself as co-regent. Therefore, given the masculine tone of kingship, it is unsurprising that Hatshepsut took steps to create a new mythology, in which her claim to throne would be undisputed and unaffected by reasons such as gender. </w:t>
      </w:r>
    </w:p>
    <w:p w14:paraId="68D7A35A" w14:textId="77777777" w:rsidR="00060E63" w:rsidRPr="005C2027" w:rsidRDefault="00060E63" w:rsidP="005C2027">
      <w:pPr>
        <w:spacing w:line="360" w:lineRule="auto"/>
        <w:rPr>
          <w:sz w:val="28"/>
          <w:szCs w:val="28"/>
        </w:rPr>
      </w:pPr>
    </w:p>
    <w:p w14:paraId="6E487B15" w14:textId="1E43F2DF" w:rsidR="005C2027" w:rsidRPr="00CF4564" w:rsidRDefault="00060E63" w:rsidP="00CF4564">
      <w:pPr>
        <w:pStyle w:val="Heading2"/>
        <w:numPr>
          <w:ilvl w:val="1"/>
          <w:numId w:val="19"/>
        </w:numPr>
        <w:spacing w:line="360" w:lineRule="auto"/>
        <w:rPr>
          <w:rFonts w:asciiTheme="minorHAnsi" w:hAnsiTheme="minorHAnsi"/>
          <w:color w:val="000000" w:themeColor="text1"/>
          <w:sz w:val="24"/>
          <w:szCs w:val="24"/>
          <w:u w:val="single"/>
        </w:rPr>
      </w:pPr>
      <w:bookmarkStart w:id="11" w:name="_Toc33821836"/>
      <w:r w:rsidRPr="00CF4564">
        <w:rPr>
          <w:rFonts w:asciiTheme="minorHAnsi" w:hAnsiTheme="minorHAnsi"/>
          <w:color w:val="000000" w:themeColor="text1"/>
          <w:sz w:val="24"/>
          <w:szCs w:val="24"/>
          <w:u w:val="single"/>
        </w:rPr>
        <w:t>The Creation of Authority - The Legitimisation of Hatshepsut</w:t>
      </w:r>
      <w:bookmarkEnd w:id="11"/>
    </w:p>
    <w:p w14:paraId="7DBEBEA4" w14:textId="30AC8D90" w:rsidR="00060E63" w:rsidRPr="00D8221D" w:rsidRDefault="00060E63" w:rsidP="00CF4564">
      <w:pPr>
        <w:spacing w:line="360" w:lineRule="auto"/>
      </w:pPr>
      <w:r>
        <w:t>According to Kemp, the monarchy in Ancient Egypt</w:t>
      </w:r>
      <w:r w:rsidR="008F0634">
        <w:t>,</w:t>
      </w:r>
      <w:r>
        <w:t xml:space="preserve"> on its own</w:t>
      </w:r>
      <w:r w:rsidR="008F0634">
        <w:t>,</w:t>
      </w:r>
      <w:r>
        <w:t xml:space="preserve"> does not automatically command respect</w:t>
      </w:r>
      <w:r w:rsidR="008F0634">
        <w:t>.</w:t>
      </w:r>
      <w:r>
        <w:t xml:space="preserve"> </w:t>
      </w:r>
      <w:r w:rsidR="008F0634">
        <w:t xml:space="preserve">It </w:t>
      </w:r>
      <w:r>
        <w:t>requires the support of regular, reinforced ceremony alongside myth.</w:t>
      </w:r>
      <w:r>
        <w:rPr>
          <w:rStyle w:val="FootnoteReference"/>
        </w:rPr>
        <w:footnoteReference w:id="131"/>
      </w:r>
      <w:r>
        <w:t xml:space="preserve"> This is especially true whe</w:t>
      </w:r>
      <w:r w:rsidR="008F0634">
        <w:t xml:space="preserve">n concerning </w:t>
      </w:r>
      <w:r>
        <w:t xml:space="preserve">the Pharaonic accession of Hatshepsut. In order to gain the support of the people, Hatshepsut needed to define her own role within the kingship </w:t>
      </w:r>
      <w:r w:rsidR="008F0634">
        <w:t>in order to</w:t>
      </w:r>
      <w:r>
        <w:t xml:space="preserve"> justify her succession to the throne.</w:t>
      </w:r>
      <w:r>
        <w:rPr>
          <w:rStyle w:val="FootnoteReference"/>
        </w:rPr>
        <w:footnoteReference w:id="132"/>
      </w:r>
      <w:r>
        <w:t xml:space="preserve"> Robins puts forward an accurate argument when he states that the “validation and display of Hatshepsut’s legitimacy as ruler were the primary functions of her texts and images”.</w:t>
      </w:r>
      <w:r>
        <w:rPr>
          <w:rStyle w:val="FootnoteReference"/>
        </w:rPr>
        <w:footnoteReference w:id="133"/>
      </w:r>
      <w:r>
        <w:t xml:space="preserve"> Indeed, one of the most famous examples of this can be seen on the second terrace upon the north end walls of her mortuary temple in Deir el-Bahri.</w:t>
      </w:r>
      <w:r>
        <w:rPr>
          <w:rStyle w:val="FootnoteReference"/>
        </w:rPr>
        <w:footnoteReference w:id="134"/>
      </w:r>
      <w:r>
        <w:t xml:space="preserve"> Here we see the inception of the famous myth of “Divine Birth”</w:t>
      </w:r>
      <w:r w:rsidR="008F0634">
        <w:t>.</w:t>
      </w:r>
      <w:r>
        <w:rPr>
          <w:rStyle w:val="FootnoteReference"/>
        </w:rPr>
        <w:footnoteReference w:id="135"/>
      </w:r>
      <w:r>
        <w:t xml:space="preserve"> Instead of adhering to a mythological system that legitimised </w:t>
      </w:r>
      <w:r>
        <w:lastRenderedPageBreak/>
        <w:t>patrilineal Pharaonic succession, Hatshepsut recreates certain mythological statements in order to secure her place in the monarchy</w:t>
      </w:r>
      <w:r w:rsidR="008F0634">
        <w:t>.</w:t>
      </w:r>
      <w:r>
        <w:rPr>
          <w:rStyle w:val="FootnoteReference"/>
        </w:rPr>
        <w:footnoteReference w:id="136"/>
      </w:r>
      <w:r>
        <w:t xml:space="preserve"> As previously discussed, Hatshepsut was placed in an unusual position as she had not inherited the throne directly and she was also a woman. In order to legitimise herself, she needed to present her credentials in an effective and extremely public way. Hence the creation of propagandist scenes on the walls of Deir el-Bahri and various other locations including the Red chapel at Karnak where the oracle of Amun reinforces Hatshepsut’s right to rule as heir to the throne.</w:t>
      </w:r>
      <w:r>
        <w:rPr>
          <w:rStyle w:val="FootnoteReference"/>
        </w:rPr>
        <w:footnoteReference w:id="137"/>
      </w:r>
      <w:r>
        <w:t xml:space="preserve"> The Divine Birth creates a back story, placing Hatshepsut within the divine sphere. Her reign is therefore undisputed. Amun had the power to appoint kings, and once appointed, only he could take that power away.</w:t>
      </w:r>
      <w:r>
        <w:rPr>
          <w:rStyle w:val="FootnoteReference"/>
        </w:rPr>
        <w:footnoteReference w:id="138"/>
      </w:r>
      <w:r>
        <w:t xml:space="preserve"> A King’s power depended on favours from the gods, therefore we see Hatshepsut creating this relationship in order to justify her reign.</w:t>
      </w:r>
      <w:r>
        <w:rPr>
          <w:rStyle w:val="FootnoteReference"/>
        </w:rPr>
        <w:footnoteReference w:id="139"/>
      </w:r>
      <w:r>
        <w:t xml:space="preserve"> We therefore see the destruction of a centuries old tradition in order to fit herself into the framework of Egyptian Kingship</w:t>
      </w:r>
      <w:r w:rsidR="008F0634">
        <w:t>.</w:t>
      </w:r>
      <w:r w:rsidR="008F0634">
        <w:rPr>
          <w:rStyle w:val="FootnoteReference"/>
        </w:rPr>
        <w:footnoteReference w:id="140"/>
      </w:r>
      <w:r>
        <w:t xml:space="preserve"> By recreating history, she destroys any notion of herself as an illegitimate heir. </w:t>
      </w:r>
    </w:p>
    <w:p w14:paraId="19A4A22D" w14:textId="77777777" w:rsidR="00060E63" w:rsidRDefault="00060E63" w:rsidP="00FC6F8A">
      <w:pPr>
        <w:spacing w:line="360" w:lineRule="auto"/>
      </w:pPr>
    </w:p>
    <w:p w14:paraId="5BEE50EB" w14:textId="2F457E93" w:rsidR="00060E63" w:rsidRDefault="00060E63" w:rsidP="00FC6F8A">
      <w:pPr>
        <w:spacing w:line="360" w:lineRule="auto"/>
      </w:pPr>
      <w:r>
        <w:t>One could argue that we have seen these myths before and that it was nothing new for a king to align themselves with a deity or even claim to be related to one.</w:t>
      </w:r>
      <w:r>
        <w:rPr>
          <w:rStyle w:val="FootnoteReference"/>
        </w:rPr>
        <w:footnoteReference w:id="141"/>
      </w:r>
      <w:r>
        <w:t xml:space="preserve"> So, what makes Hatshepsut any different? Again, it is believed her gender was a concern</w:t>
      </w:r>
      <w:r w:rsidR="008F0634">
        <w:t>.</w:t>
      </w:r>
      <w:r>
        <w:rPr>
          <w:rStyle w:val="FootnoteReference"/>
        </w:rPr>
        <w:footnoteReference w:id="142"/>
      </w:r>
      <w:r>
        <w:t xml:space="preserve"> She could not fall back on a given traditional link between her office and Horus</w:t>
      </w:r>
      <w:r w:rsidR="00272F44">
        <w:t>.</w:t>
      </w:r>
      <w:r w:rsidR="00F4185A">
        <w:rPr>
          <w:rStyle w:val="FootnoteReference"/>
        </w:rPr>
        <w:footnoteReference w:id="143"/>
      </w:r>
      <w:r>
        <w:t xml:space="preserve"> Most connections between king and sun god were supposed to be metaphorical and were guaranteed with </w:t>
      </w:r>
      <w:r>
        <w:lastRenderedPageBreak/>
        <w:t>the legitimate succession and coronation of the new Pharaoh as the son of Ra.</w:t>
      </w:r>
      <w:r>
        <w:rPr>
          <w:rStyle w:val="FootnoteReference"/>
        </w:rPr>
        <w:footnoteReference w:id="144"/>
      </w:r>
      <w:r>
        <w:t xml:space="preserve"> Hatshepsut was not handed the throne and was never meant to be king. Instead of inheriting the title and relationship to the deity, she had to create new titles and recreated this divine relationship, this time with the state god, in order to survive as king. This was of paramount importance as without this divine claim, her legitimacy would have been questioned. Mythology therefore was a crucial political tool. </w:t>
      </w:r>
    </w:p>
    <w:p w14:paraId="60A32687" w14:textId="77777777" w:rsidR="00060E63" w:rsidRDefault="00060E63" w:rsidP="00FC6F8A">
      <w:pPr>
        <w:spacing w:line="360" w:lineRule="auto"/>
      </w:pPr>
    </w:p>
    <w:p w14:paraId="6E09FD1B" w14:textId="2EA61FC9" w:rsidR="00060E63" w:rsidRDefault="00060E63" w:rsidP="00FC6F8A">
      <w:pPr>
        <w:spacing w:line="360" w:lineRule="auto"/>
      </w:pPr>
      <w:r>
        <w:t>Hatshepsut also attempts to create a legitimate filial succession by claiming her right to rule through her father, Thutmose I, and focusing on her titles as “daughter of a king”.</w:t>
      </w:r>
      <w:r>
        <w:rPr>
          <w:rStyle w:val="FootnoteReference"/>
        </w:rPr>
        <w:footnoteReference w:id="145"/>
      </w:r>
      <w:r>
        <w:t xml:space="preserve"> On the walls of Deir el-Bahri, it states that her father Thutmose I declared her as rightful heir to throne of Egypt.</w:t>
      </w:r>
      <w:r>
        <w:rPr>
          <w:rStyle w:val="FootnoteReference"/>
        </w:rPr>
        <w:footnoteReference w:id="146"/>
      </w:r>
      <w:r>
        <w:t xml:space="preserve"> Here we can see that she is re-writing history, ostracising her late husband Thutmose II and ignoring their relationship in order to cement her position within the kingship.</w:t>
      </w:r>
      <w:r>
        <w:rPr>
          <w:rStyle w:val="FootnoteReference"/>
        </w:rPr>
        <w:footnoteReference w:id="147"/>
      </w:r>
      <w:r>
        <w:t xml:space="preserve"> Here she is using her father to legitimise her reign and also to justify it, whilst simultaneously destroying the image of her husband and half-brother. Thutmose II therefore vanishes from the historical record at this time.</w:t>
      </w:r>
      <w:r>
        <w:rPr>
          <w:rStyle w:val="FootnoteReference"/>
        </w:rPr>
        <w:footnoteReference w:id="148"/>
      </w:r>
      <w:r>
        <w:t xml:space="preserve"> This destruction may have been</w:t>
      </w:r>
      <w:r w:rsidR="008F0634">
        <w:t xml:space="preserve"> the </w:t>
      </w:r>
      <w:r>
        <w:t>result of a realisation that a filial succession</w:t>
      </w:r>
      <w:r w:rsidR="008F0634">
        <w:t>,</w:t>
      </w:r>
      <w:r>
        <w:t xml:space="preserve"> rather than one between siblings</w:t>
      </w:r>
      <w:r w:rsidR="008F0634">
        <w:t>,</w:t>
      </w:r>
      <w:r>
        <w:t xml:space="preserve"> may have held more power over the Egyptian community.</w:t>
      </w:r>
      <w:r>
        <w:rPr>
          <w:rStyle w:val="FootnoteReference"/>
        </w:rPr>
        <w:footnoteReference w:id="149"/>
      </w:r>
    </w:p>
    <w:p w14:paraId="103FDC83" w14:textId="77777777" w:rsidR="00060E63" w:rsidRDefault="00060E63" w:rsidP="00FC6F8A">
      <w:pPr>
        <w:spacing w:line="360" w:lineRule="auto"/>
      </w:pPr>
    </w:p>
    <w:p w14:paraId="7CFB500C" w14:textId="3FDC2114" w:rsidR="00060E63" w:rsidRPr="00EB3CF5" w:rsidRDefault="00060E63" w:rsidP="00FC6F8A">
      <w:pPr>
        <w:spacing w:line="360" w:lineRule="auto"/>
      </w:pPr>
      <w:r>
        <w:t>Another interesting piece of propaganda to consider is an inscription found on the façade of the temple of Speos Artemidos.</w:t>
      </w:r>
      <w:r>
        <w:rPr>
          <w:rStyle w:val="FootnoteReference"/>
        </w:rPr>
        <w:footnoteReference w:id="150"/>
      </w:r>
      <w:r>
        <w:t xml:space="preserve">  Here, we can see Hatshepsut using historical references</w:t>
      </w:r>
      <w:r>
        <w:rPr>
          <w:rStyle w:val="FootnoteReference"/>
        </w:rPr>
        <w:footnoteReference w:id="151"/>
      </w:r>
      <w:r>
        <w:t xml:space="preserve"> in order to legitimise her role as Pharaoh in upholding </w:t>
      </w:r>
      <w:r>
        <w:rPr>
          <w:i/>
        </w:rPr>
        <w:t xml:space="preserve">maat. </w:t>
      </w:r>
      <w:r>
        <w:t>This set</w:t>
      </w:r>
      <w:r w:rsidR="008F0634">
        <w:t>s</w:t>
      </w:r>
      <w:r>
        <w:t xml:space="preserve"> a precedent for future Pharaohs to use public monuments as a medium for self-validation, creating a tradition that can be seen to take hold during the reigns of her successors.</w:t>
      </w:r>
      <w:r>
        <w:rPr>
          <w:rStyle w:val="FootnoteReference"/>
        </w:rPr>
        <w:footnoteReference w:id="152"/>
      </w:r>
      <w:r>
        <w:t xml:space="preserve"> The </w:t>
      </w:r>
      <w:r>
        <w:lastRenderedPageBreak/>
        <w:t>restoration inscription acknowledges the victory of Hatshepsut over the Hyksos and the re-establishment of control and order in the country</w:t>
      </w:r>
      <w:r w:rsidR="008F0634">
        <w:t>.</w:t>
      </w:r>
      <w:r>
        <w:rPr>
          <w:rStyle w:val="FootnoteReference"/>
        </w:rPr>
        <w:footnoteReference w:id="153"/>
      </w:r>
      <w:r>
        <w:t xml:space="preserve"> </w:t>
      </w:r>
      <w:r>
        <w:rPr>
          <w:i/>
        </w:rPr>
        <w:t xml:space="preserve"> </w:t>
      </w:r>
      <w:r>
        <w:t>Additionally, we can see here that Amun refers to her as the one foretold at the beginning of creation to restore the purity of the temple and to “recapture the perfection of the worlds origins”.</w:t>
      </w:r>
      <w:r>
        <w:rPr>
          <w:rStyle w:val="FootnoteReference"/>
        </w:rPr>
        <w:footnoteReference w:id="154"/>
      </w:r>
      <w:r>
        <w:t xml:space="preserve"> Here, Hatshepsut is tied to the moment of creation, a crucial moment in the existence of the Egyptian world. According to Bickel, this helps to cement the </w:t>
      </w:r>
      <w:r w:rsidR="00EB3CF5">
        <w:t>18</w:t>
      </w:r>
      <w:r w:rsidR="00EB3CF5" w:rsidRPr="00EB3CF5">
        <w:rPr>
          <w:vertAlign w:val="superscript"/>
        </w:rPr>
        <w:t>th</w:t>
      </w:r>
      <w:r w:rsidR="00EB3CF5">
        <w:t xml:space="preserve"> </w:t>
      </w:r>
      <w:r w:rsidR="000C76ED">
        <w:t>D</w:t>
      </w:r>
      <w:r>
        <w:t>ynasty as a central moment within history. With Hatshepsut’s reign we see a return to the moment of creation, the ideal condition of the world symbolising the return of a golden age under Hatshepsut.</w:t>
      </w:r>
      <w:r>
        <w:rPr>
          <w:rStyle w:val="FootnoteReference"/>
        </w:rPr>
        <w:footnoteReference w:id="155"/>
      </w:r>
      <w:r>
        <w:t xml:space="preserve"> We also see the recreation of </w:t>
      </w:r>
      <w:r w:rsidRPr="008F0634">
        <w:rPr>
          <w:i/>
          <w:iCs/>
        </w:rPr>
        <w:t>maat</w:t>
      </w:r>
      <w:r>
        <w:t xml:space="preserve"> here as Hatshepsut is tasked with restoring the temples back to their original form. By doing so, order is restored and the collapse of Egypt itself is avoided. Hatshepsut therefore embarks on a significant building campaign, the likes of which are uncontested in terms of creativity and innovation.  </w:t>
      </w:r>
    </w:p>
    <w:p w14:paraId="503AE0FB" w14:textId="77777777" w:rsidR="00060E63" w:rsidRPr="00EC575C" w:rsidRDefault="00060E63" w:rsidP="005C2027">
      <w:pPr>
        <w:spacing w:line="360" w:lineRule="auto"/>
        <w:rPr>
          <w:i/>
        </w:rPr>
      </w:pPr>
    </w:p>
    <w:p w14:paraId="1292313B" w14:textId="630C1B98" w:rsidR="00060E63" w:rsidRPr="00CF4564" w:rsidRDefault="00060E63" w:rsidP="00CF4564">
      <w:pPr>
        <w:pStyle w:val="Heading2"/>
        <w:numPr>
          <w:ilvl w:val="1"/>
          <w:numId w:val="19"/>
        </w:numPr>
        <w:spacing w:line="360" w:lineRule="auto"/>
        <w:rPr>
          <w:rFonts w:asciiTheme="minorHAnsi" w:hAnsiTheme="minorHAnsi"/>
          <w:color w:val="000000" w:themeColor="text1"/>
          <w:sz w:val="24"/>
          <w:szCs w:val="24"/>
          <w:u w:val="single"/>
        </w:rPr>
      </w:pPr>
      <w:bookmarkStart w:id="12" w:name="_Toc33821837"/>
      <w:r w:rsidRPr="00CF4564">
        <w:rPr>
          <w:rFonts w:asciiTheme="minorHAnsi" w:hAnsiTheme="minorHAnsi"/>
          <w:color w:val="000000" w:themeColor="text1"/>
          <w:sz w:val="24"/>
          <w:szCs w:val="24"/>
          <w:u w:val="single"/>
        </w:rPr>
        <w:t>The Creation of a New Design - The evolution of Architecture and Monumentality</w:t>
      </w:r>
      <w:bookmarkEnd w:id="12"/>
    </w:p>
    <w:p w14:paraId="0D775A4F" w14:textId="664AB63F" w:rsidR="00060E63" w:rsidRDefault="00060E63" w:rsidP="00CF4564">
      <w:pPr>
        <w:spacing w:line="360" w:lineRule="auto"/>
      </w:pPr>
      <w:r>
        <w:t>Spence argues that Egyptian Kings were fully aware of the impact that architecture could have and that they intended their buildings to both impress and astound.</w:t>
      </w:r>
      <w:r>
        <w:rPr>
          <w:rStyle w:val="FootnoteReference"/>
        </w:rPr>
        <w:footnoteReference w:id="156"/>
      </w:r>
      <w:r>
        <w:t xml:space="preserve">  This is evident within the reign of Hatshepsut where architectural styles were seen to evolve, becoming even more magnificent and sophisticated than before. The best-known example of this is her mortuary temple at Deir el–Bahri.  Some have argued that this is one of the greatest living monuments to a female in the ancient world.</w:t>
      </w:r>
      <w:r>
        <w:rPr>
          <w:rStyle w:val="FootnoteReference"/>
        </w:rPr>
        <w:footnoteReference w:id="157"/>
      </w:r>
      <w:r>
        <w:t xml:space="preserve"> By ferociously undertaking an extreme programme of building Hatshepsut is creating an Egypt where a female King can be seen and admired as the maintainer of </w:t>
      </w:r>
      <w:r w:rsidRPr="008F0634">
        <w:rPr>
          <w:i/>
          <w:iCs/>
        </w:rPr>
        <w:t xml:space="preserve">maat </w:t>
      </w:r>
      <w:r>
        <w:t>and saviour of Egypt itself. Hatshepsut also creates a new innovative approach to temple building</w:t>
      </w:r>
      <w:r w:rsidR="00554E26">
        <w:t>, stepping</w:t>
      </w:r>
      <w:r>
        <w:t xml:space="preserve"> away from earlier traditions and revitalising others.</w:t>
      </w:r>
      <w:r>
        <w:rPr>
          <w:rStyle w:val="FootnoteReference"/>
        </w:rPr>
        <w:footnoteReference w:id="158"/>
      </w:r>
      <w:r>
        <w:t xml:space="preserve"> As an unconventional King she adopted unconventional methods, creating a new dynamic within the art and architecture of the time. For example, Minoan influences are seen to exist when looking at the temple layout of Deir el-Bahri, a style that had not been seen before in mortuary complexes indicating a new approach.</w:t>
      </w:r>
      <w:r>
        <w:rPr>
          <w:rStyle w:val="FootnoteReference"/>
        </w:rPr>
        <w:footnoteReference w:id="159"/>
      </w:r>
      <w:r>
        <w:t xml:space="preserve"> This may </w:t>
      </w:r>
      <w:r>
        <w:lastRenderedPageBreak/>
        <w:t>have been as a result of increased trade at that time or growing political and social relationships between the Aegean and Egyptian courts</w:t>
      </w:r>
      <w:r w:rsidR="00554E26">
        <w:t>.</w:t>
      </w:r>
      <w:r>
        <w:rPr>
          <w:rStyle w:val="FootnoteReference"/>
        </w:rPr>
        <w:footnoteReference w:id="160"/>
      </w:r>
      <w:r>
        <w:t xml:space="preserve"> Either way, we can see the female-king is attempting to put her own stamp on Egyptian architecture </w:t>
      </w:r>
      <w:r w:rsidR="00554E26">
        <w:t xml:space="preserve">by </w:t>
      </w:r>
      <w:r>
        <w:t>us</w:t>
      </w:r>
      <w:r w:rsidR="00554E26">
        <w:t>ing</w:t>
      </w:r>
      <w:r>
        <w:t xml:space="preserve"> her position to the best of her ability. Creation as a cultural theme is highly evident here given the highly creative and innovative characteristics of her reign.</w:t>
      </w:r>
      <w:r>
        <w:rPr>
          <w:rStyle w:val="FootnoteReference"/>
        </w:rPr>
        <w:footnoteReference w:id="161"/>
      </w:r>
      <w:r>
        <w:t xml:space="preserve"> </w:t>
      </w:r>
    </w:p>
    <w:p w14:paraId="36D0532E" w14:textId="77777777" w:rsidR="00060E63" w:rsidRDefault="00060E63" w:rsidP="00FC6F8A">
      <w:pPr>
        <w:spacing w:line="360" w:lineRule="auto"/>
      </w:pPr>
    </w:p>
    <w:p w14:paraId="20C501A4" w14:textId="6E565365" w:rsidR="00060E63" w:rsidRDefault="00554E26" w:rsidP="00FC6F8A">
      <w:pPr>
        <w:spacing w:line="360" w:lineRule="auto"/>
      </w:pPr>
      <w:r>
        <w:t xml:space="preserve">Furthermore, </w:t>
      </w:r>
      <w:r w:rsidR="00060E63">
        <w:t>Hatshepsut succeeded in creating a new medium through which religious expression could be found</w:t>
      </w:r>
      <w:r>
        <w:t xml:space="preserve"> and theology expressed</w:t>
      </w:r>
      <w:r w:rsidR="00060E63">
        <w:t>. Hatshepsut is credited with the transformation of Amun-Ra’s role within Egyptian religion, signifying his importance within the New Kingdom.</w:t>
      </w:r>
      <w:r w:rsidR="00060E63">
        <w:rPr>
          <w:rStyle w:val="FootnoteReference"/>
        </w:rPr>
        <w:footnoteReference w:id="162"/>
      </w:r>
      <w:r w:rsidR="00060E63">
        <w:t xml:space="preserve"> The first ever depiction of the Opet festival reaffirms his importance within state cult, and so does the emphasis on the restoration and conversion of the temple of Karnak.</w:t>
      </w:r>
      <w:r w:rsidR="00060E63">
        <w:rPr>
          <w:rStyle w:val="FootnoteReference"/>
        </w:rPr>
        <w:footnoteReference w:id="163"/>
      </w:r>
      <w:r w:rsidR="00060E63">
        <w:t xml:space="preserve"> Here we can see the creation of a reciprocal relationship between a king and his god. We also see the creation of a new state festival where the annual rebirth of the king through Amun-Ra was celebrated.</w:t>
      </w:r>
      <w:r w:rsidR="00060E63">
        <w:rPr>
          <w:rStyle w:val="FootnoteReference"/>
        </w:rPr>
        <w:footnoteReference w:id="164"/>
      </w:r>
      <w:r w:rsidR="00060E63">
        <w:t xml:space="preserve"> Hatshepsut creates a climate in which the cult of Amun-Ra can grow in power and influence, thus influencing state religion.  The monuments themselves were just as important in showing the religious beliefs of the country as the written word itself.</w:t>
      </w:r>
    </w:p>
    <w:p w14:paraId="40DCBEBB" w14:textId="77777777" w:rsidR="00060E63" w:rsidRDefault="00060E63" w:rsidP="00FC6F8A">
      <w:pPr>
        <w:spacing w:line="360" w:lineRule="auto"/>
        <w:jc w:val="center"/>
        <w:rPr>
          <w:u w:val="single"/>
        </w:rPr>
      </w:pPr>
    </w:p>
    <w:p w14:paraId="2E8CF2F2" w14:textId="51C277FA" w:rsidR="00060E63" w:rsidRPr="00CF4564" w:rsidRDefault="00060E63" w:rsidP="00CF4564">
      <w:pPr>
        <w:pStyle w:val="Heading2"/>
        <w:numPr>
          <w:ilvl w:val="1"/>
          <w:numId w:val="19"/>
        </w:numPr>
        <w:spacing w:line="360" w:lineRule="auto"/>
        <w:rPr>
          <w:rFonts w:asciiTheme="minorHAnsi" w:hAnsiTheme="minorHAnsi"/>
          <w:color w:val="000000" w:themeColor="text1"/>
          <w:sz w:val="24"/>
          <w:szCs w:val="24"/>
          <w:u w:val="single"/>
        </w:rPr>
      </w:pPr>
      <w:bookmarkStart w:id="13" w:name="_Toc33821838"/>
      <w:r w:rsidRPr="00CF4564">
        <w:rPr>
          <w:rFonts w:asciiTheme="minorHAnsi" w:hAnsiTheme="minorHAnsi"/>
          <w:color w:val="000000" w:themeColor="text1"/>
          <w:sz w:val="24"/>
          <w:szCs w:val="24"/>
          <w:u w:val="single"/>
        </w:rPr>
        <w:t xml:space="preserve">The </w:t>
      </w:r>
      <w:r w:rsidR="00CF4564" w:rsidRPr="00CF4564">
        <w:rPr>
          <w:rFonts w:asciiTheme="minorHAnsi" w:hAnsiTheme="minorHAnsi"/>
          <w:color w:val="000000" w:themeColor="text1"/>
          <w:sz w:val="24"/>
          <w:szCs w:val="24"/>
          <w:u w:val="single"/>
        </w:rPr>
        <w:t>C</w:t>
      </w:r>
      <w:r w:rsidRPr="00CF4564">
        <w:rPr>
          <w:rFonts w:asciiTheme="minorHAnsi" w:hAnsiTheme="minorHAnsi"/>
          <w:color w:val="000000" w:themeColor="text1"/>
          <w:sz w:val="24"/>
          <w:szCs w:val="24"/>
          <w:u w:val="single"/>
        </w:rPr>
        <w:t xml:space="preserve">reation of a </w:t>
      </w:r>
      <w:r w:rsidR="00CF4564" w:rsidRPr="00CF4564">
        <w:rPr>
          <w:rFonts w:asciiTheme="minorHAnsi" w:hAnsiTheme="minorHAnsi"/>
          <w:color w:val="000000" w:themeColor="text1"/>
          <w:sz w:val="24"/>
          <w:szCs w:val="24"/>
          <w:u w:val="single"/>
        </w:rPr>
        <w:t>N</w:t>
      </w:r>
      <w:r w:rsidRPr="00CF4564">
        <w:rPr>
          <w:rFonts w:asciiTheme="minorHAnsi" w:hAnsiTheme="minorHAnsi"/>
          <w:color w:val="000000" w:themeColor="text1"/>
          <w:sz w:val="24"/>
          <w:szCs w:val="24"/>
          <w:u w:val="single"/>
        </w:rPr>
        <w:t xml:space="preserve">ew </w:t>
      </w:r>
      <w:r w:rsidR="00CF4564" w:rsidRPr="00CF4564">
        <w:rPr>
          <w:rFonts w:asciiTheme="minorHAnsi" w:hAnsiTheme="minorHAnsi"/>
          <w:color w:val="000000" w:themeColor="text1"/>
          <w:sz w:val="24"/>
          <w:szCs w:val="24"/>
          <w:u w:val="single"/>
        </w:rPr>
        <w:t>I</w:t>
      </w:r>
      <w:r w:rsidRPr="00CF4564">
        <w:rPr>
          <w:rFonts w:asciiTheme="minorHAnsi" w:hAnsiTheme="minorHAnsi"/>
          <w:color w:val="000000" w:themeColor="text1"/>
          <w:sz w:val="24"/>
          <w:szCs w:val="24"/>
          <w:u w:val="single"/>
        </w:rPr>
        <w:t>mage</w:t>
      </w:r>
      <w:bookmarkEnd w:id="13"/>
    </w:p>
    <w:p w14:paraId="7050E821" w14:textId="365E5A29" w:rsidR="00060E63" w:rsidRDefault="00060E63" w:rsidP="00FC6F8A">
      <w:pPr>
        <w:spacing w:line="360" w:lineRule="auto"/>
      </w:pPr>
      <w:r>
        <w:t>Not only did Hatshepsut show innovation through her famous building program, but also creativity when dealing with Pharaonic iconography and image. Throughout Egyptian history, it is evident</w:t>
      </w:r>
      <w:r w:rsidR="00554E26">
        <w:t xml:space="preserve"> that</w:t>
      </w:r>
      <w:r>
        <w:t xml:space="preserve"> Pharaohs </w:t>
      </w:r>
      <w:r w:rsidR="00554E26">
        <w:t xml:space="preserve">claimed their legitimacy to rule </w:t>
      </w:r>
      <w:r>
        <w:t>through marriage to royal women, where an unrelated male or half sibling could claim their right to rule.</w:t>
      </w:r>
      <w:r>
        <w:rPr>
          <w:rStyle w:val="FootnoteReference"/>
        </w:rPr>
        <w:footnoteReference w:id="165"/>
      </w:r>
      <w:r>
        <w:t xml:space="preserve"> This can be seen throughout the dynasty, including Hatshepsut’s marriage to her half-brother Thutmose II. Nevertheless, these women were also defined by their relationships, and their power within the kingship was limited to their roles as wives and mothers. In order for Hatshepsut </w:t>
      </w:r>
      <w:r>
        <w:lastRenderedPageBreak/>
        <w:t>to create a new image for herself, she had to step away from her image as queen regent.</w:t>
      </w:r>
      <w:r>
        <w:rPr>
          <w:rStyle w:val="FootnoteReference"/>
        </w:rPr>
        <w:footnoteReference w:id="166"/>
      </w:r>
      <w:r>
        <w:t xml:space="preserve"> We can see that the creation of this new image however evolved gradually</w:t>
      </w:r>
      <w:r w:rsidR="00554E26">
        <w:t xml:space="preserve"> when examining the</w:t>
      </w:r>
      <w:r>
        <w:t xml:space="preserve"> archaeological evidence available.</w:t>
      </w:r>
      <w:r>
        <w:rPr>
          <w:rStyle w:val="FootnoteReference"/>
        </w:rPr>
        <w:footnoteReference w:id="167"/>
      </w:r>
    </w:p>
    <w:p w14:paraId="6AE63F5C" w14:textId="77777777" w:rsidR="00060E63" w:rsidRDefault="00060E63" w:rsidP="00FC6F8A">
      <w:pPr>
        <w:spacing w:line="360" w:lineRule="auto"/>
      </w:pPr>
    </w:p>
    <w:p w14:paraId="1E19928D" w14:textId="15AC140C" w:rsidR="00060E63" w:rsidRDefault="00060E63" w:rsidP="00FC6F8A">
      <w:pPr>
        <w:spacing w:line="360" w:lineRule="auto"/>
      </w:pPr>
      <w:r>
        <w:t>At the beginning</w:t>
      </w:r>
      <w:r w:rsidR="00554E26">
        <w:t>,</w:t>
      </w:r>
      <w:r>
        <w:t xml:space="preserve"> Hatshepsut was depicted as a queen. Then, </w:t>
      </w:r>
      <w:r w:rsidR="00554E26">
        <w:t xml:space="preserve">following the style of her predecessor </w:t>
      </w:r>
      <w:r>
        <w:t>Sobekneferu, Hatshepsut began depicting herself as a female dressed in male regalia. Here we can see the promotion of a different type of Pharaonic identity, gradually addressing the connections between gender and kingship.</w:t>
      </w:r>
      <w:r>
        <w:rPr>
          <w:rStyle w:val="FootnoteReference"/>
        </w:rPr>
        <w:footnoteReference w:id="168"/>
      </w:r>
      <w:r>
        <w:t xml:space="preserve"> The images were androgynous, celebrating both the female and male aspects of kingship, where the Pharaoh was both mother and father to Egypt.</w:t>
      </w:r>
      <w:r>
        <w:rPr>
          <w:rStyle w:val="FootnoteReference"/>
        </w:rPr>
        <w:footnoteReference w:id="169"/>
      </w:r>
      <w:r>
        <w:t xml:space="preserve"> Androgyny was also seen as a characteristic of creator gods, which could explain why it is present within Hatshepsut’s iconography, as the Pharaoh was seen to be the living image of Amun.</w:t>
      </w:r>
      <w:r>
        <w:rPr>
          <w:rStyle w:val="FootnoteReference"/>
        </w:rPr>
        <w:footnoteReference w:id="170"/>
      </w:r>
      <w:r>
        <w:t xml:space="preserve"> </w:t>
      </w:r>
      <w:r w:rsidR="00554E26">
        <w:t>Nevertheless</w:t>
      </w:r>
      <w:r>
        <w:t>, Hatshepsut disposed of this hybrid image</w:t>
      </w:r>
      <w:r w:rsidR="00554E26">
        <w:t xml:space="preserve"> eventually</w:t>
      </w:r>
      <w:r>
        <w:t xml:space="preserve"> and decided instead to depict herself as a male pharaoh.</w:t>
      </w:r>
      <w:r>
        <w:rPr>
          <w:rStyle w:val="FootnoteReference"/>
        </w:rPr>
        <w:footnoteReference w:id="171"/>
      </w:r>
      <w:r>
        <w:t xml:space="preserve"> Traditional templates for </w:t>
      </w:r>
      <w:r w:rsidR="00554E26">
        <w:t>artworks depicting the king</w:t>
      </w:r>
      <w:r>
        <w:t xml:space="preserve"> were ultimately masculine, </w:t>
      </w:r>
      <w:r w:rsidR="00554E26">
        <w:t xml:space="preserve">therefore, </w:t>
      </w:r>
      <w:r>
        <w:t>Hatshepsut had to find a way of incorporating herself into the royal narrative without disrupting the balance.</w:t>
      </w:r>
      <w:r>
        <w:rPr>
          <w:rStyle w:val="FootnoteReference"/>
        </w:rPr>
        <w:footnoteReference w:id="172"/>
      </w:r>
      <w:r>
        <w:t xml:space="preserve"> By using traditional masculine iconography for the Pharaoh, it meant the Egyptians would be able to identify them easily within art and architectural forms. As literacy was rare</w:t>
      </w:r>
      <w:r>
        <w:rPr>
          <w:rStyle w:val="FootnoteReference"/>
        </w:rPr>
        <w:footnoteReference w:id="173"/>
      </w:r>
      <w:r>
        <w:t>, it meant that the illiterate could still understand the depictions and what they meant without struggling to read the epithets attached. The image itself functioned as a hieroglyph almost</w:t>
      </w:r>
      <w:r w:rsidR="00554E26">
        <w:t>.</w:t>
      </w:r>
      <w:r>
        <w:rPr>
          <w:rStyle w:val="FootnoteReference"/>
        </w:rPr>
        <w:footnoteReference w:id="174"/>
      </w:r>
      <w:r>
        <w:t xml:space="preserve"> Was this, however, considered trickery? Or was Hatshepsut simply conforming to an old tradition of kingship. Rather than destroy an old artistic convention, Hatshepsut recreates her</w:t>
      </w:r>
      <w:r w:rsidR="00554E26">
        <w:t>self</w:t>
      </w:r>
      <w:r>
        <w:t xml:space="preserve"> in order to fit in</w:t>
      </w:r>
      <w:r w:rsidR="00554E26">
        <w:t xml:space="preserve"> with it</w:t>
      </w:r>
      <w:r>
        <w:t xml:space="preserve">, showing respect for the tradition whilst demonstrating her ability to work around such constraints. Additionally, we see the creation of new image in order to fit in with the status quo. </w:t>
      </w:r>
      <w:r>
        <w:lastRenderedPageBreak/>
        <w:t xml:space="preserve">Hatshepsut had to sacrifice her old image in order to recreate herself as the heir of Amun and the legitimate successor to the throne. By depicting herself as a woman she falls into the trap of people still seeing her as the queen regent or the wife of Thutmose II. By discarding this image, she severs all ties with her previous roles and ultimately forms a new rhetoric in terms of her kingship. </w:t>
      </w:r>
    </w:p>
    <w:p w14:paraId="5617F4E0" w14:textId="77777777" w:rsidR="00060E63" w:rsidRDefault="00060E63" w:rsidP="00FC6F8A">
      <w:pPr>
        <w:spacing w:line="360" w:lineRule="auto"/>
      </w:pPr>
    </w:p>
    <w:p w14:paraId="701A246B" w14:textId="137DE240" w:rsidR="00060E63" w:rsidRDefault="00060E63" w:rsidP="00FC6F8A">
      <w:pPr>
        <w:spacing w:line="360" w:lineRule="auto"/>
      </w:pPr>
      <w:r>
        <w:t>Hatshepsut also</w:t>
      </w:r>
      <w:r w:rsidR="00554E26">
        <w:t xml:space="preserve"> had</w:t>
      </w:r>
      <w:r>
        <w:t xml:space="preserve"> to deal with the concept of dualism within the monarchy. Traditionally, a king is often depicted with his Queen in order to represent the duality of the Egyptian throne, where both masculine and feminine aspects are celebrated. As a female-king, Hatshepsut deals with this predicament in a variety of ways. The eventual representation of herself as a male Pharaoh deals with the masculine aspect of the kingship. Her titles however are feminine, publicly </w:t>
      </w:r>
      <w:r w:rsidR="000A1516">
        <w:t>announcing</w:t>
      </w:r>
      <w:r>
        <w:t xml:space="preserve"> her identity as a woman.</w:t>
      </w:r>
      <w:r>
        <w:rPr>
          <w:rStyle w:val="FootnoteReference"/>
        </w:rPr>
        <w:footnoteReference w:id="175"/>
      </w:r>
      <w:r>
        <w:t xml:space="preserve"> By attaching these titles to her masculine depictions, she is legitimising herself as King whilst staying true to herself as a woman.  </w:t>
      </w:r>
      <w:r w:rsidR="000A1516">
        <w:t>Even though t</w:t>
      </w:r>
      <w:r>
        <w:t>he two aspects contradict each other</w:t>
      </w:r>
      <w:r w:rsidR="000A1516">
        <w:t>,</w:t>
      </w:r>
      <w:r>
        <w:t xml:space="preserve"> </w:t>
      </w:r>
      <w:r w:rsidR="000A1516">
        <w:t>they also</w:t>
      </w:r>
      <w:r>
        <w:t xml:space="preserve"> create</w:t>
      </w:r>
      <w:r w:rsidR="000A1516">
        <w:t xml:space="preserve"> the idea of</w:t>
      </w:r>
      <w:r>
        <w:t xml:space="preserve"> dualism.</w:t>
      </w:r>
      <w:r>
        <w:rPr>
          <w:rStyle w:val="FootnoteReference"/>
        </w:rPr>
        <w:footnoteReference w:id="176"/>
      </w:r>
      <w:r>
        <w:t xml:space="preserve"> The queen</w:t>
      </w:r>
      <w:r w:rsidR="000A1516">
        <w:t>,</w:t>
      </w:r>
      <w:r>
        <w:t xml:space="preserve"> therefore</w:t>
      </w:r>
      <w:r w:rsidR="000A1516">
        <w:t>,</w:t>
      </w:r>
      <w:r>
        <w:t xml:space="preserve"> is able to depict herself on monuments alone, representing both the female and male aspects of the throne</w:t>
      </w:r>
      <w:r w:rsidR="000A1516">
        <w:t>.</w:t>
      </w:r>
      <w:r>
        <w:rPr>
          <w:rStyle w:val="FootnoteReference"/>
        </w:rPr>
        <w:footnoteReference w:id="177"/>
      </w:r>
      <w:r>
        <w:t xml:space="preserve">  Additionally, in order to </w:t>
      </w:r>
      <w:r w:rsidR="000A1516">
        <w:t xml:space="preserve">further </w:t>
      </w:r>
      <w:r>
        <w:t xml:space="preserve">appease the dualistic nature of </w:t>
      </w:r>
      <w:r w:rsidR="000A1516">
        <w:t>the throne</w:t>
      </w:r>
      <w:r>
        <w:t>, Hatshepsut hands over the traditional duties of the king’s great wife to her daughter, who adopts the role of God’s Wife of Amun.</w:t>
      </w:r>
      <w:r>
        <w:rPr>
          <w:rStyle w:val="FootnoteReference"/>
        </w:rPr>
        <w:footnoteReference w:id="178"/>
      </w:r>
      <w:r>
        <w:t xml:space="preserve"> Here we can see tradition</w:t>
      </w:r>
      <w:r w:rsidR="000A1516">
        <w:t xml:space="preserve"> is</w:t>
      </w:r>
      <w:r>
        <w:t xml:space="preserve"> being shaped</w:t>
      </w:r>
      <w:r w:rsidR="000A1516">
        <w:t>,</w:t>
      </w:r>
      <w:r>
        <w:t xml:space="preserve"> again</w:t>
      </w:r>
      <w:r w:rsidR="000A1516">
        <w:t>,</w:t>
      </w:r>
      <w:r>
        <w:t xml:space="preserve"> to fit in with the circumstances of the ruler themselves </w:t>
      </w:r>
    </w:p>
    <w:p w14:paraId="1FF63954" w14:textId="77777777" w:rsidR="000A1516" w:rsidRDefault="000A1516" w:rsidP="005C2027">
      <w:pPr>
        <w:spacing w:line="360" w:lineRule="auto"/>
      </w:pPr>
    </w:p>
    <w:p w14:paraId="6C662930" w14:textId="1CE6743E" w:rsidR="00060E63" w:rsidRDefault="00060E63" w:rsidP="005C2027">
      <w:pPr>
        <w:spacing w:line="360" w:lineRule="auto"/>
      </w:pPr>
      <w:r>
        <w:t>We also see the creation of a new form of dualism when dealing with the co-regency. It would have been a challenge for Hatshepsut to address the image of Pharaoh as the unifier and ruler of all Egypt when her rule exists within a co-regency. According to Davies</w:t>
      </w:r>
      <w:r>
        <w:rPr>
          <w:rStyle w:val="FootnoteReference"/>
        </w:rPr>
        <w:footnoteReference w:id="179"/>
      </w:r>
      <w:r>
        <w:t xml:space="preserve"> the “plurality of Kings” ultimately interferes with the dualistic symbolism of the crown. Nevertheless, Hatshepsut overcomes this by using iconography to advertise the roles both kings played within the Kingship. For example, when examining the regalia worn by both </w:t>
      </w:r>
      <w:r>
        <w:lastRenderedPageBreak/>
        <w:t>monarchs, we can see that certain images were used to symbolise the duality of the Kingship. In one image we see Hatshepsut wearing the white crown of Egypt and Thutmose III wearing the red crown. Some would argue that this is to symbolise Hatshepsut’s superiority, however Davies would argue that this is not a representation of the hierarchy but an image representing the dualism of the co-regency.</w:t>
      </w:r>
      <w:r w:rsidR="00F4185A" w:rsidRPr="00F4185A">
        <w:rPr>
          <w:rStyle w:val="FootnoteReference"/>
        </w:rPr>
        <w:t xml:space="preserve"> </w:t>
      </w:r>
      <w:r w:rsidR="00F4185A">
        <w:rPr>
          <w:rStyle w:val="FootnoteReference"/>
        </w:rPr>
        <w:footnoteReference w:id="180"/>
      </w:r>
      <w:r>
        <w:t xml:space="preserve"> These crowns, when combined, symbolise the fusion of upper and lower Egypt, highlighting to us an equal co-regency where both kings play a part in the unification of the land. This is one of the many examples of how Hatshepsut uses the co-regency to her advantage in creating a new image for herself as a legitimate ruler.</w:t>
      </w:r>
      <w:r>
        <w:rPr>
          <w:rStyle w:val="FootnoteReference"/>
        </w:rPr>
        <w:footnoteReference w:id="181"/>
      </w:r>
      <w:r>
        <w:t xml:space="preserve"> </w:t>
      </w:r>
    </w:p>
    <w:p w14:paraId="264708EE" w14:textId="77777777" w:rsidR="00060E63" w:rsidRDefault="00060E63" w:rsidP="005C2027">
      <w:pPr>
        <w:spacing w:line="360" w:lineRule="auto"/>
      </w:pPr>
    </w:p>
    <w:p w14:paraId="2362B5A6" w14:textId="4440739F" w:rsidR="00060E63" w:rsidRPr="00CF4564" w:rsidRDefault="00060E63" w:rsidP="00CF4564">
      <w:pPr>
        <w:pStyle w:val="Heading2"/>
        <w:numPr>
          <w:ilvl w:val="1"/>
          <w:numId w:val="19"/>
        </w:numPr>
        <w:spacing w:line="360" w:lineRule="auto"/>
        <w:rPr>
          <w:rFonts w:asciiTheme="minorHAnsi" w:hAnsiTheme="minorHAnsi"/>
          <w:color w:val="000000" w:themeColor="text1"/>
          <w:sz w:val="24"/>
          <w:szCs w:val="24"/>
          <w:u w:val="single"/>
        </w:rPr>
      </w:pPr>
      <w:bookmarkStart w:id="14" w:name="_Toc33821839"/>
      <w:r w:rsidRPr="00CF4564">
        <w:rPr>
          <w:rFonts w:asciiTheme="minorHAnsi" w:hAnsiTheme="minorHAnsi"/>
          <w:color w:val="000000" w:themeColor="text1"/>
          <w:sz w:val="24"/>
          <w:szCs w:val="24"/>
          <w:u w:val="single"/>
        </w:rPr>
        <w:t>The Creation of a Divine Identity</w:t>
      </w:r>
      <w:bookmarkEnd w:id="14"/>
    </w:p>
    <w:p w14:paraId="1CDF77B3" w14:textId="00A3E7EF" w:rsidR="00060E63" w:rsidRDefault="00060E63" w:rsidP="005C2027">
      <w:pPr>
        <w:spacing w:line="360" w:lineRule="auto"/>
      </w:pPr>
      <w:r>
        <w:t>It has been argued previously within this discussion</w:t>
      </w:r>
      <w:r w:rsidR="00F4185A">
        <w:rPr>
          <w:rStyle w:val="FootnoteReference"/>
        </w:rPr>
        <w:footnoteReference w:id="182"/>
      </w:r>
      <w:r>
        <w:t xml:space="preserve"> that in order for Hatshepsut to succeed as a legitimate Pharaoh, she may have had to discard her old image as mother and wife.</w:t>
      </w:r>
      <w:r>
        <w:rPr>
          <w:rStyle w:val="FootnoteReference"/>
        </w:rPr>
        <w:footnoteReference w:id="183"/>
      </w:r>
      <w:r>
        <w:t xml:space="preserve"> In doing so</w:t>
      </w:r>
      <w:r w:rsidR="00F4185A">
        <w:t xml:space="preserve">, </w:t>
      </w:r>
      <w:r>
        <w:t>she distanced herself from the traditional patriarchal views of Egyptian society on the role of royal women. However, there is a counter argument to this. Roth believes that not only did she model her role on historic male kings but also considered the power and importance of other offices such as King’s Mother and Queen Regent in order to legitimise her claim to the throne.</w:t>
      </w:r>
      <w:r>
        <w:rPr>
          <w:rStyle w:val="FootnoteReference"/>
        </w:rPr>
        <w:footnoteReference w:id="184"/>
      </w:r>
      <w:r>
        <w:t xml:space="preserve">  Hatshepsut is seen to embody all these feminine groups, styling herself as divine daughter, mother and wife by aligning herself with certain divinities who are famous for those attributes. Is this another way of highlighting how important the feminist role is within the kingship? Hatshepsut is perhaps creating an environment where the feminine aspect of the kingship is not only acknowledged but openly celebrated. We can see three particular deities when dealing with Hatshepsut’s ideology; Maat, Mut and Hathor. </w:t>
      </w:r>
    </w:p>
    <w:p w14:paraId="43FFD210" w14:textId="77777777" w:rsidR="00060E63" w:rsidRDefault="00060E63" w:rsidP="00FC6F8A">
      <w:pPr>
        <w:spacing w:line="360" w:lineRule="auto"/>
      </w:pPr>
    </w:p>
    <w:p w14:paraId="482A86F4" w14:textId="129F54DD" w:rsidR="00060E63" w:rsidRDefault="00060E63" w:rsidP="00FC6F8A">
      <w:pPr>
        <w:spacing w:line="360" w:lineRule="auto"/>
      </w:pPr>
      <w:r>
        <w:lastRenderedPageBreak/>
        <w:t xml:space="preserve">Maat is one of the most visible deities within Hatshepsut’s legitimisation programme. When taking the throne name “Maatkare”, she made it publicly clear her association with the goddess. Her cartouche, wherever it was carved, was consistently accompanied by an image of Maat as the goddess. Again, this ensured that even the illiterate could associate the female-King with the deity herself. It also emphasised the role of </w:t>
      </w:r>
      <w:r w:rsidRPr="008F0634">
        <w:rPr>
          <w:i/>
          <w:iCs/>
        </w:rPr>
        <w:t>maat</w:t>
      </w:r>
      <w:r>
        <w:t xml:space="preserve"> within the kingdom and how it manifested as the will of god through the rule of the King.</w:t>
      </w:r>
      <w:r>
        <w:rPr>
          <w:rStyle w:val="FootnoteReference"/>
        </w:rPr>
        <w:footnoteReference w:id="185"/>
      </w:r>
      <w:r>
        <w:t xml:space="preserve"> Therefore, one could argue that instead of merely upholding </w:t>
      </w:r>
      <w:r w:rsidRPr="008F0634">
        <w:rPr>
          <w:i/>
          <w:iCs/>
        </w:rPr>
        <w:t>maat</w:t>
      </w:r>
      <w:r>
        <w:t xml:space="preserve"> she has embodied</w:t>
      </w:r>
      <w:r w:rsidR="00F4185A">
        <w:rPr>
          <w:i/>
          <w:iCs/>
        </w:rPr>
        <w:t xml:space="preserve"> </w:t>
      </w:r>
      <w:r w:rsidR="00F4185A">
        <w:t>Maat herself</w:t>
      </w:r>
      <w:r>
        <w:t>.</w:t>
      </w:r>
      <w:r>
        <w:rPr>
          <w:rStyle w:val="FootnoteReference"/>
        </w:rPr>
        <w:footnoteReference w:id="186"/>
      </w:r>
      <w:r>
        <w:t xml:space="preserve"> One could even go as far as to argue that the coronation of Hatshepsut meant the coronation of Maat. </w:t>
      </w:r>
      <w:r w:rsidRPr="008F0634">
        <w:rPr>
          <w:i/>
          <w:iCs/>
        </w:rPr>
        <w:t>Maat</w:t>
      </w:r>
      <w:r>
        <w:t xml:space="preserve"> in its basic principle is the governing force of Egypt itself therefore the association legitimises Hatshepsut’s claim to the throne. Additionally, as Maat was seen as the daughter of Amun-Ra in her deified state, perhaps this is another way of affirming Hatshepsut’s divine parentage.  Here we see the creation of religious propaganda as a political tool. By allying herself with the goddess, Hatshepsut has further emphasised her legitimacy by using myth to harness political power.</w:t>
      </w:r>
    </w:p>
    <w:p w14:paraId="228821FF" w14:textId="77777777" w:rsidR="00060E63" w:rsidRDefault="00060E63" w:rsidP="00FC6F8A">
      <w:pPr>
        <w:spacing w:line="360" w:lineRule="auto"/>
      </w:pPr>
      <w:r>
        <w:t xml:space="preserve"> </w:t>
      </w:r>
    </w:p>
    <w:p w14:paraId="5B8D07EE" w14:textId="1D758B52" w:rsidR="00060E63" w:rsidRDefault="00060E63" w:rsidP="00FC6F8A">
      <w:pPr>
        <w:spacing w:line="360" w:lineRule="auto"/>
      </w:pPr>
      <w:r>
        <w:t>It is also interesting to see the evolution of the goddess Mut within Hatshepsut’s reign. Mut was known as the divine wife of Amun</w:t>
      </w:r>
      <w:r>
        <w:rPr>
          <w:rStyle w:val="FootnoteReference"/>
        </w:rPr>
        <w:footnoteReference w:id="187"/>
      </w:r>
      <w:r>
        <w:t xml:space="preserve"> and mother of Khonsu, together forming the Theban triad.  Hatshepsut’s mother Ahmose was seen to be her earthly embodiment and Hatshepsut her offspring. Again, Hatshepsut is creating an important mythological background for herself in order to legitimise her claim to the throne. She is also the first Pharaoh </w:t>
      </w:r>
      <w:r w:rsidR="00F4185A">
        <w:t xml:space="preserve">who claims </w:t>
      </w:r>
      <w:r>
        <w:t>to be the offspring of two divine entities, Amun-Ra and Mut.</w:t>
      </w:r>
      <w:r>
        <w:rPr>
          <w:rStyle w:val="FootnoteReference"/>
        </w:rPr>
        <w:footnoteReference w:id="188"/>
      </w:r>
      <w:r>
        <w:t xml:space="preserve"> This is important as we can see a future Pharaonic tradition</w:t>
      </w:r>
      <w:r w:rsidR="00F4185A">
        <w:t xml:space="preserve"> </w:t>
      </w:r>
      <w:r>
        <w:t>created here.</w:t>
      </w:r>
      <w:r w:rsidR="00F4185A">
        <w:t xml:space="preserve"> It is therefore evident, that</w:t>
      </w:r>
      <w:r>
        <w:t xml:space="preserve"> </w:t>
      </w:r>
      <w:r w:rsidR="00F4185A">
        <w:t>t</w:t>
      </w:r>
      <w:r>
        <w:t xml:space="preserve">he mythological background of the kingship is being altered to suit the needs of a particular Pharaoh. </w:t>
      </w:r>
      <w:r w:rsidR="00F4185A">
        <w:t>Furthermore, the</w:t>
      </w:r>
      <w:r>
        <w:t xml:space="preserve"> importance of motherhood is emphasised here, given</w:t>
      </w:r>
      <w:r w:rsidR="00F4185A">
        <w:t xml:space="preserve"> </w:t>
      </w:r>
      <w:r>
        <w:t>that Mut was seen to be the ultimate divine “mother of Egypt”. By association with Mut, Hatshepsut may be highlighting her royal position, not only as father to Egypt, but also as mother.</w:t>
      </w:r>
    </w:p>
    <w:p w14:paraId="4C761C90" w14:textId="77777777" w:rsidR="00060E63" w:rsidRDefault="00060E63" w:rsidP="00FC6F8A">
      <w:pPr>
        <w:spacing w:line="360" w:lineRule="auto"/>
      </w:pPr>
    </w:p>
    <w:p w14:paraId="6A3297C0" w14:textId="08AC71B4" w:rsidR="00060E63" w:rsidRDefault="00060E63" w:rsidP="00FC6F8A">
      <w:pPr>
        <w:spacing w:line="360" w:lineRule="auto"/>
      </w:pPr>
      <w:r>
        <w:lastRenderedPageBreak/>
        <w:t>Links with the goddess Hathor are also attested to within the iconography of Hatshepsut. Again,</w:t>
      </w:r>
      <w:r w:rsidR="00F4185A">
        <w:t xml:space="preserve"> the theme of</w:t>
      </w:r>
      <w:r>
        <w:t xml:space="preserve"> motherhood is stressed here</w:t>
      </w:r>
      <w:r w:rsidR="00F4185A">
        <w:t xml:space="preserve">, especially when considering the </w:t>
      </w:r>
      <w:r>
        <w:t xml:space="preserve">depictions at Deir el-Bahri </w:t>
      </w:r>
      <w:r w:rsidR="00F4185A">
        <w:t>where</w:t>
      </w:r>
      <w:r>
        <w:t xml:space="preserve"> Hatshepsut </w:t>
      </w:r>
      <w:r w:rsidR="00F4185A">
        <w:t xml:space="preserve">is pictured </w:t>
      </w:r>
      <w:r>
        <w:t>suckling from the divine cow. Here</w:t>
      </w:r>
      <w:r w:rsidR="00F4185A">
        <w:t>,</w:t>
      </w:r>
      <w:r>
        <w:t xml:space="preserve"> Hatshepsut is receiving the gifts of life, strength and power. Thus, we can see Hatshepsut is using</w:t>
      </w:r>
      <w:r w:rsidR="00F4185A">
        <w:t xml:space="preserve"> Hathor as a mother figure who provides her with the strength and power to rule as King</w:t>
      </w:r>
      <w:r>
        <w:t>. Additionally, Hathor is referred to as a “diadem goddess”, identifying her with the power and authority of the crown. Here we see links with the mother goddess Mut who is also known as “mistress of the crowns”.</w:t>
      </w:r>
      <w:r>
        <w:rPr>
          <w:rStyle w:val="FootnoteReference"/>
        </w:rPr>
        <w:footnoteReference w:id="189"/>
      </w:r>
      <w:r>
        <w:t xml:space="preserve"> Hathor is present during the coronation of Hatshepsut where she presents the crowns that symbolise her authority over Egypt.</w:t>
      </w:r>
      <w:r>
        <w:rPr>
          <w:rStyle w:val="FootnoteReference"/>
        </w:rPr>
        <w:footnoteReference w:id="190"/>
      </w:r>
      <w:r>
        <w:t xml:space="preserve"> By advertising how these deities personify royal power, Hatshepsut creates a platform where feminine power can be promoted, legitimising her place within the kingship. </w:t>
      </w:r>
    </w:p>
    <w:p w14:paraId="31F49FFB" w14:textId="77777777" w:rsidR="00060E63" w:rsidRPr="00EC575C" w:rsidRDefault="00060E63" w:rsidP="00FC6F8A">
      <w:pPr>
        <w:spacing w:line="360" w:lineRule="auto"/>
      </w:pPr>
    </w:p>
    <w:p w14:paraId="6A33AFDF" w14:textId="769B8C7A" w:rsidR="00060E63" w:rsidRPr="00CF4564" w:rsidRDefault="00060E63" w:rsidP="00CF4564">
      <w:pPr>
        <w:pStyle w:val="Heading2"/>
        <w:numPr>
          <w:ilvl w:val="1"/>
          <w:numId w:val="19"/>
        </w:numPr>
        <w:spacing w:line="360" w:lineRule="auto"/>
        <w:rPr>
          <w:rFonts w:asciiTheme="minorHAnsi" w:hAnsiTheme="minorHAnsi"/>
          <w:color w:val="000000" w:themeColor="text1"/>
          <w:sz w:val="24"/>
          <w:szCs w:val="24"/>
          <w:u w:val="single"/>
        </w:rPr>
      </w:pPr>
      <w:bookmarkStart w:id="15" w:name="_Toc33821840"/>
      <w:r w:rsidRPr="00CF4564">
        <w:rPr>
          <w:rFonts w:asciiTheme="minorHAnsi" w:hAnsiTheme="minorHAnsi"/>
          <w:color w:val="000000" w:themeColor="text1"/>
          <w:sz w:val="24"/>
          <w:szCs w:val="24"/>
          <w:u w:val="single"/>
        </w:rPr>
        <w:t>The Destruction of Hatshepsut</w:t>
      </w:r>
      <w:bookmarkEnd w:id="15"/>
    </w:p>
    <w:p w14:paraId="5BEEEDBA" w14:textId="77777777" w:rsidR="00060E63" w:rsidRDefault="00060E63" w:rsidP="00FC6F8A">
      <w:pPr>
        <w:spacing w:line="360" w:lineRule="auto"/>
      </w:pPr>
      <w:r>
        <w:t>After two innovative and eventful decades as co-regent, Hatshepsut seems to disappear from the historical and archaeological record. Two decades later, during the singular reign of Thutmose III, an intense program of destruction was undertaken where all iconography and artwork pertaining to the female-king was systematically destroyed, rebuilt and remodelled.</w:t>
      </w:r>
      <w:r>
        <w:rPr>
          <w:rStyle w:val="FootnoteReference"/>
        </w:rPr>
        <w:footnoteReference w:id="191"/>
      </w:r>
      <w:r>
        <w:t xml:space="preserve"> The motives behind this are unclear. Mid-twentieth century scholars believe that this destruction was a result of burgeoning animosity toward the female queen, having usurped the throne from the rightful successor.</w:t>
      </w:r>
      <w:r>
        <w:rPr>
          <w:rStyle w:val="FootnoteReference"/>
        </w:rPr>
        <w:footnoteReference w:id="192"/>
      </w:r>
      <w:r>
        <w:t xml:space="preserve"> This has since been discredited, as scholars have questioned the 20-year gap, asking why Thutmose III would have waited so long to exact his vengeance.</w:t>
      </w:r>
      <w:r>
        <w:rPr>
          <w:rStyle w:val="FootnoteReference"/>
        </w:rPr>
        <w:footnoteReference w:id="193"/>
      </w:r>
      <w:r>
        <w:t xml:space="preserve"> </w:t>
      </w:r>
    </w:p>
    <w:p w14:paraId="7822F21A" w14:textId="77777777" w:rsidR="00060E63" w:rsidRDefault="00060E63" w:rsidP="00FC6F8A">
      <w:pPr>
        <w:spacing w:line="360" w:lineRule="auto"/>
      </w:pPr>
    </w:p>
    <w:p w14:paraId="6FAEC11C" w14:textId="6211C0B7" w:rsidR="00060E63" w:rsidRDefault="00060E63" w:rsidP="00FC6F8A">
      <w:pPr>
        <w:spacing w:line="360" w:lineRule="auto"/>
      </w:pPr>
      <w:r>
        <w:t xml:space="preserve">One theory that should be considered is that this was a project in which Thutmose III was attempting to legitimise his own reign. In order for Thutmose III to consolidate his place on the throne and tidy up his personal history it is possible that he followed in the footsteps of Hatshepsut, who had done the same with her predecessor Thutmose II. By doing so, he is </w:t>
      </w:r>
      <w:r>
        <w:lastRenderedPageBreak/>
        <w:t>erasing all memory of Hatshepsut in order to claim the successes and victories of their co-regency as his own.</w:t>
      </w:r>
      <w:r w:rsidR="00272F44">
        <w:rPr>
          <w:rStyle w:val="FootnoteReference"/>
        </w:rPr>
        <w:footnoteReference w:id="194"/>
      </w:r>
      <w:r>
        <w:t xml:space="preserve"> </w:t>
      </w:r>
    </w:p>
    <w:p w14:paraId="1E333E25" w14:textId="77777777" w:rsidR="00060E63" w:rsidRDefault="00060E63" w:rsidP="00FC6F8A">
      <w:pPr>
        <w:spacing w:line="360" w:lineRule="auto"/>
        <w:rPr>
          <w:u w:val="single"/>
        </w:rPr>
      </w:pPr>
    </w:p>
    <w:p w14:paraId="2EE3C55E" w14:textId="316127BA" w:rsidR="00060E63" w:rsidRDefault="00060E63" w:rsidP="00FC6F8A">
      <w:pPr>
        <w:spacing w:line="360" w:lineRule="auto"/>
      </w:pPr>
      <w:r>
        <w:t>One could argue that the proscription of Hatshepsut was a strategic move by Thutmose II, made in order to make sure that whatever happened with Hatshepsut did not happen again.  It is evident that Hatshepsut’s regency not only went against years of tradition, but also changed it. Perhaps the events set in motion were made in order to eventually legitimise females succeeding the throne. Therefore, this would provide her daughter Neferure with the tools to become the heir to throne</w:t>
      </w:r>
      <w:r w:rsidR="00F4185A">
        <w:t>.</w:t>
      </w:r>
      <w:r w:rsidR="00F4185A">
        <w:rPr>
          <w:rStyle w:val="FootnoteReference"/>
        </w:rPr>
        <w:footnoteReference w:id="195"/>
      </w:r>
      <w:r>
        <w:t xml:space="preserve"> Hatshepsut may have felt that as she was of noble birth that she, and her daughter, had a more valid claim to the throne than her common born husband or his child. Perhaps, by destroying the image of Hatshepsut, he was trying to safeguard the throne for his own son</w:t>
      </w:r>
      <w:r w:rsidR="00F4185A">
        <w:rPr>
          <w:rStyle w:val="FootnoteReference"/>
        </w:rPr>
        <w:footnoteReference w:id="196"/>
      </w:r>
      <w:r>
        <w:t xml:space="preserve">. </w:t>
      </w:r>
    </w:p>
    <w:p w14:paraId="73177C44" w14:textId="77777777" w:rsidR="00060E63" w:rsidRDefault="00060E63" w:rsidP="00FC6F8A">
      <w:pPr>
        <w:spacing w:line="360" w:lineRule="auto"/>
      </w:pPr>
    </w:p>
    <w:p w14:paraId="6EB4B40F" w14:textId="10360741" w:rsidR="00FC6F8A" w:rsidRDefault="00060E63" w:rsidP="00FC6F8A">
      <w:pPr>
        <w:spacing w:line="360" w:lineRule="auto"/>
      </w:pPr>
      <w:r>
        <w:t xml:space="preserve">It is apparent, after looking at the evidence provided in this chapter, that the </w:t>
      </w:r>
      <w:r w:rsidR="00EB3CF5">
        <w:t>18</w:t>
      </w:r>
      <w:r w:rsidR="00EB3CF5" w:rsidRPr="00EB3CF5">
        <w:rPr>
          <w:vertAlign w:val="superscript"/>
        </w:rPr>
        <w:t>th</w:t>
      </w:r>
      <w:r w:rsidR="00EB3CF5">
        <w:t xml:space="preserve"> </w:t>
      </w:r>
      <w:r w:rsidR="000C76ED">
        <w:t>D</w:t>
      </w:r>
      <w:r>
        <w:t xml:space="preserve">ynasty co-regency of Hatshepsut and Thutmose III was a reign filled with creation and destruction. The explosion of creativity found in Hatshepsut’s ambitious building programme, the </w:t>
      </w:r>
      <w:r w:rsidR="00EB3CF5">
        <w:t xml:space="preserve">evolution of ideology </w:t>
      </w:r>
      <w:r>
        <w:t xml:space="preserve">and changes within the kingship are all characteristic of </w:t>
      </w:r>
      <w:r w:rsidR="00EB3CF5">
        <w:t xml:space="preserve">creation as a cultural theme </w:t>
      </w:r>
      <w:r>
        <w:t xml:space="preserve">within the reign of Hatshepsut. Equally, we see the destruction of tradition and the overcoming of gender barriers which have rarely been attested to within the history of Ancient Egypt. This is one of the most fascinating time periods to discuss when dealing with the cultural themes of creation and destruction. Nevertheless, it is not the only controversial kingship we see within the New Kingdom. </w:t>
      </w:r>
    </w:p>
    <w:p w14:paraId="1CAF0B67" w14:textId="77777777" w:rsidR="00FC6F8A" w:rsidRDefault="00FC6F8A" w:rsidP="00FC6F8A">
      <w:pPr>
        <w:spacing w:line="360" w:lineRule="auto"/>
        <w:jc w:val="center"/>
        <w:rPr>
          <w:b/>
          <w:bCs/>
          <w:color w:val="000000" w:themeColor="text1"/>
          <w:sz w:val="28"/>
          <w:u w:val="single"/>
        </w:rPr>
      </w:pPr>
    </w:p>
    <w:p w14:paraId="1B0468B3" w14:textId="77777777" w:rsidR="00FC6F8A" w:rsidRDefault="00FC6F8A" w:rsidP="00FC6F8A">
      <w:pPr>
        <w:spacing w:line="360" w:lineRule="auto"/>
        <w:jc w:val="center"/>
        <w:rPr>
          <w:b/>
          <w:bCs/>
          <w:color w:val="000000" w:themeColor="text1"/>
          <w:sz w:val="28"/>
          <w:u w:val="single"/>
        </w:rPr>
      </w:pPr>
    </w:p>
    <w:p w14:paraId="67EDB8E5" w14:textId="77777777" w:rsidR="00FC6F8A" w:rsidRDefault="00FC6F8A" w:rsidP="00FC6F8A">
      <w:pPr>
        <w:spacing w:line="360" w:lineRule="auto"/>
        <w:jc w:val="center"/>
        <w:rPr>
          <w:b/>
          <w:bCs/>
          <w:color w:val="000000" w:themeColor="text1"/>
          <w:sz w:val="28"/>
          <w:u w:val="single"/>
        </w:rPr>
      </w:pPr>
    </w:p>
    <w:p w14:paraId="61A51252" w14:textId="77777777" w:rsidR="00FC6F8A" w:rsidRDefault="00FC6F8A" w:rsidP="00FC6F8A">
      <w:pPr>
        <w:spacing w:line="360" w:lineRule="auto"/>
        <w:jc w:val="center"/>
        <w:rPr>
          <w:b/>
          <w:bCs/>
          <w:color w:val="000000" w:themeColor="text1"/>
          <w:sz w:val="28"/>
          <w:u w:val="single"/>
        </w:rPr>
      </w:pPr>
    </w:p>
    <w:p w14:paraId="569A13D7" w14:textId="77777777" w:rsidR="00CF4564" w:rsidRDefault="00CF4564" w:rsidP="00985266">
      <w:pPr>
        <w:spacing w:line="360" w:lineRule="auto"/>
        <w:rPr>
          <w:b/>
          <w:bCs/>
          <w:color w:val="000000" w:themeColor="text1"/>
          <w:sz w:val="28"/>
          <w:u w:val="single"/>
        </w:rPr>
      </w:pPr>
    </w:p>
    <w:p w14:paraId="1AC940DA" w14:textId="03F8E3C2" w:rsidR="00060E63" w:rsidRPr="00C675AE" w:rsidRDefault="00060E63" w:rsidP="00CF4564">
      <w:pPr>
        <w:pStyle w:val="Heading1"/>
        <w:jc w:val="center"/>
        <w:rPr>
          <w:rFonts w:asciiTheme="minorHAnsi" w:hAnsiTheme="minorHAnsi"/>
          <w:color w:val="000000" w:themeColor="text1"/>
          <w:sz w:val="22"/>
          <w:szCs w:val="28"/>
          <w:u w:val="single"/>
        </w:rPr>
      </w:pPr>
      <w:bookmarkStart w:id="16" w:name="_Toc33821841"/>
      <w:r w:rsidRPr="00C675AE">
        <w:rPr>
          <w:rFonts w:asciiTheme="minorHAnsi" w:hAnsiTheme="minorHAnsi"/>
          <w:color w:val="000000" w:themeColor="text1"/>
          <w:sz w:val="28"/>
          <w:szCs w:val="28"/>
          <w:u w:val="single"/>
        </w:rPr>
        <w:lastRenderedPageBreak/>
        <w:t>Chapter 3</w:t>
      </w:r>
      <w:r w:rsidR="00CF4564" w:rsidRPr="00C675AE">
        <w:rPr>
          <w:rFonts w:asciiTheme="minorHAnsi" w:hAnsiTheme="minorHAnsi"/>
          <w:color w:val="000000" w:themeColor="text1"/>
          <w:sz w:val="28"/>
          <w:szCs w:val="28"/>
          <w:u w:val="single"/>
        </w:rPr>
        <w:t xml:space="preserve">: </w:t>
      </w:r>
      <w:r w:rsidRPr="00C675AE">
        <w:rPr>
          <w:rFonts w:asciiTheme="minorHAnsi" w:hAnsiTheme="minorHAnsi"/>
          <w:color w:val="000000" w:themeColor="text1"/>
          <w:sz w:val="28"/>
          <w:szCs w:val="28"/>
          <w:u w:val="single"/>
        </w:rPr>
        <w:t>Creation and Destruction throughout the Amarna Period – The Reign of King Akhenaten</w:t>
      </w:r>
      <w:bookmarkEnd w:id="16"/>
    </w:p>
    <w:p w14:paraId="35C9AEA2" w14:textId="77777777" w:rsidR="00060E63" w:rsidRPr="00B43E31" w:rsidRDefault="00060E63" w:rsidP="00FC6F8A">
      <w:pPr>
        <w:spacing w:line="360" w:lineRule="auto"/>
        <w:rPr>
          <w:color w:val="000000" w:themeColor="text1"/>
          <w:sz w:val="28"/>
          <w:u w:val="single"/>
        </w:rPr>
      </w:pPr>
    </w:p>
    <w:p w14:paraId="153D429D" w14:textId="57CA079C" w:rsidR="00060E63" w:rsidRPr="00B43E31" w:rsidRDefault="00060E63" w:rsidP="00FC6F8A">
      <w:pPr>
        <w:spacing w:line="360" w:lineRule="auto"/>
        <w:rPr>
          <w:color w:val="000000" w:themeColor="text1"/>
          <w:sz w:val="22"/>
          <w:u w:val="single"/>
        </w:rPr>
      </w:pPr>
      <w:r w:rsidRPr="00B43E31">
        <w:rPr>
          <w:color w:val="000000" w:themeColor="text1"/>
        </w:rPr>
        <w:t xml:space="preserve">The reign of Hatshepsut </w:t>
      </w:r>
      <w:r w:rsidR="00985266">
        <w:rPr>
          <w:color w:val="000000" w:themeColor="text1"/>
        </w:rPr>
        <w:t xml:space="preserve">exhibited </w:t>
      </w:r>
      <w:r w:rsidRPr="00B43E31">
        <w:rPr>
          <w:color w:val="000000" w:themeColor="text1"/>
        </w:rPr>
        <w:t>numerous examples of creation and destruction as cultural themes within Egyptian Kingship. Nevertheless, her</w:t>
      </w:r>
      <w:r w:rsidR="00985266">
        <w:rPr>
          <w:color w:val="000000" w:themeColor="text1"/>
        </w:rPr>
        <w:t xml:space="preserve"> kingship</w:t>
      </w:r>
      <w:r w:rsidRPr="00B43E31">
        <w:rPr>
          <w:color w:val="000000" w:themeColor="text1"/>
        </w:rPr>
        <w:t xml:space="preserve"> was not the only </w:t>
      </w:r>
      <w:r w:rsidR="00985266">
        <w:rPr>
          <w:color w:val="000000" w:themeColor="text1"/>
        </w:rPr>
        <w:t xml:space="preserve">one </w:t>
      </w:r>
      <w:r w:rsidRPr="00B43E31">
        <w:rPr>
          <w:color w:val="000000" w:themeColor="text1"/>
        </w:rPr>
        <w:t>to display these so openly. In no other period are the themes of creation and destruction so explicitly evident than in the Amarna Period. According to Goelet, this “particularly dramatic interlude in Egyptian History” is the best example of “creation, ruin and subsequent recovery”</w:t>
      </w:r>
      <w:r>
        <w:rPr>
          <w:color w:val="000000" w:themeColor="text1"/>
        </w:rPr>
        <w:t>.</w:t>
      </w:r>
      <w:r w:rsidRPr="00B43E31">
        <w:rPr>
          <w:rStyle w:val="FootnoteReference"/>
          <w:color w:val="000000" w:themeColor="text1"/>
        </w:rPr>
        <w:footnoteReference w:id="197"/>
      </w:r>
      <w:r w:rsidRPr="00B43E31">
        <w:rPr>
          <w:color w:val="000000" w:themeColor="text1"/>
        </w:rPr>
        <w:t xml:space="preserve"> The iconic and infamous reign of King Akhenaten </w:t>
      </w:r>
      <w:r w:rsidR="00985266">
        <w:rPr>
          <w:color w:val="000000" w:themeColor="text1"/>
        </w:rPr>
        <w:t xml:space="preserve">is </w:t>
      </w:r>
      <w:r w:rsidRPr="00B43E31">
        <w:rPr>
          <w:color w:val="000000" w:themeColor="text1"/>
        </w:rPr>
        <w:t>one of the most controversial subjects within Egyptian history to observe when dealing with creation and destruction as cultural themes</w:t>
      </w:r>
      <w:r>
        <w:rPr>
          <w:color w:val="000000" w:themeColor="text1"/>
        </w:rPr>
        <w:t>.</w:t>
      </w:r>
      <w:r w:rsidRPr="00B43E31">
        <w:rPr>
          <w:rStyle w:val="FootnoteReference"/>
          <w:color w:val="000000" w:themeColor="text1"/>
        </w:rPr>
        <w:footnoteReference w:id="198"/>
      </w:r>
      <w:r w:rsidRPr="00B43E31">
        <w:rPr>
          <w:color w:val="000000" w:themeColor="text1"/>
        </w:rPr>
        <w:t xml:space="preserve"> Known to some as the “heretic king”</w:t>
      </w:r>
      <w:r w:rsidRPr="00B43E31">
        <w:rPr>
          <w:rStyle w:val="FootnoteReference"/>
          <w:color w:val="000000" w:themeColor="text1"/>
        </w:rPr>
        <w:footnoteReference w:id="199"/>
      </w:r>
      <w:r w:rsidRPr="00B43E31">
        <w:rPr>
          <w:color w:val="000000" w:themeColor="text1"/>
        </w:rPr>
        <w:t>, his religious reforms and changes to the socio-political system are some of the most revolutionary and radical throughout Egyptian history</w:t>
      </w:r>
      <w:r>
        <w:rPr>
          <w:color w:val="000000" w:themeColor="text1"/>
        </w:rPr>
        <w:t>.</w:t>
      </w:r>
      <w:r w:rsidRPr="00B43E31">
        <w:rPr>
          <w:rStyle w:val="FootnoteReference"/>
          <w:color w:val="000000" w:themeColor="text1"/>
        </w:rPr>
        <w:footnoteReference w:id="200"/>
      </w:r>
      <w:r w:rsidRPr="00B43E31">
        <w:rPr>
          <w:color w:val="000000" w:themeColor="text1"/>
        </w:rPr>
        <w:t xml:space="preserve"> It has been argued that some religious concepts present within the Amarna period originate</w:t>
      </w:r>
      <w:r>
        <w:rPr>
          <w:color w:val="000000" w:themeColor="text1"/>
        </w:rPr>
        <w:t xml:space="preserve"> </w:t>
      </w:r>
      <w:r w:rsidRPr="00B43E31">
        <w:rPr>
          <w:color w:val="000000" w:themeColor="text1"/>
        </w:rPr>
        <w:t>from past theology</w:t>
      </w:r>
      <w:r w:rsidRPr="00B43E31">
        <w:rPr>
          <w:rStyle w:val="FootnoteReference"/>
          <w:color w:val="000000" w:themeColor="text1"/>
        </w:rPr>
        <w:footnoteReference w:id="201"/>
      </w:r>
      <w:r w:rsidRPr="00B43E31">
        <w:rPr>
          <w:color w:val="000000" w:themeColor="text1"/>
        </w:rPr>
        <w:t>, whereas others believe that Akhenaten’s reforms were completely alien to traditional Egyptian principles</w:t>
      </w:r>
      <w:r>
        <w:rPr>
          <w:color w:val="000000" w:themeColor="text1"/>
        </w:rPr>
        <w:t>.</w:t>
      </w:r>
      <w:r w:rsidRPr="00B43E31">
        <w:rPr>
          <w:rStyle w:val="FootnoteReference"/>
          <w:color w:val="000000" w:themeColor="text1"/>
        </w:rPr>
        <w:footnoteReference w:id="202"/>
      </w:r>
      <w:r w:rsidR="00985266">
        <w:rPr>
          <w:color w:val="000000" w:themeColor="text1"/>
        </w:rPr>
        <w:t xml:space="preserve"> Furthermore, a</w:t>
      </w:r>
      <w:r w:rsidRPr="00B43E31">
        <w:rPr>
          <w:color w:val="000000" w:themeColor="text1"/>
        </w:rPr>
        <w:t xml:space="preserve"> growing rift between the King and the priesthood of Amun is evident within this period</w:t>
      </w:r>
      <w:r w:rsidRPr="00B43E31">
        <w:rPr>
          <w:rStyle w:val="FootnoteReference"/>
          <w:color w:val="000000" w:themeColor="text1"/>
        </w:rPr>
        <w:footnoteReference w:id="203"/>
      </w:r>
      <w:r w:rsidRPr="00B43E31">
        <w:rPr>
          <w:color w:val="000000" w:themeColor="text1"/>
        </w:rPr>
        <w:t xml:space="preserve">, where we see the destruction of a prominent state cult. </w:t>
      </w:r>
      <w:r w:rsidR="00985266">
        <w:rPr>
          <w:color w:val="000000" w:themeColor="text1"/>
        </w:rPr>
        <w:t>Following this, the question as to w</w:t>
      </w:r>
      <w:r w:rsidR="00985266" w:rsidRPr="00B43E31">
        <w:rPr>
          <w:color w:val="000000" w:themeColor="text1"/>
        </w:rPr>
        <w:t>hether</w:t>
      </w:r>
      <w:r w:rsidR="00985266">
        <w:rPr>
          <w:color w:val="000000" w:themeColor="text1"/>
        </w:rPr>
        <w:t xml:space="preserve"> </w:t>
      </w:r>
      <w:r w:rsidRPr="00B43E31">
        <w:rPr>
          <w:color w:val="000000" w:themeColor="text1"/>
        </w:rPr>
        <w:t xml:space="preserve">Atenism was religious in practice or whether it was employed for political gain will also be </w:t>
      </w:r>
      <w:r w:rsidR="00985266">
        <w:rPr>
          <w:color w:val="000000" w:themeColor="text1"/>
        </w:rPr>
        <w:t xml:space="preserve">considered </w:t>
      </w:r>
      <w:r w:rsidRPr="00B43E31">
        <w:rPr>
          <w:color w:val="000000" w:themeColor="text1"/>
        </w:rPr>
        <w:t xml:space="preserve">here. </w:t>
      </w:r>
      <w:r w:rsidR="00985266">
        <w:rPr>
          <w:color w:val="000000" w:themeColor="text1"/>
        </w:rPr>
        <w:t>Additionally, t</w:t>
      </w:r>
      <w:r w:rsidRPr="00B43E31">
        <w:rPr>
          <w:color w:val="000000" w:themeColor="text1"/>
        </w:rPr>
        <w:t xml:space="preserve">he creation of new artworks and new architectural styles </w:t>
      </w:r>
      <w:r w:rsidR="00985266" w:rsidRPr="00B43E31">
        <w:rPr>
          <w:color w:val="000000" w:themeColor="text1"/>
        </w:rPr>
        <w:t>will be</w:t>
      </w:r>
      <w:r w:rsidRPr="00B43E31">
        <w:rPr>
          <w:color w:val="000000" w:themeColor="text1"/>
        </w:rPr>
        <w:t xml:space="preserve"> examined in order to truly understand the ideology and </w:t>
      </w:r>
      <w:r w:rsidRPr="00B43E31">
        <w:rPr>
          <w:color w:val="000000" w:themeColor="text1"/>
        </w:rPr>
        <w:lastRenderedPageBreak/>
        <w:t>theology within the</w:t>
      </w:r>
      <w:r w:rsidR="00DE74B5">
        <w:rPr>
          <w:color w:val="000000" w:themeColor="text1"/>
        </w:rPr>
        <w:t xml:space="preserve"> reign of Akhenaten</w:t>
      </w:r>
      <w:r w:rsidRPr="00B43E31">
        <w:rPr>
          <w:color w:val="000000" w:themeColor="text1"/>
        </w:rPr>
        <w:t>. The role of women within the royal family will also be discussed, especially the role of Nefertiti within the Amarna Period.</w:t>
      </w:r>
    </w:p>
    <w:p w14:paraId="6A3138A1" w14:textId="77777777" w:rsidR="00060E63" w:rsidRPr="00B43E31" w:rsidRDefault="00060E63" w:rsidP="005C2027">
      <w:pPr>
        <w:spacing w:line="360" w:lineRule="auto"/>
        <w:jc w:val="both"/>
        <w:rPr>
          <w:color w:val="000000" w:themeColor="text1"/>
          <w:u w:val="single"/>
        </w:rPr>
      </w:pPr>
    </w:p>
    <w:p w14:paraId="78193EB6" w14:textId="2C01D7FC" w:rsidR="00060E63" w:rsidRPr="00CF4564" w:rsidRDefault="00060E63" w:rsidP="00CF4564">
      <w:pPr>
        <w:pStyle w:val="Heading2"/>
        <w:numPr>
          <w:ilvl w:val="1"/>
          <w:numId w:val="2"/>
        </w:numPr>
        <w:spacing w:line="360" w:lineRule="auto"/>
        <w:rPr>
          <w:rFonts w:asciiTheme="minorHAnsi" w:hAnsiTheme="minorHAnsi"/>
          <w:color w:val="000000" w:themeColor="text1"/>
          <w:sz w:val="24"/>
          <w:szCs w:val="24"/>
          <w:u w:val="single"/>
        </w:rPr>
      </w:pPr>
      <w:bookmarkStart w:id="17" w:name="_Toc33821842"/>
      <w:r w:rsidRPr="00CF4564">
        <w:rPr>
          <w:rFonts w:asciiTheme="minorHAnsi" w:hAnsiTheme="minorHAnsi"/>
          <w:color w:val="000000" w:themeColor="text1"/>
          <w:sz w:val="24"/>
          <w:szCs w:val="24"/>
          <w:u w:val="single"/>
        </w:rPr>
        <w:t xml:space="preserve">The </w:t>
      </w:r>
      <w:r w:rsidR="00CF4564">
        <w:rPr>
          <w:rFonts w:asciiTheme="minorHAnsi" w:hAnsiTheme="minorHAnsi"/>
          <w:color w:val="000000" w:themeColor="text1"/>
          <w:sz w:val="24"/>
          <w:szCs w:val="24"/>
          <w:u w:val="single"/>
        </w:rPr>
        <w:t>C</w:t>
      </w:r>
      <w:r w:rsidRPr="00CF4564">
        <w:rPr>
          <w:rFonts w:asciiTheme="minorHAnsi" w:hAnsiTheme="minorHAnsi"/>
          <w:color w:val="000000" w:themeColor="text1"/>
          <w:sz w:val="24"/>
          <w:szCs w:val="24"/>
          <w:u w:val="single"/>
        </w:rPr>
        <w:t xml:space="preserve">reation of a </w:t>
      </w:r>
      <w:r w:rsidR="00CF4564">
        <w:rPr>
          <w:rFonts w:asciiTheme="minorHAnsi" w:hAnsiTheme="minorHAnsi"/>
          <w:color w:val="000000" w:themeColor="text1"/>
          <w:sz w:val="24"/>
          <w:szCs w:val="24"/>
          <w:u w:val="single"/>
        </w:rPr>
        <w:t>N</w:t>
      </w:r>
      <w:r w:rsidRPr="00CF4564">
        <w:rPr>
          <w:rFonts w:asciiTheme="minorHAnsi" w:hAnsiTheme="minorHAnsi"/>
          <w:color w:val="000000" w:themeColor="text1"/>
          <w:sz w:val="24"/>
          <w:szCs w:val="24"/>
          <w:u w:val="single"/>
        </w:rPr>
        <w:t xml:space="preserve">ew </w:t>
      </w:r>
      <w:r w:rsidR="00CF4564">
        <w:rPr>
          <w:rFonts w:asciiTheme="minorHAnsi" w:hAnsiTheme="minorHAnsi"/>
          <w:color w:val="000000" w:themeColor="text1"/>
          <w:sz w:val="24"/>
          <w:szCs w:val="24"/>
          <w:u w:val="single"/>
        </w:rPr>
        <w:t>R</w:t>
      </w:r>
      <w:r w:rsidRPr="00CF4564">
        <w:rPr>
          <w:rFonts w:asciiTheme="minorHAnsi" w:hAnsiTheme="minorHAnsi"/>
          <w:color w:val="000000" w:themeColor="text1"/>
          <w:sz w:val="24"/>
          <w:szCs w:val="24"/>
          <w:u w:val="single"/>
        </w:rPr>
        <w:t xml:space="preserve">eligious </w:t>
      </w:r>
      <w:r w:rsidR="00CF4564">
        <w:rPr>
          <w:rFonts w:asciiTheme="minorHAnsi" w:hAnsiTheme="minorHAnsi"/>
          <w:color w:val="000000" w:themeColor="text1"/>
          <w:sz w:val="24"/>
          <w:szCs w:val="24"/>
          <w:u w:val="single"/>
        </w:rPr>
        <w:t>I</w:t>
      </w:r>
      <w:r w:rsidRPr="00CF4564">
        <w:rPr>
          <w:rFonts w:asciiTheme="minorHAnsi" w:hAnsiTheme="minorHAnsi"/>
          <w:color w:val="000000" w:themeColor="text1"/>
          <w:sz w:val="24"/>
          <w:szCs w:val="24"/>
          <w:u w:val="single"/>
        </w:rPr>
        <w:t>deology – the evolution of Atenism and solar religion</w:t>
      </w:r>
      <w:bookmarkEnd w:id="17"/>
    </w:p>
    <w:p w14:paraId="7B87D54F" w14:textId="77777777" w:rsidR="00060E63" w:rsidRPr="00B43E31" w:rsidRDefault="00060E63" w:rsidP="00FC6F8A">
      <w:pPr>
        <w:spacing w:line="360" w:lineRule="auto"/>
        <w:rPr>
          <w:color w:val="000000" w:themeColor="text1"/>
        </w:rPr>
      </w:pPr>
      <w:r w:rsidRPr="00B43E31">
        <w:rPr>
          <w:color w:val="000000" w:themeColor="text1"/>
        </w:rPr>
        <w:t>When considering religion within the Amarna period, it is evident that a unique approach was taken by King Akhenaten. The creation of a new theology was argued as being nothing more than a “complete reconsideration of the nature of the world”</w:t>
      </w:r>
      <w:r>
        <w:rPr>
          <w:color w:val="000000" w:themeColor="text1"/>
        </w:rPr>
        <w:t>.</w:t>
      </w:r>
      <w:r w:rsidRPr="00B43E31">
        <w:rPr>
          <w:rStyle w:val="FootnoteReference"/>
          <w:color w:val="000000" w:themeColor="text1"/>
        </w:rPr>
        <w:footnoteReference w:id="204"/>
      </w:r>
      <w:r w:rsidRPr="00B43E31">
        <w:rPr>
          <w:color w:val="000000" w:themeColor="text1"/>
        </w:rPr>
        <w:t xml:space="preserve"> It highlighted a transformation in the relationship between the King, his people and the divine that contrasted with traditional Egyptian principles. Regardless of whether or not these changes were successful, they were certainly revolutionary. To truly understand the evolution and reinterpretation of such a theology, it is important to consider some of the main religious influences in order to understand how Akhenaten’s religious theology was conceived. </w:t>
      </w:r>
    </w:p>
    <w:p w14:paraId="250F2805" w14:textId="77777777" w:rsidR="00060E63" w:rsidRPr="00B43E31" w:rsidRDefault="00060E63" w:rsidP="00FC6F8A">
      <w:pPr>
        <w:spacing w:line="360" w:lineRule="auto"/>
        <w:rPr>
          <w:color w:val="000000" w:themeColor="text1"/>
        </w:rPr>
      </w:pPr>
    </w:p>
    <w:p w14:paraId="517F0615" w14:textId="5C56640A" w:rsidR="00060E63" w:rsidRPr="00B43E31" w:rsidRDefault="00060E63" w:rsidP="00FC6F8A">
      <w:pPr>
        <w:spacing w:line="360" w:lineRule="auto"/>
        <w:rPr>
          <w:color w:val="000000" w:themeColor="text1"/>
        </w:rPr>
      </w:pPr>
      <w:r w:rsidRPr="00B43E31">
        <w:rPr>
          <w:color w:val="000000" w:themeColor="text1"/>
        </w:rPr>
        <w:t>Solar religion played a crucial role within Egypt, even before the Amarna Period</w:t>
      </w:r>
      <w:r w:rsidRPr="00B43E31">
        <w:rPr>
          <w:rStyle w:val="FootnoteReference"/>
          <w:color w:val="000000" w:themeColor="text1"/>
        </w:rPr>
        <w:footnoteReference w:id="205"/>
      </w:r>
      <w:r w:rsidRPr="00B43E31">
        <w:rPr>
          <w:color w:val="000000" w:themeColor="text1"/>
        </w:rPr>
        <w:t>, where it first reached its zenith around the 4</w:t>
      </w:r>
      <w:r w:rsidRPr="00B43E31">
        <w:rPr>
          <w:color w:val="000000" w:themeColor="text1"/>
          <w:vertAlign w:val="superscript"/>
        </w:rPr>
        <w:t>th</w:t>
      </w:r>
      <w:r w:rsidRPr="00B43E31">
        <w:rPr>
          <w:color w:val="000000" w:themeColor="text1"/>
        </w:rPr>
        <w:t>-5</w:t>
      </w:r>
      <w:r w:rsidRPr="00B43E31">
        <w:rPr>
          <w:color w:val="000000" w:themeColor="text1"/>
          <w:vertAlign w:val="superscript"/>
        </w:rPr>
        <w:t>th</w:t>
      </w:r>
      <w:r w:rsidRPr="00B43E31">
        <w:rPr>
          <w:color w:val="000000" w:themeColor="text1"/>
        </w:rPr>
        <w:t xml:space="preserve"> dynasties of the Old Kingdom</w:t>
      </w:r>
      <w:r>
        <w:rPr>
          <w:color w:val="000000" w:themeColor="text1"/>
        </w:rPr>
        <w:t>.</w:t>
      </w:r>
      <w:r w:rsidRPr="00B43E31">
        <w:rPr>
          <w:rStyle w:val="FootnoteReference"/>
          <w:color w:val="000000" w:themeColor="text1"/>
        </w:rPr>
        <w:footnoteReference w:id="206"/>
      </w:r>
      <w:r w:rsidRPr="00B43E31">
        <w:rPr>
          <w:color w:val="000000" w:themeColor="text1"/>
        </w:rPr>
        <w:t xml:space="preserve"> Its importance is demonstrated through the development of a more filial relationship between the King and the sun god Ra, where the epithet S3 r’ (Son of Ra) starts to appear on titles regarding the Kingship</w:t>
      </w:r>
      <w:r>
        <w:rPr>
          <w:color w:val="000000" w:themeColor="text1"/>
        </w:rPr>
        <w:t>.</w:t>
      </w:r>
      <w:r w:rsidRPr="00B43E31">
        <w:rPr>
          <w:rStyle w:val="FootnoteReference"/>
          <w:color w:val="000000" w:themeColor="text1"/>
        </w:rPr>
        <w:footnoteReference w:id="207"/>
      </w:r>
      <w:r w:rsidRPr="00B43E31">
        <w:rPr>
          <w:color w:val="000000" w:themeColor="text1"/>
        </w:rPr>
        <w:t xml:space="preserve">  Here we see the first known association between kingship and the power of the solar deity Ra</w:t>
      </w:r>
      <w:r>
        <w:rPr>
          <w:color w:val="000000" w:themeColor="text1"/>
        </w:rPr>
        <w:t>.</w:t>
      </w:r>
      <w:r w:rsidRPr="00B43E31">
        <w:rPr>
          <w:rStyle w:val="FootnoteReference"/>
          <w:color w:val="000000" w:themeColor="text1"/>
        </w:rPr>
        <w:footnoteReference w:id="208"/>
      </w:r>
      <w:r w:rsidRPr="00B43E31">
        <w:rPr>
          <w:color w:val="000000" w:themeColor="text1"/>
        </w:rPr>
        <w:t xml:space="preserve"> Solar symbolism is celebrated within Egypt’s golden age through art and architecture, in the form of pyramid complexes, benben stones and sphinx carvings</w:t>
      </w:r>
      <w:r>
        <w:rPr>
          <w:color w:val="000000" w:themeColor="text1"/>
        </w:rPr>
        <w:t>.</w:t>
      </w:r>
      <w:r w:rsidRPr="00B43E31">
        <w:rPr>
          <w:rStyle w:val="FootnoteReference"/>
          <w:color w:val="000000" w:themeColor="text1"/>
        </w:rPr>
        <w:footnoteReference w:id="209"/>
      </w:r>
      <w:r w:rsidRPr="00B43E31">
        <w:rPr>
          <w:color w:val="000000" w:themeColor="text1"/>
        </w:rPr>
        <w:t xml:space="preserve"> </w:t>
      </w:r>
      <w:r w:rsidR="00DE74B5">
        <w:rPr>
          <w:color w:val="000000" w:themeColor="text1"/>
        </w:rPr>
        <w:t>Some argue that</w:t>
      </w:r>
      <w:r w:rsidRPr="00B43E31">
        <w:rPr>
          <w:color w:val="000000" w:themeColor="text1"/>
        </w:rPr>
        <w:t xml:space="preserve"> Akhenaten chose to build on this solar aspect, to recreate the idealised state reminiscent of the golden age of Egypt in the Old Kingdom</w:t>
      </w:r>
      <w:r>
        <w:rPr>
          <w:color w:val="000000" w:themeColor="text1"/>
        </w:rPr>
        <w:t>.</w:t>
      </w:r>
      <w:r w:rsidRPr="00B43E31">
        <w:rPr>
          <w:rStyle w:val="FootnoteReference"/>
          <w:color w:val="000000" w:themeColor="text1"/>
        </w:rPr>
        <w:footnoteReference w:id="210"/>
      </w:r>
      <w:r w:rsidRPr="00B43E31">
        <w:rPr>
          <w:color w:val="000000" w:themeColor="text1"/>
        </w:rPr>
        <w:t xml:space="preserve">  </w:t>
      </w:r>
    </w:p>
    <w:p w14:paraId="11192B4C" w14:textId="367F7455" w:rsidR="00060E63" w:rsidRPr="00B43E31" w:rsidRDefault="00060E63" w:rsidP="00FC6F8A">
      <w:pPr>
        <w:spacing w:line="360" w:lineRule="auto"/>
        <w:rPr>
          <w:color w:val="000000" w:themeColor="text1"/>
        </w:rPr>
      </w:pPr>
      <w:r w:rsidRPr="00B43E31">
        <w:rPr>
          <w:color w:val="000000" w:themeColor="text1"/>
        </w:rPr>
        <w:lastRenderedPageBreak/>
        <w:t>A renewed importance for solar religion fully emerges within the reign of Amenhotep III</w:t>
      </w:r>
      <w:r w:rsidRPr="00B43E31">
        <w:rPr>
          <w:rStyle w:val="FootnoteReference"/>
          <w:color w:val="000000" w:themeColor="text1"/>
        </w:rPr>
        <w:footnoteReference w:id="211"/>
      </w:r>
      <w:r w:rsidRPr="00B43E31">
        <w:rPr>
          <w:color w:val="000000" w:themeColor="text1"/>
        </w:rPr>
        <w:t>, where we witness the birth of the “New Solar Theology”</w:t>
      </w:r>
      <w:r>
        <w:rPr>
          <w:color w:val="000000" w:themeColor="text1"/>
        </w:rPr>
        <w:t>.</w:t>
      </w:r>
      <w:r w:rsidRPr="00B43E31">
        <w:rPr>
          <w:rStyle w:val="FootnoteReference"/>
          <w:color w:val="000000" w:themeColor="text1"/>
        </w:rPr>
        <w:footnoteReference w:id="212"/>
      </w:r>
      <w:r w:rsidRPr="00B43E31">
        <w:rPr>
          <w:color w:val="000000" w:themeColor="text1"/>
        </w:rPr>
        <w:t xml:space="preserve"> Even though the King still paid homage to the traditional Egyptian Pantheon</w:t>
      </w:r>
      <w:r w:rsidRPr="00B43E31">
        <w:rPr>
          <w:rStyle w:val="FootnoteReference"/>
          <w:color w:val="000000" w:themeColor="text1"/>
        </w:rPr>
        <w:footnoteReference w:id="213"/>
      </w:r>
      <w:r w:rsidRPr="00B43E31">
        <w:rPr>
          <w:color w:val="000000" w:themeColor="text1"/>
        </w:rPr>
        <w:t>, a definite drive towards solar religion</w:t>
      </w:r>
      <w:r w:rsidR="00DE74B5">
        <w:rPr>
          <w:color w:val="000000" w:themeColor="text1"/>
        </w:rPr>
        <w:t xml:space="preserve"> is evident</w:t>
      </w:r>
      <w:r w:rsidRPr="00B43E31">
        <w:rPr>
          <w:color w:val="000000" w:themeColor="text1"/>
        </w:rPr>
        <w:t xml:space="preserve"> during this time</w:t>
      </w:r>
      <w:r>
        <w:rPr>
          <w:color w:val="000000" w:themeColor="text1"/>
        </w:rPr>
        <w:t>.</w:t>
      </w:r>
      <w:r w:rsidRPr="00B43E31">
        <w:rPr>
          <w:rStyle w:val="FootnoteReference"/>
          <w:color w:val="000000" w:themeColor="text1"/>
        </w:rPr>
        <w:footnoteReference w:id="214"/>
      </w:r>
      <w:r w:rsidRPr="00B43E31">
        <w:rPr>
          <w:color w:val="000000" w:themeColor="text1"/>
        </w:rPr>
        <w:t xml:space="preserve"> Hymns dating to his reign show that the sun god is now prioritised over the others, and that all other deities are shown as his creation alongside men and animals</w:t>
      </w:r>
      <w:r>
        <w:rPr>
          <w:color w:val="000000" w:themeColor="text1"/>
        </w:rPr>
        <w:t>.</w:t>
      </w:r>
      <w:r w:rsidRPr="00B43E31">
        <w:rPr>
          <w:rStyle w:val="FootnoteReference"/>
          <w:color w:val="000000" w:themeColor="text1"/>
        </w:rPr>
        <w:footnoteReference w:id="215"/>
      </w:r>
      <w:r w:rsidRPr="00B43E31">
        <w:rPr>
          <w:color w:val="000000" w:themeColor="text1"/>
        </w:rPr>
        <w:t xml:space="preserve"> Additionally, we start to see Amenhotep III referring to himself as “the dazzling Aten” and a more personal link is now seen between the sun god and the King</w:t>
      </w:r>
      <w:r>
        <w:rPr>
          <w:color w:val="000000" w:themeColor="text1"/>
        </w:rPr>
        <w:t>.</w:t>
      </w:r>
      <w:r w:rsidRPr="00B43E31">
        <w:rPr>
          <w:rStyle w:val="FootnoteReference"/>
          <w:color w:val="000000" w:themeColor="text1"/>
        </w:rPr>
        <w:footnoteReference w:id="216"/>
      </w:r>
      <w:r w:rsidRPr="00B43E31">
        <w:rPr>
          <w:color w:val="000000" w:themeColor="text1"/>
        </w:rPr>
        <w:t xml:space="preserve"> This is taken a step further, where Amenhotep III appears to experience living deification according to contemporary iconography and texts. He was considered the manifestation of Ra on Earth and the living embodiment of all gods</w:t>
      </w:r>
      <w:r>
        <w:rPr>
          <w:color w:val="000000" w:themeColor="text1"/>
        </w:rPr>
        <w:t>.</w:t>
      </w:r>
      <w:r w:rsidRPr="00B43E31">
        <w:rPr>
          <w:rStyle w:val="FootnoteReference"/>
          <w:color w:val="000000" w:themeColor="text1"/>
        </w:rPr>
        <w:footnoteReference w:id="217"/>
      </w:r>
      <w:r w:rsidRPr="00B43E31">
        <w:rPr>
          <w:color w:val="000000" w:themeColor="text1"/>
        </w:rPr>
        <w:t xml:space="preserve">  Some scholars have argued that the deification programme of Amenhotep III provided the “impetus of Akhenaten’s religious “revolution”” and that this heavily influenced the religion of the Amarna period</w:t>
      </w:r>
      <w:r>
        <w:rPr>
          <w:color w:val="000000" w:themeColor="text1"/>
        </w:rPr>
        <w:t>.</w:t>
      </w:r>
      <w:r w:rsidRPr="00B43E31">
        <w:rPr>
          <w:rStyle w:val="FootnoteReference"/>
          <w:color w:val="000000" w:themeColor="text1"/>
        </w:rPr>
        <w:footnoteReference w:id="218"/>
      </w:r>
      <w:r w:rsidRPr="00B43E31">
        <w:rPr>
          <w:color w:val="000000" w:themeColor="text1"/>
        </w:rPr>
        <w:t xml:space="preserve"> Others have argued that Amenhotep III is the subject of worship within the Amarna period as he and Aten are one of the same. </w:t>
      </w:r>
    </w:p>
    <w:p w14:paraId="0D9ECA05" w14:textId="77777777" w:rsidR="00060E63" w:rsidRPr="00B43E31" w:rsidRDefault="00060E63" w:rsidP="00FC6F8A">
      <w:pPr>
        <w:spacing w:line="360" w:lineRule="auto"/>
        <w:rPr>
          <w:color w:val="000000" w:themeColor="text1"/>
        </w:rPr>
      </w:pPr>
    </w:p>
    <w:p w14:paraId="1FB8D944" w14:textId="7E3F23DB" w:rsidR="00060E63" w:rsidRPr="00B43E31" w:rsidRDefault="00060E63" w:rsidP="00FC6F8A">
      <w:pPr>
        <w:spacing w:line="360" w:lineRule="auto"/>
        <w:rPr>
          <w:color w:val="000000" w:themeColor="text1"/>
        </w:rPr>
      </w:pPr>
      <w:r w:rsidRPr="00B43E31">
        <w:rPr>
          <w:color w:val="000000" w:themeColor="text1"/>
        </w:rPr>
        <w:t xml:space="preserve">With each period, dynasty and kingship within Ancient Egypt, we see solar religion is created anew. Solar religion seems to adapt to the socio-political climate of Egypt and remains fluid in terms of the religious ideology of the state. However, Akhenaten </w:t>
      </w:r>
      <w:r w:rsidR="00DE74B5">
        <w:rPr>
          <w:color w:val="000000" w:themeColor="text1"/>
        </w:rPr>
        <w:t xml:space="preserve">appears to have </w:t>
      </w:r>
      <w:r w:rsidRPr="00B43E31">
        <w:rPr>
          <w:color w:val="000000" w:themeColor="text1"/>
        </w:rPr>
        <w:t>radicalised this New Solar Religion, by viciously promoting solar cults to the exclusion of any other cult existing</w:t>
      </w:r>
      <w:r>
        <w:rPr>
          <w:color w:val="000000" w:themeColor="text1"/>
        </w:rPr>
        <w:t>.</w:t>
      </w:r>
      <w:r w:rsidRPr="00B43E31">
        <w:rPr>
          <w:rStyle w:val="FootnoteReference"/>
          <w:color w:val="000000" w:themeColor="text1"/>
        </w:rPr>
        <w:footnoteReference w:id="219"/>
      </w:r>
      <w:r w:rsidRPr="00B43E31">
        <w:rPr>
          <w:color w:val="000000" w:themeColor="text1"/>
        </w:rPr>
        <w:t xml:space="preserve"> At the beginning of his reign, Akhenaten </w:t>
      </w:r>
      <w:r w:rsidR="00DE74B5">
        <w:rPr>
          <w:color w:val="000000" w:themeColor="text1"/>
        </w:rPr>
        <w:t>is seen</w:t>
      </w:r>
      <w:r w:rsidRPr="00B43E31">
        <w:rPr>
          <w:color w:val="000000" w:themeColor="text1"/>
        </w:rPr>
        <w:t xml:space="preserve"> to follow in his </w:t>
      </w:r>
      <w:r w:rsidRPr="00B43E31">
        <w:rPr>
          <w:color w:val="000000" w:themeColor="text1"/>
        </w:rPr>
        <w:lastRenderedPageBreak/>
        <w:t xml:space="preserve">father’s footsteps by recognising the traditional Egyptian pantheon within iconography and </w:t>
      </w:r>
      <w:r w:rsidR="00DE74B5">
        <w:rPr>
          <w:color w:val="000000" w:themeColor="text1"/>
        </w:rPr>
        <w:t xml:space="preserve">by </w:t>
      </w:r>
      <w:r w:rsidRPr="00B43E31">
        <w:rPr>
          <w:color w:val="000000" w:themeColor="text1"/>
        </w:rPr>
        <w:t>using Karnak as his religious centre</w:t>
      </w:r>
      <w:r>
        <w:rPr>
          <w:color w:val="000000" w:themeColor="text1"/>
        </w:rPr>
        <w:t>.</w:t>
      </w:r>
      <w:r w:rsidRPr="00B43E31">
        <w:rPr>
          <w:rStyle w:val="FootnoteReference"/>
          <w:color w:val="000000" w:themeColor="text1"/>
        </w:rPr>
        <w:footnoteReference w:id="220"/>
      </w:r>
      <w:r w:rsidRPr="00B43E31">
        <w:rPr>
          <w:color w:val="000000" w:themeColor="text1"/>
        </w:rPr>
        <w:t xml:space="preserve"> Nevertheless, during the 5</w:t>
      </w:r>
      <w:r w:rsidRPr="00B43E31">
        <w:rPr>
          <w:color w:val="000000" w:themeColor="text1"/>
          <w:vertAlign w:val="superscript"/>
        </w:rPr>
        <w:t>th</w:t>
      </w:r>
      <w:r w:rsidRPr="00B43E31">
        <w:rPr>
          <w:color w:val="000000" w:themeColor="text1"/>
        </w:rPr>
        <w:t xml:space="preserve"> year of his reign</w:t>
      </w:r>
      <w:r w:rsidRPr="00B43E31">
        <w:rPr>
          <w:rStyle w:val="FootnoteReference"/>
          <w:color w:val="000000" w:themeColor="text1"/>
        </w:rPr>
        <w:footnoteReference w:id="221"/>
      </w:r>
      <w:r w:rsidRPr="00B43E31">
        <w:rPr>
          <w:color w:val="000000" w:themeColor="text1"/>
        </w:rPr>
        <w:t>, the Aten begins to be singled out for special and exclusive veneration</w:t>
      </w:r>
      <w:r w:rsidRPr="00B43E31">
        <w:rPr>
          <w:rStyle w:val="FootnoteReference"/>
          <w:color w:val="000000" w:themeColor="text1"/>
        </w:rPr>
        <w:footnoteReference w:id="222"/>
      </w:r>
      <w:r w:rsidRPr="00B43E31">
        <w:rPr>
          <w:color w:val="000000" w:themeColor="text1"/>
        </w:rPr>
        <w:t xml:space="preserve"> with growing fanaticism. Akhenaten’s intolerance for other deities was unique, something that had never been experienced before within Egyptian Religion</w:t>
      </w:r>
      <w:r>
        <w:rPr>
          <w:color w:val="000000" w:themeColor="text1"/>
        </w:rPr>
        <w:t>.</w:t>
      </w:r>
      <w:r w:rsidRPr="00B43E31">
        <w:rPr>
          <w:rStyle w:val="FootnoteReference"/>
          <w:color w:val="000000" w:themeColor="text1"/>
        </w:rPr>
        <w:footnoteReference w:id="223"/>
      </w:r>
      <w:r w:rsidRPr="00B43E31">
        <w:rPr>
          <w:color w:val="000000" w:themeColor="text1"/>
        </w:rPr>
        <w:t xml:space="preserve"> Religious cults were phased out or abandoned</w:t>
      </w:r>
      <w:r w:rsidRPr="00B43E31">
        <w:rPr>
          <w:rStyle w:val="FootnoteReference"/>
          <w:color w:val="000000" w:themeColor="text1"/>
        </w:rPr>
        <w:footnoteReference w:id="224"/>
      </w:r>
      <w:r w:rsidRPr="00B43E31">
        <w:rPr>
          <w:color w:val="000000" w:themeColor="text1"/>
        </w:rPr>
        <w:t xml:space="preserve"> and funds were being diverted away from the temples</w:t>
      </w:r>
      <w:r>
        <w:rPr>
          <w:color w:val="000000" w:themeColor="text1"/>
        </w:rPr>
        <w:t>.</w:t>
      </w:r>
      <w:r w:rsidRPr="00B43E31">
        <w:rPr>
          <w:rStyle w:val="FootnoteReference"/>
          <w:color w:val="000000" w:themeColor="text1"/>
        </w:rPr>
        <w:footnoteReference w:id="225"/>
      </w:r>
      <w:r w:rsidRPr="00B43E31">
        <w:rPr>
          <w:color w:val="000000" w:themeColor="text1"/>
        </w:rPr>
        <w:t xml:space="preserve"> Within the 12</w:t>
      </w:r>
      <w:r w:rsidRPr="00B43E31">
        <w:rPr>
          <w:color w:val="000000" w:themeColor="text1"/>
          <w:vertAlign w:val="superscript"/>
        </w:rPr>
        <w:t>th</w:t>
      </w:r>
      <w:r w:rsidRPr="00B43E31">
        <w:rPr>
          <w:color w:val="000000" w:themeColor="text1"/>
        </w:rPr>
        <w:t xml:space="preserve"> year of his reign, the King uses </w:t>
      </w:r>
      <w:r w:rsidRPr="00B43E31">
        <w:rPr>
          <w:i/>
          <w:color w:val="000000" w:themeColor="text1"/>
        </w:rPr>
        <w:t>damnatio memoriae</w:t>
      </w:r>
      <w:r w:rsidRPr="00B43E31">
        <w:rPr>
          <w:color w:val="000000" w:themeColor="text1"/>
        </w:rPr>
        <w:t xml:space="preserve"> to obliterate signs of religious competition</w:t>
      </w:r>
      <w:r>
        <w:rPr>
          <w:color w:val="000000" w:themeColor="text1"/>
        </w:rPr>
        <w:t>.</w:t>
      </w:r>
      <w:r w:rsidRPr="00B43E31">
        <w:rPr>
          <w:rStyle w:val="FootnoteReference"/>
          <w:color w:val="000000" w:themeColor="text1"/>
        </w:rPr>
        <w:footnoteReference w:id="226"/>
      </w:r>
      <w:r w:rsidRPr="00B43E31">
        <w:rPr>
          <w:color w:val="000000" w:themeColor="text1"/>
        </w:rPr>
        <w:t xml:space="preserve"> Akhenaten attempted to reorganise and recreate the religious structure and political system of Egypt</w:t>
      </w:r>
      <w:r>
        <w:rPr>
          <w:color w:val="000000" w:themeColor="text1"/>
        </w:rPr>
        <w:t>.</w:t>
      </w:r>
      <w:r w:rsidRPr="00B43E31">
        <w:rPr>
          <w:rStyle w:val="FootnoteReference"/>
          <w:color w:val="000000" w:themeColor="text1"/>
        </w:rPr>
        <w:footnoteReference w:id="227"/>
      </w:r>
      <w:r w:rsidRPr="00B43E31">
        <w:rPr>
          <w:color w:val="000000" w:themeColor="text1"/>
        </w:rPr>
        <w:t xml:space="preserve"> Ritual and religious practices were amended. Festivals and processions of the gods were expunged and replaced with processions of the royal family in the new capital of Akhetaten where they appear to have replaced the traditional Ennead</w:t>
      </w:r>
      <w:r>
        <w:rPr>
          <w:color w:val="000000" w:themeColor="text1"/>
        </w:rPr>
        <w:t>.</w:t>
      </w:r>
      <w:r w:rsidRPr="00B43E31">
        <w:rPr>
          <w:rStyle w:val="FootnoteReference"/>
          <w:color w:val="000000" w:themeColor="text1"/>
        </w:rPr>
        <w:footnoteReference w:id="228"/>
      </w:r>
      <w:r w:rsidRPr="00B43E31">
        <w:rPr>
          <w:color w:val="000000" w:themeColor="text1"/>
        </w:rPr>
        <w:t xml:space="preserve"> Akhenaten also succeeds in humanising the Aten by giving him a cartouche and elevating his own status</w:t>
      </w:r>
      <w:r w:rsidR="00DE74B5">
        <w:rPr>
          <w:color w:val="000000" w:themeColor="text1"/>
        </w:rPr>
        <w:t>,</w:t>
      </w:r>
      <w:r w:rsidRPr="00B43E31">
        <w:rPr>
          <w:color w:val="000000" w:themeColor="text1"/>
        </w:rPr>
        <w:t xml:space="preserve"> so that King and god could be seen on the same level. Akhenaten was no longer the “upholder of </w:t>
      </w:r>
      <w:r w:rsidRPr="00B43E31">
        <w:rPr>
          <w:i/>
          <w:iCs/>
          <w:color w:val="000000" w:themeColor="text1"/>
        </w:rPr>
        <w:t>maat</w:t>
      </w:r>
      <w:r w:rsidRPr="00B43E31">
        <w:rPr>
          <w:color w:val="000000" w:themeColor="text1"/>
        </w:rPr>
        <w:t xml:space="preserve">” but instead professed to “live on </w:t>
      </w:r>
      <w:r w:rsidRPr="00B43E31">
        <w:rPr>
          <w:i/>
          <w:iCs/>
          <w:color w:val="000000" w:themeColor="text1"/>
        </w:rPr>
        <w:t>maat</w:t>
      </w:r>
      <w:r w:rsidRPr="00B43E31">
        <w:rPr>
          <w:color w:val="000000" w:themeColor="text1"/>
        </w:rPr>
        <w:t>”, a title usually reserved for the gods, thus creating himself as equal to the divine</w:t>
      </w:r>
      <w:r>
        <w:rPr>
          <w:color w:val="000000" w:themeColor="text1"/>
        </w:rPr>
        <w:t>.</w:t>
      </w:r>
      <w:r w:rsidRPr="00B43E31">
        <w:rPr>
          <w:rStyle w:val="FootnoteReference"/>
          <w:color w:val="000000" w:themeColor="text1"/>
        </w:rPr>
        <w:footnoteReference w:id="229"/>
      </w:r>
      <w:r w:rsidRPr="00B43E31">
        <w:rPr>
          <w:color w:val="000000" w:themeColor="text1"/>
        </w:rPr>
        <w:t xml:space="preserve"> Obligation and fanatical loyalty were now redirected to the king and the thought of an afterlife based on good behaviour was now abolished; it was the king who decided a person’s fate upon the event of their </w:t>
      </w:r>
      <w:r w:rsidRPr="00B43E31">
        <w:rPr>
          <w:color w:val="000000" w:themeColor="text1"/>
        </w:rPr>
        <w:lastRenderedPageBreak/>
        <w:t>death</w:t>
      </w:r>
      <w:r>
        <w:rPr>
          <w:color w:val="000000" w:themeColor="text1"/>
        </w:rPr>
        <w:t>.</w:t>
      </w:r>
      <w:r w:rsidRPr="00B43E31">
        <w:rPr>
          <w:rStyle w:val="FootnoteReference"/>
          <w:color w:val="000000" w:themeColor="text1"/>
        </w:rPr>
        <w:footnoteReference w:id="230"/>
      </w:r>
      <w:r w:rsidRPr="00B43E31">
        <w:rPr>
          <w:color w:val="000000" w:themeColor="text1"/>
        </w:rPr>
        <w:t xml:space="preserve"> Akhenaten creates a new religious doctrine here that is dogmatic in approach, changing the entire status of the office of kingship in terms of its relationship with the divine. Akhenaten’s ideology is extreme in the fact that it amalgamates all aspects of the sun god into one form which is the Aten, whilst denying the existence of any other deity or divine form. This differs from his predecessors who included other deities within their theology, in order to contextualise the rule of Amun over all</w:t>
      </w:r>
      <w:r>
        <w:rPr>
          <w:color w:val="000000" w:themeColor="text1"/>
        </w:rPr>
        <w:t>.</w:t>
      </w:r>
      <w:r w:rsidRPr="00B43E31">
        <w:rPr>
          <w:rStyle w:val="FootnoteReference"/>
          <w:color w:val="000000" w:themeColor="text1"/>
        </w:rPr>
        <w:footnoteReference w:id="231"/>
      </w:r>
      <w:r w:rsidRPr="00B43E31">
        <w:rPr>
          <w:color w:val="000000" w:themeColor="text1"/>
        </w:rPr>
        <w:t xml:space="preserve"> </w:t>
      </w:r>
    </w:p>
    <w:p w14:paraId="1173C911" w14:textId="77777777" w:rsidR="00060E63" w:rsidRPr="00B43E31" w:rsidRDefault="00060E63" w:rsidP="00CF4564">
      <w:pPr>
        <w:spacing w:line="360" w:lineRule="auto"/>
        <w:rPr>
          <w:color w:val="000000" w:themeColor="text1"/>
        </w:rPr>
      </w:pPr>
    </w:p>
    <w:p w14:paraId="5B0998CF" w14:textId="4C1139D4" w:rsidR="00060E63" w:rsidRPr="00F82A0D" w:rsidRDefault="00060E63" w:rsidP="00CF4564">
      <w:pPr>
        <w:pStyle w:val="ListParagraph"/>
        <w:numPr>
          <w:ilvl w:val="1"/>
          <w:numId w:val="2"/>
        </w:numPr>
        <w:spacing w:line="360" w:lineRule="auto"/>
        <w:rPr>
          <w:color w:val="000000" w:themeColor="text1"/>
          <w:sz w:val="24"/>
          <w:szCs w:val="24"/>
          <w:u w:val="single"/>
        </w:rPr>
      </w:pPr>
      <w:r w:rsidRPr="00F82A0D">
        <w:rPr>
          <w:color w:val="000000" w:themeColor="text1"/>
          <w:sz w:val="24"/>
          <w:szCs w:val="24"/>
          <w:u w:val="single"/>
        </w:rPr>
        <w:t>The creation of a monotheism? – Changes to the Religious Structure of Egypt</w:t>
      </w:r>
    </w:p>
    <w:p w14:paraId="1A38347D" w14:textId="5E3486BE" w:rsidR="00060E63" w:rsidRPr="00B43E31" w:rsidRDefault="00060E63" w:rsidP="00CF4564">
      <w:pPr>
        <w:spacing w:line="360" w:lineRule="auto"/>
        <w:rPr>
          <w:color w:val="000000" w:themeColor="text1"/>
        </w:rPr>
      </w:pPr>
      <w:r w:rsidRPr="00B43E31">
        <w:rPr>
          <w:color w:val="000000" w:themeColor="text1"/>
        </w:rPr>
        <w:t>Akhenaten is recognised throughout history as being the ruler who stepped away from the traditional Egyptian pantheon in favour of one god, Aten. There have been countless discussions regarding the subject of Atenism and how best to interpret such a religion</w:t>
      </w:r>
      <w:r>
        <w:rPr>
          <w:color w:val="000000" w:themeColor="text1"/>
        </w:rPr>
        <w:t>.</w:t>
      </w:r>
      <w:r w:rsidRPr="00B43E31">
        <w:rPr>
          <w:rStyle w:val="FootnoteReference"/>
          <w:color w:val="000000" w:themeColor="text1"/>
        </w:rPr>
        <w:footnoteReference w:id="232"/>
      </w:r>
      <w:r w:rsidRPr="00B43E31">
        <w:rPr>
          <w:color w:val="000000" w:themeColor="text1"/>
        </w:rPr>
        <w:t xml:space="preserve"> Some scholars argue that he is the world’s first monotheist</w:t>
      </w:r>
      <w:r w:rsidRPr="00B43E31">
        <w:rPr>
          <w:rStyle w:val="FootnoteReference"/>
          <w:color w:val="000000" w:themeColor="text1"/>
        </w:rPr>
        <w:footnoteReference w:id="233"/>
      </w:r>
      <w:r w:rsidRPr="00B43E31">
        <w:rPr>
          <w:color w:val="000000" w:themeColor="text1"/>
        </w:rPr>
        <w:t>, creating the world’s first monotheism. But is this entirely accurate? Or is this just a case of modern, pre-conceived ideas of religion influencing such theories</w:t>
      </w:r>
      <w:r>
        <w:rPr>
          <w:color w:val="000000" w:themeColor="text1"/>
        </w:rPr>
        <w:t>.</w:t>
      </w:r>
      <w:r w:rsidRPr="00B43E31">
        <w:rPr>
          <w:rStyle w:val="FootnoteReference"/>
          <w:color w:val="000000" w:themeColor="text1"/>
        </w:rPr>
        <w:footnoteReference w:id="234"/>
      </w:r>
      <w:r w:rsidRPr="00B43E31">
        <w:rPr>
          <w:color w:val="000000" w:themeColor="text1"/>
        </w:rPr>
        <w:t xml:space="preserve"> When considering the material evidence, it is clear that other deities are present within the religious theology, perhaps not consciously included but nonetheless exist</w:t>
      </w:r>
      <w:r>
        <w:rPr>
          <w:color w:val="000000" w:themeColor="text1"/>
        </w:rPr>
        <w:t>.</w:t>
      </w:r>
      <w:r w:rsidRPr="00B43E31">
        <w:rPr>
          <w:rStyle w:val="FootnoteReference"/>
          <w:color w:val="000000" w:themeColor="text1"/>
        </w:rPr>
        <w:footnoteReference w:id="235"/>
      </w:r>
      <w:r w:rsidRPr="00B43E31">
        <w:rPr>
          <w:color w:val="000000" w:themeColor="text1"/>
        </w:rPr>
        <w:t xml:space="preserve"> This is especially evident in the didactic cartouche name of the Aten, where we see the names of Re-Horakhty and Shu employed. Goebs would agree with this and advises us that Akhenaten was never truly monotheistic in the sense that he employed old myths in order to enhance his claim to throne</w:t>
      </w:r>
      <w:r>
        <w:rPr>
          <w:color w:val="000000" w:themeColor="text1"/>
        </w:rPr>
        <w:t>.</w:t>
      </w:r>
      <w:r w:rsidRPr="00B43E31">
        <w:rPr>
          <w:rStyle w:val="FootnoteReference"/>
          <w:color w:val="000000" w:themeColor="text1"/>
        </w:rPr>
        <w:footnoteReference w:id="236"/>
      </w:r>
      <w:r w:rsidRPr="00B43E31">
        <w:rPr>
          <w:color w:val="000000" w:themeColor="text1"/>
        </w:rPr>
        <w:t xml:space="preserve"> It has also been argued that we cannot make assumptions</w:t>
      </w:r>
      <w:r w:rsidR="00DE74B5">
        <w:rPr>
          <w:color w:val="000000" w:themeColor="text1"/>
        </w:rPr>
        <w:t>,</w:t>
      </w:r>
      <w:r w:rsidRPr="00B43E31">
        <w:rPr>
          <w:color w:val="000000" w:themeColor="text1"/>
        </w:rPr>
        <w:t xml:space="preserve"> based on the material and written sources that have survived</w:t>
      </w:r>
      <w:r w:rsidR="00DE74B5">
        <w:rPr>
          <w:color w:val="000000" w:themeColor="text1"/>
        </w:rPr>
        <w:t>,</w:t>
      </w:r>
      <w:r w:rsidRPr="00B43E31">
        <w:rPr>
          <w:color w:val="000000" w:themeColor="text1"/>
        </w:rPr>
        <w:t xml:space="preserve"> that Akhenaten was truly monotheistic and that Atenism was the only choice </w:t>
      </w:r>
      <w:r w:rsidRPr="00B43E31">
        <w:rPr>
          <w:color w:val="000000" w:themeColor="text1"/>
        </w:rPr>
        <w:lastRenderedPageBreak/>
        <w:t>people had in terms of worship</w:t>
      </w:r>
      <w:r>
        <w:rPr>
          <w:color w:val="000000" w:themeColor="text1"/>
        </w:rPr>
        <w:t>.</w:t>
      </w:r>
      <w:r w:rsidRPr="00B43E31">
        <w:rPr>
          <w:rStyle w:val="FootnoteReference"/>
          <w:color w:val="000000" w:themeColor="text1"/>
        </w:rPr>
        <w:footnoteReference w:id="237"/>
      </w:r>
      <w:r w:rsidRPr="00B43E31">
        <w:rPr>
          <w:color w:val="000000" w:themeColor="text1"/>
        </w:rPr>
        <w:t xml:space="preserve"> Henotheism, therefore, may perhaps be a better term to use</w:t>
      </w:r>
      <w:r>
        <w:rPr>
          <w:color w:val="000000" w:themeColor="text1"/>
        </w:rPr>
        <w:t>.</w:t>
      </w:r>
      <w:r w:rsidRPr="00B43E31">
        <w:rPr>
          <w:rStyle w:val="FootnoteReference"/>
          <w:color w:val="000000" w:themeColor="text1"/>
        </w:rPr>
        <w:footnoteReference w:id="238"/>
      </w:r>
      <w:r w:rsidRPr="00B43E31">
        <w:rPr>
          <w:color w:val="000000" w:themeColor="text1"/>
        </w:rPr>
        <w:t xml:space="preserve"> Alternatively, one could argue that Atenism is monolatrism given the fervour in which Amun and the other gods are rejected in favour of Aten. In order to deny the worship of the other deities, one must confront them first, and as mentioned previously there is no source that explicitly denies the existence of other deities. His religion just chooses to ignore them. Therefore, this is not indicative of a monotheism.</w:t>
      </w:r>
    </w:p>
    <w:p w14:paraId="7942597A" w14:textId="77777777" w:rsidR="00060E63" w:rsidRPr="00B43E31" w:rsidRDefault="00060E63" w:rsidP="00FC6F8A">
      <w:pPr>
        <w:spacing w:line="360" w:lineRule="auto"/>
        <w:rPr>
          <w:color w:val="000000" w:themeColor="text1"/>
          <w:u w:val="single"/>
        </w:rPr>
      </w:pPr>
    </w:p>
    <w:p w14:paraId="6856028B" w14:textId="28675935" w:rsidR="005C2027" w:rsidRDefault="00060E63" w:rsidP="00FC6F8A">
      <w:pPr>
        <w:spacing w:line="360" w:lineRule="auto"/>
        <w:rPr>
          <w:color w:val="000000" w:themeColor="text1"/>
        </w:rPr>
      </w:pPr>
      <w:r w:rsidRPr="00B43E31">
        <w:rPr>
          <w:color w:val="000000" w:themeColor="text1"/>
        </w:rPr>
        <w:t>We also see the creation of a new religious concept within this period; universalism. The god is no longer restricted to the land of Egypt and can be seen everywhere and anywhere in the world. No longer are foreign lands seen as the lands of chaos and Egypt as the land of order, as Aten is present everywhere, therefore he gives life to all</w:t>
      </w:r>
      <w:r>
        <w:rPr>
          <w:color w:val="000000" w:themeColor="text1"/>
        </w:rPr>
        <w:t>.</w:t>
      </w:r>
      <w:r w:rsidRPr="00B43E31">
        <w:rPr>
          <w:rStyle w:val="FootnoteReference"/>
          <w:color w:val="000000" w:themeColor="text1"/>
        </w:rPr>
        <w:footnoteReference w:id="239"/>
      </w:r>
      <w:r w:rsidRPr="00B43E31">
        <w:rPr>
          <w:color w:val="000000" w:themeColor="text1"/>
        </w:rPr>
        <w:t xml:space="preserve"> In a way</w:t>
      </w:r>
      <w:r w:rsidR="00DE74B5">
        <w:rPr>
          <w:color w:val="000000" w:themeColor="text1"/>
        </w:rPr>
        <w:t>,</w:t>
      </w:r>
      <w:r w:rsidRPr="00B43E31">
        <w:rPr>
          <w:color w:val="000000" w:themeColor="text1"/>
        </w:rPr>
        <w:t xml:space="preserve"> Atenism was a more accessible religion, available to all in any walk of life</w:t>
      </w:r>
      <w:r>
        <w:rPr>
          <w:color w:val="000000" w:themeColor="text1"/>
        </w:rPr>
        <w:t>.</w:t>
      </w:r>
      <w:r w:rsidRPr="00B43E31">
        <w:rPr>
          <w:rStyle w:val="FootnoteReference"/>
          <w:color w:val="000000" w:themeColor="text1"/>
        </w:rPr>
        <w:footnoteReference w:id="240"/>
      </w:r>
      <w:r w:rsidRPr="00B43E31">
        <w:rPr>
          <w:color w:val="000000" w:themeColor="text1"/>
        </w:rPr>
        <w:t xml:space="preserve"> The sun disc itself was fully visible and allowed people an immediate physical experience with the divine</w:t>
      </w:r>
      <w:r w:rsidR="00DE74B5">
        <w:rPr>
          <w:color w:val="000000" w:themeColor="text1"/>
        </w:rPr>
        <w:t>. This</w:t>
      </w:r>
      <w:r w:rsidRPr="00B43E31">
        <w:rPr>
          <w:color w:val="000000" w:themeColor="text1"/>
        </w:rPr>
        <w:t xml:space="preserve"> contrasted with previous ideology </w:t>
      </w:r>
      <w:r w:rsidR="00DE74B5">
        <w:rPr>
          <w:color w:val="000000" w:themeColor="text1"/>
        </w:rPr>
        <w:t>where</w:t>
      </w:r>
      <w:r w:rsidRPr="00B43E31">
        <w:rPr>
          <w:color w:val="000000" w:themeColor="text1"/>
        </w:rPr>
        <w:t xml:space="preserve"> the deity was hidden, inaccessible to the every-day person</w:t>
      </w:r>
      <w:r>
        <w:rPr>
          <w:color w:val="000000" w:themeColor="text1"/>
        </w:rPr>
        <w:t>.</w:t>
      </w:r>
      <w:r w:rsidRPr="00B43E31">
        <w:rPr>
          <w:rStyle w:val="FootnoteReference"/>
          <w:color w:val="000000" w:themeColor="text1"/>
        </w:rPr>
        <w:footnoteReference w:id="241"/>
      </w:r>
      <w:r w:rsidRPr="00B43E31">
        <w:rPr>
          <w:color w:val="000000" w:themeColor="text1"/>
        </w:rPr>
        <w:t xml:space="preserve"> Nevertheless, even though Atenism appeared to be accessible in the sense that the deity was now universal, in truth it was possibly more inaccessible than before. This is emphasised in the Hymn to the Aten which indicates that Akhenaten is the only person who is able to communicate with the deity in question</w:t>
      </w:r>
      <w:r>
        <w:rPr>
          <w:color w:val="000000" w:themeColor="text1"/>
        </w:rPr>
        <w:t>.</w:t>
      </w:r>
      <w:r w:rsidRPr="00B43E31">
        <w:rPr>
          <w:rStyle w:val="FootnoteReference"/>
          <w:color w:val="000000" w:themeColor="text1"/>
        </w:rPr>
        <w:footnoteReference w:id="242"/>
      </w:r>
      <w:r w:rsidRPr="00B43E31">
        <w:rPr>
          <w:color w:val="000000" w:themeColor="text1"/>
        </w:rPr>
        <w:t xml:space="preserve"> Even though he could be universally seen and experienced, the Egyptian people no longer had that personal link with their god. </w:t>
      </w:r>
    </w:p>
    <w:p w14:paraId="60594F55" w14:textId="77777777" w:rsidR="005C2027" w:rsidRPr="00B43E31" w:rsidRDefault="005C2027" w:rsidP="00FC6F8A">
      <w:pPr>
        <w:spacing w:line="360" w:lineRule="auto"/>
        <w:rPr>
          <w:color w:val="000000" w:themeColor="text1"/>
        </w:rPr>
      </w:pPr>
    </w:p>
    <w:p w14:paraId="2343FB57" w14:textId="284ACED5" w:rsidR="005C2027" w:rsidRPr="00CF4564" w:rsidRDefault="00060E63" w:rsidP="00CF4564">
      <w:pPr>
        <w:pStyle w:val="Heading2"/>
        <w:numPr>
          <w:ilvl w:val="1"/>
          <w:numId w:val="2"/>
        </w:numPr>
        <w:spacing w:line="360" w:lineRule="auto"/>
        <w:rPr>
          <w:rFonts w:asciiTheme="minorHAnsi" w:hAnsiTheme="minorHAnsi"/>
          <w:color w:val="000000" w:themeColor="text1"/>
          <w:sz w:val="24"/>
          <w:szCs w:val="24"/>
          <w:u w:val="single"/>
        </w:rPr>
      </w:pPr>
      <w:bookmarkStart w:id="18" w:name="_Toc33821843"/>
      <w:r w:rsidRPr="00CF4564">
        <w:rPr>
          <w:rFonts w:asciiTheme="minorHAnsi" w:hAnsiTheme="minorHAnsi"/>
          <w:color w:val="000000" w:themeColor="text1"/>
          <w:sz w:val="24"/>
          <w:szCs w:val="24"/>
          <w:u w:val="single"/>
        </w:rPr>
        <w:t>The Destruction of Amun-Ra – Political or Religious in nature</w:t>
      </w:r>
      <w:r w:rsidRPr="00CF4564">
        <w:rPr>
          <w:rFonts w:asciiTheme="minorHAnsi" w:hAnsiTheme="minorHAnsi"/>
          <w:color w:val="000000" w:themeColor="text1"/>
          <w:sz w:val="24"/>
          <w:szCs w:val="24"/>
          <w:u w:val="single"/>
        </w:rPr>
        <w:t>?</w:t>
      </w:r>
      <w:bookmarkEnd w:id="18"/>
    </w:p>
    <w:p w14:paraId="3964417A" w14:textId="7EC377BF" w:rsidR="00060E63" w:rsidRPr="00B43E31" w:rsidRDefault="00060E63" w:rsidP="00FC6F8A">
      <w:pPr>
        <w:spacing w:line="360" w:lineRule="auto"/>
        <w:rPr>
          <w:color w:val="000000" w:themeColor="text1"/>
        </w:rPr>
      </w:pPr>
      <w:r w:rsidRPr="00B43E31">
        <w:rPr>
          <w:color w:val="000000" w:themeColor="text1"/>
        </w:rPr>
        <w:t xml:space="preserve">The destruction of the cult of Amun-Ra is important to consider when looking at destruction as a cultural theme. It could be argued that the move to Atenism wasn’t based on religious </w:t>
      </w:r>
      <w:r w:rsidRPr="00B43E31">
        <w:rPr>
          <w:color w:val="000000" w:themeColor="text1"/>
        </w:rPr>
        <w:lastRenderedPageBreak/>
        <w:t>zealotry but rather on political motive</w:t>
      </w:r>
      <w:r>
        <w:rPr>
          <w:color w:val="000000" w:themeColor="text1"/>
        </w:rPr>
        <w:t>.</w:t>
      </w:r>
      <w:r w:rsidRPr="00B43E31">
        <w:rPr>
          <w:rStyle w:val="FootnoteReference"/>
          <w:color w:val="000000" w:themeColor="text1"/>
        </w:rPr>
        <w:footnoteReference w:id="243"/>
      </w:r>
      <w:r w:rsidRPr="00B43E31">
        <w:rPr>
          <w:color w:val="000000" w:themeColor="text1"/>
        </w:rPr>
        <w:t xml:space="preserve"> The power of Amun-Re is clearly shown within the first part of the 18</w:t>
      </w:r>
      <w:r w:rsidRPr="00B43E31">
        <w:rPr>
          <w:color w:val="000000" w:themeColor="text1"/>
          <w:vertAlign w:val="superscript"/>
        </w:rPr>
        <w:t>th</w:t>
      </w:r>
      <w:r w:rsidRPr="00B43E31">
        <w:rPr>
          <w:color w:val="000000" w:themeColor="text1"/>
        </w:rPr>
        <w:t xml:space="preserve"> Dynasty</w:t>
      </w:r>
      <w:r w:rsidR="00DE74B5">
        <w:rPr>
          <w:color w:val="000000" w:themeColor="text1"/>
        </w:rPr>
        <w:t>,</w:t>
      </w:r>
      <w:r w:rsidRPr="00B43E31">
        <w:rPr>
          <w:color w:val="000000" w:themeColor="text1"/>
        </w:rPr>
        <w:t xml:space="preserve"> where the cult reached the peak of its power at Karnak</w:t>
      </w:r>
      <w:r>
        <w:rPr>
          <w:color w:val="000000" w:themeColor="text1"/>
        </w:rPr>
        <w:t>.</w:t>
      </w:r>
      <w:r w:rsidRPr="00B43E31">
        <w:rPr>
          <w:rStyle w:val="FootnoteReference"/>
          <w:color w:val="000000" w:themeColor="text1"/>
        </w:rPr>
        <w:footnoteReference w:id="244"/>
      </w:r>
      <w:r w:rsidRPr="00B43E31">
        <w:rPr>
          <w:color w:val="000000" w:themeColor="text1"/>
        </w:rPr>
        <w:t xml:space="preserve"> The cult itself had unprecedented power within the religious and political spheres and its influence was unmatched</w:t>
      </w:r>
      <w:r>
        <w:rPr>
          <w:color w:val="000000" w:themeColor="text1"/>
        </w:rPr>
        <w:t>.</w:t>
      </w:r>
      <w:r w:rsidRPr="00B43E31">
        <w:rPr>
          <w:rStyle w:val="FootnoteReference"/>
          <w:color w:val="000000" w:themeColor="text1"/>
        </w:rPr>
        <w:footnoteReference w:id="245"/>
      </w:r>
      <w:r w:rsidRPr="00B43E31">
        <w:rPr>
          <w:color w:val="000000" w:themeColor="text1"/>
        </w:rPr>
        <w:t xml:space="preserve"> Perhaps the introduction of Atenism was a way for the Pharaoh to gain back some of his political influence and power as King. Akhenaten’s ideology justified an unchallenged rule</w:t>
      </w:r>
      <w:r w:rsidRPr="00B43E31">
        <w:rPr>
          <w:rStyle w:val="FootnoteReference"/>
          <w:color w:val="000000" w:themeColor="text1"/>
        </w:rPr>
        <w:footnoteReference w:id="246"/>
      </w:r>
      <w:r w:rsidRPr="00B43E31">
        <w:rPr>
          <w:color w:val="000000" w:themeColor="text1"/>
        </w:rPr>
        <w:t xml:space="preserve"> and made sure that no other cult or priesthood could gain control over the state.</w:t>
      </w:r>
      <w:r w:rsidR="00DE74B5">
        <w:rPr>
          <w:color w:val="000000" w:themeColor="text1"/>
        </w:rPr>
        <w:t xml:space="preserve"> Furthermore,</w:t>
      </w:r>
      <w:r w:rsidRPr="00B43E31">
        <w:rPr>
          <w:color w:val="000000" w:themeColor="text1"/>
        </w:rPr>
        <w:t xml:space="preserve"> Akhenaten was not the only Pharaoh to promote a solar cult in an effort to rival that of Amun-Ra. David argues that this had </w:t>
      </w:r>
      <w:r w:rsidR="00A41D2E">
        <w:rPr>
          <w:color w:val="000000" w:themeColor="text1"/>
        </w:rPr>
        <w:t xml:space="preserve">also </w:t>
      </w:r>
      <w:r w:rsidRPr="00B43E31">
        <w:rPr>
          <w:color w:val="000000" w:themeColor="text1"/>
        </w:rPr>
        <w:t>been employed by the Pharaoh Thutmose IV and continued onwards into the 19</w:t>
      </w:r>
      <w:r w:rsidRPr="00B43E31">
        <w:rPr>
          <w:color w:val="000000" w:themeColor="text1"/>
          <w:vertAlign w:val="superscript"/>
        </w:rPr>
        <w:t>th</w:t>
      </w:r>
      <w:r w:rsidRPr="00B43E31">
        <w:rPr>
          <w:color w:val="000000" w:themeColor="text1"/>
        </w:rPr>
        <w:t xml:space="preserve"> Dynasty</w:t>
      </w:r>
      <w:r>
        <w:rPr>
          <w:color w:val="000000" w:themeColor="text1"/>
        </w:rPr>
        <w:t>.</w:t>
      </w:r>
      <w:r w:rsidRPr="00B43E31">
        <w:rPr>
          <w:rStyle w:val="FootnoteReference"/>
          <w:color w:val="000000" w:themeColor="text1"/>
        </w:rPr>
        <w:footnoteReference w:id="247"/>
      </w:r>
      <w:r w:rsidRPr="00B43E31">
        <w:rPr>
          <w:color w:val="000000" w:themeColor="text1"/>
        </w:rPr>
        <w:t xml:space="preserve"> </w:t>
      </w:r>
    </w:p>
    <w:p w14:paraId="5630CAF6" w14:textId="77777777" w:rsidR="00060E63" w:rsidRPr="00B43E31" w:rsidRDefault="00060E63" w:rsidP="00FC6F8A">
      <w:pPr>
        <w:spacing w:line="360" w:lineRule="auto"/>
        <w:rPr>
          <w:color w:val="000000" w:themeColor="text1"/>
        </w:rPr>
      </w:pPr>
    </w:p>
    <w:p w14:paraId="32D05317" w14:textId="55890EAC" w:rsidR="00CF4564" w:rsidRDefault="00060E63" w:rsidP="00F82A0D">
      <w:pPr>
        <w:spacing w:line="360" w:lineRule="auto"/>
        <w:rPr>
          <w:color w:val="000000" w:themeColor="text1"/>
        </w:rPr>
      </w:pPr>
      <w:r w:rsidRPr="00B43E31">
        <w:rPr>
          <w:color w:val="000000" w:themeColor="text1"/>
        </w:rPr>
        <w:t xml:space="preserve">Another point to consider here is the legitimisation of the King through the solar god himself. </w:t>
      </w:r>
      <w:r w:rsidR="00DE74B5">
        <w:rPr>
          <w:color w:val="000000" w:themeColor="text1"/>
        </w:rPr>
        <w:t xml:space="preserve">It could be </w:t>
      </w:r>
      <w:r w:rsidRPr="00B43E31">
        <w:rPr>
          <w:color w:val="000000" w:themeColor="text1"/>
        </w:rPr>
        <w:t xml:space="preserve">argued that within Akhenaten’s ideology, the King had no need for a traditional filial relationship with the creator god as those before him did. It has been previously </w:t>
      </w:r>
      <w:r w:rsidR="00DE74B5">
        <w:rPr>
          <w:color w:val="000000" w:themeColor="text1"/>
        </w:rPr>
        <w:t>mentioned</w:t>
      </w:r>
      <w:r w:rsidRPr="00B43E31">
        <w:rPr>
          <w:color w:val="000000" w:themeColor="text1"/>
        </w:rPr>
        <w:t xml:space="preserve"> that Amenhotep III had been deified in his lifetime and upon his death took the form of the dazzling sun disc in the sky</w:t>
      </w:r>
      <w:r>
        <w:rPr>
          <w:color w:val="000000" w:themeColor="text1"/>
        </w:rPr>
        <w:t>.</w:t>
      </w:r>
      <w:r w:rsidRPr="00B43E31">
        <w:rPr>
          <w:rStyle w:val="FootnoteReference"/>
          <w:color w:val="000000" w:themeColor="text1"/>
        </w:rPr>
        <w:footnoteReference w:id="248"/>
      </w:r>
      <w:r w:rsidRPr="00B43E31">
        <w:rPr>
          <w:color w:val="000000" w:themeColor="text1"/>
        </w:rPr>
        <w:t xml:space="preserve"> Akhenaten had no need to legitimise himself as he was technically already the son of a sun god and could claim his divine inheritance directly through his father</w:t>
      </w:r>
      <w:r>
        <w:rPr>
          <w:color w:val="000000" w:themeColor="text1"/>
        </w:rPr>
        <w:t>.</w:t>
      </w:r>
      <w:r w:rsidRPr="00B43E31">
        <w:rPr>
          <w:rStyle w:val="FootnoteReference"/>
          <w:color w:val="000000" w:themeColor="text1"/>
        </w:rPr>
        <w:footnoteReference w:id="249"/>
      </w:r>
      <w:r w:rsidRPr="00B43E31">
        <w:rPr>
          <w:color w:val="000000" w:themeColor="text1"/>
        </w:rPr>
        <w:t xml:space="preserve"> No longer needing the priesthood of Amun at Karnak, Akhenaten focused on creating a new identity and set his sights on founding a new city where the true deity could be worshipped in his full form.</w:t>
      </w:r>
    </w:p>
    <w:p w14:paraId="3E05175F" w14:textId="77777777" w:rsidR="00DE74B5" w:rsidRPr="00F82A0D" w:rsidRDefault="00DE74B5" w:rsidP="00F82A0D">
      <w:pPr>
        <w:spacing w:line="360" w:lineRule="auto"/>
        <w:rPr>
          <w:color w:val="000000" w:themeColor="text1"/>
        </w:rPr>
      </w:pPr>
    </w:p>
    <w:p w14:paraId="58ADDBFB" w14:textId="00D30326" w:rsidR="00FC6F8A" w:rsidRPr="00CF4564" w:rsidRDefault="00060E63" w:rsidP="00CF4564">
      <w:pPr>
        <w:pStyle w:val="Heading2"/>
        <w:numPr>
          <w:ilvl w:val="1"/>
          <w:numId w:val="2"/>
        </w:numPr>
        <w:spacing w:line="360" w:lineRule="auto"/>
        <w:rPr>
          <w:rFonts w:asciiTheme="minorHAnsi" w:hAnsiTheme="minorHAnsi"/>
          <w:color w:val="000000" w:themeColor="text1"/>
          <w:sz w:val="24"/>
          <w:szCs w:val="24"/>
          <w:u w:val="single"/>
        </w:rPr>
      </w:pPr>
      <w:bookmarkStart w:id="19" w:name="_Toc33821844"/>
      <w:r w:rsidRPr="00CF4564">
        <w:rPr>
          <w:rFonts w:asciiTheme="minorHAnsi" w:hAnsiTheme="minorHAnsi"/>
          <w:color w:val="000000" w:themeColor="text1"/>
          <w:sz w:val="24"/>
          <w:szCs w:val="24"/>
          <w:u w:val="single"/>
        </w:rPr>
        <w:lastRenderedPageBreak/>
        <w:t xml:space="preserve">The </w:t>
      </w:r>
      <w:r w:rsidR="00CF4564">
        <w:rPr>
          <w:rFonts w:asciiTheme="minorHAnsi" w:hAnsiTheme="minorHAnsi"/>
          <w:color w:val="000000" w:themeColor="text1"/>
          <w:sz w:val="24"/>
          <w:szCs w:val="24"/>
          <w:u w:val="single"/>
        </w:rPr>
        <w:t>C</w:t>
      </w:r>
      <w:r w:rsidRPr="00CF4564">
        <w:rPr>
          <w:rFonts w:asciiTheme="minorHAnsi" w:hAnsiTheme="minorHAnsi"/>
          <w:color w:val="000000" w:themeColor="text1"/>
          <w:sz w:val="24"/>
          <w:szCs w:val="24"/>
          <w:u w:val="single"/>
        </w:rPr>
        <w:t xml:space="preserve">reation of a </w:t>
      </w:r>
      <w:r w:rsidR="00CF4564">
        <w:rPr>
          <w:rFonts w:asciiTheme="minorHAnsi" w:hAnsiTheme="minorHAnsi"/>
          <w:color w:val="000000" w:themeColor="text1"/>
          <w:sz w:val="24"/>
          <w:szCs w:val="24"/>
          <w:u w:val="single"/>
        </w:rPr>
        <w:t>N</w:t>
      </w:r>
      <w:r w:rsidRPr="00CF4564">
        <w:rPr>
          <w:rFonts w:asciiTheme="minorHAnsi" w:hAnsiTheme="minorHAnsi"/>
          <w:color w:val="000000" w:themeColor="text1"/>
          <w:sz w:val="24"/>
          <w:szCs w:val="24"/>
          <w:u w:val="single"/>
        </w:rPr>
        <w:t xml:space="preserve">ew </w:t>
      </w:r>
      <w:r w:rsidR="00CF4564">
        <w:rPr>
          <w:rFonts w:asciiTheme="minorHAnsi" w:hAnsiTheme="minorHAnsi"/>
          <w:color w:val="000000" w:themeColor="text1"/>
          <w:sz w:val="24"/>
          <w:szCs w:val="24"/>
          <w:u w:val="single"/>
        </w:rPr>
        <w:t>C</w:t>
      </w:r>
      <w:r w:rsidRPr="00CF4564">
        <w:rPr>
          <w:rFonts w:asciiTheme="minorHAnsi" w:hAnsiTheme="minorHAnsi"/>
          <w:color w:val="000000" w:themeColor="text1"/>
          <w:sz w:val="24"/>
          <w:szCs w:val="24"/>
          <w:u w:val="single"/>
        </w:rPr>
        <w:t xml:space="preserve">ity – The </w:t>
      </w:r>
      <w:r w:rsidR="00CF4564">
        <w:rPr>
          <w:rFonts w:asciiTheme="minorHAnsi" w:hAnsiTheme="minorHAnsi"/>
          <w:color w:val="000000" w:themeColor="text1"/>
          <w:sz w:val="24"/>
          <w:szCs w:val="24"/>
          <w:u w:val="single"/>
        </w:rPr>
        <w:t>E</w:t>
      </w:r>
      <w:r w:rsidRPr="00CF4564">
        <w:rPr>
          <w:rFonts w:asciiTheme="minorHAnsi" w:hAnsiTheme="minorHAnsi"/>
          <w:color w:val="000000" w:themeColor="text1"/>
          <w:sz w:val="24"/>
          <w:szCs w:val="24"/>
          <w:u w:val="single"/>
        </w:rPr>
        <w:t>stablishment of Akhetaten</w:t>
      </w:r>
      <w:bookmarkEnd w:id="19"/>
    </w:p>
    <w:p w14:paraId="59F79F69" w14:textId="7BACF1A8" w:rsidR="00060E63" w:rsidRPr="00B43E31" w:rsidRDefault="00060E63" w:rsidP="00CF4564">
      <w:pPr>
        <w:spacing w:line="360" w:lineRule="auto"/>
        <w:rPr>
          <w:color w:val="000000" w:themeColor="text1"/>
        </w:rPr>
      </w:pPr>
      <w:r w:rsidRPr="00B43E31">
        <w:rPr>
          <w:color w:val="000000" w:themeColor="text1"/>
        </w:rPr>
        <w:t>The foundation of Akhetaten signalled a turning point within the political and religious life of the New Kingdom, where a severance with the structure of old is evident</w:t>
      </w:r>
      <w:r>
        <w:rPr>
          <w:color w:val="000000" w:themeColor="text1"/>
        </w:rPr>
        <w:t>.</w:t>
      </w:r>
      <w:r w:rsidRPr="00B43E31">
        <w:rPr>
          <w:rStyle w:val="FootnoteReference"/>
          <w:color w:val="000000" w:themeColor="text1"/>
        </w:rPr>
        <w:footnoteReference w:id="250"/>
      </w:r>
      <w:r w:rsidRPr="00B43E31">
        <w:rPr>
          <w:color w:val="000000" w:themeColor="text1"/>
        </w:rPr>
        <w:t xml:space="preserve"> With the creation of the new city, we see the destruction of a centuries old link between </w:t>
      </w:r>
      <w:r w:rsidR="00DE74B5">
        <w:rPr>
          <w:color w:val="000000" w:themeColor="text1"/>
        </w:rPr>
        <w:t xml:space="preserve">the </w:t>
      </w:r>
      <w:r w:rsidRPr="00B43E31">
        <w:rPr>
          <w:color w:val="000000" w:themeColor="text1"/>
        </w:rPr>
        <w:t xml:space="preserve">Kingship and </w:t>
      </w:r>
      <w:r w:rsidR="00DE74B5">
        <w:rPr>
          <w:color w:val="000000" w:themeColor="text1"/>
        </w:rPr>
        <w:t xml:space="preserve">the </w:t>
      </w:r>
      <w:r w:rsidRPr="00B43E31">
        <w:rPr>
          <w:color w:val="000000" w:themeColor="text1"/>
        </w:rPr>
        <w:t>religious centre at Karnak in Thebes, which started at the beginning of the Middle Kingdom. Akhenaten strips Thebes of its designation as the seat of the “first occasion”</w:t>
      </w:r>
      <w:r w:rsidRPr="00B43E31">
        <w:rPr>
          <w:rStyle w:val="FootnoteReference"/>
          <w:color w:val="000000" w:themeColor="text1"/>
        </w:rPr>
        <w:footnoteReference w:id="251"/>
      </w:r>
      <w:r w:rsidRPr="00B43E31">
        <w:rPr>
          <w:color w:val="000000" w:themeColor="text1"/>
        </w:rPr>
        <w:t xml:space="preserve"> and instead bestows this on Akhetaten</w:t>
      </w:r>
      <w:r>
        <w:rPr>
          <w:color w:val="000000" w:themeColor="text1"/>
        </w:rPr>
        <w:t>.</w:t>
      </w:r>
      <w:r w:rsidRPr="00B43E31">
        <w:rPr>
          <w:rStyle w:val="FootnoteReference"/>
          <w:color w:val="000000" w:themeColor="text1"/>
        </w:rPr>
        <w:footnoteReference w:id="252"/>
      </w:r>
      <w:r w:rsidRPr="00B43E31">
        <w:rPr>
          <w:color w:val="000000" w:themeColor="text1"/>
        </w:rPr>
        <w:t xml:space="preserve"> By linking the city to the primordial state perhaps one could argue that Akhenaten is taking on the guise of creator himself by establishing the city. Also, by establishing it on virgin ground where Aten himself first came to be, mimics the point of creation, as it was when Aten first established the world out of the primeval waters. These links with creation are important as they are the basis of all life in Akhetaten and of course Egypt itself. </w:t>
      </w:r>
    </w:p>
    <w:p w14:paraId="0BAB5D08" w14:textId="77777777" w:rsidR="00060E63" w:rsidRPr="00B43E31" w:rsidRDefault="00060E63" w:rsidP="00FC6F8A">
      <w:pPr>
        <w:spacing w:line="360" w:lineRule="auto"/>
        <w:rPr>
          <w:color w:val="000000" w:themeColor="text1"/>
        </w:rPr>
      </w:pPr>
    </w:p>
    <w:p w14:paraId="481CC63C" w14:textId="447AC3CC" w:rsidR="00060E63" w:rsidRPr="00B43E31" w:rsidRDefault="00060E63" w:rsidP="00FC6F8A">
      <w:pPr>
        <w:spacing w:line="360" w:lineRule="auto"/>
        <w:rPr>
          <w:color w:val="000000" w:themeColor="text1"/>
        </w:rPr>
      </w:pPr>
      <w:r w:rsidRPr="00B43E31">
        <w:rPr>
          <w:color w:val="000000" w:themeColor="text1"/>
        </w:rPr>
        <w:t>Upon his mission throughout Egypt to find a suitable place to build his city, Akhenaten came upon what is now known as the bay of Amarna. The land was virgin ground and had not been claimed by any other deity, therefore Akhenaten believed that he was building a city on “uncontaminated ground” where the Aten could be worshipped in full</w:t>
      </w:r>
      <w:r>
        <w:rPr>
          <w:color w:val="000000" w:themeColor="text1"/>
        </w:rPr>
        <w:t>.</w:t>
      </w:r>
      <w:r w:rsidRPr="00B43E31">
        <w:rPr>
          <w:rStyle w:val="FootnoteReference"/>
          <w:color w:val="000000" w:themeColor="text1"/>
        </w:rPr>
        <w:footnoteReference w:id="253"/>
      </w:r>
      <w:r w:rsidRPr="00B43E31">
        <w:rPr>
          <w:color w:val="000000" w:themeColor="text1"/>
        </w:rPr>
        <w:t xml:space="preserve">Here we see the creation of a sacred space, commissioned by the Pharaoh and ordained by the divine, as it was believed that Aten himself had guided Akhenaten to this space. The creation of a sacred landscape that fits with the religious ideology can be seen also where the formidable landscape was said to be reminiscent of the hieroglyph </w:t>
      </w:r>
      <w:r w:rsidRPr="00B43E31">
        <w:rPr>
          <w:i/>
          <w:color w:val="000000" w:themeColor="text1"/>
        </w:rPr>
        <w:t>akhet</w:t>
      </w:r>
      <w:r>
        <w:rPr>
          <w:i/>
          <w:color w:val="000000" w:themeColor="text1"/>
        </w:rPr>
        <w:t>.</w:t>
      </w:r>
      <w:r w:rsidRPr="00B43E31">
        <w:rPr>
          <w:rStyle w:val="FootnoteReference"/>
          <w:i/>
          <w:color w:val="000000" w:themeColor="text1"/>
        </w:rPr>
        <w:footnoteReference w:id="254"/>
      </w:r>
      <w:r w:rsidRPr="00B43E31">
        <w:rPr>
          <w:color w:val="000000" w:themeColor="text1"/>
        </w:rPr>
        <w:t>The visible rising and setting of the sun over the cliffs was an important aspect of location as the religious theology was based on the movements and actions of the sun disc. His tomb that was built in the cliffs was also purposefully orchestrated so that upon his death, he could be symbolically reunited and merged with his father, the Aten. This would symbolise the constant rebirth and death of the deity itself</w:t>
      </w:r>
      <w:r>
        <w:rPr>
          <w:color w:val="000000" w:themeColor="text1"/>
        </w:rPr>
        <w:t>.</w:t>
      </w:r>
      <w:r w:rsidRPr="00B43E31">
        <w:rPr>
          <w:rStyle w:val="FootnoteReference"/>
          <w:color w:val="000000" w:themeColor="text1"/>
        </w:rPr>
        <w:footnoteReference w:id="255"/>
      </w:r>
      <w:r w:rsidRPr="00B43E31">
        <w:rPr>
          <w:color w:val="000000" w:themeColor="text1"/>
        </w:rPr>
        <w:t xml:space="preserve">At Akhetaten, everything had symbolic meaning and Akhenaten had created a space where his religious ideology could be physically recreated </w:t>
      </w:r>
      <w:r w:rsidRPr="00B43E31">
        <w:rPr>
          <w:color w:val="000000" w:themeColor="text1"/>
        </w:rPr>
        <w:lastRenderedPageBreak/>
        <w:t>and relived every day. We also see the destruction of a major state cult temple and the recreation of Akhetaten as the place of first occasion signifying the power of Pharaoh in his role as creator</w:t>
      </w:r>
      <w:r w:rsidR="00A41D2E">
        <w:rPr>
          <w:color w:val="000000" w:themeColor="text1"/>
        </w:rPr>
        <w:t>.</w:t>
      </w:r>
    </w:p>
    <w:p w14:paraId="12EDCCD5" w14:textId="77777777" w:rsidR="00060E63" w:rsidRPr="00B43E31" w:rsidRDefault="00060E63" w:rsidP="00FC6F8A">
      <w:pPr>
        <w:spacing w:line="360" w:lineRule="auto"/>
        <w:rPr>
          <w:color w:val="000000" w:themeColor="text1"/>
        </w:rPr>
      </w:pPr>
    </w:p>
    <w:p w14:paraId="47D7C379" w14:textId="599033FC" w:rsidR="00060E63" w:rsidRPr="00B43E31" w:rsidRDefault="00060E63" w:rsidP="00FC6F8A">
      <w:pPr>
        <w:spacing w:line="360" w:lineRule="auto"/>
        <w:rPr>
          <w:color w:val="000000" w:themeColor="text1"/>
        </w:rPr>
      </w:pPr>
      <w:r w:rsidRPr="00B43E31">
        <w:rPr>
          <w:color w:val="000000" w:themeColor="text1"/>
        </w:rPr>
        <w:t xml:space="preserve">The layout of </w:t>
      </w:r>
      <w:r w:rsidR="00A41D2E">
        <w:rPr>
          <w:color w:val="000000" w:themeColor="text1"/>
        </w:rPr>
        <w:t xml:space="preserve">the </w:t>
      </w:r>
      <w:r w:rsidRPr="00B43E31">
        <w:rPr>
          <w:color w:val="000000" w:themeColor="text1"/>
        </w:rPr>
        <w:t>city itself should also be considered</w:t>
      </w:r>
      <w:r>
        <w:rPr>
          <w:color w:val="000000" w:themeColor="text1"/>
        </w:rPr>
        <w:t>.</w:t>
      </w:r>
      <w:r w:rsidRPr="00B43E31">
        <w:rPr>
          <w:rStyle w:val="FootnoteReference"/>
          <w:color w:val="000000" w:themeColor="text1"/>
        </w:rPr>
        <w:footnoteReference w:id="256"/>
      </w:r>
      <w:r w:rsidRPr="00B43E31">
        <w:rPr>
          <w:color w:val="000000" w:themeColor="text1"/>
        </w:rPr>
        <w:t>We see that the city runs on a North-South axis, following the river Nile with its royal road connecting all important areas of the city. One could argue that the architecture of this city does not so much part with tradition as recreates it</w:t>
      </w:r>
      <w:r>
        <w:rPr>
          <w:color w:val="000000" w:themeColor="text1"/>
        </w:rPr>
        <w:t>.</w:t>
      </w:r>
      <w:r w:rsidRPr="00B43E31">
        <w:rPr>
          <w:rStyle w:val="FootnoteReference"/>
          <w:color w:val="000000" w:themeColor="text1"/>
        </w:rPr>
        <w:footnoteReference w:id="257"/>
      </w:r>
      <w:r w:rsidRPr="00B43E31">
        <w:rPr>
          <w:color w:val="000000" w:themeColor="text1"/>
        </w:rPr>
        <w:t xml:space="preserve">At first glance, we can see that most of the religious and governmental buildings, including </w:t>
      </w:r>
      <w:r w:rsidR="00DE74B5">
        <w:rPr>
          <w:color w:val="000000" w:themeColor="text1"/>
        </w:rPr>
        <w:t>both</w:t>
      </w:r>
      <w:r w:rsidRPr="00B43E31">
        <w:rPr>
          <w:color w:val="000000" w:themeColor="text1"/>
        </w:rPr>
        <w:t xml:space="preserve"> Aten temples and the great palace</w:t>
      </w:r>
      <w:r w:rsidR="00DE74B5">
        <w:rPr>
          <w:color w:val="000000" w:themeColor="text1"/>
        </w:rPr>
        <w:t>,</w:t>
      </w:r>
      <w:r w:rsidRPr="00B43E31">
        <w:rPr>
          <w:color w:val="000000" w:themeColor="text1"/>
        </w:rPr>
        <w:t xml:space="preserve"> were located in the central city</w:t>
      </w:r>
      <w:r>
        <w:rPr>
          <w:color w:val="000000" w:themeColor="text1"/>
        </w:rPr>
        <w:t>.</w:t>
      </w:r>
      <w:r w:rsidRPr="00B43E31">
        <w:rPr>
          <w:rStyle w:val="FootnoteReference"/>
          <w:color w:val="000000" w:themeColor="text1"/>
        </w:rPr>
        <w:footnoteReference w:id="258"/>
      </w:r>
      <w:r w:rsidRPr="00B43E31">
        <w:rPr>
          <w:color w:val="000000" w:themeColor="text1"/>
        </w:rPr>
        <w:t xml:space="preserve"> The layout of the city also demonstrates important symbolism and ideology in terms of the Kingship. For years, the Pharaoh was known as the symbolic unifier of the lands, ever since the mythical king Narmer unified Upper and Lower Egypt. Some have argued that the architectural layout of the town, signifies the unison of Upper and Lower Egypt</w:t>
      </w:r>
      <w:r w:rsidRPr="00B43E31">
        <w:rPr>
          <w:rStyle w:val="FootnoteReference"/>
          <w:color w:val="000000" w:themeColor="text1"/>
        </w:rPr>
        <w:footnoteReference w:id="259"/>
      </w:r>
      <w:r w:rsidRPr="00B43E31">
        <w:rPr>
          <w:color w:val="000000" w:themeColor="text1"/>
        </w:rPr>
        <w:t>, where the cult centre of the Great Aten Temple meets in the middle. There is also the east-west axis to consider which also draws straight through the temple itself, following the physical and theological movements of the sun being orientated towards the Royal Wadi. Therefore, the Great Aten temple is seen as the central point, unifying the religious east-west with the political north-south symbolising the unification of the lands. Here at the centre, the King is seen to merge with Aten as supreme ruler.  Akhenaten also localises the city and its centre, claiming metaphorical</w:t>
      </w:r>
      <w:r w:rsidR="00A41D2E">
        <w:rPr>
          <w:color w:val="000000" w:themeColor="text1"/>
        </w:rPr>
        <w:t xml:space="preserve"> and </w:t>
      </w:r>
      <w:r w:rsidRPr="00B43E31">
        <w:rPr>
          <w:color w:val="000000" w:themeColor="text1"/>
        </w:rPr>
        <w:t>universal rule from the capital itself</w:t>
      </w:r>
      <w:r>
        <w:rPr>
          <w:color w:val="000000" w:themeColor="text1"/>
        </w:rPr>
        <w:t>.</w:t>
      </w:r>
      <w:r w:rsidRPr="00B43E31">
        <w:rPr>
          <w:rStyle w:val="FootnoteReference"/>
          <w:color w:val="000000" w:themeColor="text1"/>
        </w:rPr>
        <w:footnoteReference w:id="260"/>
      </w:r>
      <w:r w:rsidRPr="00B43E31">
        <w:rPr>
          <w:color w:val="000000" w:themeColor="text1"/>
        </w:rPr>
        <w:t xml:space="preserve">The town itself therefore has been </w:t>
      </w:r>
      <w:r w:rsidR="00DE74B5">
        <w:rPr>
          <w:color w:val="000000" w:themeColor="text1"/>
        </w:rPr>
        <w:t>described as a</w:t>
      </w:r>
      <w:r w:rsidRPr="00B43E31">
        <w:rPr>
          <w:color w:val="000000" w:themeColor="text1"/>
        </w:rPr>
        <w:t xml:space="preserve"> place of worship in itself, a geographical temple to Aten</w:t>
      </w:r>
      <w:r>
        <w:rPr>
          <w:color w:val="000000" w:themeColor="text1"/>
        </w:rPr>
        <w:t>.</w:t>
      </w:r>
      <w:r w:rsidRPr="00B43E31">
        <w:rPr>
          <w:rStyle w:val="FootnoteReference"/>
          <w:color w:val="000000" w:themeColor="text1"/>
        </w:rPr>
        <w:footnoteReference w:id="261"/>
      </w:r>
      <w:r w:rsidRPr="00B43E31">
        <w:rPr>
          <w:color w:val="000000" w:themeColor="text1"/>
        </w:rPr>
        <w:t xml:space="preserve"> </w:t>
      </w:r>
    </w:p>
    <w:p w14:paraId="3B72C65C" w14:textId="77777777" w:rsidR="00060E63" w:rsidRPr="00B43E31" w:rsidRDefault="00060E63" w:rsidP="00FC6F8A">
      <w:pPr>
        <w:spacing w:line="360" w:lineRule="auto"/>
        <w:rPr>
          <w:color w:val="000000" w:themeColor="text1"/>
        </w:rPr>
      </w:pPr>
    </w:p>
    <w:p w14:paraId="3D308340" w14:textId="77777777" w:rsidR="00060E63" w:rsidRPr="00B43E31" w:rsidRDefault="00060E63" w:rsidP="00FC6F8A">
      <w:pPr>
        <w:spacing w:line="360" w:lineRule="auto"/>
        <w:jc w:val="center"/>
        <w:rPr>
          <w:color w:val="000000" w:themeColor="text1"/>
        </w:rPr>
      </w:pPr>
      <w:r w:rsidRPr="00B43E31">
        <w:rPr>
          <w:noProof/>
          <w:color w:val="000000" w:themeColor="text1"/>
        </w:rPr>
        <w:lastRenderedPageBreak/>
        <w:drawing>
          <wp:inline distT="0" distB="0" distL="0" distR="0" wp14:anchorId="6C290CBF" wp14:editId="7DDADF0A">
            <wp:extent cx="4742121" cy="5537558"/>
            <wp:effectExtent l="0" t="0" r="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ayout of tell el-amarna.png"/>
                    <pic:cNvPicPr/>
                  </pic:nvPicPr>
                  <pic:blipFill>
                    <a:blip r:embed="rId9">
                      <a:extLst>
                        <a:ext uri="{28A0092B-C50C-407E-A947-70E740481C1C}">
                          <a14:useLocalDpi xmlns:a14="http://schemas.microsoft.com/office/drawing/2010/main" val="0"/>
                        </a:ext>
                      </a:extLst>
                    </a:blip>
                    <a:stretch>
                      <a:fillRect/>
                    </a:stretch>
                  </pic:blipFill>
                  <pic:spPr>
                    <a:xfrm>
                      <a:off x="0" y="0"/>
                      <a:ext cx="4775715" cy="5576787"/>
                    </a:xfrm>
                    <a:prstGeom prst="rect">
                      <a:avLst/>
                    </a:prstGeom>
                  </pic:spPr>
                </pic:pic>
              </a:graphicData>
            </a:graphic>
          </wp:inline>
        </w:drawing>
      </w:r>
    </w:p>
    <w:p w14:paraId="09280133" w14:textId="77777777" w:rsidR="00060E63" w:rsidRPr="00B43E31" w:rsidRDefault="00060E63" w:rsidP="00FC6F8A">
      <w:pPr>
        <w:spacing w:line="360" w:lineRule="auto"/>
        <w:jc w:val="center"/>
        <w:rPr>
          <w:color w:val="000000" w:themeColor="text1"/>
        </w:rPr>
      </w:pPr>
      <w:r w:rsidRPr="00B43E31">
        <w:rPr>
          <w:color w:val="000000" w:themeColor="text1"/>
        </w:rPr>
        <w:t>Figure 1. Map of the ancient city of Amarna. Taken from Christie, J.J. (2016), pp.40</w:t>
      </w:r>
    </w:p>
    <w:p w14:paraId="5EC2B7EC" w14:textId="77777777" w:rsidR="00060E63" w:rsidRPr="00CF4564" w:rsidRDefault="00060E63" w:rsidP="00CF4564">
      <w:pPr>
        <w:spacing w:line="360" w:lineRule="auto"/>
        <w:rPr>
          <w:color w:val="000000" w:themeColor="text1"/>
          <w:sz w:val="22"/>
          <w:szCs w:val="22"/>
          <w:u w:val="single"/>
        </w:rPr>
      </w:pPr>
    </w:p>
    <w:p w14:paraId="59CF8965" w14:textId="2D036CB7" w:rsidR="00060E63" w:rsidRPr="00CF4564" w:rsidRDefault="00060E63" w:rsidP="00CF4564">
      <w:pPr>
        <w:pStyle w:val="Heading2"/>
        <w:numPr>
          <w:ilvl w:val="1"/>
          <w:numId w:val="2"/>
        </w:numPr>
        <w:spacing w:line="360" w:lineRule="auto"/>
        <w:rPr>
          <w:rFonts w:asciiTheme="minorHAnsi" w:hAnsiTheme="minorHAnsi"/>
          <w:color w:val="000000" w:themeColor="text1"/>
          <w:sz w:val="24"/>
          <w:szCs w:val="24"/>
          <w:u w:val="single"/>
        </w:rPr>
      </w:pPr>
      <w:bookmarkStart w:id="20" w:name="_Toc33821845"/>
      <w:r w:rsidRPr="00CF4564">
        <w:rPr>
          <w:rFonts w:asciiTheme="minorHAnsi" w:hAnsiTheme="minorHAnsi"/>
          <w:color w:val="000000" w:themeColor="text1"/>
          <w:sz w:val="24"/>
          <w:szCs w:val="24"/>
          <w:u w:val="single"/>
        </w:rPr>
        <w:t xml:space="preserve">The </w:t>
      </w:r>
      <w:r w:rsidR="00CF4564">
        <w:rPr>
          <w:rFonts w:asciiTheme="minorHAnsi" w:hAnsiTheme="minorHAnsi"/>
          <w:color w:val="000000" w:themeColor="text1"/>
          <w:sz w:val="24"/>
          <w:szCs w:val="24"/>
          <w:u w:val="single"/>
        </w:rPr>
        <w:t>C</w:t>
      </w:r>
      <w:r w:rsidRPr="00CF4564">
        <w:rPr>
          <w:rFonts w:asciiTheme="minorHAnsi" w:hAnsiTheme="minorHAnsi"/>
          <w:color w:val="000000" w:themeColor="text1"/>
          <w:sz w:val="24"/>
          <w:szCs w:val="24"/>
          <w:u w:val="single"/>
        </w:rPr>
        <w:t xml:space="preserve">reation of a </w:t>
      </w:r>
      <w:r w:rsidR="00CF4564">
        <w:rPr>
          <w:rFonts w:asciiTheme="minorHAnsi" w:hAnsiTheme="minorHAnsi"/>
          <w:color w:val="000000" w:themeColor="text1"/>
          <w:sz w:val="24"/>
          <w:szCs w:val="24"/>
          <w:u w:val="single"/>
        </w:rPr>
        <w:t>N</w:t>
      </w:r>
      <w:r w:rsidRPr="00CF4564">
        <w:rPr>
          <w:rFonts w:asciiTheme="minorHAnsi" w:hAnsiTheme="minorHAnsi"/>
          <w:color w:val="000000" w:themeColor="text1"/>
          <w:sz w:val="24"/>
          <w:szCs w:val="24"/>
          <w:u w:val="single"/>
        </w:rPr>
        <w:t xml:space="preserve">ew </w:t>
      </w:r>
      <w:r w:rsidR="00CF4564">
        <w:rPr>
          <w:rFonts w:asciiTheme="minorHAnsi" w:hAnsiTheme="minorHAnsi"/>
          <w:color w:val="000000" w:themeColor="text1"/>
          <w:sz w:val="24"/>
          <w:szCs w:val="24"/>
          <w:u w:val="single"/>
        </w:rPr>
        <w:t>D</w:t>
      </w:r>
      <w:r w:rsidRPr="00CF4564">
        <w:rPr>
          <w:rFonts w:asciiTheme="minorHAnsi" w:hAnsiTheme="minorHAnsi"/>
          <w:color w:val="000000" w:themeColor="text1"/>
          <w:sz w:val="24"/>
          <w:szCs w:val="24"/>
          <w:u w:val="single"/>
        </w:rPr>
        <w:t xml:space="preserve">esign- The </w:t>
      </w:r>
      <w:r w:rsidR="00CF4564">
        <w:rPr>
          <w:rFonts w:asciiTheme="minorHAnsi" w:hAnsiTheme="minorHAnsi"/>
          <w:color w:val="000000" w:themeColor="text1"/>
          <w:sz w:val="24"/>
          <w:szCs w:val="24"/>
          <w:u w:val="single"/>
        </w:rPr>
        <w:t>E</w:t>
      </w:r>
      <w:r w:rsidRPr="00CF4564">
        <w:rPr>
          <w:rFonts w:asciiTheme="minorHAnsi" w:hAnsiTheme="minorHAnsi"/>
          <w:color w:val="000000" w:themeColor="text1"/>
          <w:sz w:val="24"/>
          <w:szCs w:val="24"/>
          <w:u w:val="single"/>
        </w:rPr>
        <w:t xml:space="preserve">volution of </w:t>
      </w:r>
      <w:r w:rsidR="00CF4564">
        <w:rPr>
          <w:rFonts w:asciiTheme="minorHAnsi" w:hAnsiTheme="minorHAnsi"/>
          <w:color w:val="000000" w:themeColor="text1"/>
          <w:sz w:val="24"/>
          <w:szCs w:val="24"/>
          <w:u w:val="single"/>
        </w:rPr>
        <w:t>A</w:t>
      </w:r>
      <w:r w:rsidRPr="00CF4564">
        <w:rPr>
          <w:rFonts w:asciiTheme="minorHAnsi" w:hAnsiTheme="minorHAnsi"/>
          <w:color w:val="000000" w:themeColor="text1"/>
          <w:sz w:val="24"/>
          <w:szCs w:val="24"/>
          <w:u w:val="single"/>
        </w:rPr>
        <w:t>rchitecture</w:t>
      </w:r>
      <w:bookmarkEnd w:id="20"/>
      <w:r w:rsidRPr="00CF4564">
        <w:rPr>
          <w:rFonts w:asciiTheme="minorHAnsi" w:hAnsiTheme="minorHAnsi"/>
          <w:color w:val="000000" w:themeColor="text1"/>
          <w:sz w:val="24"/>
          <w:szCs w:val="24"/>
          <w:u w:val="single"/>
        </w:rPr>
        <w:t xml:space="preserve"> </w:t>
      </w:r>
    </w:p>
    <w:p w14:paraId="09D6C488" w14:textId="77777777" w:rsidR="00060E63" w:rsidRPr="00B43E31" w:rsidRDefault="00060E63" w:rsidP="00FC6F8A">
      <w:pPr>
        <w:spacing w:line="360" w:lineRule="auto"/>
        <w:rPr>
          <w:color w:val="000000" w:themeColor="text1"/>
        </w:rPr>
      </w:pPr>
      <w:r w:rsidRPr="00B43E31">
        <w:rPr>
          <w:color w:val="000000" w:themeColor="text1"/>
        </w:rPr>
        <w:t>According to Asante and Ismail, powerful movements have always affected the social, architectural and artistic life of a society</w:t>
      </w:r>
      <w:r>
        <w:rPr>
          <w:color w:val="000000" w:themeColor="text1"/>
        </w:rPr>
        <w:t>.</w:t>
      </w:r>
      <w:r w:rsidRPr="00B43E31">
        <w:rPr>
          <w:rStyle w:val="FootnoteReference"/>
          <w:color w:val="000000" w:themeColor="text1"/>
        </w:rPr>
        <w:footnoteReference w:id="262"/>
      </w:r>
      <w:r w:rsidRPr="00B43E31">
        <w:rPr>
          <w:color w:val="000000" w:themeColor="text1"/>
        </w:rPr>
        <w:t>This is true of the Amarna period where we see the creation of new architectural styles expressing the theological reforms of Akhenaten. Akhenaten was no different to his predecessors in the sense that his rule included a mass building programme, in which his vision for Egypt was realised and his devotion to the gods made known</w:t>
      </w:r>
      <w:r>
        <w:rPr>
          <w:color w:val="000000" w:themeColor="text1"/>
        </w:rPr>
        <w:t>.</w:t>
      </w:r>
      <w:r w:rsidRPr="00B43E31">
        <w:rPr>
          <w:rStyle w:val="FootnoteReference"/>
          <w:color w:val="000000" w:themeColor="text1"/>
        </w:rPr>
        <w:footnoteReference w:id="263"/>
      </w:r>
      <w:r w:rsidRPr="00B43E31">
        <w:rPr>
          <w:color w:val="000000" w:themeColor="text1"/>
        </w:rPr>
        <w:t xml:space="preserve">Architecture was used to express ideological meaning and to emphasis the </w:t>
      </w:r>
      <w:r w:rsidRPr="00B43E31">
        <w:rPr>
          <w:color w:val="000000" w:themeColor="text1"/>
        </w:rPr>
        <w:lastRenderedPageBreak/>
        <w:t>kings link to the divine. This is important to consider as we can see here that the material evidence creates a picture for us regarding how Atenism was perceived.</w:t>
      </w:r>
    </w:p>
    <w:p w14:paraId="0F3E4AE9" w14:textId="77777777" w:rsidR="00060E63" w:rsidRPr="00B43E31" w:rsidRDefault="00060E63" w:rsidP="00FC6F8A">
      <w:pPr>
        <w:spacing w:line="360" w:lineRule="auto"/>
        <w:rPr>
          <w:color w:val="000000" w:themeColor="text1"/>
          <w:u w:val="single"/>
        </w:rPr>
      </w:pPr>
    </w:p>
    <w:p w14:paraId="63CC7448" w14:textId="77777777" w:rsidR="00060E63" w:rsidRPr="00B43E31" w:rsidRDefault="00060E63" w:rsidP="00FC6F8A">
      <w:pPr>
        <w:spacing w:line="360" w:lineRule="auto"/>
        <w:rPr>
          <w:color w:val="000000" w:themeColor="text1"/>
        </w:rPr>
      </w:pPr>
      <w:r w:rsidRPr="00B43E31">
        <w:rPr>
          <w:color w:val="000000" w:themeColor="text1"/>
        </w:rPr>
        <w:t xml:space="preserve">At the beginning of his reign, building projects were undertaken in the Kings first few years at the temple at Karnak, especially the east wing which was heavily altered.  Here we can see a devotion to the Aten already forming with the installation of the </w:t>
      </w:r>
      <w:r w:rsidRPr="00B43E31">
        <w:rPr>
          <w:i/>
          <w:iCs/>
          <w:color w:val="000000" w:themeColor="text1"/>
        </w:rPr>
        <w:t>Gm–p3–itn</w:t>
      </w:r>
      <w:r w:rsidRPr="00B43E31">
        <w:rPr>
          <w:color w:val="000000" w:themeColor="text1"/>
        </w:rPr>
        <w:t xml:space="preserve"> (Gempaaten), where the </w:t>
      </w:r>
      <w:r w:rsidRPr="00B43E31">
        <w:rPr>
          <w:i/>
          <w:iCs/>
          <w:color w:val="000000" w:themeColor="text1"/>
        </w:rPr>
        <w:t>hwt-bnbn</w:t>
      </w:r>
      <w:r w:rsidRPr="00B43E31">
        <w:rPr>
          <w:color w:val="000000" w:themeColor="text1"/>
        </w:rPr>
        <w:t xml:space="preserve"> </w:t>
      </w:r>
      <w:r w:rsidRPr="00B43E31">
        <w:rPr>
          <w:i/>
          <w:iCs/>
          <w:color w:val="000000" w:themeColor="text1"/>
        </w:rPr>
        <w:t>(</w:t>
      </w:r>
      <w:r w:rsidRPr="00B43E31">
        <w:rPr>
          <w:color w:val="000000" w:themeColor="text1"/>
        </w:rPr>
        <w:t>Mansion of the Benben-Stone) could be found.</w:t>
      </w:r>
      <w:r w:rsidRPr="00B43E31">
        <w:rPr>
          <w:rStyle w:val="FootnoteReference"/>
          <w:color w:val="000000" w:themeColor="text1"/>
        </w:rPr>
        <w:footnoteReference w:id="264"/>
      </w:r>
      <w:r w:rsidRPr="00B43E31">
        <w:rPr>
          <w:color w:val="000000" w:themeColor="text1"/>
        </w:rPr>
        <w:t xml:space="preserve"> The style of architecture seemed to undergo changes within this period. Raised platforms and colonnades were now incorporated within temple design in order for the King, whilst performing his duties to the divine, to be closer to the heavens</w:t>
      </w:r>
      <w:r>
        <w:rPr>
          <w:color w:val="000000" w:themeColor="text1"/>
        </w:rPr>
        <w:t>.</w:t>
      </w:r>
      <w:r w:rsidRPr="00B43E31">
        <w:rPr>
          <w:rStyle w:val="FootnoteReference"/>
          <w:color w:val="000000" w:themeColor="text1"/>
        </w:rPr>
        <w:footnoteReference w:id="265"/>
      </w:r>
      <w:r w:rsidRPr="00B43E31">
        <w:rPr>
          <w:color w:val="000000" w:themeColor="text1"/>
        </w:rPr>
        <w:t xml:space="preserve"> Emphasis was now placed on the eastern side of the temple rather than the west. </w:t>
      </w:r>
    </w:p>
    <w:p w14:paraId="3595CB5E" w14:textId="77777777" w:rsidR="00060E63" w:rsidRPr="00B43E31" w:rsidRDefault="00060E63" w:rsidP="00FC6F8A">
      <w:pPr>
        <w:spacing w:line="360" w:lineRule="auto"/>
        <w:rPr>
          <w:color w:val="000000" w:themeColor="text1"/>
        </w:rPr>
      </w:pPr>
    </w:p>
    <w:p w14:paraId="4EA7AD7D" w14:textId="31FB8666" w:rsidR="00060E63" w:rsidRPr="00B43E31" w:rsidRDefault="00060E63" w:rsidP="00FC6F8A">
      <w:pPr>
        <w:spacing w:line="360" w:lineRule="auto"/>
        <w:rPr>
          <w:color w:val="000000" w:themeColor="text1"/>
        </w:rPr>
      </w:pPr>
      <w:r w:rsidRPr="00B43E31">
        <w:rPr>
          <w:color w:val="000000" w:themeColor="text1"/>
        </w:rPr>
        <w:t xml:space="preserve">With the foundation of Akhetaten, we see some interesting architectural features emerge. No longer were the temples enclosed, delimiting sacred space from the world outside. No longer were cult statues housed away </w:t>
      </w:r>
      <w:r w:rsidR="00A41D2E">
        <w:rPr>
          <w:color w:val="000000" w:themeColor="text1"/>
        </w:rPr>
        <w:t xml:space="preserve">in </w:t>
      </w:r>
      <w:r w:rsidRPr="00B43E31">
        <w:rPr>
          <w:color w:val="000000" w:themeColor="text1"/>
        </w:rPr>
        <w:t>hidden chambers.  Dark, enclosed spaces had no place within the new theology implemented by Pharaoh, therefore the religious architecture of the city had to reflect that</w:t>
      </w:r>
      <w:r>
        <w:rPr>
          <w:color w:val="000000" w:themeColor="text1"/>
        </w:rPr>
        <w:t>.</w:t>
      </w:r>
      <w:r w:rsidRPr="00B43E31">
        <w:rPr>
          <w:rStyle w:val="FootnoteReference"/>
          <w:color w:val="000000" w:themeColor="text1"/>
        </w:rPr>
        <w:footnoteReference w:id="266"/>
      </w:r>
      <w:r w:rsidRPr="00B43E31">
        <w:rPr>
          <w:color w:val="000000" w:themeColor="text1"/>
        </w:rPr>
        <w:t>In order to worship the sun disc freely and fully, temple architecture needed to be altered</w:t>
      </w:r>
      <w:r>
        <w:rPr>
          <w:color w:val="000000" w:themeColor="text1"/>
        </w:rPr>
        <w:t>.</w:t>
      </w:r>
      <w:r w:rsidRPr="00B43E31">
        <w:rPr>
          <w:rStyle w:val="FootnoteReference"/>
          <w:color w:val="000000" w:themeColor="text1"/>
        </w:rPr>
        <w:footnoteReference w:id="267"/>
      </w:r>
      <w:r w:rsidRPr="00B43E31">
        <w:rPr>
          <w:color w:val="000000" w:themeColor="text1"/>
        </w:rPr>
        <w:t>Examples of this are The Great Aten Temple and the Small Aten Temple.  The temples were now roofless and open aired</w:t>
      </w:r>
      <w:r w:rsidRPr="00B43E31">
        <w:rPr>
          <w:rStyle w:val="FootnoteReference"/>
          <w:color w:val="000000" w:themeColor="text1"/>
        </w:rPr>
        <w:footnoteReference w:id="268"/>
      </w:r>
      <w:r w:rsidRPr="00B43E31">
        <w:rPr>
          <w:color w:val="000000" w:themeColor="text1"/>
        </w:rPr>
        <w:t xml:space="preserve">, allowing the rays of the disc itself to penetrate their walls. Statues of the royal family were now placed in plain sight for the world to see, replacing the hidden cult statues. Offerings were not unusual; Akhenaten seems to not only follow in his predecessors’ footsteps in making sure temple rituals were still adhered to but took this to new heights in terms of the extreme </w:t>
      </w:r>
      <w:r w:rsidRPr="00B43E31">
        <w:rPr>
          <w:color w:val="000000" w:themeColor="text1"/>
        </w:rPr>
        <w:lastRenderedPageBreak/>
        <w:t>enormity of those offerings presented</w:t>
      </w:r>
      <w:r>
        <w:rPr>
          <w:color w:val="000000" w:themeColor="text1"/>
        </w:rPr>
        <w:t>.</w:t>
      </w:r>
      <w:r w:rsidRPr="00B43E31">
        <w:rPr>
          <w:rStyle w:val="FootnoteReference"/>
          <w:color w:val="000000" w:themeColor="text1"/>
        </w:rPr>
        <w:footnoteReference w:id="269"/>
      </w:r>
      <w:r w:rsidRPr="00B43E31">
        <w:rPr>
          <w:color w:val="000000" w:themeColor="text1"/>
        </w:rPr>
        <w:t xml:space="preserve"> The rituals</w:t>
      </w:r>
      <w:r w:rsidR="00A41D2E">
        <w:rPr>
          <w:color w:val="000000" w:themeColor="text1"/>
        </w:rPr>
        <w:t>,</w:t>
      </w:r>
      <w:r w:rsidRPr="00B43E31">
        <w:rPr>
          <w:color w:val="000000" w:themeColor="text1"/>
        </w:rPr>
        <w:t xml:space="preserve"> </w:t>
      </w:r>
      <w:r w:rsidR="00A41D2E">
        <w:rPr>
          <w:color w:val="000000" w:themeColor="text1"/>
        </w:rPr>
        <w:t>and their subjects,</w:t>
      </w:r>
      <w:r w:rsidRPr="00B43E31">
        <w:rPr>
          <w:color w:val="000000" w:themeColor="text1"/>
        </w:rPr>
        <w:t xml:space="preserve"> were also massively change</w:t>
      </w:r>
      <w:r w:rsidR="00A41D2E">
        <w:rPr>
          <w:color w:val="000000" w:themeColor="text1"/>
        </w:rPr>
        <w:t>d</w:t>
      </w:r>
      <w:r w:rsidRPr="00B43E31">
        <w:rPr>
          <w:color w:val="000000" w:themeColor="text1"/>
        </w:rPr>
        <w:t>. Offerings were now accommodated on an abundance of large stone tables that were placed within the open-air courtyards</w:t>
      </w:r>
      <w:r w:rsidRPr="00B43E31">
        <w:rPr>
          <w:rStyle w:val="FootnoteReference"/>
          <w:color w:val="000000" w:themeColor="text1"/>
        </w:rPr>
        <w:footnoteReference w:id="270"/>
      </w:r>
      <w:r w:rsidRPr="00B43E31">
        <w:rPr>
          <w:color w:val="000000" w:themeColor="text1"/>
        </w:rPr>
        <w:t xml:space="preserve"> of the temple rather than in enclosed spaces where the statues to the gods were kept. The use of raised platforms was also carried over from his designs at Karnak and were installed within the Great Aten Temple in order for rites to be performed under the gaze of the disc. It can be said that the architecture of Akhetaten itself was created as a stage on which the king himself could perform his dut</w:t>
      </w:r>
      <w:r w:rsidR="00A41D2E">
        <w:rPr>
          <w:color w:val="000000" w:themeColor="text1"/>
        </w:rPr>
        <w:t>ies</w:t>
      </w:r>
      <w:r w:rsidRPr="00B43E31">
        <w:rPr>
          <w:color w:val="000000" w:themeColor="text1"/>
        </w:rPr>
        <w:t xml:space="preserve"> openly</w:t>
      </w:r>
      <w:r w:rsidR="00A41D2E">
        <w:rPr>
          <w:color w:val="000000" w:themeColor="text1"/>
        </w:rPr>
        <w:t xml:space="preserve">, </w:t>
      </w:r>
      <w:r w:rsidRPr="00B43E31">
        <w:rPr>
          <w:color w:val="000000" w:themeColor="text1"/>
        </w:rPr>
        <w:t>outwardly show</w:t>
      </w:r>
      <w:r w:rsidR="00A41D2E">
        <w:rPr>
          <w:color w:val="000000" w:themeColor="text1"/>
        </w:rPr>
        <w:t>ing</w:t>
      </w:r>
      <w:r w:rsidRPr="00B43E31">
        <w:rPr>
          <w:color w:val="000000" w:themeColor="text1"/>
        </w:rPr>
        <w:t xml:space="preserve"> his devotion to the Aten</w:t>
      </w:r>
      <w:r w:rsidR="00A41D2E">
        <w:rPr>
          <w:color w:val="000000" w:themeColor="text1"/>
        </w:rPr>
        <w:t xml:space="preserve"> </w:t>
      </w:r>
      <w:r w:rsidRPr="00B43E31">
        <w:rPr>
          <w:color w:val="000000" w:themeColor="text1"/>
        </w:rPr>
        <w:t xml:space="preserve">in order for his subjects to understand the concept of his ideology. </w:t>
      </w:r>
    </w:p>
    <w:p w14:paraId="11B7742C" w14:textId="77777777" w:rsidR="00060E63" w:rsidRPr="00B43E31" w:rsidRDefault="00060E63" w:rsidP="00FC6F8A">
      <w:pPr>
        <w:spacing w:line="360" w:lineRule="auto"/>
        <w:rPr>
          <w:color w:val="000000" w:themeColor="text1"/>
        </w:rPr>
      </w:pPr>
    </w:p>
    <w:p w14:paraId="45F074B4" w14:textId="77777777" w:rsidR="00060E63" w:rsidRPr="00B43E31" w:rsidRDefault="00060E63" w:rsidP="00FC6F8A">
      <w:pPr>
        <w:spacing w:line="360" w:lineRule="auto"/>
        <w:rPr>
          <w:color w:val="000000" w:themeColor="text1"/>
        </w:rPr>
      </w:pPr>
      <w:r w:rsidRPr="00B43E31">
        <w:rPr>
          <w:color w:val="000000" w:themeColor="text1"/>
        </w:rPr>
        <w:t xml:space="preserve">Innovations in building technologies are seen to emerge within the Amarna period and the creation of new materials. For example, </w:t>
      </w:r>
      <w:r>
        <w:rPr>
          <w:color w:val="000000" w:themeColor="text1"/>
        </w:rPr>
        <w:t>t</w:t>
      </w:r>
      <w:r w:rsidRPr="00B43E31">
        <w:rPr>
          <w:color w:val="000000" w:themeColor="text1"/>
        </w:rPr>
        <w:t>alatat, which becomes extremely popular in the Amarna period for various reasons. It has been debated that due to its nature as a swift method of building, that Akhenaten insisted on this material as a way of implementing his visions as quickly and swiftly as possible in order to avoid arousing any competition or opposition. Additionally, due to the changed architectural layout of most temple buildings and cult places, stone bricks were no longer needed as most of these buildings were without roofs, therefore they were no longer needed to hold structures up</w:t>
      </w:r>
      <w:r>
        <w:rPr>
          <w:color w:val="000000" w:themeColor="text1"/>
        </w:rPr>
        <w:t>.</w:t>
      </w:r>
      <w:r w:rsidRPr="00B43E31">
        <w:rPr>
          <w:rStyle w:val="FootnoteReference"/>
          <w:color w:val="000000" w:themeColor="text1"/>
        </w:rPr>
        <w:footnoteReference w:id="271"/>
      </w:r>
      <w:r w:rsidRPr="00B43E31">
        <w:rPr>
          <w:color w:val="000000" w:themeColor="text1"/>
        </w:rPr>
        <w:t xml:space="preserve">These are important points to consider as it shows a change in building style and a creation of a new technique. Nevertheless, we </w:t>
      </w:r>
      <w:r>
        <w:rPr>
          <w:color w:val="000000" w:themeColor="text1"/>
        </w:rPr>
        <w:t xml:space="preserve">can also see </w:t>
      </w:r>
      <w:r w:rsidRPr="00B43E31">
        <w:rPr>
          <w:color w:val="000000" w:themeColor="text1"/>
        </w:rPr>
        <w:t>how easily these building</w:t>
      </w:r>
      <w:r>
        <w:rPr>
          <w:color w:val="000000" w:themeColor="text1"/>
        </w:rPr>
        <w:t>s</w:t>
      </w:r>
      <w:r w:rsidRPr="00B43E31">
        <w:rPr>
          <w:color w:val="000000" w:themeColor="text1"/>
        </w:rPr>
        <w:t xml:space="preserve"> were dismantled</w:t>
      </w:r>
      <w:r>
        <w:rPr>
          <w:color w:val="000000" w:themeColor="text1"/>
        </w:rPr>
        <w:t>, during the reigns of Akhenaten’s successors.</w:t>
      </w:r>
      <w:r w:rsidRPr="00B43E31">
        <w:rPr>
          <w:rStyle w:val="FootnoteReference"/>
          <w:color w:val="000000" w:themeColor="text1"/>
        </w:rPr>
        <w:footnoteReference w:id="272"/>
      </w:r>
      <w:r w:rsidRPr="00B43E31">
        <w:rPr>
          <w:color w:val="000000" w:themeColor="text1"/>
        </w:rPr>
        <w:t xml:space="preserve">In creating a new technique, Akhenaten’s buildings were also open to easy destructions and dismantling. </w:t>
      </w:r>
    </w:p>
    <w:p w14:paraId="34BA0A7D" w14:textId="77777777" w:rsidR="00060E63" w:rsidRPr="00B43E31" w:rsidRDefault="00060E63" w:rsidP="00FC6F8A">
      <w:pPr>
        <w:spacing w:line="360" w:lineRule="auto"/>
        <w:rPr>
          <w:color w:val="000000" w:themeColor="text1"/>
        </w:rPr>
      </w:pPr>
    </w:p>
    <w:p w14:paraId="603122DE" w14:textId="77777777" w:rsidR="00060E63" w:rsidRPr="00B43E31" w:rsidRDefault="00060E63" w:rsidP="00FC6F8A">
      <w:pPr>
        <w:spacing w:line="360" w:lineRule="auto"/>
        <w:rPr>
          <w:color w:val="000000" w:themeColor="text1"/>
        </w:rPr>
      </w:pPr>
      <w:r w:rsidRPr="00B43E31">
        <w:rPr>
          <w:color w:val="000000" w:themeColor="text1"/>
        </w:rPr>
        <w:t>The use of glass and faience should also be considered given its characteristics. Amarna became a major centre for faience and glass production during its occupation</w:t>
      </w:r>
      <w:r>
        <w:rPr>
          <w:color w:val="000000" w:themeColor="text1"/>
        </w:rPr>
        <w:t>.</w:t>
      </w:r>
      <w:r w:rsidRPr="00B43E31">
        <w:rPr>
          <w:rStyle w:val="FootnoteReference"/>
          <w:color w:val="000000" w:themeColor="text1"/>
        </w:rPr>
        <w:footnoteReference w:id="273"/>
      </w:r>
      <w:r w:rsidRPr="00B43E31">
        <w:rPr>
          <w:color w:val="000000" w:themeColor="text1"/>
        </w:rPr>
        <w:t xml:space="preserve"> Archaeological remains found in the city have been central to understanding faience and </w:t>
      </w:r>
      <w:r w:rsidRPr="00B43E31">
        <w:rPr>
          <w:color w:val="000000" w:themeColor="text1"/>
        </w:rPr>
        <w:lastRenderedPageBreak/>
        <w:t>glass production in the New Kingdom, highlighting its importance within the period</w:t>
      </w:r>
      <w:r>
        <w:rPr>
          <w:color w:val="000000" w:themeColor="text1"/>
        </w:rPr>
        <w:t>.</w:t>
      </w:r>
      <w:r w:rsidRPr="00B43E31">
        <w:rPr>
          <w:rStyle w:val="FootnoteReference"/>
          <w:color w:val="000000" w:themeColor="text1"/>
        </w:rPr>
        <w:footnoteReference w:id="274"/>
      </w:r>
      <w:r w:rsidRPr="00B43E31">
        <w:rPr>
          <w:color w:val="000000" w:themeColor="text1"/>
        </w:rPr>
        <w:t xml:space="preserve"> There also appeared to be certain amount of prestige connected with glass as a material and it seemed to capture royal interest</w:t>
      </w:r>
      <w:r>
        <w:rPr>
          <w:color w:val="000000" w:themeColor="text1"/>
        </w:rPr>
        <w:t>.</w:t>
      </w:r>
      <w:r w:rsidRPr="00B43E31">
        <w:rPr>
          <w:rStyle w:val="FootnoteReference"/>
          <w:color w:val="000000" w:themeColor="text1"/>
        </w:rPr>
        <w:footnoteReference w:id="275"/>
      </w:r>
      <w:r w:rsidRPr="00B43E31">
        <w:rPr>
          <w:color w:val="000000" w:themeColor="text1"/>
        </w:rPr>
        <w:t xml:space="preserve"> Glass and faience were known for their material characteristics and were seen to encapsulate the essence of the Aten given its dazzling qualities</w:t>
      </w:r>
      <w:r>
        <w:rPr>
          <w:color w:val="000000" w:themeColor="text1"/>
        </w:rPr>
        <w:t>.</w:t>
      </w:r>
      <w:r w:rsidRPr="00B43E31">
        <w:rPr>
          <w:rStyle w:val="FootnoteReference"/>
          <w:color w:val="000000" w:themeColor="text1"/>
        </w:rPr>
        <w:footnoteReference w:id="276"/>
      </w:r>
      <w:r>
        <w:rPr>
          <w:color w:val="000000" w:themeColor="text1"/>
        </w:rPr>
        <w:t xml:space="preserve"> </w:t>
      </w:r>
      <w:r w:rsidRPr="00B43E31">
        <w:rPr>
          <w:color w:val="000000" w:themeColor="text1"/>
        </w:rPr>
        <w:t>The Aten had been described, since the days of Amenhotep III, as “dazzling” and “gleaming” which were known in Egyptian as “</w:t>
      </w:r>
      <w:r w:rsidRPr="00B43E31">
        <w:rPr>
          <w:i/>
          <w:iCs/>
          <w:color w:val="000000" w:themeColor="text1"/>
        </w:rPr>
        <w:t xml:space="preserve">tjehen”. </w:t>
      </w:r>
      <w:r w:rsidRPr="00B43E31">
        <w:rPr>
          <w:color w:val="000000" w:themeColor="text1"/>
        </w:rPr>
        <w:t>An interesting connection can be seen here with the related word for faience which was “</w:t>
      </w:r>
      <w:r w:rsidRPr="00B43E31">
        <w:rPr>
          <w:i/>
          <w:iCs/>
          <w:color w:val="000000" w:themeColor="text1"/>
        </w:rPr>
        <w:t xml:space="preserve">tjehenet”, </w:t>
      </w:r>
      <w:r w:rsidRPr="00B43E31">
        <w:rPr>
          <w:color w:val="000000" w:themeColor="text1"/>
        </w:rPr>
        <w:t>highlighting the link between the two</w:t>
      </w:r>
      <w:r>
        <w:rPr>
          <w:color w:val="000000" w:themeColor="text1"/>
        </w:rPr>
        <w:t>.</w:t>
      </w:r>
      <w:r w:rsidRPr="00B43E31">
        <w:rPr>
          <w:rStyle w:val="FootnoteReference"/>
          <w:color w:val="000000" w:themeColor="text1"/>
        </w:rPr>
        <w:footnoteReference w:id="277"/>
      </w:r>
      <w:r>
        <w:rPr>
          <w:color w:val="000000" w:themeColor="text1"/>
        </w:rPr>
        <w:t xml:space="preserve"> </w:t>
      </w:r>
      <w:r w:rsidRPr="00B43E31">
        <w:rPr>
          <w:color w:val="000000" w:themeColor="text1"/>
        </w:rPr>
        <w:t>It is therefore possible that Akhenaten chose to promote this particular material, in order to emphasise the visual and physical aspects of the god himself, creating an environment in which the god could be experienced in a sensory way through the architecture and artworks.</w:t>
      </w:r>
    </w:p>
    <w:p w14:paraId="58138719" w14:textId="77777777" w:rsidR="00060E63" w:rsidRPr="00CF4564" w:rsidRDefault="00060E63" w:rsidP="00CF4564">
      <w:pPr>
        <w:pStyle w:val="Heading2"/>
        <w:spacing w:line="360" w:lineRule="auto"/>
        <w:rPr>
          <w:rFonts w:asciiTheme="minorHAnsi" w:hAnsiTheme="minorHAnsi"/>
          <w:color w:val="000000" w:themeColor="text1"/>
        </w:rPr>
      </w:pPr>
    </w:p>
    <w:p w14:paraId="32F818B3" w14:textId="483F4074" w:rsidR="00060E63" w:rsidRPr="00CF4564" w:rsidRDefault="00060E63" w:rsidP="00CF4564">
      <w:pPr>
        <w:pStyle w:val="Heading2"/>
        <w:numPr>
          <w:ilvl w:val="1"/>
          <w:numId w:val="2"/>
        </w:numPr>
        <w:spacing w:line="360" w:lineRule="auto"/>
        <w:rPr>
          <w:rFonts w:asciiTheme="minorHAnsi" w:hAnsiTheme="minorHAnsi"/>
          <w:color w:val="000000" w:themeColor="text1"/>
          <w:sz w:val="24"/>
          <w:szCs w:val="24"/>
          <w:u w:val="single"/>
        </w:rPr>
      </w:pPr>
      <w:bookmarkStart w:id="21" w:name="_Toc33821846"/>
      <w:r w:rsidRPr="00CF4564">
        <w:rPr>
          <w:rFonts w:asciiTheme="minorHAnsi" w:hAnsiTheme="minorHAnsi"/>
          <w:color w:val="000000" w:themeColor="text1"/>
          <w:sz w:val="24"/>
          <w:szCs w:val="24"/>
          <w:u w:val="single"/>
        </w:rPr>
        <w:t xml:space="preserve">The Creation of </w:t>
      </w:r>
      <w:r w:rsidR="00CF4564">
        <w:rPr>
          <w:rFonts w:asciiTheme="minorHAnsi" w:hAnsiTheme="minorHAnsi"/>
          <w:color w:val="000000" w:themeColor="text1"/>
          <w:sz w:val="24"/>
          <w:szCs w:val="24"/>
          <w:u w:val="single"/>
        </w:rPr>
        <w:t>N</w:t>
      </w:r>
      <w:r w:rsidRPr="00CF4564">
        <w:rPr>
          <w:rFonts w:asciiTheme="minorHAnsi" w:hAnsiTheme="minorHAnsi"/>
          <w:color w:val="000000" w:themeColor="text1"/>
          <w:sz w:val="24"/>
          <w:szCs w:val="24"/>
          <w:u w:val="single"/>
        </w:rPr>
        <w:t xml:space="preserve">ew </w:t>
      </w:r>
      <w:r w:rsidR="00CF4564">
        <w:rPr>
          <w:rFonts w:asciiTheme="minorHAnsi" w:hAnsiTheme="minorHAnsi"/>
          <w:color w:val="000000" w:themeColor="text1"/>
          <w:sz w:val="24"/>
          <w:szCs w:val="24"/>
          <w:u w:val="single"/>
        </w:rPr>
        <w:t>A</w:t>
      </w:r>
      <w:r w:rsidRPr="00CF4564">
        <w:rPr>
          <w:rFonts w:asciiTheme="minorHAnsi" w:hAnsiTheme="minorHAnsi"/>
          <w:color w:val="000000" w:themeColor="text1"/>
          <w:sz w:val="24"/>
          <w:szCs w:val="24"/>
          <w:u w:val="single"/>
        </w:rPr>
        <w:t>rtforms - Iconography in the Amarna Period</w:t>
      </w:r>
      <w:bookmarkEnd w:id="21"/>
    </w:p>
    <w:p w14:paraId="72D85594" w14:textId="77777777" w:rsidR="00060E63" w:rsidRPr="00B43E31" w:rsidRDefault="00060E63" w:rsidP="00FC6F8A">
      <w:pPr>
        <w:spacing w:line="360" w:lineRule="auto"/>
        <w:rPr>
          <w:color w:val="000000" w:themeColor="text1"/>
        </w:rPr>
      </w:pPr>
      <w:r w:rsidRPr="00B43E31">
        <w:rPr>
          <w:color w:val="000000" w:themeColor="text1"/>
        </w:rPr>
        <w:t>Regarding iconography within the Amarna period, we begin to see a new style emerge, unique to Egyptian artwork</w:t>
      </w:r>
      <w:r>
        <w:rPr>
          <w:color w:val="000000" w:themeColor="text1"/>
        </w:rPr>
        <w:t>.</w:t>
      </w:r>
      <w:r w:rsidRPr="00B43E31">
        <w:rPr>
          <w:rStyle w:val="FootnoteReference"/>
          <w:color w:val="000000" w:themeColor="text1"/>
        </w:rPr>
        <w:footnoteReference w:id="278"/>
      </w:r>
      <w:r w:rsidRPr="00B43E31">
        <w:rPr>
          <w:color w:val="000000" w:themeColor="text1"/>
        </w:rPr>
        <w:t xml:space="preserve"> Distortions to the body are now seen</w:t>
      </w:r>
      <w:r w:rsidRPr="00B43E31">
        <w:rPr>
          <w:rStyle w:val="FootnoteReference"/>
          <w:color w:val="000000" w:themeColor="text1"/>
        </w:rPr>
        <w:footnoteReference w:id="279"/>
      </w:r>
      <w:r w:rsidRPr="00B43E31">
        <w:rPr>
          <w:color w:val="000000" w:themeColor="text1"/>
        </w:rPr>
        <w:t xml:space="preserve"> where the King is depicted as having a fairly feminine body with wide hips and a bloated stomach. His face is elongated and his neck strangely long. His eyes are slanted, and his lips appear to be full in character. There are many different theories as to why this particular style was adopted. It has been advised that this could be due to a disability or a disease, and that the carvings are indeed true depictions of his physique</w:t>
      </w:r>
      <w:r>
        <w:rPr>
          <w:color w:val="000000" w:themeColor="text1"/>
        </w:rPr>
        <w:t>.</w:t>
      </w:r>
      <w:r w:rsidRPr="00B43E31">
        <w:rPr>
          <w:rStyle w:val="FootnoteReference"/>
          <w:color w:val="000000" w:themeColor="text1"/>
        </w:rPr>
        <w:footnoteReference w:id="280"/>
      </w:r>
      <w:r w:rsidRPr="00B43E31">
        <w:rPr>
          <w:color w:val="000000" w:themeColor="text1"/>
        </w:rPr>
        <w:t xml:space="preserve"> However, that would not explain the strange physique of the rest of the royal family which can be seen to imitate Akhenaten’s features. There is also the theory that his depiction attempts to amalgamate the male and female essence of the kingship, whereby the King is modelling himself on the creator god who is </w:t>
      </w:r>
      <w:r w:rsidRPr="00B43E31">
        <w:rPr>
          <w:color w:val="000000" w:themeColor="text1"/>
        </w:rPr>
        <w:lastRenderedPageBreak/>
        <w:t>seen as genderless. This may make more sense as it shows Akhenaten as neither male or female, he is seen as an alien figure connecting him with the divine world</w:t>
      </w:r>
      <w:r w:rsidRPr="00B43E31">
        <w:rPr>
          <w:rStyle w:val="FootnoteReference"/>
          <w:color w:val="000000" w:themeColor="text1"/>
        </w:rPr>
        <w:footnoteReference w:id="281"/>
      </w:r>
      <w:r w:rsidRPr="00B43E31">
        <w:rPr>
          <w:color w:val="000000" w:themeColor="text1"/>
        </w:rPr>
        <w:t xml:space="preserve"> and placing him outside the mortal sphere.  </w:t>
      </w:r>
    </w:p>
    <w:p w14:paraId="70581316" w14:textId="77777777" w:rsidR="00060E63" w:rsidRPr="00B43E31" w:rsidRDefault="00060E63" w:rsidP="00FC6F8A">
      <w:pPr>
        <w:spacing w:line="360" w:lineRule="auto"/>
        <w:rPr>
          <w:color w:val="000000" w:themeColor="text1"/>
          <w:u w:val="single"/>
        </w:rPr>
      </w:pPr>
    </w:p>
    <w:p w14:paraId="7DE12ACD" w14:textId="77777777" w:rsidR="00060E63" w:rsidRPr="00B43E31" w:rsidRDefault="00060E63" w:rsidP="00FC6F8A">
      <w:pPr>
        <w:spacing w:line="360" w:lineRule="auto"/>
        <w:rPr>
          <w:color w:val="000000" w:themeColor="text1"/>
        </w:rPr>
      </w:pPr>
      <w:r w:rsidRPr="00B43E31">
        <w:rPr>
          <w:color w:val="000000" w:themeColor="text1"/>
        </w:rPr>
        <w:t>A preference for “sunken relief” is also evident and is used heavily within the artworks of Amarna. This quicker way of sculpting coincides with the use of talatat as mentioned before. The abundant use of both material and method strengthens the argument that both were used as quick means of constructing various artworks and architecture in order to present the ideology of Akhenaten to the world with as little opposition as possible. It meant that they could stamp out any competition in terms of the heretic deities and cover over them as quickly as possible. Sunken relief however is not just a quick method of sculpting, but it can also be seen to compliment the ideology of the time, providing a new depth and character to its subjects. We can see this in the sculpture at Karnak where the relief, at certain times of the day dependant on where the sun is in the sky, seems to come alive with shadows and highlights</w:t>
      </w:r>
      <w:r>
        <w:rPr>
          <w:color w:val="000000" w:themeColor="text1"/>
        </w:rPr>
        <w:t>.</w:t>
      </w:r>
      <w:r w:rsidRPr="00B43E31">
        <w:rPr>
          <w:rStyle w:val="FootnoteReference"/>
          <w:color w:val="000000" w:themeColor="text1"/>
        </w:rPr>
        <w:footnoteReference w:id="282"/>
      </w:r>
      <w:r w:rsidRPr="00B43E31">
        <w:rPr>
          <w:color w:val="000000" w:themeColor="text1"/>
        </w:rPr>
        <w:t xml:space="preserve"> The artwork is connected to the sun in its ability to tell a story and emphasise itself to the public. Therefore, we can see again Akhenaten creating a new rhetoric within his artworks where iconography is connected intimately to the phases of the sun. </w:t>
      </w:r>
    </w:p>
    <w:p w14:paraId="4233E565" w14:textId="77777777" w:rsidR="00060E63" w:rsidRPr="00B43E31" w:rsidRDefault="00060E63" w:rsidP="00FC6F8A">
      <w:pPr>
        <w:spacing w:line="360" w:lineRule="auto"/>
        <w:rPr>
          <w:color w:val="000000" w:themeColor="text1"/>
        </w:rPr>
      </w:pPr>
    </w:p>
    <w:p w14:paraId="5BF43552" w14:textId="77777777" w:rsidR="00060E63" w:rsidRPr="00B43E31" w:rsidRDefault="00060E63" w:rsidP="00FC6F8A">
      <w:pPr>
        <w:spacing w:line="360" w:lineRule="auto"/>
        <w:rPr>
          <w:color w:val="000000" w:themeColor="text1"/>
        </w:rPr>
      </w:pPr>
      <w:r w:rsidRPr="00B43E31">
        <w:rPr>
          <w:color w:val="000000" w:themeColor="text1"/>
        </w:rPr>
        <w:t>The creation of certain motifs and symbols are also evident within the Amarna period. The sun-disc symbol, for example, is certainly not a new concept however it seems to evolve within the Amarna period. Amenhotep III incorporated the sun disc into his imagery heavily and previous Pharaohs have used it in connection with kingship attaching it to wings and a uraeus. The sun disc evolves under the reign of Akhenaten, where it becomes the only acceptable divine symbol to represent state theology</w:t>
      </w:r>
      <w:r>
        <w:rPr>
          <w:color w:val="000000" w:themeColor="text1"/>
        </w:rPr>
        <w:t>.</w:t>
      </w:r>
      <w:r w:rsidRPr="00B43E31">
        <w:rPr>
          <w:rStyle w:val="FootnoteReference"/>
          <w:color w:val="000000" w:themeColor="text1"/>
        </w:rPr>
        <w:footnoteReference w:id="283"/>
      </w:r>
      <w:r w:rsidRPr="00B43E31">
        <w:rPr>
          <w:color w:val="000000" w:themeColor="text1"/>
        </w:rPr>
        <w:t xml:space="preserve"> The symbol also progresses into something new, with the use of rays extending into hands. This particular image of the sun disc is first attested to the reign of Akhenaten and is distinctive to the Amarna Period</w:t>
      </w:r>
      <w:r>
        <w:rPr>
          <w:color w:val="000000" w:themeColor="text1"/>
        </w:rPr>
        <w:t>.</w:t>
      </w:r>
      <w:r w:rsidRPr="00B43E31">
        <w:rPr>
          <w:rStyle w:val="FootnoteReference"/>
          <w:color w:val="000000" w:themeColor="text1"/>
        </w:rPr>
        <w:footnoteReference w:id="284"/>
      </w:r>
      <w:r w:rsidRPr="00B43E31">
        <w:rPr>
          <w:color w:val="000000" w:themeColor="text1"/>
        </w:rPr>
        <w:t xml:space="preserve"> There is no archaeological proof that this symbol has been seen anywhere other than </w:t>
      </w:r>
      <w:r w:rsidRPr="00B43E31">
        <w:rPr>
          <w:color w:val="000000" w:themeColor="text1"/>
        </w:rPr>
        <w:lastRenderedPageBreak/>
        <w:t>artworks from the Amarna period, therefore seemingly originated with Akhenaten’s reign and his immediate successors.  This symbol does not appear to be inclusive, as the hands only extend to the royal family, namely Akhenaten and Queen Nefertiti. Therefore, this symbol depicts their importance and the close bond between them and the Aten. By using this symbol, Akhenaten has also given the world a creator who could be physically experienced, by depicting the god’s hands reaching into the realm of humanity</w:t>
      </w:r>
      <w:r>
        <w:rPr>
          <w:color w:val="000000" w:themeColor="text1"/>
        </w:rPr>
        <w:t>.</w:t>
      </w:r>
      <w:r w:rsidRPr="00B43E31">
        <w:rPr>
          <w:rStyle w:val="FootnoteReference"/>
          <w:color w:val="000000" w:themeColor="text1"/>
        </w:rPr>
        <w:footnoteReference w:id="285"/>
      </w:r>
      <w:r w:rsidRPr="00B43E31">
        <w:rPr>
          <w:color w:val="000000" w:themeColor="text1"/>
        </w:rPr>
        <w:t xml:space="preserve">  </w:t>
      </w:r>
    </w:p>
    <w:p w14:paraId="42AE7EA1" w14:textId="77777777" w:rsidR="00060E63" w:rsidRPr="00B43E31" w:rsidRDefault="00060E63" w:rsidP="00FC6F8A">
      <w:pPr>
        <w:spacing w:line="360" w:lineRule="auto"/>
        <w:rPr>
          <w:color w:val="000000" w:themeColor="text1"/>
        </w:rPr>
      </w:pPr>
    </w:p>
    <w:p w14:paraId="239CF459" w14:textId="0F0CEB05" w:rsidR="00060E63" w:rsidRPr="00CF4564" w:rsidRDefault="00060E63" w:rsidP="00CF4564">
      <w:pPr>
        <w:pStyle w:val="Heading2"/>
        <w:numPr>
          <w:ilvl w:val="1"/>
          <w:numId w:val="2"/>
        </w:numPr>
        <w:spacing w:line="360" w:lineRule="auto"/>
        <w:rPr>
          <w:rFonts w:asciiTheme="minorHAnsi" w:hAnsiTheme="minorHAnsi"/>
          <w:color w:val="000000" w:themeColor="text1"/>
          <w:sz w:val="24"/>
          <w:szCs w:val="24"/>
          <w:u w:val="single"/>
        </w:rPr>
      </w:pPr>
      <w:bookmarkStart w:id="22" w:name="_Toc33821847"/>
      <w:r w:rsidRPr="00CF4564">
        <w:rPr>
          <w:rFonts w:asciiTheme="minorHAnsi" w:hAnsiTheme="minorHAnsi"/>
          <w:color w:val="000000" w:themeColor="text1"/>
          <w:sz w:val="24"/>
          <w:szCs w:val="24"/>
          <w:u w:val="single"/>
        </w:rPr>
        <w:t>Creation of a Goddess– Nefertiti’s role within the Amarna Period</w:t>
      </w:r>
      <w:bookmarkEnd w:id="22"/>
    </w:p>
    <w:p w14:paraId="5756B11B" w14:textId="77777777" w:rsidR="00060E63" w:rsidRPr="00B43E31" w:rsidRDefault="00060E63" w:rsidP="00FC6F8A">
      <w:pPr>
        <w:spacing w:line="360" w:lineRule="auto"/>
        <w:rPr>
          <w:color w:val="000000" w:themeColor="text1"/>
        </w:rPr>
      </w:pPr>
      <w:r w:rsidRPr="00B43E31">
        <w:rPr>
          <w:color w:val="000000" w:themeColor="text1"/>
        </w:rPr>
        <w:t>The role of women within the royal family grew increasingly more important throughout the dynasty. Nevertheless, a shift in dynamic can be seen during the Amarna period. Apart from the exceptions (Sobekneferu (12</w:t>
      </w:r>
      <w:r w:rsidRPr="00B43E31">
        <w:rPr>
          <w:color w:val="000000" w:themeColor="text1"/>
          <w:vertAlign w:val="superscript"/>
        </w:rPr>
        <w:t>th</w:t>
      </w:r>
      <w:r w:rsidRPr="00B43E31">
        <w:rPr>
          <w:color w:val="000000" w:themeColor="text1"/>
        </w:rPr>
        <w:t xml:space="preserve"> Dynasty), Ahmose Nefertari (18</w:t>
      </w:r>
      <w:r w:rsidRPr="00B43E31">
        <w:rPr>
          <w:color w:val="000000" w:themeColor="text1"/>
          <w:vertAlign w:val="superscript"/>
        </w:rPr>
        <w:t>th</w:t>
      </w:r>
      <w:r w:rsidRPr="00B43E31">
        <w:rPr>
          <w:color w:val="000000" w:themeColor="text1"/>
        </w:rPr>
        <w:t xml:space="preserve"> Dynasty), King Hatshepsut (18</w:t>
      </w:r>
      <w:r w:rsidRPr="00B43E31">
        <w:rPr>
          <w:color w:val="000000" w:themeColor="text1"/>
          <w:vertAlign w:val="superscript"/>
        </w:rPr>
        <w:t>th</w:t>
      </w:r>
      <w:r w:rsidRPr="00B43E31">
        <w:rPr>
          <w:color w:val="000000" w:themeColor="text1"/>
        </w:rPr>
        <w:t xml:space="preserve"> Dynasty)), queens were often solely viewed as the feminine aspect of the Kingship and were often seen as subordinate to the will of their husband the Pharaoh. However, when considering Nefertiti one can see that she is not subordinate to the king and that this is evident in the iconography from that time. She is, instead, depicted as his equal, standing alongside the king within her divine role.  She is the only other person who can interpret the will of Aten alongside the King, granting her an extraordinary amount of power within the religious and political affairs of the country</w:t>
      </w:r>
      <w:r>
        <w:rPr>
          <w:color w:val="000000" w:themeColor="text1"/>
        </w:rPr>
        <w:t>.</w:t>
      </w:r>
      <w:r w:rsidRPr="00B43E31">
        <w:rPr>
          <w:rStyle w:val="FootnoteReference"/>
          <w:color w:val="000000" w:themeColor="text1"/>
        </w:rPr>
        <w:footnoteReference w:id="286"/>
      </w:r>
      <w:r w:rsidRPr="00B43E31">
        <w:rPr>
          <w:color w:val="000000" w:themeColor="text1"/>
        </w:rPr>
        <w:t xml:space="preserve"> As the third member of the divine triad</w:t>
      </w:r>
      <w:r w:rsidRPr="00B43E31">
        <w:rPr>
          <w:rStyle w:val="FootnoteReference"/>
          <w:color w:val="000000" w:themeColor="text1"/>
        </w:rPr>
        <w:footnoteReference w:id="287"/>
      </w:r>
      <w:r w:rsidRPr="00B43E31">
        <w:rPr>
          <w:color w:val="000000" w:themeColor="text1"/>
        </w:rPr>
        <w:t>, Nefertiti can be seen offering to the god and taking part in the daily worship, a role usually reserved for the Pharaoh</w:t>
      </w:r>
      <w:r>
        <w:rPr>
          <w:color w:val="000000" w:themeColor="text1"/>
        </w:rPr>
        <w:t>.</w:t>
      </w:r>
      <w:r w:rsidRPr="00B43E31">
        <w:rPr>
          <w:rStyle w:val="FootnoteReference"/>
          <w:color w:val="000000" w:themeColor="text1"/>
        </w:rPr>
        <w:footnoteReference w:id="288"/>
      </w:r>
      <w:r w:rsidRPr="00B43E31">
        <w:rPr>
          <w:color w:val="000000" w:themeColor="text1"/>
        </w:rPr>
        <w:t xml:space="preserve"> She is also seen smiting enemies and wearing a King’s crown similar to her predecessor Hatshepsut</w:t>
      </w:r>
      <w:r>
        <w:rPr>
          <w:color w:val="000000" w:themeColor="text1"/>
        </w:rPr>
        <w:t>.</w:t>
      </w:r>
      <w:r w:rsidRPr="00B43E31">
        <w:rPr>
          <w:rStyle w:val="FootnoteReference"/>
          <w:color w:val="000000" w:themeColor="text1"/>
        </w:rPr>
        <w:footnoteReference w:id="289"/>
      </w:r>
      <w:r w:rsidRPr="00B43E31">
        <w:rPr>
          <w:color w:val="000000" w:themeColor="text1"/>
        </w:rPr>
        <w:t xml:space="preserve"> As Aten becomes the one and only deity within the new state religion of the Amarna Period, the role of goddess now falls on Nefertiti which can be seen in the iconography of the time. An example of this can be seen on the sarcophagus of Akhenaten, where the four goddesses that are traditionally placed at the four corners (Isis, Selket, Nephtys and Neith) are now replaced with images of the queen herself</w:t>
      </w:r>
      <w:r>
        <w:rPr>
          <w:color w:val="000000" w:themeColor="text1"/>
        </w:rPr>
        <w:t>.</w:t>
      </w:r>
      <w:r w:rsidRPr="00B43E31">
        <w:rPr>
          <w:rStyle w:val="FootnoteReference"/>
          <w:color w:val="000000" w:themeColor="text1"/>
        </w:rPr>
        <w:footnoteReference w:id="290"/>
      </w:r>
      <w:r w:rsidRPr="00B43E31">
        <w:rPr>
          <w:color w:val="000000" w:themeColor="text1"/>
        </w:rPr>
        <w:t xml:space="preserve"> By doing this, the religious ideology of Amarna is further cemented as we can the </w:t>
      </w:r>
      <w:r w:rsidRPr="00B43E31">
        <w:rPr>
          <w:color w:val="000000" w:themeColor="text1"/>
        </w:rPr>
        <w:lastRenderedPageBreak/>
        <w:t>image of Nefertiti is replacing those of the female deities, taking on the divine roles of protector and reviver of the deceased Pharaoh in the afterlife</w:t>
      </w:r>
      <w:r>
        <w:rPr>
          <w:color w:val="000000" w:themeColor="text1"/>
        </w:rPr>
        <w:t>.</w:t>
      </w:r>
      <w:r w:rsidRPr="00B43E31">
        <w:rPr>
          <w:rStyle w:val="FootnoteReference"/>
          <w:color w:val="000000" w:themeColor="text1"/>
        </w:rPr>
        <w:footnoteReference w:id="291"/>
      </w:r>
      <w:r w:rsidRPr="00B43E31">
        <w:rPr>
          <w:color w:val="000000" w:themeColor="text1"/>
        </w:rPr>
        <w:t>The use of this iconography is a unique development and one that has only been seen within the Amarna period. Further evidence indicating that Nefertiti is often depicted as Tefnut</w:t>
      </w:r>
      <w:r>
        <w:rPr>
          <w:color w:val="000000" w:themeColor="text1"/>
        </w:rPr>
        <w:t>.</w:t>
      </w:r>
      <w:r w:rsidRPr="00B43E31">
        <w:rPr>
          <w:rStyle w:val="FootnoteReference"/>
          <w:color w:val="000000" w:themeColor="text1"/>
        </w:rPr>
        <w:footnoteReference w:id="292"/>
      </w:r>
    </w:p>
    <w:p w14:paraId="33D52A2F" w14:textId="77777777" w:rsidR="00060E63" w:rsidRPr="00B43E31" w:rsidRDefault="00060E63" w:rsidP="00FC6F8A">
      <w:pPr>
        <w:spacing w:line="360" w:lineRule="auto"/>
        <w:rPr>
          <w:color w:val="000000" w:themeColor="text1"/>
        </w:rPr>
      </w:pPr>
    </w:p>
    <w:p w14:paraId="49632191" w14:textId="191FF345" w:rsidR="00060E63" w:rsidRPr="00CF4564" w:rsidRDefault="00060E63" w:rsidP="00CF4564">
      <w:pPr>
        <w:pStyle w:val="Heading2"/>
        <w:numPr>
          <w:ilvl w:val="1"/>
          <w:numId w:val="2"/>
        </w:numPr>
        <w:spacing w:line="360" w:lineRule="auto"/>
        <w:rPr>
          <w:rFonts w:asciiTheme="minorHAnsi" w:hAnsiTheme="minorHAnsi"/>
          <w:color w:val="000000" w:themeColor="text1"/>
          <w:sz w:val="24"/>
          <w:szCs w:val="24"/>
          <w:u w:val="single"/>
        </w:rPr>
      </w:pPr>
      <w:bookmarkStart w:id="23" w:name="_Toc33821848"/>
      <w:r w:rsidRPr="00CF4564">
        <w:rPr>
          <w:rFonts w:asciiTheme="minorHAnsi" w:hAnsiTheme="minorHAnsi"/>
          <w:color w:val="000000" w:themeColor="text1"/>
          <w:sz w:val="24"/>
          <w:szCs w:val="24"/>
          <w:u w:val="single"/>
        </w:rPr>
        <w:t xml:space="preserve">The </w:t>
      </w:r>
      <w:r w:rsidR="005C2027" w:rsidRPr="00CF4564">
        <w:rPr>
          <w:rFonts w:asciiTheme="minorHAnsi" w:hAnsiTheme="minorHAnsi"/>
          <w:color w:val="000000" w:themeColor="text1"/>
          <w:sz w:val="24"/>
          <w:szCs w:val="24"/>
          <w:u w:val="single"/>
        </w:rPr>
        <w:t>D</w:t>
      </w:r>
      <w:r w:rsidRPr="00CF4564">
        <w:rPr>
          <w:rFonts w:asciiTheme="minorHAnsi" w:hAnsiTheme="minorHAnsi"/>
          <w:color w:val="000000" w:themeColor="text1"/>
          <w:sz w:val="24"/>
          <w:szCs w:val="24"/>
          <w:u w:val="single"/>
        </w:rPr>
        <w:t xml:space="preserve">estruction of a King - The </w:t>
      </w:r>
      <w:r w:rsidR="005C2027" w:rsidRPr="00CF4564">
        <w:rPr>
          <w:rFonts w:asciiTheme="minorHAnsi" w:hAnsiTheme="minorHAnsi"/>
          <w:color w:val="000000" w:themeColor="text1"/>
          <w:sz w:val="24"/>
          <w:szCs w:val="24"/>
          <w:u w:val="single"/>
        </w:rPr>
        <w:t>R</w:t>
      </w:r>
      <w:r w:rsidRPr="00CF4564">
        <w:rPr>
          <w:rFonts w:asciiTheme="minorHAnsi" w:hAnsiTheme="minorHAnsi"/>
          <w:color w:val="000000" w:themeColor="text1"/>
          <w:sz w:val="24"/>
          <w:szCs w:val="24"/>
          <w:u w:val="single"/>
        </w:rPr>
        <w:t>estoration of Egypt</w:t>
      </w:r>
      <w:bookmarkEnd w:id="23"/>
    </w:p>
    <w:p w14:paraId="7B0B81ED" w14:textId="77777777" w:rsidR="00060E63" w:rsidRPr="00B43E31" w:rsidRDefault="00060E63" w:rsidP="00FC6F8A">
      <w:pPr>
        <w:spacing w:line="360" w:lineRule="auto"/>
        <w:rPr>
          <w:color w:val="000000" w:themeColor="text1"/>
        </w:rPr>
      </w:pPr>
      <w:r w:rsidRPr="00B43E31">
        <w:rPr>
          <w:color w:val="000000" w:themeColor="text1"/>
        </w:rPr>
        <w:t>Upon the death of Akhenaten, the swift rejection of his religious reforms can be seen where the Egyptian people quickly return to the polytheistic status quo. Akhenaten is vilified in death</w:t>
      </w:r>
      <w:r w:rsidRPr="00B43E31">
        <w:rPr>
          <w:rStyle w:val="FootnoteReference"/>
          <w:color w:val="000000" w:themeColor="text1"/>
        </w:rPr>
        <w:footnoteReference w:id="293"/>
      </w:r>
      <w:r w:rsidRPr="00B43E31">
        <w:rPr>
          <w:color w:val="000000" w:themeColor="text1"/>
        </w:rPr>
        <w:t xml:space="preserve"> and the destruction of his image and city is swiftly undertaken. All buildings within Akhetaten were systematically taken apart and the bricks were taken elsewhere to be used</w:t>
      </w:r>
      <w:r>
        <w:rPr>
          <w:color w:val="000000" w:themeColor="text1"/>
        </w:rPr>
        <w:t>.</w:t>
      </w:r>
      <w:r w:rsidRPr="00B43E31">
        <w:rPr>
          <w:rStyle w:val="FootnoteReference"/>
          <w:color w:val="000000" w:themeColor="text1"/>
        </w:rPr>
        <w:footnoteReference w:id="294"/>
      </w:r>
      <w:r w:rsidRPr="00B43E31">
        <w:rPr>
          <w:color w:val="000000" w:themeColor="text1"/>
        </w:rPr>
        <w:t xml:space="preserve"> Notably, the gateway at Karnak temple constructed by Horemheb used over 100,000 talatat blocks, taken from the temples at Akhenaten after their disassembling. An interesting point has been made that these blocks were used for the core of the gateway, therefore they remained in darkness for thousands of years, hidden away from the sunlight that was so important within the reign of Akhenaten</w:t>
      </w:r>
      <w:r>
        <w:rPr>
          <w:color w:val="000000" w:themeColor="text1"/>
        </w:rPr>
        <w:t>.</w:t>
      </w:r>
      <w:r w:rsidRPr="00B43E31">
        <w:rPr>
          <w:rStyle w:val="FootnoteReference"/>
          <w:color w:val="000000" w:themeColor="text1"/>
        </w:rPr>
        <w:footnoteReference w:id="295"/>
      </w:r>
      <w:r w:rsidRPr="00B43E31">
        <w:rPr>
          <w:color w:val="000000" w:themeColor="text1"/>
        </w:rPr>
        <w:t xml:space="preserve"> Not only do we see the physical destruction of the material culture of Akhenaten’s reign, but we also see the metaphorical undoing of his doctrine through reconstructions. </w:t>
      </w:r>
    </w:p>
    <w:p w14:paraId="03846187" w14:textId="77777777" w:rsidR="00060E63" w:rsidRDefault="00060E63" w:rsidP="00FC6F8A">
      <w:pPr>
        <w:spacing w:line="360" w:lineRule="auto"/>
        <w:rPr>
          <w:color w:val="000000" w:themeColor="text1"/>
        </w:rPr>
      </w:pPr>
    </w:p>
    <w:p w14:paraId="089E3869" w14:textId="226E2970" w:rsidR="00060E63" w:rsidRPr="00B43E31" w:rsidRDefault="00060E63" w:rsidP="00FC6F8A">
      <w:pPr>
        <w:spacing w:line="360" w:lineRule="auto"/>
        <w:rPr>
          <w:color w:val="000000" w:themeColor="text1"/>
        </w:rPr>
      </w:pPr>
      <w:r w:rsidRPr="00B43E31">
        <w:rPr>
          <w:color w:val="000000" w:themeColor="text1"/>
        </w:rPr>
        <w:t>The neglect of cult temples and complexes outside Amarna was evident, exhibiting the chaotic nature of Akhenaten’s reign where buildings were left to decay and crumble</w:t>
      </w:r>
      <w:r>
        <w:rPr>
          <w:color w:val="000000" w:themeColor="text1"/>
        </w:rPr>
        <w:t>.</w:t>
      </w:r>
      <w:r w:rsidRPr="00B43E31">
        <w:rPr>
          <w:rStyle w:val="FootnoteReference"/>
          <w:color w:val="000000" w:themeColor="text1"/>
        </w:rPr>
        <w:footnoteReference w:id="296"/>
      </w:r>
      <w:r w:rsidRPr="00B43E31">
        <w:rPr>
          <w:color w:val="000000" w:themeColor="text1"/>
        </w:rPr>
        <w:t xml:space="preserve"> The restoration stela at Karnak highlights this neglect and states that the gods had left the land due to the poor treatment they had received. These themes of disaster and subsequent recovery, found on the stelae at Karnak, were popular amongst royal texts as it allowed the Pharaoh and his acts of reconstruction to be compared to the acts of creation</w:t>
      </w:r>
      <w:r>
        <w:rPr>
          <w:color w:val="000000" w:themeColor="text1"/>
        </w:rPr>
        <w:t>.</w:t>
      </w:r>
      <w:r w:rsidRPr="00B43E31">
        <w:rPr>
          <w:rStyle w:val="FootnoteReference"/>
          <w:color w:val="000000" w:themeColor="text1"/>
        </w:rPr>
        <w:footnoteReference w:id="297"/>
      </w:r>
      <w:r w:rsidRPr="00B43E31">
        <w:rPr>
          <w:color w:val="000000" w:themeColor="text1"/>
        </w:rPr>
        <w:t xml:space="preserve"> One could argue that Tutankhamun created this piece of propaganda in order to legitimise his rule, </w:t>
      </w:r>
      <w:r w:rsidRPr="00B43E31">
        <w:rPr>
          <w:color w:val="000000" w:themeColor="text1"/>
        </w:rPr>
        <w:lastRenderedPageBreak/>
        <w:t>showcasing his costly program of revival and restoration throughout Egypt</w:t>
      </w:r>
      <w:r>
        <w:rPr>
          <w:color w:val="000000" w:themeColor="text1"/>
        </w:rPr>
        <w:t>.</w:t>
      </w:r>
      <w:r w:rsidRPr="00B43E31">
        <w:rPr>
          <w:rStyle w:val="FootnoteReference"/>
          <w:color w:val="000000" w:themeColor="text1"/>
        </w:rPr>
        <w:footnoteReference w:id="298"/>
      </w:r>
      <w:r w:rsidRPr="00B43E31">
        <w:rPr>
          <w:color w:val="000000" w:themeColor="text1"/>
        </w:rPr>
        <w:t xml:space="preserve"> Tutankhamun also changes his name from Tutankhaten in an attempt to connect himself once more with the traditional creator god Amun. The creation of a new name meant the destruction of his link to Akhenaten and a departure from his previous legacy as a prince of Amarna.</w:t>
      </w:r>
    </w:p>
    <w:p w14:paraId="38E6C8BF" w14:textId="77777777" w:rsidR="00060E63" w:rsidRPr="00B43E31" w:rsidRDefault="00060E63" w:rsidP="00FC6F8A">
      <w:pPr>
        <w:spacing w:line="360" w:lineRule="auto"/>
        <w:rPr>
          <w:color w:val="000000" w:themeColor="text1"/>
        </w:rPr>
      </w:pPr>
    </w:p>
    <w:p w14:paraId="08B00E7F" w14:textId="53EAC6D3" w:rsidR="00060E63" w:rsidRPr="00B43E31" w:rsidRDefault="00060E63" w:rsidP="00FC6F8A">
      <w:pPr>
        <w:spacing w:line="360" w:lineRule="auto"/>
        <w:rPr>
          <w:color w:val="000000" w:themeColor="text1"/>
        </w:rPr>
      </w:pPr>
      <w:r w:rsidRPr="00B43E31">
        <w:rPr>
          <w:color w:val="000000" w:themeColor="text1"/>
        </w:rPr>
        <w:t>The Amara period, to an extent,</w:t>
      </w:r>
      <w:r w:rsidR="00A41D2E">
        <w:rPr>
          <w:color w:val="000000" w:themeColor="text1"/>
        </w:rPr>
        <w:t xml:space="preserve"> also</w:t>
      </w:r>
      <w:r w:rsidRPr="00B43E31">
        <w:rPr>
          <w:color w:val="000000" w:themeColor="text1"/>
        </w:rPr>
        <w:t xml:space="preserve"> brought a change in relationship between the Egyptian people and their kings. Upon the death of Akhenaten, no longer did the Egyptian elite direct their attention towards </w:t>
      </w:r>
      <w:r w:rsidR="00A41D2E">
        <w:rPr>
          <w:color w:val="000000" w:themeColor="text1"/>
        </w:rPr>
        <w:t>someone they now saw as</w:t>
      </w:r>
      <w:r w:rsidRPr="00B43E31">
        <w:rPr>
          <w:color w:val="000000" w:themeColor="text1"/>
        </w:rPr>
        <w:t xml:space="preserve"> a fallible human being, but instead redirected them towards the divine</w:t>
      </w:r>
      <w:r>
        <w:rPr>
          <w:color w:val="000000" w:themeColor="text1"/>
        </w:rPr>
        <w:t>.</w:t>
      </w:r>
      <w:r w:rsidRPr="00B43E31">
        <w:rPr>
          <w:rStyle w:val="FootnoteReference"/>
          <w:color w:val="000000" w:themeColor="text1"/>
        </w:rPr>
        <w:footnoteReference w:id="299"/>
      </w:r>
      <w:r w:rsidRPr="00B43E31">
        <w:rPr>
          <w:color w:val="000000" w:themeColor="text1"/>
        </w:rPr>
        <w:t xml:space="preserve"> Akhenaten had almost single handily destroyed the traditional religious structure of Egypt, therefore there is little wonder that trust needed to be rebuilt when it came to the importance of Pharaoh throughout Egypt. Egypt had always been a polytheistic society, this much is evident. To bring an entirely new religious theology that was singular and dogmatic in its approach to an audience that had been raised within a predominantly polytheistic society was a radical step, and one that was not sustained given the subsequent destruction of the religious iconography</w:t>
      </w:r>
      <w:r>
        <w:rPr>
          <w:color w:val="000000" w:themeColor="text1"/>
        </w:rPr>
        <w:t>.</w:t>
      </w:r>
      <w:r w:rsidRPr="00B43E31">
        <w:rPr>
          <w:rStyle w:val="FootnoteReference"/>
          <w:color w:val="000000" w:themeColor="text1"/>
        </w:rPr>
        <w:footnoteReference w:id="300"/>
      </w:r>
      <w:r w:rsidRPr="00B43E31">
        <w:rPr>
          <w:color w:val="000000" w:themeColor="text1"/>
        </w:rPr>
        <w:t xml:space="preserve"> Therefore, after his death, there was </w:t>
      </w:r>
      <w:r w:rsidR="00A41D2E">
        <w:rPr>
          <w:color w:val="000000" w:themeColor="text1"/>
        </w:rPr>
        <w:t xml:space="preserve">a </w:t>
      </w:r>
      <w:r w:rsidRPr="00B43E31">
        <w:rPr>
          <w:color w:val="000000" w:themeColor="text1"/>
        </w:rPr>
        <w:t>need to unite the religious views from before, into one singular respectable religious system that could withstand the test of time</w:t>
      </w:r>
      <w:r>
        <w:rPr>
          <w:color w:val="000000" w:themeColor="text1"/>
        </w:rPr>
        <w:t>.</w:t>
      </w:r>
      <w:r w:rsidRPr="00B43E31">
        <w:rPr>
          <w:rStyle w:val="FootnoteReference"/>
          <w:color w:val="000000" w:themeColor="text1"/>
        </w:rPr>
        <w:footnoteReference w:id="301"/>
      </w:r>
      <w:r w:rsidRPr="00B43E31">
        <w:rPr>
          <w:color w:val="000000" w:themeColor="text1"/>
        </w:rPr>
        <w:t xml:space="preserve"> </w:t>
      </w:r>
    </w:p>
    <w:p w14:paraId="6528E012" w14:textId="77777777" w:rsidR="00060E63" w:rsidRPr="00B43E31" w:rsidRDefault="00060E63" w:rsidP="00FC6F8A">
      <w:pPr>
        <w:spacing w:line="360" w:lineRule="auto"/>
        <w:rPr>
          <w:color w:val="000000" w:themeColor="text1"/>
        </w:rPr>
      </w:pPr>
    </w:p>
    <w:p w14:paraId="669D3B78" w14:textId="50363A1E" w:rsidR="00060E63" w:rsidRDefault="00060E63" w:rsidP="00FC6F8A">
      <w:pPr>
        <w:spacing w:line="360" w:lineRule="auto"/>
      </w:pPr>
    </w:p>
    <w:p w14:paraId="4B6074C7" w14:textId="4E6CD500" w:rsidR="00060E63" w:rsidRDefault="00060E63" w:rsidP="00FC6F8A">
      <w:pPr>
        <w:spacing w:line="360" w:lineRule="auto"/>
      </w:pPr>
    </w:p>
    <w:p w14:paraId="79C8F2EE" w14:textId="77777777" w:rsidR="00FC6F8A" w:rsidRDefault="00FC6F8A" w:rsidP="00FC6F8A">
      <w:pPr>
        <w:spacing w:line="360" w:lineRule="auto"/>
        <w:rPr>
          <w:u w:val="single"/>
        </w:rPr>
      </w:pPr>
    </w:p>
    <w:p w14:paraId="4AA63AC3" w14:textId="47077DCB" w:rsidR="00F55B1B" w:rsidRDefault="00F55B1B" w:rsidP="00F55B1B">
      <w:pPr>
        <w:pStyle w:val="Heading1"/>
        <w:rPr>
          <w:rFonts w:asciiTheme="minorHAnsi" w:hAnsiTheme="minorHAnsi"/>
          <w:b/>
          <w:bCs/>
          <w:color w:val="000000" w:themeColor="text1"/>
          <w:sz w:val="28"/>
          <w:szCs w:val="28"/>
          <w:u w:val="single"/>
        </w:rPr>
      </w:pPr>
    </w:p>
    <w:p w14:paraId="05A08131" w14:textId="1E99BEA5" w:rsidR="00A41D2E" w:rsidRDefault="00A41D2E" w:rsidP="00A41D2E">
      <w:pPr>
        <w:pStyle w:val="Heading1"/>
        <w:rPr>
          <w:rFonts w:asciiTheme="minorHAnsi" w:hAnsiTheme="minorHAnsi"/>
          <w:b/>
          <w:bCs/>
          <w:color w:val="000000" w:themeColor="text1"/>
          <w:sz w:val="28"/>
          <w:szCs w:val="28"/>
          <w:u w:val="single"/>
        </w:rPr>
      </w:pPr>
      <w:bookmarkStart w:id="24" w:name="_Toc33821849"/>
    </w:p>
    <w:p w14:paraId="0B337212" w14:textId="77777777" w:rsidR="00A41D2E" w:rsidRPr="00A41D2E" w:rsidRDefault="00A41D2E" w:rsidP="00A41D2E"/>
    <w:p w14:paraId="207BC29B" w14:textId="70DA66A3" w:rsidR="00FC6F8A" w:rsidRPr="00CF4564" w:rsidRDefault="00FC6F8A" w:rsidP="00CF4564">
      <w:pPr>
        <w:pStyle w:val="Heading1"/>
        <w:jc w:val="center"/>
        <w:rPr>
          <w:rFonts w:asciiTheme="minorHAnsi" w:hAnsiTheme="minorHAnsi"/>
          <w:b/>
          <w:bCs/>
          <w:u w:val="single"/>
        </w:rPr>
      </w:pPr>
      <w:r w:rsidRPr="00CF4564">
        <w:rPr>
          <w:rFonts w:asciiTheme="minorHAnsi" w:hAnsiTheme="minorHAnsi"/>
          <w:b/>
          <w:bCs/>
          <w:color w:val="000000" w:themeColor="text1"/>
          <w:sz w:val="28"/>
          <w:szCs w:val="28"/>
          <w:u w:val="single"/>
        </w:rPr>
        <w:lastRenderedPageBreak/>
        <w:t>Conclusion</w:t>
      </w:r>
      <w:bookmarkEnd w:id="24"/>
    </w:p>
    <w:p w14:paraId="77618205" w14:textId="77777777" w:rsidR="00FC6F8A" w:rsidRPr="00FC6F8A" w:rsidRDefault="00FC6F8A" w:rsidP="00FC6F8A">
      <w:pPr>
        <w:spacing w:line="360" w:lineRule="auto"/>
        <w:jc w:val="center"/>
        <w:rPr>
          <w:b/>
          <w:bCs/>
          <w:sz w:val="28"/>
          <w:szCs w:val="28"/>
          <w:u w:val="single"/>
        </w:rPr>
      </w:pPr>
    </w:p>
    <w:p w14:paraId="3A460B9F" w14:textId="6E48BFA2" w:rsidR="00F55B1B" w:rsidRDefault="00F55B1B" w:rsidP="00F55B1B">
      <w:pPr>
        <w:spacing w:line="360" w:lineRule="auto"/>
      </w:pPr>
      <w:r>
        <w:t xml:space="preserve">Modern scholarship focuses on creation and destruction as major components within Egyptian cosmogony, specifically when dealing with creation myths. The ultimate aim of this discussion was to step away from this singular outlook and to try </w:t>
      </w:r>
      <w:r w:rsidR="00CD44D3">
        <w:t xml:space="preserve">and </w:t>
      </w:r>
      <w:r>
        <w:t>apply the themes of creation and destruction</w:t>
      </w:r>
      <w:r w:rsidR="00CD44D3">
        <w:t xml:space="preserve"> to</w:t>
      </w:r>
      <w:r>
        <w:t xml:space="preserve"> different cultural spheres of Egyptian civilisation. This has been attempted throughout the essay, where Chapter 1 gave a broad overview of creation and destruction within Egyptian civilisation, and Chapter</w:t>
      </w:r>
      <w:r w:rsidR="00CD44D3">
        <w:t>s</w:t>
      </w:r>
      <w:r>
        <w:t xml:space="preserve"> 2 and 3 focused on their emergence within Egyptian Kingship, specifically within the 18</w:t>
      </w:r>
      <w:r w:rsidRPr="00FB2FC4">
        <w:rPr>
          <w:vertAlign w:val="superscript"/>
        </w:rPr>
        <w:t>th</w:t>
      </w:r>
      <w:r>
        <w:t xml:space="preserve"> dynasty New Kingdom. As Egyptian Kingship was the central institution within Egyptian society, it was important that this subject was given space to be considered in full when dealing with creation and destruction as cultural themes. Therefore, two case-studies were chosen for this discussion in order to showcase these examples</w:t>
      </w:r>
      <w:r w:rsidR="00CD44D3">
        <w:t>.</w:t>
      </w:r>
    </w:p>
    <w:p w14:paraId="2C3899A5" w14:textId="77777777" w:rsidR="00F55B1B" w:rsidRDefault="00F55B1B" w:rsidP="00F55B1B">
      <w:pPr>
        <w:spacing w:line="360" w:lineRule="auto"/>
      </w:pPr>
    </w:p>
    <w:p w14:paraId="126B2257" w14:textId="77EC9811" w:rsidR="00F55B1B" w:rsidRDefault="00F55B1B" w:rsidP="00F55B1B">
      <w:pPr>
        <w:spacing w:line="360" w:lineRule="auto"/>
      </w:pPr>
      <w:r>
        <w:t>It became evident within Chapter 1 that creation and destruction are not solely restricted to the religious sphere but also extend into the political and socio-economical domains of Egyptian civilisation. The main goal of this chapter was to introduce the different cultural spheres of Egyptian life and to highlight the presence of creation and destruction within them. Religion, architecture, magic and the natural landscape were considered here when dealing with creation and destruction as cultural themes, in order to understand how they materialised within Egyptian civilisation. Having broken the subject down into sub-categories it was evident that these themes could exist in more than one cultural sphere at once. For example, creation and destruction in terms of ritual practice belonged to both the religious and political sphere</w:t>
      </w:r>
      <w:r w:rsidR="00CD44D3">
        <w:t>s</w:t>
      </w:r>
      <w:r>
        <w:t xml:space="preserve">. This was also evident when discussing the creation of </w:t>
      </w:r>
      <w:r>
        <w:rPr>
          <w:i/>
          <w:iCs/>
        </w:rPr>
        <w:t xml:space="preserve">maat </w:t>
      </w:r>
      <w:r>
        <w:t xml:space="preserve">and the destruction of </w:t>
      </w:r>
      <w:r>
        <w:rPr>
          <w:i/>
          <w:iCs/>
        </w:rPr>
        <w:t>isfet</w:t>
      </w:r>
      <w:r>
        <w:t xml:space="preserve">, an idea that formed the backbone of Egyptian religion and society. </w:t>
      </w:r>
      <w:r>
        <w:rPr>
          <w:i/>
          <w:iCs/>
        </w:rPr>
        <w:t>M</w:t>
      </w:r>
      <w:r w:rsidRPr="009E4DF3">
        <w:rPr>
          <w:i/>
          <w:iCs/>
        </w:rPr>
        <w:t>aat</w:t>
      </w:r>
      <w:r>
        <w:rPr>
          <w:i/>
          <w:iCs/>
        </w:rPr>
        <w:t>,</w:t>
      </w:r>
      <w:r w:rsidRPr="00575A28">
        <w:t xml:space="preserve"> however</w:t>
      </w:r>
      <w:r>
        <w:rPr>
          <w:i/>
          <w:iCs/>
        </w:rPr>
        <w:t xml:space="preserve">, </w:t>
      </w:r>
      <w:r w:rsidRPr="00575A28">
        <w:t xml:space="preserve">became </w:t>
      </w:r>
      <w:r>
        <w:t>a complex term to work with</w:t>
      </w:r>
      <w:r w:rsidRPr="009E4DF3">
        <w:rPr>
          <w:i/>
          <w:iCs/>
        </w:rPr>
        <w:t xml:space="preserve"> </w:t>
      </w:r>
      <w:r>
        <w:t>due to the fact that there are few scholarly works that concentrate solely on the term and its meaning.</w:t>
      </w:r>
      <w:r w:rsidR="005B1D45">
        <w:rPr>
          <w:rStyle w:val="FootnoteReference"/>
        </w:rPr>
        <w:footnoteReference w:id="302"/>
      </w:r>
      <w:r>
        <w:t xml:space="preserve"> Evidently, further research is needed regarding this subject. It is also clear that ethnocentricity and inherent prejudice are still problems that need to be addressed today when dealing with the sources available. This was particularly obvious when dealing with the subject of </w:t>
      </w:r>
      <w:r>
        <w:rPr>
          <w:i/>
          <w:iCs/>
        </w:rPr>
        <w:t>heka.</w:t>
      </w:r>
      <w:r>
        <w:t xml:space="preserve"> </w:t>
      </w:r>
      <w:r>
        <w:lastRenderedPageBreak/>
        <w:t xml:space="preserve">Nonetheless, counterarguments for these have been provided where bias has been taken into consideration. </w:t>
      </w:r>
    </w:p>
    <w:p w14:paraId="33111D74" w14:textId="77777777" w:rsidR="00F55B1B" w:rsidRDefault="00F55B1B" w:rsidP="00F55B1B">
      <w:pPr>
        <w:spacing w:line="360" w:lineRule="auto"/>
      </w:pPr>
    </w:p>
    <w:p w14:paraId="32A3A74F" w14:textId="147F97D1" w:rsidR="00F55B1B" w:rsidRDefault="00F55B1B" w:rsidP="00F55B1B">
      <w:pPr>
        <w:spacing w:line="360" w:lineRule="auto"/>
      </w:pPr>
      <w:r>
        <w:t>The first case study, the unique and unusual kingship of the female-king Hatshepsut, was examined within Chapter 2 in order to understand how the themes of creation and destruction could be found within Egyptian Kingship. The unusual circumstances behind her transition from wife</w:t>
      </w:r>
      <w:r w:rsidR="00CD44D3">
        <w:t>,</w:t>
      </w:r>
      <w:r>
        <w:t xml:space="preserve"> to regent</w:t>
      </w:r>
      <w:r w:rsidR="00CD44D3">
        <w:t>,</w:t>
      </w:r>
      <w:r>
        <w:t xml:space="preserve"> to King proved to be extremely important to consider when examining creation and destruction as cultural themes. The continuous destruction and recreation of political and religious ideology was performed by Hatshepsut in order to “inhabit a role within a patriarchal society”</w:t>
      </w:r>
      <w:r>
        <w:rPr>
          <w:rStyle w:val="FootnoteReference"/>
        </w:rPr>
        <w:footnoteReference w:id="303"/>
      </w:r>
      <w:r>
        <w:t>.  The destruction of stereotypes and the creation of new gender roles seem to dominate the discussion in this chapter. Certain issues arose, however, when dealing with certain source material and their context. For example, Egypt was inherently a patriarchal society, where the role of women is often hidden within the archaeological record</w:t>
      </w:r>
      <w:r>
        <w:rPr>
          <w:rStyle w:val="FootnoteReference"/>
        </w:rPr>
        <w:footnoteReference w:id="304"/>
      </w:r>
      <w:r>
        <w:t xml:space="preserve">. Texts were produced and composed predominantly by </w:t>
      </w:r>
      <w:proofErr w:type="gramStart"/>
      <w:r>
        <w:t>men,</w:t>
      </w:r>
      <w:proofErr w:type="gramEnd"/>
      <w:r>
        <w:t xml:space="preserve"> therefore, they were not representative of Egyptian society on a whole</w:t>
      </w:r>
      <w:r>
        <w:rPr>
          <w:rStyle w:val="FootnoteReference"/>
        </w:rPr>
        <w:footnoteReference w:id="305"/>
      </w:r>
      <w:r>
        <w:t>.  Misogynism throughout scholarship seemed to be an issue here also, as Hatshepsut had been painted by some as a highly ambitious woman who had usurped the throne</w:t>
      </w:r>
      <w:r>
        <w:rPr>
          <w:rStyle w:val="FootnoteReference"/>
        </w:rPr>
        <w:footnoteReference w:id="306"/>
      </w:r>
      <w:r>
        <w:t>.  Thus, gender bias is still evident, and even though feminist scholarship has come a long way</w:t>
      </w:r>
      <w:r>
        <w:rPr>
          <w:rStyle w:val="FootnoteReference"/>
        </w:rPr>
        <w:footnoteReference w:id="307"/>
      </w:r>
      <w:r>
        <w:t>, it still has a little further to go</w:t>
      </w:r>
      <w:r>
        <w:rPr>
          <w:rStyle w:val="FootnoteReference"/>
        </w:rPr>
        <w:footnoteReference w:id="308"/>
      </w:r>
      <w:r>
        <w:t>. It also became evident from this chapter that any study of iconography needs to take into account its context and what it was supposed to show the audience in line with the intentions of the artist themselves, who were mostly employed by the King. Iconography should be considered as the ideal not the reality</w:t>
      </w:r>
      <w:r>
        <w:rPr>
          <w:rStyle w:val="FootnoteReference"/>
        </w:rPr>
        <w:footnoteReference w:id="309"/>
      </w:r>
      <w:r>
        <w:t>.</w:t>
      </w:r>
    </w:p>
    <w:p w14:paraId="4B565611" w14:textId="77777777" w:rsidR="00F55B1B" w:rsidRDefault="00F55B1B" w:rsidP="00F55B1B">
      <w:pPr>
        <w:spacing w:line="360" w:lineRule="auto"/>
      </w:pPr>
    </w:p>
    <w:p w14:paraId="4A30B83F" w14:textId="3828B85E" w:rsidR="00F55B1B" w:rsidRDefault="00F55B1B" w:rsidP="00F55B1B">
      <w:pPr>
        <w:spacing w:line="360" w:lineRule="auto"/>
      </w:pPr>
      <w:r>
        <w:t xml:space="preserve">Chapter 3 explored the reign of Akhenaten as the final case study in order to prove how important creation and destruction were as social themes within that period. It is evident </w:t>
      </w:r>
      <w:r>
        <w:lastRenderedPageBreak/>
        <w:t>that the revolutionary reign of the “heretic” King has provoked countless discussions and debates within Egyptology. Solar religion in pre-Amarna Egypt was considered in order to recognise the evolution of religious thought within the Amarna in order to understand how radical Akhenaten’s reforms were. It became evident that the sole focus on solar religion within the Amarna period was not as drastic as some may say, as solar religion was already growing in importance throughout the 18</w:t>
      </w:r>
      <w:r w:rsidRPr="00FB2FC4">
        <w:rPr>
          <w:vertAlign w:val="superscript"/>
        </w:rPr>
        <w:t>th</w:t>
      </w:r>
      <w:r>
        <w:t xml:space="preserve"> dynasty. Therefore, it is not so much the creation of a new religious system that we are witnessing here, but a recreation. The destruction of the traditional religious structure however became apparent in terms of the eradication of the traditional Egyptian pantheon. It is evident that further research is needed on the subject of Amarna as a “monotheism” given the multiple debates that exist on the subject with Egyptology today. Nevertheless, even though we may be unable to truly define the religious structure of the Amarna period, it is clear that Akhenaten created a unique religious setting the likes of which had never been seen before in Egyptian society. In terms of the source material, it is evident that impartiality exists within the sources, where bias is present. Montserrat makes an extremely important point when he advises that rarely is any biography of Akhenaten written with any neutrality.</w:t>
      </w:r>
      <w:r>
        <w:rPr>
          <w:rStyle w:val="FootnoteReference"/>
        </w:rPr>
        <w:footnoteReference w:id="310"/>
      </w:r>
      <w:r>
        <w:t xml:space="preserve"> Amarna, the focus of great controversy and mystery, became a subject to which many responded to emotionally rather than objectively.</w:t>
      </w:r>
      <w:r w:rsidRPr="00575A28">
        <w:rPr>
          <w:rStyle w:val="FootnoteReference"/>
        </w:rPr>
        <w:t xml:space="preserve"> </w:t>
      </w:r>
      <w:r>
        <w:rPr>
          <w:rStyle w:val="FootnoteReference"/>
        </w:rPr>
        <w:footnoteReference w:id="311"/>
      </w:r>
      <w:r>
        <w:t>Therefore, it is important to remember the context of such sources</w:t>
      </w:r>
      <w:r w:rsidR="00CD44D3">
        <w:t xml:space="preserve"> including</w:t>
      </w:r>
      <w:r>
        <w:t xml:space="preserve"> when they </w:t>
      </w:r>
      <w:r w:rsidR="00CD44D3">
        <w:t xml:space="preserve">were </w:t>
      </w:r>
      <w:r>
        <w:t xml:space="preserve">written and who analysed them. </w:t>
      </w:r>
    </w:p>
    <w:p w14:paraId="4A191C35" w14:textId="77777777" w:rsidR="00F55B1B" w:rsidRDefault="00F55B1B" w:rsidP="00F55B1B">
      <w:pPr>
        <w:spacing w:line="360" w:lineRule="auto"/>
      </w:pPr>
    </w:p>
    <w:p w14:paraId="405BF67E" w14:textId="77777777" w:rsidR="00F55B1B" w:rsidRDefault="00F55B1B" w:rsidP="00F55B1B">
      <w:pPr>
        <w:spacing w:line="360" w:lineRule="auto"/>
      </w:pPr>
      <w:r>
        <w:t xml:space="preserve">In all chapters, modern scholarship has been used to support the arguments of this thesis and to highlight subject areas that have not yet been considered or explored. Considering the research presented in these chapters, it is evident that the cultural themes of creation and destruction can be applied to all areas of Egyptian civilisation. Creation does not only apply to the cosmogony of Egypt but can also stand for recreation and reinvention as can be seen in the second and third chapters considering Egyptian Kingship. Additionally, destruction does not necessarily exist as the negative counterpart to creation. As can be </w:t>
      </w:r>
      <w:r>
        <w:lastRenderedPageBreak/>
        <w:t xml:space="preserve">seen throughout this discussion, destruction can be seen as a tool of creation itself, used to bring order to the world and to keep chaos at bay. Therefore, it is evident that the nature of creation and destruction as cultural themes within Egyptian civilisation is fluid.   </w:t>
      </w:r>
    </w:p>
    <w:p w14:paraId="539A80F5" w14:textId="66293490" w:rsidR="00FC6F8A" w:rsidRDefault="00FC6F8A" w:rsidP="00FC6F8A">
      <w:pPr>
        <w:spacing w:line="360" w:lineRule="auto"/>
      </w:pPr>
      <w:r>
        <w:t xml:space="preserve"> </w:t>
      </w:r>
    </w:p>
    <w:p w14:paraId="005D0932" w14:textId="77777777" w:rsidR="00060E63" w:rsidRPr="00620CF5" w:rsidRDefault="00060E63" w:rsidP="00FC6F8A">
      <w:pPr>
        <w:spacing w:line="360" w:lineRule="auto"/>
      </w:pPr>
    </w:p>
    <w:p w14:paraId="29ECBBC6" w14:textId="3CE6540F" w:rsidR="00167697" w:rsidRDefault="00C4717B" w:rsidP="00FC6F8A">
      <w:pPr>
        <w:spacing w:line="360" w:lineRule="auto"/>
      </w:pPr>
    </w:p>
    <w:p w14:paraId="6B33A65A" w14:textId="3781C1E8" w:rsidR="00EB202A" w:rsidRDefault="00EB202A" w:rsidP="00FC6F8A">
      <w:pPr>
        <w:spacing w:line="360" w:lineRule="auto"/>
      </w:pPr>
      <w:bookmarkStart w:id="25" w:name="_GoBack"/>
    </w:p>
    <w:bookmarkEnd w:id="25"/>
    <w:p w14:paraId="07F8BAD3" w14:textId="6C23E673" w:rsidR="00EB202A" w:rsidRDefault="00EB202A" w:rsidP="00FC6F8A">
      <w:pPr>
        <w:spacing w:line="360" w:lineRule="auto"/>
      </w:pPr>
    </w:p>
    <w:p w14:paraId="384CB3A7" w14:textId="7194DA77" w:rsidR="00EB202A" w:rsidRDefault="00EB202A" w:rsidP="00FC6F8A">
      <w:pPr>
        <w:spacing w:line="360" w:lineRule="auto"/>
      </w:pPr>
    </w:p>
    <w:p w14:paraId="768E0E66" w14:textId="42CB52F8" w:rsidR="00EB202A" w:rsidRDefault="00EB202A" w:rsidP="00FC6F8A">
      <w:pPr>
        <w:spacing w:line="360" w:lineRule="auto"/>
      </w:pPr>
    </w:p>
    <w:p w14:paraId="0D3ACDF0" w14:textId="23FB1B80" w:rsidR="00EB202A" w:rsidRDefault="00EB202A" w:rsidP="00FC6F8A">
      <w:pPr>
        <w:spacing w:line="360" w:lineRule="auto"/>
      </w:pPr>
    </w:p>
    <w:p w14:paraId="735AB086" w14:textId="7932F944" w:rsidR="00EB202A" w:rsidRDefault="00EB202A" w:rsidP="00FC6F8A">
      <w:pPr>
        <w:spacing w:line="360" w:lineRule="auto"/>
      </w:pPr>
    </w:p>
    <w:p w14:paraId="339197D2" w14:textId="737A1F57" w:rsidR="00EB202A" w:rsidRDefault="00EB202A" w:rsidP="00FC6F8A">
      <w:pPr>
        <w:spacing w:line="360" w:lineRule="auto"/>
      </w:pPr>
    </w:p>
    <w:p w14:paraId="2F113475" w14:textId="42163D0D" w:rsidR="00EB202A" w:rsidRDefault="00EB202A" w:rsidP="00FC6F8A">
      <w:pPr>
        <w:spacing w:line="360" w:lineRule="auto"/>
      </w:pPr>
    </w:p>
    <w:p w14:paraId="6A30FFAD" w14:textId="74CD7586" w:rsidR="00EB202A" w:rsidRDefault="00EB202A" w:rsidP="00FC6F8A">
      <w:pPr>
        <w:spacing w:line="360" w:lineRule="auto"/>
      </w:pPr>
    </w:p>
    <w:p w14:paraId="0922822E" w14:textId="0BE8D2CA" w:rsidR="00EB202A" w:rsidRDefault="00EB202A" w:rsidP="00FC6F8A">
      <w:pPr>
        <w:spacing w:line="360" w:lineRule="auto"/>
      </w:pPr>
    </w:p>
    <w:p w14:paraId="7DEB4C12" w14:textId="46D253B0" w:rsidR="00EB202A" w:rsidRDefault="00EB202A" w:rsidP="00FC6F8A">
      <w:pPr>
        <w:spacing w:line="360" w:lineRule="auto"/>
      </w:pPr>
    </w:p>
    <w:p w14:paraId="0DE1583D" w14:textId="1902D2B6" w:rsidR="00EB202A" w:rsidRDefault="00EB202A" w:rsidP="00FC6F8A">
      <w:pPr>
        <w:spacing w:line="360" w:lineRule="auto"/>
      </w:pPr>
    </w:p>
    <w:p w14:paraId="1C5A4C96" w14:textId="4F38E05F" w:rsidR="00EB202A" w:rsidRDefault="00EB202A" w:rsidP="00FC6F8A">
      <w:pPr>
        <w:spacing w:line="360" w:lineRule="auto"/>
      </w:pPr>
    </w:p>
    <w:p w14:paraId="54047A19" w14:textId="4ACCE5E7" w:rsidR="00EB202A" w:rsidRDefault="00EB202A" w:rsidP="00FC6F8A">
      <w:pPr>
        <w:spacing w:line="360" w:lineRule="auto"/>
      </w:pPr>
    </w:p>
    <w:p w14:paraId="319C9A12" w14:textId="5FCF857F" w:rsidR="00EB202A" w:rsidRDefault="00EB202A" w:rsidP="00FC6F8A">
      <w:pPr>
        <w:spacing w:line="360" w:lineRule="auto"/>
      </w:pPr>
    </w:p>
    <w:p w14:paraId="374134A0" w14:textId="5B8CAFA5" w:rsidR="00EB202A" w:rsidRDefault="00EB202A" w:rsidP="00FC6F8A">
      <w:pPr>
        <w:spacing w:line="360" w:lineRule="auto"/>
      </w:pPr>
    </w:p>
    <w:p w14:paraId="3F3B3EC2" w14:textId="5EE36EF1" w:rsidR="00EB202A" w:rsidRDefault="00EB202A" w:rsidP="00FC6F8A">
      <w:pPr>
        <w:spacing w:line="360" w:lineRule="auto"/>
      </w:pPr>
    </w:p>
    <w:p w14:paraId="562404EB" w14:textId="3EDD7E64" w:rsidR="00EB202A" w:rsidRDefault="00EB202A" w:rsidP="00FC6F8A">
      <w:pPr>
        <w:spacing w:line="360" w:lineRule="auto"/>
      </w:pPr>
    </w:p>
    <w:p w14:paraId="5246A60F" w14:textId="7B5D5E38" w:rsidR="00EB202A" w:rsidRDefault="00EB202A" w:rsidP="00FC6F8A">
      <w:pPr>
        <w:spacing w:line="360" w:lineRule="auto"/>
      </w:pPr>
    </w:p>
    <w:p w14:paraId="35D5EEBE" w14:textId="18279D19" w:rsidR="005B1D45" w:rsidRDefault="005B1D45" w:rsidP="005B1D45">
      <w:pPr>
        <w:pStyle w:val="Heading1"/>
        <w:rPr>
          <w:rFonts w:asciiTheme="minorHAnsi" w:hAnsiTheme="minorHAnsi"/>
          <w:b/>
          <w:bCs/>
          <w:color w:val="000000" w:themeColor="text1"/>
          <w:sz w:val="28"/>
          <w:szCs w:val="28"/>
          <w:u w:val="single"/>
        </w:rPr>
      </w:pPr>
    </w:p>
    <w:p w14:paraId="42C288D2" w14:textId="3C07B7BB" w:rsidR="005B1D45" w:rsidRDefault="005B1D45" w:rsidP="005B1D45"/>
    <w:p w14:paraId="0F2059CD" w14:textId="6721D148" w:rsidR="005B1D45" w:rsidRDefault="005B1D45" w:rsidP="005B1D45"/>
    <w:p w14:paraId="17669FC2" w14:textId="570B9ED5" w:rsidR="005B1D45" w:rsidRDefault="005B1D45" w:rsidP="005B1D45"/>
    <w:p w14:paraId="5FFCBB22" w14:textId="0B3ED57C" w:rsidR="005B1D45" w:rsidRDefault="005B1D45" w:rsidP="00C675AE">
      <w:pPr>
        <w:pStyle w:val="Heading1"/>
        <w:rPr>
          <w:rFonts w:asciiTheme="minorHAnsi" w:hAnsiTheme="minorHAnsi"/>
          <w:b/>
          <w:bCs/>
          <w:color w:val="000000" w:themeColor="text1"/>
          <w:sz w:val="28"/>
          <w:szCs w:val="28"/>
          <w:u w:val="single"/>
        </w:rPr>
      </w:pPr>
    </w:p>
    <w:p w14:paraId="0490A0C3" w14:textId="77777777" w:rsidR="00C675AE" w:rsidRPr="00C675AE" w:rsidRDefault="00C675AE" w:rsidP="00C675AE"/>
    <w:p w14:paraId="1820476A" w14:textId="6B34B47B" w:rsidR="00EB202A" w:rsidRPr="00CF4564" w:rsidRDefault="00EB202A" w:rsidP="00985266">
      <w:pPr>
        <w:pStyle w:val="Heading1"/>
        <w:jc w:val="center"/>
        <w:rPr>
          <w:rFonts w:asciiTheme="minorHAnsi" w:hAnsiTheme="minorHAnsi"/>
          <w:b/>
          <w:bCs/>
          <w:u w:val="single"/>
        </w:rPr>
      </w:pPr>
      <w:bookmarkStart w:id="26" w:name="_Toc33821850"/>
      <w:r w:rsidRPr="00CF4564">
        <w:rPr>
          <w:rFonts w:asciiTheme="minorHAnsi" w:hAnsiTheme="minorHAnsi"/>
          <w:b/>
          <w:bCs/>
          <w:color w:val="000000" w:themeColor="text1"/>
          <w:sz w:val="28"/>
          <w:szCs w:val="28"/>
          <w:u w:val="single"/>
        </w:rPr>
        <w:lastRenderedPageBreak/>
        <w:t>Bibliography</w:t>
      </w:r>
      <w:bookmarkEnd w:id="26"/>
    </w:p>
    <w:p w14:paraId="736BADDF" w14:textId="77777777" w:rsidR="005C2027" w:rsidRPr="00EB202A" w:rsidRDefault="005C2027" w:rsidP="005C2027">
      <w:pPr>
        <w:rPr>
          <w:b/>
          <w:bCs/>
          <w:sz w:val="28"/>
          <w:szCs w:val="28"/>
          <w:u w:val="single"/>
        </w:rPr>
      </w:pPr>
    </w:p>
    <w:p w14:paraId="730DA2DA" w14:textId="77777777" w:rsidR="00EB202A" w:rsidRDefault="00EB202A" w:rsidP="00EB202A"/>
    <w:p w14:paraId="187703C4" w14:textId="6B6E6B1A" w:rsidR="00EB202A" w:rsidRPr="00985266" w:rsidRDefault="00EB202A" w:rsidP="00EB202A">
      <w:pPr>
        <w:spacing w:line="360" w:lineRule="auto"/>
      </w:pPr>
      <w:r w:rsidRPr="00985266">
        <w:t xml:space="preserve">Aldred, C. (1988), </w:t>
      </w:r>
      <w:r w:rsidRPr="00985266">
        <w:rPr>
          <w:i/>
          <w:iCs/>
        </w:rPr>
        <w:t xml:space="preserve">Akhenaten: King of Egypt, </w:t>
      </w:r>
      <w:r w:rsidRPr="00985266">
        <w:t>London, Thames and Hudson</w:t>
      </w:r>
    </w:p>
    <w:p w14:paraId="060FB691" w14:textId="77777777" w:rsidR="008F0634" w:rsidRPr="00985266" w:rsidRDefault="008F0634" w:rsidP="00EB202A">
      <w:pPr>
        <w:spacing w:line="360" w:lineRule="auto"/>
      </w:pPr>
    </w:p>
    <w:p w14:paraId="28D82C74" w14:textId="77777777" w:rsidR="00EB202A" w:rsidRPr="00985266" w:rsidRDefault="00EB202A" w:rsidP="00EB202A">
      <w:pPr>
        <w:spacing w:line="360" w:lineRule="auto"/>
      </w:pPr>
      <w:r w:rsidRPr="00985266">
        <w:t xml:space="preserve">Alford, A. (2003), </w:t>
      </w:r>
      <w:r w:rsidRPr="00985266">
        <w:rPr>
          <w:i/>
          <w:iCs/>
        </w:rPr>
        <w:t xml:space="preserve">Pyramid of Secrets: The Architecture of the Great Pyramid Reconsidered in the Light of Creational Mythology, </w:t>
      </w:r>
      <w:r w:rsidRPr="00985266">
        <w:t xml:space="preserve">Walsall, Eridu Books </w:t>
      </w:r>
    </w:p>
    <w:p w14:paraId="082E251A" w14:textId="77777777" w:rsidR="00EB202A" w:rsidRPr="00985266" w:rsidRDefault="00EB202A" w:rsidP="00EB202A">
      <w:pPr>
        <w:spacing w:line="360" w:lineRule="auto"/>
      </w:pPr>
    </w:p>
    <w:p w14:paraId="6D520A71" w14:textId="77777777" w:rsidR="00EB202A" w:rsidRPr="00985266" w:rsidRDefault="00EB202A" w:rsidP="00EB202A">
      <w:pPr>
        <w:spacing w:line="360" w:lineRule="auto"/>
      </w:pPr>
      <w:r w:rsidRPr="00985266">
        <w:t xml:space="preserve">Alford, A. (2004), </w:t>
      </w:r>
      <w:r w:rsidRPr="00985266">
        <w:rPr>
          <w:i/>
          <w:iCs/>
        </w:rPr>
        <w:t xml:space="preserve">The Midnight Sun: The Death and Rebirth of God in Ancient Egypt, </w:t>
      </w:r>
      <w:r w:rsidRPr="00985266">
        <w:t>Walsall, Eridu Books</w:t>
      </w:r>
    </w:p>
    <w:p w14:paraId="7F67937F" w14:textId="77777777" w:rsidR="00EB202A" w:rsidRPr="00985266" w:rsidRDefault="00EB202A" w:rsidP="00EB202A">
      <w:pPr>
        <w:spacing w:line="360" w:lineRule="auto"/>
      </w:pPr>
    </w:p>
    <w:p w14:paraId="4392787B" w14:textId="77777777" w:rsidR="00EB202A" w:rsidRPr="00985266" w:rsidRDefault="00EB202A" w:rsidP="00EB202A">
      <w:pPr>
        <w:spacing w:line="360" w:lineRule="auto"/>
      </w:pPr>
      <w:r w:rsidRPr="00985266">
        <w:t xml:space="preserve">Allen, J. (1996), “The Religion of Amarna” in Arnold, D. ed. </w:t>
      </w:r>
      <w:r w:rsidRPr="00985266">
        <w:rPr>
          <w:i/>
          <w:iCs/>
        </w:rPr>
        <w:t xml:space="preserve">The Royal Women of Amarna: Images of Beauty from Ancient Egypt, </w:t>
      </w:r>
      <w:r w:rsidRPr="00985266">
        <w:t xml:space="preserve">New York, The Metropolitan Museum of Art </w:t>
      </w:r>
    </w:p>
    <w:p w14:paraId="6524DE93" w14:textId="77777777" w:rsidR="00EB202A" w:rsidRPr="00985266" w:rsidRDefault="00EB202A" w:rsidP="00EB202A">
      <w:pPr>
        <w:spacing w:line="360" w:lineRule="auto"/>
      </w:pPr>
    </w:p>
    <w:p w14:paraId="527B89B7" w14:textId="77777777" w:rsidR="00EB202A" w:rsidRPr="00985266" w:rsidRDefault="00EB202A" w:rsidP="00EB202A">
      <w:pPr>
        <w:spacing w:line="360" w:lineRule="auto"/>
      </w:pPr>
      <w:r w:rsidRPr="00985266">
        <w:t>Arnold, D. (1996), “Aspects of the Royal Female Image” in Arnold, D. ed. The Royal Women of Amarna: Images of Beauty from Ancient Egypt, New York, The Metropolitan Museum of Art, pp. 85-121</w:t>
      </w:r>
    </w:p>
    <w:p w14:paraId="685F02ED" w14:textId="77777777" w:rsidR="00EB202A" w:rsidRPr="00985266" w:rsidRDefault="00EB202A" w:rsidP="00EB202A">
      <w:pPr>
        <w:spacing w:line="360" w:lineRule="auto"/>
      </w:pPr>
    </w:p>
    <w:p w14:paraId="200028F3" w14:textId="77777777" w:rsidR="00EB202A" w:rsidRPr="00985266" w:rsidRDefault="00EB202A" w:rsidP="00EB202A">
      <w:pPr>
        <w:spacing w:line="360" w:lineRule="auto"/>
      </w:pPr>
      <w:r w:rsidRPr="00985266">
        <w:t xml:space="preserve">Arnold, D. (2005), “The Temple of Hatshepsut at Deir El-Bahri”, in Roehrig, C., Dreyfus, R. and Keller, C. eds. </w:t>
      </w:r>
      <w:r w:rsidRPr="00985266">
        <w:rPr>
          <w:i/>
          <w:iCs/>
        </w:rPr>
        <w:t>Hatshepsut: From Queen to Pharaoh,</w:t>
      </w:r>
      <w:r w:rsidRPr="00985266">
        <w:t xml:space="preserve"> New York, The Metropolitan Museum of Art, pp. 135-141</w:t>
      </w:r>
    </w:p>
    <w:p w14:paraId="412FA681" w14:textId="77777777" w:rsidR="00EB202A" w:rsidRPr="00985266" w:rsidRDefault="00EB202A" w:rsidP="00EB202A">
      <w:pPr>
        <w:spacing w:line="360" w:lineRule="auto"/>
      </w:pPr>
    </w:p>
    <w:p w14:paraId="5C136D7E" w14:textId="77777777" w:rsidR="00EB202A" w:rsidRPr="00985266" w:rsidRDefault="00EB202A" w:rsidP="00EB202A">
      <w:pPr>
        <w:spacing w:line="360" w:lineRule="auto"/>
      </w:pPr>
      <w:r w:rsidRPr="00985266">
        <w:t xml:space="preserve">Asante, M.K. and Ismail, S. (2009), Akhenaten to Origen: Characteristics of Philosophical Thought in Ancient Africa, </w:t>
      </w:r>
      <w:r w:rsidRPr="00985266">
        <w:rPr>
          <w:i/>
          <w:iCs/>
        </w:rPr>
        <w:t xml:space="preserve">Journal of Black Studies, </w:t>
      </w:r>
      <w:r w:rsidRPr="00985266">
        <w:t xml:space="preserve">40(2), pp.296-309, accessed on </w:t>
      </w:r>
      <w:hyperlink r:id="rId10" w:history="1">
        <w:r w:rsidRPr="00985266">
          <w:rPr>
            <w:rStyle w:val="Hyperlink"/>
          </w:rPr>
          <w:t>www.JSTOR.org</w:t>
        </w:r>
      </w:hyperlink>
    </w:p>
    <w:p w14:paraId="705C5150" w14:textId="77777777" w:rsidR="00EB202A" w:rsidRPr="00985266" w:rsidRDefault="00EB202A" w:rsidP="00EB202A">
      <w:pPr>
        <w:spacing w:line="360" w:lineRule="auto"/>
      </w:pPr>
    </w:p>
    <w:p w14:paraId="20A86266" w14:textId="77777777" w:rsidR="00EB202A" w:rsidRPr="00985266" w:rsidRDefault="00EB202A" w:rsidP="00EB202A">
      <w:pPr>
        <w:spacing w:line="360" w:lineRule="auto"/>
      </w:pPr>
      <w:r w:rsidRPr="00985266">
        <w:t xml:space="preserve">Assmann, J. (1995), </w:t>
      </w:r>
      <w:r w:rsidRPr="00985266">
        <w:rPr>
          <w:i/>
          <w:iCs/>
        </w:rPr>
        <w:t>Egyptian Solar Religion in the New Kingdom: Re, Amun and the Crisis of Polytheism</w:t>
      </w:r>
      <w:r w:rsidRPr="00985266">
        <w:t>, Abingdon, Routledge</w:t>
      </w:r>
    </w:p>
    <w:p w14:paraId="76D3B21A" w14:textId="77777777" w:rsidR="00EB202A" w:rsidRPr="00985266" w:rsidRDefault="00EB202A" w:rsidP="00EB202A">
      <w:pPr>
        <w:spacing w:line="360" w:lineRule="auto"/>
      </w:pPr>
    </w:p>
    <w:p w14:paraId="3264817D" w14:textId="76D109A0" w:rsidR="00EB202A" w:rsidRPr="00985266" w:rsidRDefault="00985266" w:rsidP="00EB202A">
      <w:pPr>
        <w:spacing w:line="360" w:lineRule="auto"/>
      </w:pPr>
      <w:r w:rsidRPr="00985266">
        <w:t xml:space="preserve">Assmann, J. (1997), “Magic and Theology in Ancient Egypt” in Schäfer, P. ed. </w:t>
      </w:r>
      <w:r w:rsidRPr="00985266">
        <w:rPr>
          <w:i/>
          <w:iCs/>
        </w:rPr>
        <w:t>Hans Kippenberg</w:t>
      </w:r>
      <w:r w:rsidRPr="00985266">
        <w:rPr>
          <w:i/>
          <w:iCs/>
        </w:rPr>
        <w:t xml:space="preserve"> </w:t>
      </w:r>
      <w:r w:rsidRPr="00985266">
        <w:rPr>
          <w:i/>
          <w:iCs/>
        </w:rPr>
        <w:t xml:space="preserve">(Hg.), Envisioning Magic. </w:t>
      </w:r>
      <w:r w:rsidR="00EB202A" w:rsidRPr="00985266">
        <w:rPr>
          <w:i/>
          <w:iCs/>
        </w:rPr>
        <w:t xml:space="preserve">A Princeton Seminar &amp; Symposium (Studies in the history of religions 75), </w:t>
      </w:r>
      <w:r w:rsidR="00EB202A" w:rsidRPr="00985266">
        <w:t xml:space="preserve">pp.1-18 </w:t>
      </w:r>
    </w:p>
    <w:p w14:paraId="54C85D91" w14:textId="77777777" w:rsidR="00EB202A" w:rsidRPr="00985266" w:rsidRDefault="00EB202A" w:rsidP="00EB202A">
      <w:pPr>
        <w:spacing w:line="360" w:lineRule="auto"/>
      </w:pPr>
    </w:p>
    <w:p w14:paraId="25BA769E" w14:textId="77777777" w:rsidR="00EB202A" w:rsidRPr="00985266" w:rsidRDefault="00EB202A" w:rsidP="00EB202A">
      <w:pPr>
        <w:spacing w:line="360" w:lineRule="auto"/>
      </w:pPr>
      <w:r w:rsidRPr="00985266">
        <w:t xml:space="preserve">Assmann, J. (2001), </w:t>
      </w:r>
      <w:r w:rsidRPr="00985266">
        <w:rPr>
          <w:i/>
        </w:rPr>
        <w:t xml:space="preserve">The Search for God in Ancient Egypt, </w:t>
      </w:r>
      <w:r w:rsidRPr="00985266">
        <w:t>Ithaca, Cornell University Press</w:t>
      </w:r>
    </w:p>
    <w:p w14:paraId="7D65574C" w14:textId="77777777" w:rsidR="00EB202A" w:rsidRPr="00985266" w:rsidRDefault="00EB202A" w:rsidP="00EB202A">
      <w:pPr>
        <w:spacing w:line="360" w:lineRule="auto"/>
      </w:pPr>
    </w:p>
    <w:p w14:paraId="33D2FEE3" w14:textId="77777777" w:rsidR="00EB202A" w:rsidRPr="00985266" w:rsidRDefault="00EB202A" w:rsidP="00EB202A">
      <w:pPr>
        <w:spacing w:line="360" w:lineRule="auto"/>
      </w:pPr>
      <w:r w:rsidRPr="00985266">
        <w:t xml:space="preserve">Assmann, J. and Frankfurter, D. (2004), “Egypt” in Johnston, S.I. ed. </w:t>
      </w:r>
      <w:r w:rsidRPr="00985266">
        <w:rPr>
          <w:i/>
          <w:iCs/>
        </w:rPr>
        <w:t xml:space="preserve">Ancient Religions, </w:t>
      </w:r>
      <w:r w:rsidRPr="00985266">
        <w:t>Cambridge, The Belknap Press of Harvard University Press, pp. 155-165</w:t>
      </w:r>
    </w:p>
    <w:p w14:paraId="4089231B" w14:textId="77777777" w:rsidR="00EB202A" w:rsidRPr="00985266" w:rsidRDefault="00EB202A" w:rsidP="00EB202A">
      <w:pPr>
        <w:spacing w:line="360" w:lineRule="auto"/>
        <w:rPr>
          <w:sz w:val="22"/>
          <w:szCs w:val="22"/>
        </w:rPr>
      </w:pPr>
    </w:p>
    <w:p w14:paraId="68149813" w14:textId="77777777" w:rsidR="00EB202A" w:rsidRPr="00985266" w:rsidRDefault="00EB202A" w:rsidP="00EB202A">
      <w:pPr>
        <w:spacing w:line="360" w:lineRule="auto"/>
      </w:pPr>
      <w:r w:rsidRPr="00985266">
        <w:t xml:space="preserve">Bailey, L. (2003), “Weltunde” in Eyma, A.K. and Bennett, C.J. eds. </w:t>
      </w:r>
      <w:r w:rsidRPr="00985266">
        <w:rPr>
          <w:i/>
          <w:iCs/>
        </w:rPr>
        <w:t xml:space="preserve">A Delta-Man in Yebu, </w:t>
      </w:r>
      <w:r w:rsidRPr="00985266">
        <w:t>Occasional Volume of the Egyptologists’ Electronic Forum No.1, pp. 238-244</w:t>
      </w:r>
    </w:p>
    <w:p w14:paraId="791B05DD" w14:textId="77777777" w:rsidR="00EB202A" w:rsidRPr="00985266" w:rsidRDefault="00EB202A" w:rsidP="00EB202A">
      <w:pPr>
        <w:spacing w:line="360" w:lineRule="auto"/>
      </w:pPr>
    </w:p>
    <w:p w14:paraId="1CBCDDE2" w14:textId="77777777" w:rsidR="00EB202A" w:rsidRPr="00985266" w:rsidRDefault="00EB202A" w:rsidP="00EB202A">
      <w:pPr>
        <w:spacing w:line="360" w:lineRule="auto"/>
      </w:pPr>
      <w:r w:rsidRPr="00985266">
        <w:t xml:space="preserve">Baines, J. (1995a.), “Kingship, Definition of Culture, and Legitimation” in O’ Connor, D. and Silverman, D. eds. </w:t>
      </w:r>
      <w:r w:rsidRPr="00985266">
        <w:rPr>
          <w:i/>
          <w:iCs/>
        </w:rPr>
        <w:t xml:space="preserve">Ancient Egyptian Kingship, </w:t>
      </w:r>
      <w:r w:rsidRPr="00985266">
        <w:t>pp.3-49</w:t>
      </w:r>
    </w:p>
    <w:p w14:paraId="1498DE7A" w14:textId="77777777" w:rsidR="00EB202A" w:rsidRPr="00985266" w:rsidRDefault="00EB202A" w:rsidP="00EB202A">
      <w:pPr>
        <w:spacing w:line="360" w:lineRule="auto"/>
      </w:pPr>
    </w:p>
    <w:p w14:paraId="479BAAB6" w14:textId="77777777" w:rsidR="00EB202A" w:rsidRPr="00985266" w:rsidRDefault="00EB202A" w:rsidP="00EB202A">
      <w:pPr>
        <w:spacing w:line="360" w:lineRule="auto"/>
      </w:pPr>
      <w:r w:rsidRPr="00985266">
        <w:t xml:space="preserve">Baines, J. (1995b.), “Origins of Egyptian Kingship” in O’ Connor, D. and Silverman, D. eds. </w:t>
      </w:r>
      <w:r w:rsidRPr="00985266">
        <w:rPr>
          <w:i/>
          <w:iCs/>
        </w:rPr>
        <w:t>Ancient Egyptian Kingship,</w:t>
      </w:r>
      <w:r w:rsidRPr="00985266">
        <w:t xml:space="preserve"> pp.95-157</w:t>
      </w:r>
    </w:p>
    <w:p w14:paraId="39F0F164" w14:textId="77777777" w:rsidR="00EB202A" w:rsidRPr="00985266" w:rsidRDefault="00EB202A" w:rsidP="00EB202A">
      <w:pPr>
        <w:spacing w:line="360" w:lineRule="auto"/>
      </w:pPr>
    </w:p>
    <w:p w14:paraId="6B696B08" w14:textId="4817F928" w:rsidR="00EB202A" w:rsidRDefault="00EB202A" w:rsidP="00EB202A">
      <w:pPr>
        <w:spacing w:line="360" w:lineRule="auto"/>
      </w:pPr>
      <w:r w:rsidRPr="00985266">
        <w:t xml:space="preserve">Baines, J. (2006), “Display of Magic in Old Kingdom Egypt” in Szpakowska, K. ed. </w:t>
      </w:r>
      <w:r w:rsidRPr="00985266">
        <w:rPr>
          <w:i/>
          <w:iCs/>
        </w:rPr>
        <w:t xml:space="preserve">Through a Glass Darkly: Magic, Dreams and Prophecy in Ancient Egypt, </w:t>
      </w:r>
      <w:r w:rsidRPr="00985266">
        <w:t>Swansea, The Classical Press of Wales</w:t>
      </w:r>
    </w:p>
    <w:p w14:paraId="5ABE523D" w14:textId="5265DEC7" w:rsidR="005B1D45" w:rsidRDefault="005B1D45" w:rsidP="00EB202A">
      <w:pPr>
        <w:spacing w:line="360" w:lineRule="auto"/>
      </w:pPr>
    </w:p>
    <w:p w14:paraId="2920525C" w14:textId="6B88B56D" w:rsidR="005B1D45" w:rsidRPr="00985266" w:rsidRDefault="005B1D45" w:rsidP="00EB202A">
      <w:pPr>
        <w:spacing w:line="360" w:lineRule="auto"/>
      </w:pPr>
      <w:r>
        <w:t>Bernd-Christian, O. (2013), “</w:t>
      </w:r>
      <w:r w:rsidRPr="005B1D45">
        <w:rPr>
          <w:lang w:val="de-DE"/>
        </w:rPr>
        <w:t>Zauberhaftes Ägypten - Ägyptischer Zauber? Überlegungen zur Verwendung des Magiebegriffs in der Ägyptologie</w:t>
      </w:r>
      <w:r w:rsidRPr="005B1D45">
        <w:rPr>
          <w:lang w:val="de-DE"/>
        </w:rPr>
        <w:t xml:space="preserve">” in Jeserich, F. </w:t>
      </w:r>
      <w:proofErr w:type="spellStart"/>
      <w:r w:rsidRPr="005B1D45">
        <w:rPr>
          <w:lang w:val="de-DE"/>
        </w:rPr>
        <w:t>ed</w:t>
      </w:r>
      <w:proofErr w:type="spellEnd"/>
      <w:r w:rsidRPr="005B1D45">
        <w:rPr>
          <w:lang w:val="de-DE"/>
        </w:rPr>
        <w:t xml:space="preserve">. </w:t>
      </w:r>
      <w:r w:rsidRPr="005B1D45">
        <w:rPr>
          <w:lang w:val="de-DE"/>
        </w:rPr>
        <w:t>Ägypten - Kindheit - Tod. Gedenkschrift für Edmund Hermsen</w:t>
      </w:r>
      <w:r w:rsidRPr="005B1D45">
        <w:rPr>
          <w:lang w:val="de-DE"/>
        </w:rPr>
        <w:t>, Vienna,</w:t>
      </w:r>
      <w:r w:rsidRPr="005B1D45">
        <w:rPr>
          <w:lang w:val="de-DE"/>
        </w:rPr>
        <w:t xml:space="preserve"> Böhlau Verlag</w:t>
      </w:r>
      <w:r w:rsidRPr="005B1D45">
        <w:rPr>
          <w:lang w:val="de-DE"/>
        </w:rPr>
        <w:t>, pp.39-70</w:t>
      </w:r>
    </w:p>
    <w:p w14:paraId="463C0CB7" w14:textId="77777777" w:rsidR="00EB202A" w:rsidRPr="00985266" w:rsidRDefault="00EB202A" w:rsidP="00EB202A">
      <w:pPr>
        <w:spacing w:line="360" w:lineRule="auto"/>
      </w:pPr>
    </w:p>
    <w:p w14:paraId="08C0973C" w14:textId="77777777" w:rsidR="00EB202A" w:rsidRPr="00985266" w:rsidRDefault="00EB202A" w:rsidP="00EB202A">
      <w:pPr>
        <w:spacing w:line="360" w:lineRule="auto"/>
      </w:pPr>
      <w:r w:rsidRPr="00985266">
        <w:t xml:space="preserve">Bietak, M. (2005), “Egypt and The Aegean: Cultural Convergence in a Thutmoside Palace at Avaris” in Roehrig, C., Dreyfus, R. and Keller, C. eds. </w:t>
      </w:r>
      <w:r w:rsidRPr="00985266">
        <w:rPr>
          <w:i/>
        </w:rPr>
        <w:t>Hatshepsut: From Queen to Pharaoh</w:t>
      </w:r>
      <w:r w:rsidRPr="00985266">
        <w:t>, New York, The Metropolitan Museum of Art, pp. 75-83</w:t>
      </w:r>
    </w:p>
    <w:p w14:paraId="5F768899" w14:textId="77777777" w:rsidR="00EB202A" w:rsidRPr="00985266" w:rsidRDefault="00EB202A" w:rsidP="00EB202A">
      <w:pPr>
        <w:spacing w:line="360" w:lineRule="auto"/>
      </w:pPr>
    </w:p>
    <w:p w14:paraId="61635170" w14:textId="77777777" w:rsidR="00EB202A" w:rsidRPr="00985266" w:rsidRDefault="00EB202A" w:rsidP="00EB202A">
      <w:pPr>
        <w:spacing w:line="360" w:lineRule="auto"/>
      </w:pPr>
      <w:r w:rsidRPr="00985266">
        <w:t xml:space="preserve">Bickel, S. (2014), “Worldview and Royal Discourse in the Time of Hatshepsut” in Galán, J., Bryan, B. and Dorman, P. eds. </w:t>
      </w:r>
      <w:r w:rsidRPr="00985266">
        <w:rPr>
          <w:i/>
        </w:rPr>
        <w:t>SAOC 69: Creativity and Innovation in the Reign of Hatshepsut</w:t>
      </w:r>
      <w:r w:rsidRPr="00985266">
        <w:t>, Chicago, University of Chicago, pp. 21-33</w:t>
      </w:r>
    </w:p>
    <w:p w14:paraId="3A381931" w14:textId="77777777" w:rsidR="00EB202A" w:rsidRPr="00985266" w:rsidRDefault="00EB202A" w:rsidP="00EB202A">
      <w:pPr>
        <w:spacing w:line="360" w:lineRule="auto"/>
      </w:pPr>
    </w:p>
    <w:p w14:paraId="152B4F09" w14:textId="77777777" w:rsidR="00EB202A" w:rsidRPr="00985266" w:rsidRDefault="00EB202A" w:rsidP="00EB202A">
      <w:pPr>
        <w:spacing w:line="360" w:lineRule="auto"/>
      </w:pPr>
      <w:r w:rsidRPr="00985266">
        <w:t xml:space="preserve">Biles, K. and Page, J. (2011), </w:t>
      </w:r>
      <w:r w:rsidRPr="00985266">
        <w:rPr>
          <w:i/>
          <w:iCs/>
        </w:rPr>
        <w:t xml:space="preserve">Invoking the Egyptian Gods, </w:t>
      </w:r>
      <w:r w:rsidRPr="00985266">
        <w:t xml:space="preserve">Woodbury, Llewellyn Publications </w:t>
      </w:r>
    </w:p>
    <w:p w14:paraId="3983C4C4" w14:textId="77777777" w:rsidR="00EB202A" w:rsidRPr="00985266" w:rsidRDefault="00EB202A" w:rsidP="00EB202A">
      <w:pPr>
        <w:spacing w:line="360" w:lineRule="auto"/>
      </w:pPr>
    </w:p>
    <w:p w14:paraId="0F206B66" w14:textId="77777777" w:rsidR="00EB202A" w:rsidRPr="00985266" w:rsidRDefault="00EB202A" w:rsidP="00EB202A">
      <w:pPr>
        <w:spacing w:line="360" w:lineRule="auto"/>
      </w:pPr>
      <w:r w:rsidRPr="00985266">
        <w:t xml:space="preserve">Bourriau, J. (2000), “The Second Intermediate Period (c.1650-1550 B.C.)” in Shaw, I. ed. </w:t>
      </w:r>
      <w:r w:rsidRPr="00985266">
        <w:rPr>
          <w:i/>
          <w:iCs/>
        </w:rPr>
        <w:t xml:space="preserve">The Oxford History of Ancient Egypt, </w:t>
      </w:r>
      <w:r w:rsidRPr="00985266">
        <w:t>Oxford, Oxford University Press</w:t>
      </w:r>
    </w:p>
    <w:p w14:paraId="69C4D383" w14:textId="77777777" w:rsidR="00EB202A" w:rsidRPr="00985266" w:rsidRDefault="00EB202A" w:rsidP="00EB202A">
      <w:pPr>
        <w:spacing w:line="360" w:lineRule="auto"/>
      </w:pPr>
    </w:p>
    <w:p w14:paraId="3EF32FEB" w14:textId="77777777" w:rsidR="00EB202A" w:rsidRPr="00985266" w:rsidRDefault="00EB202A" w:rsidP="00EB202A">
      <w:pPr>
        <w:spacing w:line="360" w:lineRule="auto"/>
      </w:pPr>
      <w:r w:rsidRPr="00985266">
        <w:t xml:space="preserve">Bradley, P. (2014), </w:t>
      </w:r>
      <w:r w:rsidRPr="00985266">
        <w:rPr>
          <w:i/>
        </w:rPr>
        <w:t xml:space="preserve">The Ancient World Transformed, </w:t>
      </w:r>
      <w:r w:rsidRPr="00985266">
        <w:t>Melbourne, Cambridge University Press</w:t>
      </w:r>
    </w:p>
    <w:p w14:paraId="1282105B" w14:textId="77777777" w:rsidR="00EB202A" w:rsidRPr="00985266" w:rsidRDefault="00EB202A" w:rsidP="00EB202A">
      <w:pPr>
        <w:spacing w:line="360" w:lineRule="auto"/>
      </w:pPr>
    </w:p>
    <w:p w14:paraId="22BA3F90" w14:textId="77777777" w:rsidR="00EB202A" w:rsidRPr="00985266" w:rsidRDefault="00EB202A" w:rsidP="00EB202A">
      <w:pPr>
        <w:spacing w:line="360" w:lineRule="auto"/>
      </w:pPr>
      <w:r w:rsidRPr="00985266">
        <w:t xml:space="preserve">Brand, P. (1999), Secondary Restorations in the Post-Amarna Period, </w:t>
      </w:r>
      <w:r w:rsidRPr="00985266">
        <w:rPr>
          <w:i/>
          <w:iCs/>
        </w:rPr>
        <w:t xml:space="preserve">Journal of the American Research Centre in Egypt, </w:t>
      </w:r>
      <w:r w:rsidRPr="00985266">
        <w:t>36, pp.113-134</w:t>
      </w:r>
    </w:p>
    <w:p w14:paraId="5E253C3F" w14:textId="77777777" w:rsidR="00EB202A" w:rsidRPr="00985266" w:rsidRDefault="00EB202A" w:rsidP="00EB202A">
      <w:pPr>
        <w:spacing w:line="360" w:lineRule="auto"/>
      </w:pPr>
    </w:p>
    <w:p w14:paraId="55851AEC" w14:textId="77777777" w:rsidR="00EB202A" w:rsidRPr="00985266" w:rsidRDefault="00EB202A" w:rsidP="00EB202A">
      <w:pPr>
        <w:spacing w:line="360" w:lineRule="auto"/>
      </w:pPr>
      <w:r w:rsidRPr="00985266">
        <w:t xml:space="preserve">Brandon, S.G.F. and Miller, D (2014), </w:t>
      </w:r>
      <w:r w:rsidRPr="00985266">
        <w:rPr>
          <w:i/>
          <w:iCs/>
        </w:rPr>
        <w:t xml:space="preserve">Beliefs, Rituals, and Symbols of Ancient Egypt, Mesopotamia, and The Fertile Crescent, </w:t>
      </w:r>
      <w:r w:rsidRPr="00985266">
        <w:t>New York, Cavendish Square</w:t>
      </w:r>
    </w:p>
    <w:p w14:paraId="6E66A7FF" w14:textId="77777777" w:rsidR="00EB202A" w:rsidRPr="00985266" w:rsidRDefault="00EB202A" w:rsidP="00EB202A">
      <w:pPr>
        <w:spacing w:line="360" w:lineRule="auto"/>
      </w:pPr>
    </w:p>
    <w:p w14:paraId="7347E0CA" w14:textId="77777777" w:rsidR="00EB202A" w:rsidRPr="00985266" w:rsidRDefault="00EB202A" w:rsidP="00EB202A">
      <w:pPr>
        <w:spacing w:line="360" w:lineRule="auto"/>
      </w:pPr>
      <w:r w:rsidRPr="00985266">
        <w:t xml:space="preserve">Breasted, J. (1906), </w:t>
      </w:r>
      <w:r w:rsidRPr="00985266">
        <w:rPr>
          <w:i/>
        </w:rPr>
        <w:t xml:space="preserve">Ancient Records of Egypt, </w:t>
      </w:r>
      <w:r w:rsidRPr="00985266">
        <w:t>The University of Chicago Press, Chicago</w:t>
      </w:r>
    </w:p>
    <w:p w14:paraId="278788AA" w14:textId="77777777" w:rsidR="00EB202A" w:rsidRPr="00985266" w:rsidRDefault="00EB202A" w:rsidP="00EB202A">
      <w:pPr>
        <w:spacing w:line="360" w:lineRule="auto"/>
      </w:pPr>
    </w:p>
    <w:p w14:paraId="1592AF29" w14:textId="77777777" w:rsidR="00EB202A" w:rsidRPr="00985266" w:rsidRDefault="00EB202A" w:rsidP="00EB202A">
      <w:pPr>
        <w:spacing w:line="360" w:lineRule="auto"/>
      </w:pPr>
      <w:r w:rsidRPr="00985266">
        <w:t xml:space="preserve">Brewer, D. J. and Teeter, E. (1999), </w:t>
      </w:r>
      <w:r w:rsidRPr="00985266">
        <w:rPr>
          <w:i/>
          <w:iCs/>
        </w:rPr>
        <w:t xml:space="preserve">Egypt and the Egyptians, </w:t>
      </w:r>
      <w:r w:rsidRPr="00985266">
        <w:t xml:space="preserve">Cambridge, Cambridge University Press </w:t>
      </w:r>
    </w:p>
    <w:p w14:paraId="375683B9" w14:textId="77777777" w:rsidR="00EB202A" w:rsidRPr="00985266" w:rsidRDefault="00EB202A" w:rsidP="00EB202A">
      <w:pPr>
        <w:spacing w:line="360" w:lineRule="auto"/>
      </w:pPr>
    </w:p>
    <w:p w14:paraId="0D082328" w14:textId="77777777" w:rsidR="00EB202A" w:rsidRPr="00985266" w:rsidRDefault="00EB202A" w:rsidP="00EB202A">
      <w:pPr>
        <w:spacing w:line="360" w:lineRule="auto"/>
      </w:pPr>
      <w:r w:rsidRPr="00985266">
        <w:t>Bryan, B. (2000), “The 18</w:t>
      </w:r>
      <w:r w:rsidRPr="00985266">
        <w:rPr>
          <w:vertAlign w:val="superscript"/>
        </w:rPr>
        <w:t>th</w:t>
      </w:r>
      <w:r w:rsidRPr="00985266">
        <w:t xml:space="preserve"> Dynasty Before the Amarna Period (c.1550-1352 BC)” in Shaw, I. ed. </w:t>
      </w:r>
      <w:r w:rsidRPr="00985266">
        <w:rPr>
          <w:i/>
          <w:iCs/>
        </w:rPr>
        <w:t xml:space="preserve">The Oxford History of Ancient Egypt, </w:t>
      </w:r>
      <w:r w:rsidRPr="00985266">
        <w:t>Oxford, Oxford University Press, pp.207-265</w:t>
      </w:r>
    </w:p>
    <w:p w14:paraId="0C396BEF" w14:textId="77777777" w:rsidR="00EB202A" w:rsidRPr="00985266" w:rsidRDefault="00EB202A" w:rsidP="00EB202A">
      <w:pPr>
        <w:spacing w:line="360" w:lineRule="auto"/>
      </w:pPr>
    </w:p>
    <w:p w14:paraId="11EE5E5C" w14:textId="77777777" w:rsidR="00EB202A" w:rsidRPr="00985266" w:rsidRDefault="00EB202A" w:rsidP="00EB202A">
      <w:pPr>
        <w:spacing w:line="360" w:lineRule="auto"/>
      </w:pPr>
      <w:r w:rsidRPr="00985266">
        <w:t xml:space="preserve">Bryan, B. (2001), “Antecedents to Amenhotep III” in O’Connor, D. and Cline, E. eds. </w:t>
      </w:r>
      <w:r w:rsidRPr="00985266">
        <w:rPr>
          <w:i/>
        </w:rPr>
        <w:t xml:space="preserve">Amenhotep III: Perspectives on a Reign, </w:t>
      </w:r>
      <w:r w:rsidRPr="00985266">
        <w:t xml:space="preserve">Ann Arbor, University of Michigan </w:t>
      </w:r>
    </w:p>
    <w:p w14:paraId="00A69B2F" w14:textId="77777777" w:rsidR="00EB202A" w:rsidRPr="00985266" w:rsidRDefault="00EB202A" w:rsidP="00EB202A">
      <w:pPr>
        <w:spacing w:line="360" w:lineRule="auto"/>
      </w:pPr>
    </w:p>
    <w:p w14:paraId="129C108D" w14:textId="77777777" w:rsidR="00EB202A" w:rsidRPr="00985266" w:rsidRDefault="00EB202A" w:rsidP="00EB202A">
      <w:pPr>
        <w:spacing w:line="360" w:lineRule="auto"/>
      </w:pPr>
      <w:r w:rsidRPr="00985266">
        <w:t xml:space="preserve">Bryan, B. (2005), “The Temple of Mut”: New Evidence on Hatshepsut’s Building Activity in Roehrig, C., Dreyfus, R. and Keller, C. eds. </w:t>
      </w:r>
      <w:r w:rsidRPr="00985266">
        <w:rPr>
          <w:i/>
        </w:rPr>
        <w:t>Hatshepsut: From Queen to Pharaoh</w:t>
      </w:r>
      <w:r w:rsidRPr="00985266">
        <w:t>, New York, The Metropolitan Museum of Art, pp. 181-184</w:t>
      </w:r>
    </w:p>
    <w:p w14:paraId="0833A6BA" w14:textId="77777777" w:rsidR="00EB202A" w:rsidRPr="00985266" w:rsidRDefault="00EB202A" w:rsidP="00EB202A">
      <w:pPr>
        <w:spacing w:line="360" w:lineRule="auto"/>
      </w:pPr>
    </w:p>
    <w:p w14:paraId="408FE0B6" w14:textId="77777777" w:rsidR="00EB202A" w:rsidRPr="00985266" w:rsidRDefault="00EB202A" w:rsidP="00EB202A">
      <w:pPr>
        <w:spacing w:line="360" w:lineRule="auto"/>
      </w:pPr>
      <w:r w:rsidRPr="00985266">
        <w:t xml:space="preserve">Christie, J.J. (2016), “Akhenaten’s Amarna in New Kingdom Egypt: Relations of a Landscape and Ideology” in Christie, J.J., Bogdanovic, J. and Guzman, E. eds. </w:t>
      </w:r>
      <w:r w:rsidRPr="00985266">
        <w:rPr>
          <w:i/>
          <w:iCs/>
        </w:rPr>
        <w:t xml:space="preserve">Political Landscapes of Capital Cities, </w:t>
      </w:r>
      <w:r w:rsidRPr="00985266">
        <w:t>University Press of Colorado</w:t>
      </w:r>
    </w:p>
    <w:p w14:paraId="6AAC6B9C" w14:textId="77777777" w:rsidR="00EB202A" w:rsidRPr="00985266" w:rsidRDefault="00EB202A" w:rsidP="00EB202A">
      <w:pPr>
        <w:spacing w:line="360" w:lineRule="auto"/>
      </w:pPr>
    </w:p>
    <w:p w14:paraId="73A93EBF" w14:textId="77777777" w:rsidR="00EB202A" w:rsidRPr="00985266" w:rsidRDefault="00EB202A" w:rsidP="00EB202A">
      <w:pPr>
        <w:spacing w:line="360" w:lineRule="auto"/>
      </w:pPr>
      <w:r w:rsidRPr="00985266">
        <w:lastRenderedPageBreak/>
        <w:t>Collins, J. (2004), “Cosmology: Time and History” in Johnston, S.I. ed. Ancient Religions, Cambridge, The Belknap Press of Harvard University Press, pp. 59-71</w:t>
      </w:r>
    </w:p>
    <w:p w14:paraId="3ED927FD" w14:textId="77777777" w:rsidR="00EB202A" w:rsidRPr="00985266" w:rsidRDefault="00EB202A" w:rsidP="00EB202A">
      <w:pPr>
        <w:spacing w:line="360" w:lineRule="auto"/>
      </w:pPr>
    </w:p>
    <w:p w14:paraId="2BDFDF77" w14:textId="77777777" w:rsidR="00EB202A" w:rsidRPr="00985266" w:rsidRDefault="00EB202A" w:rsidP="00EB202A">
      <w:pPr>
        <w:spacing w:line="360" w:lineRule="auto"/>
      </w:pPr>
      <w:r w:rsidRPr="00985266">
        <w:t xml:space="preserve">Cooney, K. (2014), </w:t>
      </w:r>
      <w:r w:rsidRPr="00985266">
        <w:rPr>
          <w:i/>
        </w:rPr>
        <w:t xml:space="preserve">The Woman Who Would be King, </w:t>
      </w:r>
      <w:r w:rsidRPr="00985266">
        <w:t>New York: Random House</w:t>
      </w:r>
    </w:p>
    <w:p w14:paraId="468CA7CE" w14:textId="77777777" w:rsidR="00EB202A" w:rsidRPr="00985266" w:rsidRDefault="00EB202A" w:rsidP="00EB202A">
      <w:pPr>
        <w:spacing w:line="360" w:lineRule="auto"/>
      </w:pPr>
    </w:p>
    <w:p w14:paraId="1D0E5FEE" w14:textId="77777777" w:rsidR="00EB202A" w:rsidRPr="00985266" w:rsidRDefault="00EB202A" w:rsidP="00EB202A">
      <w:pPr>
        <w:spacing w:line="360" w:lineRule="auto"/>
      </w:pPr>
      <w:r w:rsidRPr="00985266">
        <w:t xml:space="preserve">Cooney, K. (2018), </w:t>
      </w:r>
      <w:r w:rsidRPr="00985266">
        <w:rPr>
          <w:i/>
          <w:iCs/>
        </w:rPr>
        <w:t xml:space="preserve">When Women Ruled the World, </w:t>
      </w:r>
      <w:r w:rsidRPr="00985266">
        <w:t>Washington D.C., National Geographic Society</w:t>
      </w:r>
    </w:p>
    <w:p w14:paraId="4B82FBFC" w14:textId="77777777" w:rsidR="00EB202A" w:rsidRPr="00985266" w:rsidRDefault="00EB202A" w:rsidP="00EB202A">
      <w:pPr>
        <w:spacing w:line="360" w:lineRule="auto"/>
      </w:pPr>
    </w:p>
    <w:p w14:paraId="7B09DA2B" w14:textId="1E6DB2FC" w:rsidR="00EB202A" w:rsidRPr="00985266" w:rsidRDefault="00985266" w:rsidP="00EB202A">
      <w:pPr>
        <w:spacing w:line="360" w:lineRule="auto"/>
      </w:pPr>
      <w:r w:rsidRPr="00985266">
        <w:t>Creasman</w:t>
      </w:r>
      <w:r w:rsidR="00EB202A" w:rsidRPr="00985266">
        <w:t xml:space="preserve">, P. (2014), Hatshepsut and the Politics of Punt, </w:t>
      </w:r>
      <w:r w:rsidR="00EB202A" w:rsidRPr="00985266">
        <w:rPr>
          <w:i/>
          <w:iCs/>
        </w:rPr>
        <w:t xml:space="preserve">African Archaeological Review, </w:t>
      </w:r>
      <w:r w:rsidR="00EB202A" w:rsidRPr="00985266">
        <w:t xml:space="preserve">31(3), pp. 395-406, accessed on </w:t>
      </w:r>
      <w:hyperlink r:id="rId11" w:history="1">
        <w:r w:rsidR="00EB202A" w:rsidRPr="00985266">
          <w:rPr>
            <w:rStyle w:val="Hyperlink"/>
          </w:rPr>
          <w:t>www.JSTOR.org</w:t>
        </w:r>
      </w:hyperlink>
    </w:p>
    <w:p w14:paraId="4403ABD7" w14:textId="77777777" w:rsidR="00EB202A" w:rsidRPr="00985266" w:rsidRDefault="00EB202A" w:rsidP="00EB202A">
      <w:pPr>
        <w:spacing w:line="360" w:lineRule="auto"/>
      </w:pPr>
    </w:p>
    <w:p w14:paraId="5BE439A3" w14:textId="77777777" w:rsidR="00EB202A" w:rsidRPr="00985266" w:rsidRDefault="00EB202A" w:rsidP="00EB202A">
      <w:pPr>
        <w:spacing w:line="360" w:lineRule="auto"/>
      </w:pPr>
      <w:r w:rsidRPr="00985266">
        <w:t xml:space="preserve">Darnell, J and Manassa, C. (2007), </w:t>
      </w:r>
      <w:r w:rsidRPr="00985266">
        <w:rPr>
          <w:i/>
          <w:iCs/>
        </w:rPr>
        <w:t>Tutankhamun’s Armies: Battle and Conquest During Egypt’s Late 18</w:t>
      </w:r>
      <w:r w:rsidRPr="00985266">
        <w:rPr>
          <w:i/>
          <w:iCs/>
          <w:vertAlign w:val="superscript"/>
        </w:rPr>
        <w:t>th</w:t>
      </w:r>
      <w:r w:rsidRPr="00985266">
        <w:rPr>
          <w:i/>
          <w:iCs/>
        </w:rPr>
        <w:t xml:space="preserve"> Dynasty, </w:t>
      </w:r>
      <w:r w:rsidRPr="00985266">
        <w:t>Hoboken, Wiley</w:t>
      </w:r>
    </w:p>
    <w:p w14:paraId="5D83F695" w14:textId="77777777" w:rsidR="00EB202A" w:rsidRPr="00985266" w:rsidRDefault="00EB202A" w:rsidP="00EB202A">
      <w:pPr>
        <w:spacing w:line="360" w:lineRule="auto"/>
      </w:pPr>
    </w:p>
    <w:p w14:paraId="2A97A033" w14:textId="77777777" w:rsidR="00EB202A" w:rsidRPr="00985266" w:rsidRDefault="00EB202A" w:rsidP="00EB202A">
      <w:pPr>
        <w:spacing w:line="360" w:lineRule="auto"/>
      </w:pPr>
      <w:r w:rsidRPr="00985266">
        <w:t xml:space="preserve">David, R. (2002), </w:t>
      </w:r>
      <w:r w:rsidRPr="00985266">
        <w:rPr>
          <w:i/>
          <w:iCs/>
        </w:rPr>
        <w:t xml:space="preserve">Religion and Magic in Ancient Egypt, </w:t>
      </w:r>
      <w:r w:rsidRPr="00985266">
        <w:t xml:space="preserve">London, Penguin </w:t>
      </w:r>
    </w:p>
    <w:p w14:paraId="15E997DA" w14:textId="77777777" w:rsidR="00EB202A" w:rsidRPr="00985266" w:rsidRDefault="00EB202A" w:rsidP="00EB202A">
      <w:pPr>
        <w:spacing w:line="360" w:lineRule="auto"/>
      </w:pPr>
    </w:p>
    <w:p w14:paraId="3D733912" w14:textId="77777777" w:rsidR="00EB202A" w:rsidRPr="00985266" w:rsidRDefault="00EB202A" w:rsidP="00EB202A">
      <w:pPr>
        <w:spacing w:line="360" w:lineRule="auto"/>
      </w:pPr>
      <w:r w:rsidRPr="00985266">
        <w:t xml:space="preserve">David, R. (2007), “The Temple Priesthood” in Wilkinson, T. ed. </w:t>
      </w:r>
      <w:r w:rsidRPr="00985266">
        <w:rPr>
          <w:i/>
          <w:iCs/>
        </w:rPr>
        <w:t xml:space="preserve">The Egyptian World, </w:t>
      </w:r>
      <w:r w:rsidRPr="00985266">
        <w:t>Abingdon, Routledge, pp.105-118</w:t>
      </w:r>
    </w:p>
    <w:p w14:paraId="08614E32" w14:textId="77777777" w:rsidR="00EB202A" w:rsidRPr="00985266" w:rsidRDefault="00EB202A" w:rsidP="00EB202A">
      <w:pPr>
        <w:spacing w:line="360" w:lineRule="auto"/>
      </w:pPr>
    </w:p>
    <w:p w14:paraId="180181CC" w14:textId="77777777" w:rsidR="00EB202A" w:rsidRPr="00985266" w:rsidRDefault="00EB202A" w:rsidP="00EB202A">
      <w:pPr>
        <w:spacing w:line="360" w:lineRule="auto"/>
      </w:pPr>
      <w:r w:rsidRPr="00985266">
        <w:t xml:space="preserve">Davies, V. (2004), Hatshepsut’s Use of Tuthmosis III in her Program of Legitimation, </w:t>
      </w:r>
      <w:r w:rsidRPr="00985266">
        <w:rPr>
          <w:i/>
        </w:rPr>
        <w:t xml:space="preserve">Journal of the American Research Centre in Egypt, </w:t>
      </w:r>
      <w:r w:rsidRPr="00985266">
        <w:t xml:space="preserve">41, pp. 55-66, accessed on </w:t>
      </w:r>
      <w:hyperlink r:id="rId12" w:history="1">
        <w:r w:rsidRPr="00985266">
          <w:rPr>
            <w:rStyle w:val="Hyperlink"/>
          </w:rPr>
          <w:t>www.JSTOR.org</w:t>
        </w:r>
      </w:hyperlink>
    </w:p>
    <w:p w14:paraId="0CDD3A57" w14:textId="77777777" w:rsidR="00EB202A" w:rsidRPr="00985266" w:rsidRDefault="00EB202A" w:rsidP="00EB202A">
      <w:pPr>
        <w:spacing w:line="360" w:lineRule="auto"/>
      </w:pPr>
    </w:p>
    <w:p w14:paraId="1E13DD2C" w14:textId="77777777" w:rsidR="00EB202A" w:rsidRPr="00985266" w:rsidRDefault="00EB202A" w:rsidP="00EB202A">
      <w:pPr>
        <w:spacing w:line="360" w:lineRule="auto"/>
      </w:pPr>
      <w:r w:rsidRPr="00985266">
        <w:t xml:space="preserve">Dell, P. (2009), </w:t>
      </w:r>
      <w:r w:rsidRPr="00985266">
        <w:rPr>
          <w:i/>
        </w:rPr>
        <w:t xml:space="preserve">Hatshepsut: Egypt’s First Female Pharaoh, </w:t>
      </w:r>
      <w:r w:rsidRPr="00985266">
        <w:t>Minneapolis: Minnesota, Compass Point Books</w:t>
      </w:r>
    </w:p>
    <w:p w14:paraId="7B1891FC" w14:textId="77777777" w:rsidR="00EB202A" w:rsidRPr="00985266" w:rsidRDefault="00EB202A" w:rsidP="00EB202A">
      <w:pPr>
        <w:spacing w:line="360" w:lineRule="auto"/>
      </w:pPr>
    </w:p>
    <w:p w14:paraId="78A568CE" w14:textId="77777777" w:rsidR="00EB202A" w:rsidRPr="00985266" w:rsidRDefault="00EB202A" w:rsidP="00EB202A">
      <w:pPr>
        <w:spacing w:line="360" w:lineRule="auto"/>
      </w:pPr>
      <w:r w:rsidRPr="00985266">
        <w:t xml:space="preserve">Der Manuelian, P. and Loeben, C.E. (1993), From Daughter to Father the Re-carved Egyptian Sarcophagus of Queen Hatshepsut and King Thutmose I, </w:t>
      </w:r>
      <w:r w:rsidRPr="00985266">
        <w:rPr>
          <w:i/>
        </w:rPr>
        <w:t xml:space="preserve">Journal of the Museum of Fine Arts, </w:t>
      </w:r>
      <w:r w:rsidRPr="00985266">
        <w:t xml:space="preserve">5, pp.24-61, accessed on </w:t>
      </w:r>
      <w:hyperlink r:id="rId13" w:history="1">
        <w:r w:rsidRPr="00985266">
          <w:rPr>
            <w:rStyle w:val="Hyperlink"/>
          </w:rPr>
          <w:t>www.JSTOR.org</w:t>
        </w:r>
      </w:hyperlink>
      <w:r w:rsidRPr="00985266">
        <w:t xml:space="preserve"> </w:t>
      </w:r>
    </w:p>
    <w:p w14:paraId="7CB29534" w14:textId="77777777" w:rsidR="00EB202A" w:rsidRPr="00985266" w:rsidRDefault="00EB202A" w:rsidP="00EB202A">
      <w:pPr>
        <w:spacing w:line="360" w:lineRule="auto"/>
      </w:pPr>
    </w:p>
    <w:p w14:paraId="6A12DB28" w14:textId="77777777" w:rsidR="00EB202A" w:rsidRPr="00985266" w:rsidRDefault="00EB202A" w:rsidP="00EB202A">
      <w:pPr>
        <w:spacing w:line="360" w:lineRule="auto"/>
      </w:pPr>
      <w:r w:rsidRPr="00985266">
        <w:t xml:space="preserve">Dieleman, J. (2019), “Egypt” in Frankfurter, D. ed. </w:t>
      </w:r>
      <w:r w:rsidRPr="00985266">
        <w:rPr>
          <w:i/>
          <w:iCs/>
        </w:rPr>
        <w:t xml:space="preserve">Guide to The Study of Ancient Magic, </w:t>
      </w:r>
      <w:r w:rsidRPr="00985266">
        <w:t>Leiden, Brill, pp.87-115</w:t>
      </w:r>
    </w:p>
    <w:p w14:paraId="706E83B1" w14:textId="77777777" w:rsidR="00EB202A" w:rsidRPr="00985266" w:rsidRDefault="00EB202A" w:rsidP="00EB202A">
      <w:pPr>
        <w:spacing w:line="360" w:lineRule="auto"/>
      </w:pPr>
    </w:p>
    <w:p w14:paraId="5ABF084C" w14:textId="77777777" w:rsidR="00EB202A" w:rsidRPr="00985266" w:rsidRDefault="00EB202A" w:rsidP="00EB202A">
      <w:pPr>
        <w:spacing w:line="360" w:lineRule="auto"/>
      </w:pPr>
      <w:r w:rsidRPr="00985266">
        <w:lastRenderedPageBreak/>
        <w:t xml:space="preserve">Dodson, A. (2007), “The Monarchy” in Wilkinson, ed. </w:t>
      </w:r>
      <w:r w:rsidRPr="00985266">
        <w:rPr>
          <w:i/>
        </w:rPr>
        <w:t xml:space="preserve">The Egyptian World, </w:t>
      </w:r>
      <w:r w:rsidRPr="00985266">
        <w:t>Abingdon, Routledge, pp. 75-91</w:t>
      </w:r>
    </w:p>
    <w:p w14:paraId="6DAE3422" w14:textId="77777777" w:rsidR="00EB202A" w:rsidRPr="00985266" w:rsidRDefault="00EB202A" w:rsidP="00EB202A">
      <w:pPr>
        <w:spacing w:line="360" w:lineRule="auto"/>
      </w:pPr>
    </w:p>
    <w:p w14:paraId="4F12E51A" w14:textId="77777777" w:rsidR="00EB202A" w:rsidRPr="00985266" w:rsidRDefault="00EB202A" w:rsidP="00EB202A">
      <w:pPr>
        <w:spacing w:line="360" w:lineRule="auto"/>
      </w:pPr>
      <w:r w:rsidRPr="00985266">
        <w:t xml:space="preserve">Dorman, P. (2005a.), “Hatshepsut: Princess to Queen to Co-Ruler” in Roehrig, C., Dreyfus, R. and Keller, C. eds. </w:t>
      </w:r>
      <w:r w:rsidRPr="00985266">
        <w:rPr>
          <w:i/>
        </w:rPr>
        <w:t>Hatshepsut: From Queen to Pharaoh</w:t>
      </w:r>
      <w:r w:rsidRPr="00985266">
        <w:t>, New York, The Metropolitan Museum of Art, pp. 87-91</w:t>
      </w:r>
    </w:p>
    <w:p w14:paraId="22EBEDE4" w14:textId="77777777" w:rsidR="00EB202A" w:rsidRPr="00985266" w:rsidRDefault="00EB202A" w:rsidP="00EB202A">
      <w:pPr>
        <w:spacing w:line="360" w:lineRule="auto"/>
      </w:pPr>
    </w:p>
    <w:p w14:paraId="5011F654" w14:textId="7C05BA1E" w:rsidR="00EB202A" w:rsidRPr="00985266" w:rsidRDefault="00EB202A" w:rsidP="00EB202A">
      <w:pPr>
        <w:spacing w:line="360" w:lineRule="auto"/>
      </w:pPr>
      <w:r w:rsidRPr="00985266">
        <w:t xml:space="preserve">Dorman, P. (2005b.), “The Proscription of </w:t>
      </w:r>
      <w:r w:rsidR="00985266" w:rsidRPr="00985266">
        <w:t>Hatshepsut</w:t>
      </w:r>
      <w:r w:rsidRPr="00985266">
        <w:t xml:space="preserve">” in Roehrig, C., Dreyfus, R. and Keller, C. eds. </w:t>
      </w:r>
      <w:r w:rsidRPr="00985266">
        <w:rPr>
          <w:i/>
        </w:rPr>
        <w:t>Hatshepsut: From Queen to Pharaoh</w:t>
      </w:r>
      <w:r w:rsidRPr="00985266">
        <w:t>, New York, The Metropolitan Museum of Art, pp. 267-270</w:t>
      </w:r>
    </w:p>
    <w:p w14:paraId="5C23DEB0" w14:textId="77777777" w:rsidR="00EB202A" w:rsidRPr="00985266" w:rsidRDefault="00EB202A" w:rsidP="00EB202A">
      <w:pPr>
        <w:spacing w:line="360" w:lineRule="auto"/>
      </w:pPr>
    </w:p>
    <w:p w14:paraId="6722EE89" w14:textId="77777777" w:rsidR="00EB202A" w:rsidRPr="00985266" w:rsidRDefault="00EB202A" w:rsidP="00EB202A">
      <w:pPr>
        <w:spacing w:line="360" w:lineRule="auto"/>
      </w:pPr>
      <w:r w:rsidRPr="00985266">
        <w:t xml:space="preserve">Dorman, P. (2014), “Innovation at the Dawn of the New Kingdom” in Galán, J., Bryan, B. and Dorman, P. eds. SAOC 69: </w:t>
      </w:r>
      <w:r w:rsidRPr="00985266">
        <w:rPr>
          <w:i/>
        </w:rPr>
        <w:t xml:space="preserve">Creativity and Innovation in the Reign of Hatshepsut, </w:t>
      </w:r>
      <w:r w:rsidRPr="00985266">
        <w:t>Chicago, University of Chicago, pp.1-7</w:t>
      </w:r>
    </w:p>
    <w:p w14:paraId="4225ED7D" w14:textId="77777777" w:rsidR="00EB202A" w:rsidRPr="00985266" w:rsidRDefault="00EB202A" w:rsidP="00EB202A">
      <w:pPr>
        <w:spacing w:line="360" w:lineRule="auto"/>
      </w:pPr>
    </w:p>
    <w:p w14:paraId="4414A795" w14:textId="77777777" w:rsidR="00EB202A" w:rsidRPr="00985266" w:rsidRDefault="00EB202A" w:rsidP="00EB202A">
      <w:pPr>
        <w:spacing w:line="360" w:lineRule="auto"/>
      </w:pPr>
      <w:r w:rsidRPr="00985266">
        <w:t xml:space="preserve">Dunande, F. and Zivie-Coche, C. (2004), </w:t>
      </w:r>
      <w:r w:rsidRPr="00985266">
        <w:rPr>
          <w:i/>
          <w:iCs/>
        </w:rPr>
        <w:t xml:space="preserve">Gods and Men in Egypt: 3000 BCE to 395 CE, </w:t>
      </w:r>
      <w:r w:rsidRPr="00985266">
        <w:t xml:space="preserve">Ithaca, Cornell University Press </w:t>
      </w:r>
    </w:p>
    <w:p w14:paraId="676DCA6E" w14:textId="77777777" w:rsidR="00EB202A" w:rsidRPr="00985266" w:rsidRDefault="00EB202A" w:rsidP="00EB202A">
      <w:pPr>
        <w:spacing w:line="360" w:lineRule="auto"/>
      </w:pPr>
    </w:p>
    <w:p w14:paraId="79FBCCDA" w14:textId="77777777" w:rsidR="00EB202A" w:rsidRPr="00985266" w:rsidRDefault="00EB202A" w:rsidP="00EB202A">
      <w:pPr>
        <w:spacing w:line="360" w:lineRule="auto"/>
      </w:pPr>
      <w:r w:rsidRPr="00985266">
        <w:t xml:space="preserve">Eliade, M. (1963), </w:t>
      </w:r>
      <w:r w:rsidRPr="00985266">
        <w:rPr>
          <w:i/>
          <w:iCs/>
        </w:rPr>
        <w:t xml:space="preserve">Patterns in Comparative Religion, </w:t>
      </w:r>
      <w:r w:rsidRPr="00985266">
        <w:t xml:space="preserve">Clinton, Meridian </w:t>
      </w:r>
    </w:p>
    <w:p w14:paraId="4BEEC0CE" w14:textId="77777777" w:rsidR="00EB202A" w:rsidRPr="00985266" w:rsidRDefault="00EB202A" w:rsidP="00EB202A">
      <w:pPr>
        <w:spacing w:line="360" w:lineRule="auto"/>
      </w:pPr>
    </w:p>
    <w:p w14:paraId="2167712F" w14:textId="77777777" w:rsidR="00EB202A" w:rsidRPr="00985266" w:rsidRDefault="00EB202A" w:rsidP="00EB202A">
      <w:pPr>
        <w:spacing w:line="360" w:lineRule="auto"/>
      </w:pPr>
      <w:r w:rsidRPr="00985266">
        <w:t xml:space="preserve">Exell, K. and Naunton, C. (2007), “The Administration” in Wilkinson, T. ed. </w:t>
      </w:r>
      <w:r w:rsidRPr="00985266">
        <w:rPr>
          <w:i/>
          <w:iCs/>
        </w:rPr>
        <w:t xml:space="preserve">The Egyptian World, </w:t>
      </w:r>
      <w:r w:rsidRPr="00985266">
        <w:t>Abingdon, Routledge, pp.91-105</w:t>
      </w:r>
    </w:p>
    <w:p w14:paraId="186DE374" w14:textId="77777777" w:rsidR="00EB202A" w:rsidRPr="00985266" w:rsidRDefault="00EB202A" w:rsidP="00EB202A">
      <w:pPr>
        <w:spacing w:line="360" w:lineRule="auto"/>
      </w:pPr>
    </w:p>
    <w:p w14:paraId="4ABBA8A4" w14:textId="77777777" w:rsidR="00EB202A" w:rsidRPr="00985266" w:rsidRDefault="00EB202A" w:rsidP="00EB202A">
      <w:pPr>
        <w:spacing w:line="360" w:lineRule="auto"/>
      </w:pPr>
      <w:r w:rsidRPr="00985266">
        <w:t xml:space="preserve">Finnestad, R.B. (1997), “Temples of the Ptolemaic and Roman Periods: Ancient Traditions in New Contexts” in Shafer, B. ed. </w:t>
      </w:r>
      <w:r w:rsidRPr="00985266">
        <w:rPr>
          <w:i/>
          <w:iCs/>
        </w:rPr>
        <w:t xml:space="preserve">Temples of Ancient Egypt, </w:t>
      </w:r>
      <w:r w:rsidRPr="00985266">
        <w:t>Ithaca, Cornell University Press, pp. 185-239</w:t>
      </w:r>
    </w:p>
    <w:p w14:paraId="1C416AB4" w14:textId="77777777" w:rsidR="00EB202A" w:rsidRPr="00985266" w:rsidRDefault="00EB202A" w:rsidP="00EB202A">
      <w:pPr>
        <w:spacing w:line="360" w:lineRule="auto"/>
      </w:pPr>
    </w:p>
    <w:p w14:paraId="14A74E0A" w14:textId="68E911D8" w:rsidR="00EB202A" w:rsidRPr="00985266" w:rsidRDefault="00985266" w:rsidP="00EB202A">
      <w:pPr>
        <w:spacing w:line="360" w:lineRule="auto"/>
      </w:pPr>
      <w:r w:rsidRPr="00985266">
        <w:t xml:space="preserve">Fontaine, C. (1981), A Modern Look </w:t>
      </w:r>
      <w:r w:rsidRPr="00985266">
        <w:t>a</w:t>
      </w:r>
      <w:r w:rsidRPr="00985266">
        <w:t>t Ancient Wisdom: The Instruction of Ptahotep Revisited</w:t>
      </w:r>
      <w:r w:rsidRPr="00985266">
        <w:rPr>
          <w:i/>
          <w:iCs/>
        </w:rPr>
        <w:t xml:space="preserve">, The Biblical Archaeologist, </w:t>
      </w:r>
      <w:r w:rsidRPr="00985266">
        <w:t>44(3), pp.155-160, accessed on JSTOR</w:t>
      </w:r>
    </w:p>
    <w:p w14:paraId="71699685" w14:textId="77777777" w:rsidR="00EB202A" w:rsidRPr="00985266" w:rsidRDefault="00EB202A" w:rsidP="00EB202A">
      <w:pPr>
        <w:spacing w:line="360" w:lineRule="auto"/>
      </w:pPr>
    </w:p>
    <w:p w14:paraId="7AC051B1" w14:textId="77777777" w:rsidR="00EB202A" w:rsidRPr="00985266" w:rsidRDefault="00EB202A" w:rsidP="00EB202A">
      <w:pPr>
        <w:spacing w:line="360" w:lineRule="auto"/>
      </w:pPr>
      <w:r w:rsidRPr="00985266">
        <w:t xml:space="preserve">Frankfort, H. (1948), </w:t>
      </w:r>
      <w:r w:rsidRPr="00985266">
        <w:rPr>
          <w:i/>
          <w:iCs/>
        </w:rPr>
        <w:t xml:space="preserve">Kingship and the Gods: A Study of Ancient Near Eastern Religion as Integration of Society and Nature, </w:t>
      </w:r>
      <w:r w:rsidRPr="00985266">
        <w:t xml:space="preserve">Chicago, University of Chicago Press </w:t>
      </w:r>
    </w:p>
    <w:p w14:paraId="3F0AEA5D" w14:textId="77777777" w:rsidR="00EB202A" w:rsidRPr="00985266" w:rsidRDefault="00EB202A" w:rsidP="00EB202A">
      <w:pPr>
        <w:spacing w:line="360" w:lineRule="auto"/>
      </w:pPr>
    </w:p>
    <w:p w14:paraId="20CDBD64" w14:textId="77777777" w:rsidR="00EB202A" w:rsidRPr="00985266" w:rsidRDefault="00EB202A" w:rsidP="00EB202A">
      <w:pPr>
        <w:spacing w:line="360" w:lineRule="auto"/>
      </w:pPr>
      <w:r w:rsidRPr="00985266">
        <w:t xml:space="preserve">Gahlin, L. (2007), “Creation Myths” in Wilkinson, T. ed. </w:t>
      </w:r>
      <w:r w:rsidRPr="00985266">
        <w:rPr>
          <w:i/>
          <w:iCs/>
        </w:rPr>
        <w:t xml:space="preserve">The Egyptian World, </w:t>
      </w:r>
      <w:r w:rsidRPr="00985266">
        <w:t>Abingdon, Routledge, pp.296-310</w:t>
      </w:r>
    </w:p>
    <w:p w14:paraId="0FE7635F" w14:textId="77777777" w:rsidR="00EB202A" w:rsidRPr="00985266" w:rsidRDefault="00EB202A" w:rsidP="00EB202A">
      <w:pPr>
        <w:spacing w:line="360" w:lineRule="auto"/>
      </w:pPr>
    </w:p>
    <w:p w14:paraId="3ADBF646" w14:textId="77777777" w:rsidR="00EB202A" w:rsidRPr="00985266" w:rsidRDefault="00EB202A" w:rsidP="00EB202A">
      <w:pPr>
        <w:spacing w:line="360" w:lineRule="auto"/>
        <w:rPr>
          <w:i/>
          <w:iCs/>
        </w:rPr>
      </w:pPr>
      <w:r w:rsidRPr="00985266">
        <w:t xml:space="preserve">Galán, J. (2014), “Preface” in Galán, J., Bryan, B. and Dorman, P. eds. SAOC 69: </w:t>
      </w:r>
      <w:r w:rsidRPr="00985266">
        <w:rPr>
          <w:i/>
        </w:rPr>
        <w:t>Creativity and Innovation in the Reign of Hatshepsut,</w:t>
      </w:r>
      <w:r w:rsidRPr="00985266">
        <w:t xml:space="preserve"> University of Chicago,</w:t>
      </w:r>
      <w:r w:rsidRPr="00985266">
        <w:rPr>
          <w:i/>
        </w:rPr>
        <w:t xml:space="preserve"> </w:t>
      </w:r>
      <w:r w:rsidRPr="00985266">
        <w:t>Chicago, pp. vii- xii</w:t>
      </w:r>
      <w:r w:rsidRPr="00985266">
        <w:rPr>
          <w:i/>
          <w:iCs/>
        </w:rPr>
        <w:t xml:space="preserve"> </w:t>
      </w:r>
    </w:p>
    <w:p w14:paraId="2383AF34" w14:textId="77777777" w:rsidR="00EB202A" w:rsidRPr="00985266" w:rsidRDefault="00EB202A" w:rsidP="00EB202A">
      <w:pPr>
        <w:spacing w:line="360" w:lineRule="auto"/>
        <w:rPr>
          <w:i/>
          <w:iCs/>
        </w:rPr>
      </w:pPr>
    </w:p>
    <w:p w14:paraId="0DE51438" w14:textId="77777777" w:rsidR="00EB202A" w:rsidRPr="00985266" w:rsidRDefault="00EB202A" w:rsidP="00EB202A">
      <w:pPr>
        <w:spacing w:line="360" w:lineRule="auto"/>
      </w:pPr>
      <w:r w:rsidRPr="00985266">
        <w:t xml:space="preserve">Glassman, R. (2017), </w:t>
      </w:r>
      <w:r w:rsidRPr="00985266">
        <w:rPr>
          <w:i/>
          <w:iCs/>
        </w:rPr>
        <w:t xml:space="preserve">The Origins of Democracy in Tribes, City-States and Nation-States, </w:t>
      </w:r>
      <w:r w:rsidRPr="00985266">
        <w:t xml:space="preserve">New York, Springer </w:t>
      </w:r>
    </w:p>
    <w:p w14:paraId="28454FE8" w14:textId="77777777" w:rsidR="00EB202A" w:rsidRPr="00985266" w:rsidRDefault="00EB202A" w:rsidP="00EB202A">
      <w:pPr>
        <w:spacing w:line="360" w:lineRule="auto"/>
        <w:rPr>
          <w:i/>
          <w:iCs/>
        </w:rPr>
      </w:pPr>
    </w:p>
    <w:p w14:paraId="06174D87" w14:textId="77777777" w:rsidR="00EB202A" w:rsidRPr="00985266" w:rsidRDefault="00EB202A" w:rsidP="00EB202A">
      <w:pPr>
        <w:spacing w:line="360" w:lineRule="auto"/>
      </w:pPr>
      <w:r w:rsidRPr="00985266">
        <w:t xml:space="preserve">Goebs, K. (2007), “Kingship” in Wilkinson, T. ed. </w:t>
      </w:r>
      <w:r w:rsidRPr="00985266">
        <w:rPr>
          <w:i/>
        </w:rPr>
        <w:t>The Egyptian World</w:t>
      </w:r>
      <w:r w:rsidRPr="00985266">
        <w:t>, Abingdon, Routledge, pp. 275-296</w:t>
      </w:r>
    </w:p>
    <w:p w14:paraId="4705EA24" w14:textId="77777777" w:rsidR="00EB202A" w:rsidRPr="00985266" w:rsidRDefault="00EB202A" w:rsidP="00EB202A">
      <w:pPr>
        <w:spacing w:line="360" w:lineRule="auto"/>
      </w:pPr>
    </w:p>
    <w:p w14:paraId="48F44676" w14:textId="77777777" w:rsidR="00EB202A" w:rsidRPr="00985266" w:rsidRDefault="00EB202A" w:rsidP="00EB202A">
      <w:pPr>
        <w:spacing w:line="360" w:lineRule="auto"/>
      </w:pPr>
      <w:r w:rsidRPr="00985266">
        <w:t xml:space="preserve">Goelet, O. (2003), Memphis and Thebes: Disaster and renewal in Ancient Egyptian Consciousness, </w:t>
      </w:r>
      <w:r w:rsidRPr="00985266">
        <w:rPr>
          <w:i/>
          <w:iCs/>
        </w:rPr>
        <w:t xml:space="preserve">The Classical World, </w:t>
      </w:r>
      <w:r w:rsidRPr="00985266">
        <w:t>97(1), pp.19-29</w:t>
      </w:r>
    </w:p>
    <w:p w14:paraId="5E3FFF79" w14:textId="77777777" w:rsidR="00EB202A" w:rsidRPr="00985266" w:rsidRDefault="00EB202A" w:rsidP="00EB202A">
      <w:pPr>
        <w:spacing w:line="360" w:lineRule="auto"/>
      </w:pPr>
    </w:p>
    <w:p w14:paraId="5838A04B" w14:textId="67F87DE1" w:rsidR="00EB202A" w:rsidRPr="00985266" w:rsidRDefault="00EB202A" w:rsidP="00EB202A">
      <w:pPr>
        <w:spacing w:line="360" w:lineRule="auto"/>
      </w:pPr>
      <w:r w:rsidRPr="00985266">
        <w:t xml:space="preserve">Graves-Brown, C. (2010), </w:t>
      </w:r>
      <w:r w:rsidRPr="00985266">
        <w:rPr>
          <w:i/>
          <w:iCs/>
        </w:rPr>
        <w:t xml:space="preserve">Dancing </w:t>
      </w:r>
      <w:r w:rsidR="00985266" w:rsidRPr="00985266">
        <w:rPr>
          <w:i/>
          <w:iCs/>
        </w:rPr>
        <w:t>for</w:t>
      </w:r>
      <w:r w:rsidRPr="00985266">
        <w:rPr>
          <w:i/>
          <w:iCs/>
        </w:rPr>
        <w:t xml:space="preserve"> Hathor: Women in Ancient Egypt, </w:t>
      </w:r>
      <w:r w:rsidRPr="00985266">
        <w:t xml:space="preserve">London, Continuum </w:t>
      </w:r>
    </w:p>
    <w:p w14:paraId="0F6A4733" w14:textId="77777777" w:rsidR="00EB202A" w:rsidRPr="00985266" w:rsidRDefault="00EB202A" w:rsidP="00EB202A">
      <w:pPr>
        <w:spacing w:line="360" w:lineRule="auto"/>
      </w:pPr>
    </w:p>
    <w:p w14:paraId="7B3A1CDB" w14:textId="77777777" w:rsidR="00EB202A" w:rsidRPr="00985266" w:rsidRDefault="00EB202A" w:rsidP="00EB202A">
      <w:pPr>
        <w:spacing w:line="360" w:lineRule="auto"/>
      </w:pPr>
      <w:r w:rsidRPr="00985266">
        <w:t xml:space="preserve">Green, L. (1996), “The Royal Women of Amarna: Who was Who” in Arnold, D. ed. </w:t>
      </w:r>
      <w:r w:rsidRPr="00985266">
        <w:rPr>
          <w:i/>
          <w:iCs/>
        </w:rPr>
        <w:t xml:space="preserve">The Royal Women of Amarna: Images of Beauty from Ancient Egypt, </w:t>
      </w:r>
      <w:r w:rsidRPr="00985266">
        <w:t>New York, The Metropolitan Museum of Art</w:t>
      </w:r>
    </w:p>
    <w:p w14:paraId="7F71F9A3" w14:textId="77777777" w:rsidR="00EB202A" w:rsidRPr="00985266" w:rsidRDefault="00EB202A" w:rsidP="00EB202A">
      <w:pPr>
        <w:spacing w:line="360" w:lineRule="auto"/>
      </w:pPr>
    </w:p>
    <w:p w14:paraId="5282DAA0" w14:textId="77777777" w:rsidR="00EB202A" w:rsidRPr="00985266" w:rsidRDefault="00EB202A" w:rsidP="00EB202A">
      <w:pPr>
        <w:spacing w:line="360" w:lineRule="auto"/>
      </w:pPr>
      <w:r w:rsidRPr="00985266">
        <w:t xml:space="preserve">Grimal, N. (1988), </w:t>
      </w:r>
      <w:r w:rsidRPr="00985266">
        <w:rPr>
          <w:i/>
        </w:rPr>
        <w:t xml:space="preserve">A History of Ancient Egypt, </w:t>
      </w:r>
      <w:r w:rsidRPr="00985266">
        <w:t>Oxford, Blackwell</w:t>
      </w:r>
    </w:p>
    <w:p w14:paraId="010A0212" w14:textId="77777777" w:rsidR="00EB202A" w:rsidRPr="00985266" w:rsidRDefault="00EB202A" w:rsidP="00EB202A">
      <w:pPr>
        <w:spacing w:line="360" w:lineRule="auto"/>
        <w:rPr>
          <w:sz w:val="22"/>
          <w:szCs w:val="22"/>
        </w:rPr>
      </w:pPr>
    </w:p>
    <w:p w14:paraId="77FE2D20" w14:textId="4DC07434" w:rsidR="00EB202A" w:rsidRPr="00985266" w:rsidRDefault="00EB202A" w:rsidP="00EB202A">
      <w:pPr>
        <w:spacing w:line="360" w:lineRule="auto"/>
        <w:rPr>
          <w:rStyle w:val="Hyperlink"/>
        </w:rPr>
      </w:pPr>
      <w:r w:rsidRPr="00985266">
        <w:t xml:space="preserve">Guilhou, N. (2010). Myth of the Heavenly Cow, </w:t>
      </w:r>
      <w:r w:rsidRPr="00985266">
        <w:rPr>
          <w:i/>
          <w:iCs/>
        </w:rPr>
        <w:t xml:space="preserve">UCLA </w:t>
      </w:r>
      <w:r w:rsidR="00985266" w:rsidRPr="00985266">
        <w:rPr>
          <w:i/>
          <w:iCs/>
        </w:rPr>
        <w:t>Encyclopaedia</w:t>
      </w:r>
      <w:r w:rsidRPr="00985266">
        <w:rPr>
          <w:i/>
          <w:iCs/>
        </w:rPr>
        <w:t xml:space="preserve"> of Egyptology</w:t>
      </w:r>
      <w:r w:rsidRPr="00985266">
        <w:t xml:space="preserve">, 1(1). Retrieved from </w:t>
      </w:r>
      <w:hyperlink r:id="rId14" w:history="1">
        <w:r w:rsidRPr="00985266">
          <w:rPr>
            <w:rStyle w:val="Hyperlink"/>
          </w:rPr>
          <w:t>https://escholarship.org/uc/item/2vh551hn</w:t>
        </w:r>
      </w:hyperlink>
    </w:p>
    <w:p w14:paraId="6D16147E" w14:textId="77777777" w:rsidR="00EB202A" w:rsidRPr="00985266" w:rsidRDefault="00EB202A" w:rsidP="00EB202A">
      <w:pPr>
        <w:spacing w:line="360" w:lineRule="auto"/>
        <w:rPr>
          <w:rStyle w:val="Hyperlink"/>
        </w:rPr>
      </w:pPr>
    </w:p>
    <w:p w14:paraId="031D1280" w14:textId="77777777" w:rsidR="00EB202A" w:rsidRPr="00985266" w:rsidRDefault="00EB202A" w:rsidP="00EB202A">
      <w:pPr>
        <w:spacing w:line="360" w:lineRule="auto"/>
      </w:pPr>
      <w:r w:rsidRPr="00985266">
        <w:t xml:space="preserve">Hari, R. (1985), </w:t>
      </w:r>
      <w:r w:rsidRPr="00985266">
        <w:rPr>
          <w:i/>
          <w:iCs/>
        </w:rPr>
        <w:t xml:space="preserve">New Kingdom Amarna Period, </w:t>
      </w:r>
      <w:r w:rsidRPr="00985266">
        <w:t>Leiden, Brill</w:t>
      </w:r>
    </w:p>
    <w:p w14:paraId="0D5B5B32" w14:textId="77777777" w:rsidR="00EB202A" w:rsidRPr="00985266" w:rsidRDefault="00EB202A" w:rsidP="00EB202A">
      <w:pPr>
        <w:spacing w:line="360" w:lineRule="auto"/>
      </w:pPr>
    </w:p>
    <w:p w14:paraId="04C64478" w14:textId="77777777" w:rsidR="00EB202A" w:rsidRPr="00985266" w:rsidRDefault="00EB202A" w:rsidP="00EB202A">
      <w:pPr>
        <w:spacing w:line="360" w:lineRule="auto"/>
      </w:pPr>
      <w:r w:rsidRPr="00985266">
        <w:t xml:space="preserve">Hassan, F. (1997), The Dynamics of a Riverine Civilisation: A Geoarchaeological Perspective on the Nile Valley, Egypt, </w:t>
      </w:r>
      <w:r w:rsidRPr="00985266">
        <w:rPr>
          <w:i/>
          <w:iCs/>
        </w:rPr>
        <w:t xml:space="preserve">World Archaeology, </w:t>
      </w:r>
      <w:r w:rsidRPr="00985266">
        <w:t>29(1), pp.51-74</w:t>
      </w:r>
    </w:p>
    <w:p w14:paraId="453D55A8" w14:textId="77777777" w:rsidR="00EB202A" w:rsidRPr="00985266" w:rsidRDefault="00EB202A" w:rsidP="00EB202A">
      <w:pPr>
        <w:spacing w:line="360" w:lineRule="auto"/>
      </w:pPr>
    </w:p>
    <w:p w14:paraId="5D0BF25C" w14:textId="77777777" w:rsidR="00EB202A" w:rsidRPr="00985266" w:rsidRDefault="00EB202A" w:rsidP="00EB202A">
      <w:pPr>
        <w:spacing w:line="360" w:lineRule="auto"/>
      </w:pPr>
      <w:r w:rsidRPr="00985266">
        <w:lastRenderedPageBreak/>
        <w:t xml:space="preserve">Hense, M. and Sidebotham, S. (2008), </w:t>
      </w:r>
      <w:r w:rsidRPr="00985266">
        <w:rPr>
          <w:i/>
          <w:iCs/>
        </w:rPr>
        <w:t xml:space="preserve">The Red Land: The Illustrated Archaeology of Egypt’s Eastern Desert, </w:t>
      </w:r>
      <w:r w:rsidRPr="00985266">
        <w:t xml:space="preserve">Cairo, The American University in Cairo Press </w:t>
      </w:r>
    </w:p>
    <w:p w14:paraId="5317D758" w14:textId="77777777" w:rsidR="00EB202A" w:rsidRPr="00985266" w:rsidRDefault="00EB202A" w:rsidP="00EB202A">
      <w:pPr>
        <w:spacing w:line="360" w:lineRule="auto"/>
      </w:pPr>
    </w:p>
    <w:p w14:paraId="54AD1C6A" w14:textId="77777777" w:rsidR="00EB202A" w:rsidRPr="00985266" w:rsidRDefault="00EB202A" w:rsidP="00EB202A">
      <w:pPr>
        <w:spacing w:line="360" w:lineRule="auto"/>
        <w:rPr>
          <w:rStyle w:val="Hyperlink"/>
        </w:rPr>
      </w:pPr>
      <w:r w:rsidRPr="00985266">
        <w:t xml:space="preserve">Hilliard, K. and Wurtzel, K. (2009), “Power and Gender in Ancient Egypt: The case of Hatshepsut”, </w:t>
      </w:r>
      <w:r w:rsidRPr="00985266">
        <w:rPr>
          <w:i/>
        </w:rPr>
        <w:t>Art Education</w:t>
      </w:r>
      <w:r w:rsidRPr="00985266">
        <w:t xml:space="preserve">, 62(3), pp. 25-31, accessed on </w:t>
      </w:r>
      <w:hyperlink r:id="rId15" w:history="1">
        <w:r w:rsidRPr="00985266">
          <w:rPr>
            <w:rStyle w:val="Hyperlink"/>
          </w:rPr>
          <w:t>www.JSTOR.org</w:t>
        </w:r>
      </w:hyperlink>
    </w:p>
    <w:p w14:paraId="1027F95C" w14:textId="77777777" w:rsidR="00EB202A" w:rsidRPr="00985266" w:rsidRDefault="00EB202A" w:rsidP="00EB202A">
      <w:pPr>
        <w:spacing w:line="360" w:lineRule="auto"/>
        <w:rPr>
          <w:rStyle w:val="Hyperlink"/>
        </w:rPr>
      </w:pPr>
    </w:p>
    <w:p w14:paraId="6895F2A5" w14:textId="77777777" w:rsidR="00EB202A" w:rsidRPr="00985266" w:rsidRDefault="00EB202A" w:rsidP="00EB202A">
      <w:pPr>
        <w:spacing w:line="360" w:lineRule="auto"/>
      </w:pPr>
      <w:r w:rsidRPr="00985266">
        <w:t xml:space="preserve">Hoffmeier, J. (2015), </w:t>
      </w:r>
      <w:r w:rsidRPr="00985266">
        <w:rPr>
          <w:i/>
          <w:iCs/>
        </w:rPr>
        <w:t xml:space="preserve">Akhenaten and the Origins of Monotheism, </w:t>
      </w:r>
      <w:r w:rsidRPr="00985266">
        <w:t>New York, Oxford University Press</w:t>
      </w:r>
    </w:p>
    <w:p w14:paraId="5B8A94EF" w14:textId="77777777" w:rsidR="00EB202A" w:rsidRPr="00985266" w:rsidRDefault="00EB202A" w:rsidP="00EB202A">
      <w:pPr>
        <w:spacing w:line="360" w:lineRule="auto"/>
      </w:pPr>
    </w:p>
    <w:p w14:paraId="6E806B5D" w14:textId="77777777" w:rsidR="00EB202A" w:rsidRPr="00985266" w:rsidRDefault="00EB202A" w:rsidP="00EB202A">
      <w:pPr>
        <w:spacing w:line="360" w:lineRule="auto"/>
      </w:pPr>
      <w:r w:rsidRPr="00985266">
        <w:t xml:space="preserve">Hornung, E. (1992), The Rediscovery of Akhenaten and His Place in Religion, </w:t>
      </w:r>
      <w:r w:rsidRPr="00985266">
        <w:rPr>
          <w:i/>
          <w:iCs/>
        </w:rPr>
        <w:t xml:space="preserve">Journal of the American Research Centre in Egypt, </w:t>
      </w:r>
      <w:r w:rsidRPr="00985266">
        <w:t xml:space="preserve">29, pp.43-49, accessed on </w:t>
      </w:r>
      <w:hyperlink r:id="rId16" w:history="1">
        <w:r w:rsidRPr="00985266">
          <w:rPr>
            <w:rStyle w:val="Hyperlink"/>
          </w:rPr>
          <w:t>www.JSTOR.org</w:t>
        </w:r>
      </w:hyperlink>
    </w:p>
    <w:p w14:paraId="4FA3C71F" w14:textId="77777777" w:rsidR="00EB202A" w:rsidRPr="00985266" w:rsidRDefault="00EB202A" w:rsidP="00EB202A">
      <w:pPr>
        <w:spacing w:line="360" w:lineRule="auto"/>
      </w:pPr>
    </w:p>
    <w:p w14:paraId="591ABF4F" w14:textId="77777777" w:rsidR="00EB202A" w:rsidRPr="00985266" w:rsidRDefault="00EB202A" w:rsidP="00EB202A">
      <w:pPr>
        <w:spacing w:line="360" w:lineRule="auto"/>
      </w:pPr>
      <w:r w:rsidRPr="00985266">
        <w:t xml:space="preserve">Hornung, E. (1997), </w:t>
      </w:r>
      <w:r w:rsidRPr="00985266">
        <w:rPr>
          <w:i/>
          <w:iCs/>
        </w:rPr>
        <w:t>The Ancient Egyptian Books of the Afterlife,</w:t>
      </w:r>
      <w:r w:rsidRPr="00985266">
        <w:t xml:space="preserve"> Ithaca, Cornell University Press</w:t>
      </w:r>
    </w:p>
    <w:p w14:paraId="722A2BBD" w14:textId="77777777" w:rsidR="00EB202A" w:rsidRPr="00985266" w:rsidRDefault="00EB202A" w:rsidP="00EB202A">
      <w:pPr>
        <w:spacing w:line="360" w:lineRule="auto"/>
      </w:pPr>
    </w:p>
    <w:p w14:paraId="56DCDD08" w14:textId="77777777" w:rsidR="00EB202A" w:rsidRPr="00985266" w:rsidRDefault="00EB202A" w:rsidP="00EB202A">
      <w:pPr>
        <w:spacing w:line="360" w:lineRule="auto"/>
      </w:pPr>
      <w:r w:rsidRPr="00985266">
        <w:t xml:space="preserve">Hornung, E. (1999), </w:t>
      </w:r>
      <w:r w:rsidRPr="00985266">
        <w:rPr>
          <w:i/>
          <w:iCs/>
        </w:rPr>
        <w:t xml:space="preserve">The Secret Lore of Egypt: Its Impact on the West, </w:t>
      </w:r>
      <w:r w:rsidRPr="00985266">
        <w:t xml:space="preserve">Ithaca, Cornell University Press </w:t>
      </w:r>
    </w:p>
    <w:p w14:paraId="721860FB" w14:textId="77777777" w:rsidR="00EB202A" w:rsidRPr="00985266" w:rsidRDefault="00EB202A" w:rsidP="00EB202A">
      <w:pPr>
        <w:spacing w:line="360" w:lineRule="auto"/>
      </w:pPr>
    </w:p>
    <w:p w14:paraId="2C4D7EA9" w14:textId="77777777" w:rsidR="00EB202A" w:rsidRPr="00985266" w:rsidRDefault="00EB202A" w:rsidP="00EB202A">
      <w:pPr>
        <w:spacing w:line="360" w:lineRule="auto"/>
      </w:pPr>
      <w:r w:rsidRPr="00985266">
        <w:t xml:space="preserve">Hughes, D. (1992), Sustainable Agriculture in Ancient Egypt, </w:t>
      </w:r>
      <w:r w:rsidRPr="00985266">
        <w:rPr>
          <w:i/>
          <w:iCs/>
        </w:rPr>
        <w:t xml:space="preserve">Agricultural History, </w:t>
      </w:r>
      <w:r w:rsidRPr="00985266">
        <w:t xml:space="preserve">66(2), pp.12-22, accessed on JSTOR </w:t>
      </w:r>
    </w:p>
    <w:p w14:paraId="3400EE70" w14:textId="77777777" w:rsidR="00EB202A" w:rsidRPr="00985266" w:rsidRDefault="00EB202A" w:rsidP="00EB202A">
      <w:pPr>
        <w:spacing w:line="360" w:lineRule="auto"/>
      </w:pPr>
    </w:p>
    <w:p w14:paraId="22C81EBF" w14:textId="77777777" w:rsidR="00EB202A" w:rsidRPr="00985266" w:rsidRDefault="00EB202A" w:rsidP="00EB202A">
      <w:pPr>
        <w:spacing w:line="360" w:lineRule="auto"/>
      </w:pPr>
      <w:r w:rsidRPr="00985266">
        <w:t xml:space="preserve">Jackson, C. (2005), Glassmaking in Bronze-Age Egypt, </w:t>
      </w:r>
      <w:r w:rsidRPr="00985266">
        <w:rPr>
          <w:i/>
          <w:iCs/>
        </w:rPr>
        <w:t xml:space="preserve">Science, </w:t>
      </w:r>
      <w:r w:rsidRPr="00985266">
        <w:t xml:space="preserve">308(5729), pp.1750-1752, accessed on </w:t>
      </w:r>
      <w:hyperlink r:id="rId17" w:history="1">
        <w:r w:rsidRPr="00985266">
          <w:rPr>
            <w:rStyle w:val="Hyperlink"/>
          </w:rPr>
          <w:t>www.JSTOR.org</w:t>
        </w:r>
      </w:hyperlink>
      <w:r w:rsidRPr="00985266">
        <w:t xml:space="preserve"> </w:t>
      </w:r>
    </w:p>
    <w:p w14:paraId="725059FA" w14:textId="77777777" w:rsidR="00EB202A" w:rsidRPr="00985266" w:rsidRDefault="00EB202A" w:rsidP="00EB202A">
      <w:pPr>
        <w:spacing w:line="360" w:lineRule="auto"/>
      </w:pPr>
    </w:p>
    <w:p w14:paraId="0F98CECC" w14:textId="77777777" w:rsidR="00EB202A" w:rsidRPr="00985266" w:rsidRDefault="00EB202A" w:rsidP="00EB202A">
      <w:pPr>
        <w:spacing w:line="360" w:lineRule="auto"/>
      </w:pPr>
      <w:r w:rsidRPr="00985266">
        <w:t xml:space="preserve">Jarrell, R. (2013), </w:t>
      </w:r>
      <w:r w:rsidRPr="00985266">
        <w:rPr>
          <w:i/>
          <w:iCs/>
        </w:rPr>
        <w:t xml:space="preserve">Fallen Angels and Fallen Women: The Mother of the Son of Man, </w:t>
      </w:r>
      <w:r w:rsidRPr="00985266">
        <w:t xml:space="preserve">Eugene, Wipf and Stock </w:t>
      </w:r>
    </w:p>
    <w:p w14:paraId="74422F10" w14:textId="77777777" w:rsidR="00EB202A" w:rsidRPr="00985266" w:rsidRDefault="00EB202A" w:rsidP="00EB202A">
      <w:pPr>
        <w:spacing w:line="360" w:lineRule="auto"/>
      </w:pPr>
    </w:p>
    <w:p w14:paraId="2A14798A" w14:textId="77777777" w:rsidR="00EB202A" w:rsidRPr="00985266" w:rsidRDefault="00EB202A" w:rsidP="00EB202A">
      <w:pPr>
        <w:spacing w:line="360" w:lineRule="auto"/>
      </w:pPr>
      <w:r w:rsidRPr="00985266">
        <w:t xml:space="preserve">Jeffreys, D. (2007), “The Nile Valley” in Wilkinson, T. ed. </w:t>
      </w:r>
      <w:r w:rsidRPr="00985266">
        <w:rPr>
          <w:i/>
          <w:iCs/>
        </w:rPr>
        <w:t xml:space="preserve">The Egyptian World, </w:t>
      </w:r>
      <w:r w:rsidRPr="00985266">
        <w:t>Abingdon, Routledge, pp.7-15</w:t>
      </w:r>
    </w:p>
    <w:p w14:paraId="6E877F5E" w14:textId="77777777" w:rsidR="00EB202A" w:rsidRPr="00985266" w:rsidRDefault="00EB202A" w:rsidP="00EB202A">
      <w:pPr>
        <w:spacing w:line="360" w:lineRule="auto"/>
      </w:pPr>
    </w:p>
    <w:p w14:paraId="5F2E29FD" w14:textId="77777777" w:rsidR="00EB202A" w:rsidRPr="00985266" w:rsidRDefault="00EB202A" w:rsidP="00EB202A">
      <w:pPr>
        <w:spacing w:line="360" w:lineRule="auto"/>
      </w:pPr>
      <w:r w:rsidRPr="00985266">
        <w:t xml:space="preserve">Johnson, W.R. (1996), Amenhotep III and Amarna : Some New Considerations, </w:t>
      </w:r>
      <w:r w:rsidRPr="00985266">
        <w:rPr>
          <w:i/>
          <w:iCs/>
        </w:rPr>
        <w:t xml:space="preserve">The Journal of Egyptian Archaeology, </w:t>
      </w:r>
      <w:r w:rsidRPr="00985266">
        <w:t xml:space="preserve">82, pp.65-82, accessed on </w:t>
      </w:r>
      <w:hyperlink r:id="rId18" w:history="1">
        <w:r w:rsidRPr="00985266">
          <w:rPr>
            <w:rStyle w:val="Hyperlink"/>
          </w:rPr>
          <w:t>www.JSTOR.org</w:t>
        </w:r>
      </w:hyperlink>
      <w:r w:rsidRPr="00985266">
        <w:t xml:space="preserve"> </w:t>
      </w:r>
    </w:p>
    <w:p w14:paraId="090DBE08" w14:textId="77777777" w:rsidR="00EB202A" w:rsidRPr="00985266" w:rsidRDefault="00EB202A" w:rsidP="00EB202A">
      <w:pPr>
        <w:spacing w:line="360" w:lineRule="auto"/>
      </w:pPr>
    </w:p>
    <w:p w14:paraId="6F3FFAB1" w14:textId="77777777" w:rsidR="00EB202A" w:rsidRPr="00985266" w:rsidRDefault="00EB202A" w:rsidP="00EB202A">
      <w:pPr>
        <w:spacing w:line="360" w:lineRule="auto"/>
      </w:pPr>
      <w:r w:rsidRPr="00985266">
        <w:t>Johnson, W. R. (1998)</w:t>
      </w:r>
      <w:r w:rsidRPr="00985266">
        <w:rPr>
          <w:i/>
          <w:iCs/>
        </w:rPr>
        <w:t>, “</w:t>
      </w:r>
      <w:r w:rsidRPr="00985266">
        <w:t xml:space="preserve">Monuments and Monumental Art Under Amenhotep III: evolution and meaning” in O’Connor, D. and Cline, E. eds. </w:t>
      </w:r>
      <w:r w:rsidRPr="00985266">
        <w:rPr>
          <w:i/>
          <w:iCs/>
        </w:rPr>
        <w:t xml:space="preserve">Amenhotep III: Perspectives on his Reign, </w:t>
      </w:r>
      <w:r w:rsidRPr="00985266">
        <w:t>Ann Arbor, University of Michigan Press, pp. 63-95</w:t>
      </w:r>
    </w:p>
    <w:p w14:paraId="04814493" w14:textId="77777777" w:rsidR="00EB202A" w:rsidRPr="00985266" w:rsidRDefault="00EB202A" w:rsidP="00EB202A">
      <w:pPr>
        <w:spacing w:line="360" w:lineRule="auto"/>
      </w:pPr>
    </w:p>
    <w:p w14:paraId="6E308102" w14:textId="77777777" w:rsidR="00EB202A" w:rsidRPr="00985266" w:rsidRDefault="00EB202A" w:rsidP="00EB202A">
      <w:pPr>
        <w:spacing w:line="360" w:lineRule="auto"/>
      </w:pPr>
      <w:r w:rsidRPr="00985266">
        <w:t xml:space="preserve">Johnston, S. I. (2004), “Religion and Politics” in Johnston, S.I. ed. </w:t>
      </w:r>
      <w:r w:rsidRPr="00985266">
        <w:rPr>
          <w:i/>
          <w:iCs/>
        </w:rPr>
        <w:t xml:space="preserve">Religions of the Ancient World: A Guide, </w:t>
      </w:r>
      <w:r w:rsidRPr="00985266">
        <w:t>Cambridge, Massachusetts, The Belknap Press of Harvard University Press, pp. 547-564</w:t>
      </w:r>
    </w:p>
    <w:p w14:paraId="55D2201D" w14:textId="77777777" w:rsidR="00EB202A" w:rsidRPr="00985266" w:rsidRDefault="00EB202A" w:rsidP="00EB202A">
      <w:pPr>
        <w:spacing w:line="360" w:lineRule="auto"/>
      </w:pPr>
    </w:p>
    <w:p w14:paraId="7926D212" w14:textId="77777777" w:rsidR="00EB202A" w:rsidRPr="00985266" w:rsidRDefault="00EB202A" w:rsidP="00EB202A">
      <w:pPr>
        <w:spacing w:line="360" w:lineRule="auto"/>
      </w:pPr>
      <w:r w:rsidRPr="00985266">
        <w:t xml:space="preserve">Kamil, J. (1984), </w:t>
      </w:r>
      <w:r w:rsidRPr="00985266">
        <w:rPr>
          <w:i/>
          <w:iCs/>
        </w:rPr>
        <w:t xml:space="preserve">Ancient Egyptians: Life in the Pyramid Age, </w:t>
      </w:r>
      <w:r w:rsidRPr="00985266">
        <w:t>Cairo, American University in Cairo Press</w:t>
      </w:r>
    </w:p>
    <w:p w14:paraId="6155FF10" w14:textId="77777777" w:rsidR="00EB202A" w:rsidRPr="00985266" w:rsidRDefault="00EB202A" w:rsidP="00EB202A">
      <w:pPr>
        <w:spacing w:line="360" w:lineRule="auto"/>
      </w:pPr>
    </w:p>
    <w:p w14:paraId="3B26F2D6" w14:textId="301B7B78" w:rsidR="00EB202A" w:rsidRPr="00985266" w:rsidRDefault="00985266" w:rsidP="00EB202A">
      <w:pPr>
        <w:spacing w:line="360" w:lineRule="auto"/>
      </w:pPr>
      <w:r w:rsidRPr="00985266">
        <w:t xml:space="preserve">Karenga, M. (2004), </w:t>
      </w:r>
      <w:r w:rsidRPr="00985266">
        <w:rPr>
          <w:i/>
          <w:iCs/>
        </w:rPr>
        <w:t>Maat, The Moral Ideal in Ancient Egyp</w:t>
      </w:r>
      <w:r w:rsidRPr="00985266">
        <w:rPr>
          <w:i/>
          <w:iCs/>
        </w:rPr>
        <w:t>t</w:t>
      </w:r>
      <w:r w:rsidRPr="00985266">
        <w:rPr>
          <w:i/>
          <w:iCs/>
        </w:rPr>
        <w:t xml:space="preserve">: A Study in Classical African Ethics, </w:t>
      </w:r>
      <w:r w:rsidRPr="00985266">
        <w:t>London, Routledge</w:t>
      </w:r>
    </w:p>
    <w:p w14:paraId="603ED667" w14:textId="77777777" w:rsidR="00EB202A" w:rsidRPr="00985266" w:rsidRDefault="00EB202A" w:rsidP="00EB202A">
      <w:pPr>
        <w:spacing w:line="360" w:lineRule="auto"/>
      </w:pPr>
    </w:p>
    <w:p w14:paraId="65B42560" w14:textId="77777777" w:rsidR="00EB202A" w:rsidRPr="00985266" w:rsidRDefault="00EB202A" w:rsidP="00EB202A">
      <w:pPr>
        <w:spacing w:line="360" w:lineRule="auto"/>
      </w:pPr>
      <w:r w:rsidRPr="00985266">
        <w:t xml:space="preserve">Keller, C. (2005a.), “The Joint Reign of Hatshepsut and Thutmose III” in Roehrig, C., Dreyfus, R. and Keller, C. eds. </w:t>
      </w:r>
      <w:r w:rsidRPr="00985266">
        <w:rPr>
          <w:i/>
        </w:rPr>
        <w:t>Hatshepsut: From Queen to Pharaoh</w:t>
      </w:r>
      <w:r w:rsidRPr="00985266">
        <w:t>, New York, The Metropolitan Museum of Art, pp.96-101</w:t>
      </w:r>
    </w:p>
    <w:p w14:paraId="4B0ACCA9" w14:textId="77777777" w:rsidR="00EB202A" w:rsidRPr="00985266" w:rsidRDefault="00EB202A" w:rsidP="00EB202A">
      <w:pPr>
        <w:spacing w:line="360" w:lineRule="auto"/>
      </w:pPr>
    </w:p>
    <w:p w14:paraId="785A41BD" w14:textId="77777777" w:rsidR="00EB202A" w:rsidRPr="00985266" w:rsidRDefault="00EB202A" w:rsidP="00EB202A">
      <w:pPr>
        <w:spacing w:line="360" w:lineRule="auto"/>
      </w:pPr>
      <w:r w:rsidRPr="00985266">
        <w:t xml:space="preserve">Keller, C. (2005b.), “The Statuary of Hatshepsut” in in Roehrig, C., Dreyfus, R. and Keller, C. eds. </w:t>
      </w:r>
      <w:r w:rsidRPr="00985266">
        <w:rPr>
          <w:i/>
          <w:iCs/>
        </w:rPr>
        <w:t>Hatshepsut: From Queen to Pharaoh</w:t>
      </w:r>
      <w:r w:rsidRPr="00985266">
        <w:t>, New York, The Metropolitan Museum of Art, pp.158-173</w:t>
      </w:r>
    </w:p>
    <w:p w14:paraId="3998E167" w14:textId="77777777" w:rsidR="00EB202A" w:rsidRPr="00985266" w:rsidRDefault="00EB202A" w:rsidP="00EB202A">
      <w:pPr>
        <w:spacing w:line="360" w:lineRule="auto"/>
      </w:pPr>
    </w:p>
    <w:p w14:paraId="390BFC11" w14:textId="77777777" w:rsidR="00EB202A" w:rsidRPr="00985266" w:rsidRDefault="00EB202A" w:rsidP="00EB202A">
      <w:pPr>
        <w:spacing w:line="360" w:lineRule="auto"/>
      </w:pPr>
      <w:r w:rsidRPr="00985266">
        <w:t xml:space="preserve">Kemp, B. (2012), </w:t>
      </w:r>
      <w:r w:rsidRPr="00985266">
        <w:rPr>
          <w:i/>
          <w:iCs/>
        </w:rPr>
        <w:t xml:space="preserve">The City of Akhenaten and Nefertiti: Amarna and its people, </w:t>
      </w:r>
      <w:r w:rsidRPr="00985266">
        <w:t>London, Thames &amp; Hudson</w:t>
      </w:r>
    </w:p>
    <w:p w14:paraId="1BD1F53D" w14:textId="77777777" w:rsidR="00EB202A" w:rsidRPr="00985266" w:rsidRDefault="00EB202A" w:rsidP="00EB202A">
      <w:pPr>
        <w:spacing w:line="360" w:lineRule="auto"/>
        <w:rPr>
          <w:i/>
        </w:rPr>
      </w:pPr>
    </w:p>
    <w:p w14:paraId="60B9EF90" w14:textId="77777777" w:rsidR="00EB202A" w:rsidRPr="00985266" w:rsidRDefault="00EB202A" w:rsidP="00EB202A">
      <w:pPr>
        <w:spacing w:line="360" w:lineRule="auto"/>
      </w:pPr>
      <w:r w:rsidRPr="00985266">
        <w:t xml:space="preserve">Kemp, B. (2018), </w:t>
      </w:r>
      <w:r w:rsidRPr="00985266">
        <w:rPr>
          <w:i/>
        </w:rPr>
        <w:t xml:space="preserve">Ancient Egypt: Anatomy of a Civilisation, </w:t>
      </w:r>
      <w:r w:rsidRPr="00985266">
        <w:t>Abingdon, Routledge</w:t>
      </w:r>
    </w:p>
    <w:p w14:paraId="58284F50" w14:textId="77777777" w:rsidR="00EB202A" w:rsidRPr="00985266" w:rsidRDefault="00EB202A" w:rsidP="00EB202A">
      <w:pPr>
        <w:spacing w:line="360" w:lineRule="auto"/>
        <w:rPr>
          <w:sz w:val="22"/>
          <w:szCs w:val="22"/>
        </w:rPr>
      </w:pPr>
    </w:p>
    <w:p w14:paraId="1D778E66" w14:textId="77777777" w:rsidR="00EB202A" w:rsidRPr="00985266" w:rsidRDefault="00EB202A" w:rsidP="00EB202A">
      <w:pPr>
        <w:spacing w:line="360" w:lineRule="auto"/>
        <w:rPr>
          <w:i/>
          <w:iCs/>
        </w:rPr>
      </w:pPr>
      <w:r w:rsidRPr="00985266">
        <w:t xml:space="preserve">Kerisel, J. (1999), </w:t>
      </w:r>
      <w:r w:rsidRPr="00985266">
        <w:rPr>
          <w:i/>
          <w:iCs/>
        </w:rPr>
        <w:t xml:space="preserve">The Nile and Its Masters: Past, Present, Future, Source of Hope and Anger, </w:t>
      </w:r>
      <w:r w:rsidRPr="00985266">
        <w:t>Rotterdam, A. A. Balkema Publishers</w:t>
      </w:r>
      <w:r w:rsidRPr="00985266">
        <w:rPr>
          <w:i/>
          <w:iCs/>
        </w:rPr>
        <w:t xml:space="preserve">  </w:t>
      </w:r>
    </w:p>
    <w:p w14:paraId="0E9EACD5" w14:textId="77777777" w:rsidR="00EB202A" w:rsidRPr="00985266" w:rsidRDefault="00EB202A" w:rsidP="00EB202A">
      <w:pPr>
        <w:spacing w:line="360" w:lineRule="auto"/>
        <w:rPr>
          <w:i/>
          <w:iCs/>
        </w:rPr>
      </w:pPr>
    </w:p>
    <w:p w14:paraId="78592FAE" w14:textId="77777777" w:rsidR="00EB202A" w:rsidRPr="00985266" w:rsidRDefault="00EB202A" w:rsidP="00EB202A">
      <w:pPr>
        <w:spacing w:line="360" w:lineRule="auto"/>
      </w:pPr>
      <w:r w:rsidRPr="00985266">
        <w:lastRenderedPageBreak/>
        <w:t xml:space="preserve">Kozloff, A. (2012), </w:t>
      </w:r>
      <w:r w:rsidRPr="00985266">
        <w:rPr>
          <w:i/>
          <w:iCs/>
        </w:rPr>
        <w:t xml:space="preserve">Amenhotep III: Egypt’s Radiant Pharaoh, </w:t>
      </w:r>
      <w:r w:rsidRPr="00985266">
        <w:t xml:space="preserve">New York, Cambridge University Press </w:t>
      </w:r>
    </w:p>
    <w:p w14:paraId="10873148" w14:textId="77777777" w:rsidR="00EB202A" w:rsidRPr="00985266" w:rsidRDefault="00EB202A" w:rsidP="00EB202A">
      <w:pPr>
        <w:spacing w:line="360" w:lineRule="auto"/>
      </w:pPr>
    </w:p>
    <w:p w14:paraId="2D7A4F6E" w14:textId="60592BF4" w:rsidR="00EB202A" w:rsidRPr="00985266" w:rsidRDefault="00EB202A" w:rsidP="00EB202A">
      <w:pPr>
        <w:spacing w:line="360" w:lineRule="auto"/>
        <w:rPr>
          <w:i/>
          <w:iCs/>
        </w:rPr>
      </w:pPr>
      <w:r w:rsidRPr="00985266">
        <w:t xml:space="preserve">Kramer, S.N. (1948) “Preface” in Frankfort, H. </w:t>
      </w:r>
      <w:r w:rsidRPr="00985266">
        <w:rPr>
          <w:i/>
          <w:iCs/>
        </w:rPr>
        <w:t xml:space="preserve">Kingship and The Gods: A Study of Near Eastern Religion as the </w:t>
      </w:r>
      <w:r w:rsidR="00985266" w:rsidRPr="00985266">
        <w:rPr>
          <w:i/>
          <w:iCs/>
        </w:rPr>
        <w:t>Integration</w:t>
      </w:r>
      <w:r w:rsidRPr="00985266">
        <w:rPr>
          <w:i/>
          <w:iCs/>
        </w:rPr>
        <w:t xml:space="preserve"> of Society and Nature, </w:t>
      </w:r>
      <w:r w:rsidRPr="00985266">
        <w:t>pp. v-viii</w:t>
      </w:r>
    </w:p>
    <w:p w14:paraId="4845F23F" w14:textId="77777777" w:rsidR="00EB202A" w:rsidRPr="00985266" w:rsidRDefault="00EB202A" w:rsidP="00EB202A">
      <w:pPr>
        <w:spacing w:line="360" w:lineRule="auto"/>
        <w:rPr>
          <w:i/>
          <w:iCs/>
        </w:rPr>
      </w:pPr>
    </w:p>
    <w:p w14:paraId="3E6B3912" w14:textId="77777777" w:rsidR="00EB202A" w:rsidRPr="00985266" w:rsidRDefault="00EB202A" w:rsidP="00EB202A">
      <w:pPr>
        <w:spacing w:line="360" w:lineRule="auto"/>
      </w:pPr>
      <w:r w:rsidRPr="00985266">
        <w:t xml:space="preserve">Laboury, D. (2014), “How and Why did Hatshepsut Invent the Image of Her Royal Power” in Galán, J., Bryan, B. and Dorman, P. eds. </w:t>
      </w:r>
      <w:r w:rsidRPr="00985266">
        <w:rPr>
          <w:i/>
        </w:rPr>
        <w:t>SAOC 69: Creativity and Innovation in the Reign of Hatshepsut</w:t>
      </w:r>
      <w:r w:rsidRPr="00985266">
        <w:t>, Chicago, University of Chicago, pp.49-93</w:t>
      </w:r>
    </w:p>
    <w:p w14:paraId="32794DBE" w14:textId="77777777" w:rsidR="00EB202A" w:rsidRPr="00985266" w:rsidRDefault="00EB202A" w:rsidP="00EB202A">
      <w:pPr>
        <w:spacing w:line="360" w:lineRule="auto"/>
      </w:pPr>
    </w:p>
    <w:p w14:paraId="72A84292" w14:textId="77777777" w:rsidR="00EB202A" w:rsidRPr="00985266" w:rsidRDefault="00EB202A" w:rsidP="00EB202A">
      <w:pPr>
        <w:spacing w:line="360" w:lineRule="auto"/>
      </w:pPr>
      <w:r w:rsidRPr="00985266">
        <w:t xml:space="preserve">Leprohon, R. J. (2008), “Egyptian Religious Texts” in Wilkinson, R. ed. </w:t>
      </w:r>
      <w:r w:rsidRPr="00985266">
        <w:rPr>
          <w:i/>
          <w:iCs/>
        </w:rPr>
        <w:t>Egyptology Today</w:t>
      </w:r>
      <w:r w:rsidRPr="00985266">
        <w:t>, New York, Cambridge University Press.</w:t>
      </w:r>
    </w:p>
    <w:p w14:paraId="3C0EBEFE" w14:textId="77777777" w:rsidR="00EB202A" w:rsidRPr="00985266" w:rsidRDefault="00EB202A" w:rsidP="00EB202A">
      <w:pPr>
        <w:spacing w:line="360" w:lineRule="auto"/>
      </w:pPr>
    </w:p>
    <w:p w14:paraId="1CC1FC1A" w14:textId="77777777" w:rsidR="00EB202A" w:rsidRPr="00985266" w:rsidRDefault="00EB202A" w:rsidP="00EB202A">
      <w:pPr>
        <w:spacing w:line="360" w:lineRule="auto"/>
      </w:pPr>
      <w:r w:rsidRPr="00985266">
        <w:t xml:space="preserve">Lesko, B. (1991a.), Women’s Monumental Mark on Ancient Egypt, </w:t>
      </w:r>
      <w:r w:rsidRPr="00985266">
        <w:rPr>
          <w:i/>
        </w:rPr>
        <w:t>The Biblical Archaeologist</w:t>
      </w:r>
      <w:r w:rsidRPr="00985266">
        <w:t xml:space="preserve">, 54(1), pp.4-15, accessed on </w:t>
      </w:r>
      <w:hyperlink r:id="rId19" w:history="1">
        <w:r w:rsidRPr="00985266">
          <w:rPr>
            <w:rStyle w:val="Hyperlink"/>
          </w:rPr>
          <w:t>www.JSTOR.org</w:t>
        </w:r>
      </w:hyperlink>
      <w:r w:rsidRPr="00985266">
        <w:t xml:space="preserve"> </w:t>
      </w:r>
    </w:p>
    <w:p w14:paraId="58F14583" w14:textId="77777777" w:rsidR="00EB202A" w:rsidRPr="00985266" w:rsidRDefault="00EB202A" w:rsidP="00EB202A">
      <w:pPr>
        <w:spacing w:line="360" w:lineRule="auto"/>
      </w:pPr>
    </w:p>
    <w:p w14:paraId="3B04AB26" w14:textId="77777777" w:rsidR="00EB202A" w:rsidRPr="00985266" w:rsidRDefault="00EB202A" w:rsidP="00EB202A">
      <w:pPr>
        <w:spacing w:line="360" w:lineRule="auto"/>
      </w:pPr>
      <w:r w:rsidRPr="00985266">
        <w:t xml:space="preserve">Lesko, L. (1991b.), “Ancient Egyptian Cosmogonies and Cosmologies” in Shafer, B. ed. </w:t>
      </w:r>
      <w:r w:rsidRPr="00985266">
        <w:rPr>
          <w:i/>
          <w:iCs/>
        </w:rPr>
        <w:t xml:space="preserve">Religion in Ancient Egypt: Gods, Myths, and Personal Practice, </w:t>
      </w:r>
      <w:r w:rsidRPr="00985266">
        <w:t xml:space="preserve">Ithaca, Cornell University Press </w:t>
      </w:r>
    </w:p>
    <w:p w14:paraId="3D26B49C" w14:textId="77777777" w:rsidR="00EB202A" w:rsidRPr="00985266" w:rsidRDefault="00EB202A" w:rsidP="00EB202A">
      <w:pPr>
        <w:spacing w:line="360" w:lineRule="auto"/>
      </w:pPr>
    </w:p>
    <w:p w14:paraId="10EB9C6B" w14:textId="77777777" w:rsidR="00EB202A" w:rsidRPr="00985266" w:rsidRDefault="00EB202A" w:rsidP="00EB202A">
      <w:pPr>
        <w:spacing w:line="360" w:lineRule="auto"/>
      </w:pPr>
      <w:r w:rsidRPr="00985266">
        <w:t xml:space="preserve">Lesko, B. (1999), </w:t>
      </w:r>
      <w:r w:rsidRPr="00985266">
        <w:rPr>
          <w:i/>
        </w:rPr>
        <w:t xml:space="preserve">The Great Goddesses of Egypt, </w:t>
      </w:r>
      <w:r w:rsidRPr="00985266">
        <w:t xml:space="preserve">Norman, University of Oklahoma Press </w:t>
      </w:r>
    </w:p>
    <w:p w14:paraId="39DC5CE2" w14:textId="77777777" w:rsidR="00EB202A" w:rsidRPr="00985266" w:rsidRDefault="00EB202A" w:rsidP="00EB202A">
      <w:pPr>
        <w:spacing w:line="360" w:lineRule="auto"/>
      </w:pPr>
    </w:p>
    <w:p w14:paraId="55E423CA" w14:textId="64454630" w:rsidR="00EB202A" w:rsidRPr="00985266" w:rsidRDefault="00EB202A" w:rsidP="00EB202A">
      <w:pPr>
        <w:spacing w:line="360" w:lineRule="auto"/>
      </w:pPr>
      <w:r w:rsidRPr="00985266">
        <w:t xml:space="preserve">Mancini, A. (2002), </w:t>
      </w:r>
      <w:r w:rsidRPr="00985266">
        <w:rPr>
          <w:i/>
          <w:iCs/>
        </w:rPr>
        <w:t xml:space="preserve">Ancient Egyptian Wisdom for the Internet: Ancient Egyptian Justice </w:t>
      </w:r>
      <w:r w:rsidR="00985266" w:rsidRPr="00985266">
        <w:rPr>
          <w:i/>
          <w:iCs/>
        </w:rPr>
        <w:t>and</w:t>
      </w:r>
      <w:r w:rsidRPr="00985266">
        <w:rPr>
          <w:i/>
          <w:iCs/>
        </w:rPr>
        <w:t xml:space="preserve"> Ancient Roman Law Applied to the Internet, </w:t>
      </w:r>
      <w:r w:rsidRPr="00985266">
        <w:t xml:space="preserve">Lanham, University Press of America </w:t>
      </w:r>
    </w:p>
    <w:p w14:paraId="2C3DE67C" w14:textId="77777777" w:rsidR="00EB202A" w:rsidRPr="00985266" w:rsidRDefault="00EB202A" w:rsidP="00EB202A">
      <w:pPr>
        <w:spacing w:line="360" w:lineRule="auto"/>
      </w:pPr>
    </w:p>
    <w:p w14:paraId="5DBFDE50" w14:textId="77777777" w:rsidR="00EB202A" w:rsidRPr="00985266" w:rsidRDefault="00EB202A" w:rsidP="00EB202A">
      <w:pPr>
        <w:spacing w:line="360" w:lineRule="auto"/>
      </w:pPr>
      <w:r w:rsidRPr="00985266">
        <w:t xml:space="preserve">Meyer-Dietrich, E. (2004), When Natural Phenomena Enter the Symbolic Sphere: An Ecological Perspective on Ritual Texts Within the Egyptian Funerary Cult, </w:t>
      </w:r>
      <w:r w:rsidRPr="00985266">
        <w:rPr>
          <w:i/>
          <w:iCs/>
        </w:rPr>
        <w:t xml:space="preserve">Numen, </w:t>
      </w:r>
      <w:r w:rsidRPr="00985266">
        <w:t xml:space="preserve">51(1), pp.1-19 </w:t>
      </w:r>
    </w:p>
    <w:p w14:paraId="24C096E7" w14:textId="534280E3" w:rsidR="00EB202A" w:rsidRPr="00985266" w:rsidRDefault="00EB202A" w:rsidP="00EB202A">
      <w:pPr>
        <w:spacing w:line="360" w:lineRule="auto"/>
      </w:pPr>
      <w:r w:rsidRPr="00985266">
        <w:t xml:space="preserve">Montserrat, D. (2000), </w:t>
      </w:r>
      <w:r w:rsidRPr="00985266">
        <w:rPr>
          <w:i/>
          <w:iCs/>
        </w:rPr>
        <w:t xml:space="preserve">Akhenaten: History, Fantasy, and Ancient Egypt, </w:t>
      </w:r>
      <w:r w:rsidRPr="00985266">
        <w:t>Abingdon, Routledge</w:t>
      </w:r>
    </w:p>
    <w:p w14:paraId="39575B02" w14:textId="674B2DB2" w:rsidR="00985266" w:rsidRPr="00985266" w:rsidRDefault="00985266" w:rsidP="00EB202A">
      <w:pPr>
        <w:spacing w:line="360" w:lineRule="auto"/>
      </w:pPr>
    </w:p>
    <w:p w14:paraId="4A24FAED" w14:textId="7FFACC0B" w:rsidR="00985266" w:rsidRPr="00985266" w:rsidRDefault="00985266" w:rsidP="00EB202A">
      <w:pPr>
        <w:spacing w:line="360" w:lineRule="auto"/>
      </w:pPr>
      <w:r w:rsidRPr="00985266">
        <w:t xml:space="preserve">Morenz, S. (1973), </w:t>
      </w:r>
      <w:r w:rsidRPr="00985266">
        <w:rPr>
          <w:i/>
          <w:iCs/>
        </w:rPr>
        <w:t xml:space="preserve">Egyptian Religion, </w:t>
      </w:r>
      <w:r w:rsidRPr="00985266">
        <w:t>trans. by Keep, A., Ithaca, Cornell University Press</w:t>
      </w:r>
    </w:p>
    <w:p w14:paraId="0B69EEB8" w14:textId="77777777" w:rsidR="00EB202A" w:rsidRPr="00985266" w:rsidRDefault="00EB202A" w:rsidP="00EB202A">
      <w:pPr>
        <w:spacing w:line="360" w:lineRule="auto"/>
      </w:pPr>
    </w:p>
    <w:p w14:paraId="79F7B14D" w14:textId="04A603E0" w:rsidR="00EB202A" w:rsidRPr="00985266" w:rsidRDefault="00EB202A" w:rsidP="00EB202A">
      <w:pPr>
        <w:spacing w:line="360" w:lineRule="auto"/>
      </w:pPr>
      <w:r w:rsidRPr="00985266">
        <w:lastRenderedPageBreak/>
        <w:t xml:space="preserve">Mosjov, B. (2002), The Egyptian Underworld in the Tomb of Seti I: Sacred Books of Eternal Life, </w:t>
      </w:r>
      <w:r w:rsidRPr="00985266">
        <w:rPr>
          <w:i/>
          <w:iCs/>
        </w:rPr>
        <w:t xml:space="preserve">The </w:t>
      </w:r>
      <w:r w:rsidR="00985266" w:rsidRPr="00985266">
        <w:rPr>
          <w:i/>
          <w:iCs/>
        </w:rPr>
        <w:t>Massachusetts</w:t>
      </w:r>
      <w:r w:rsidRPr="00985266">
        <w:rPr>
          <w:i/>
          <w:iCs/>
        </w:rPr>
        <w:t xml:space="preserve"> Review, </w:t>
      </w:r>
      <w:r w:rsidRPr="00985266">
        <w:t xml:space="preserve">42(4), pp.489-506  </w:t>
      </w:r>
    </w:p>
    <w:p w14:paraId="2E59DA79" w14:textId="77777777" w:rsidR="00EB202A" w:rsidRPr="00985266" w:rsidRDefault="00EB202A" w:rsidP="00EB202A">
      <w:pPr>
        <w:spacing w:line="360" w:lineRule="auto"/>
      </w:pPr>
    </w:p>
    <w:p w14:paraId="481F2567" w14:textId="77777777" w:rsidR="00EB202A" w:rsidRPr="00985266" w:rsidRDefault="00EB202A" w:rsidP="00EB202A">
      <w:pPr>
        <w:spacing w:line="360" w:lineRule="auto"/>
      </w:pPr>
      <w:r w:rsidRPr="00985266">
        <w:t xml:space="preserve">Murnane, W. (1977), </w:t>
      </w:r>
      <w:r w:rsidRPr="00985266">
        <w:rPr>
          <w:i/>
        </w:rPr>
        <w:t xml:space="preserve">Ancient Egyptian Coregencies, </w:t>
      </w:r>
      <w:r w:rsidRPr="00985266">
        <w:t>Chicago, The Oriental Institute of the University of Chicago</w:t>
      </w:r>
    </w:p>
    <w:p w14:paraId="6DEACB43" w14:textId="77777777" w:rsidR="00EB202A" w:rsidRPr="00985266" w:rsidRDefault="00EB202A" w:rsidP="00EB202A">
      <w:pPr>
        <w:spacing w:line="360" w:lineRule="auto"/>
      </w:pPr>
    </w:p>
    <w:p w14:paraId="6384CA4A" w14:textId="77777777" w:rsidR="00EB202A" w:rsidRPr="00985266" w:rsidRDefault="00EB202A" w:rsidP="00EB202A">
      <w:pPr>
        <w:spacing w:line="360" w:lineRule="auto"/>
      </w:pPr>
      <w:r w:rsidRPr="00985266">
        <w:t xml:space="preserve">Murnane, W.J. and Van Siclen III, C.C. (1993), </w:t>
      </w:r>
      <w:r w:rsidRPr="00985266">
        <w:rPr>
          <w:i/>
          <w:iCs/>
        </w:rPr>
        <w:t xml:space="preserve">The Boundary Stelae of Akhenaten, </w:t>
      </w:r>
      <w:r w:rsidRPr="00985266">
        <w:t>Abingdon, Routledge</w:t>
      </w:r>
    </w:p>
    <w:p w14:paraId="785169F2" w14:textId="77777777" w:rsidR="00EB202A" w:rsidRPr="00985266" w:rsidRDefault="00EB202A" w:rsidP="00EB202A">
      <w:pPr>
        <w:spacing w:line="360" w:lineRule="auto"/>
      </w:pPr>
    </w:p>
    <w:p w14:paraId="665A6CC9" w14:textId="77777777" w:rsidR="00EB202A" w:rsidRPr="00985266" w:rsidRDefault="00EB202A" w:rsidP="00EB202A">
      <w:pPr>
        <w:spacing w:line="360" w:lineRule="auto"/>
      </w:pPr>
      <w:r w:rsidRPr="00985266">
        <w:t>Nagel, S. (2019), Narrations of Magical Power in Ancient Egypt or: A Counter Narrative to “Witchcraft” Concepts</w:t>
      </w:r>
      <w:r w:rsidRPr="00985266">
        <w:rPr>
          <w:i/>
          <w:iCs/>
        </w:rPr>
        <w:t xml:space="preserve">, Magic, Ritual and Witchcraft, </w:t>
      </w:r>
      <w:r w:rsidRPr="00985266">
        <w:t>14(1), pp.11-36</w:t>
      </w:r>
    </w:p>
    <w:p w14:paraId="360C4F3C" w14:textId="77777777" w:rsidR="00EB202A" w:rsidRPr="00985266" w:rsidRDefault="00EB202A" w:rsidP="00EB202A">
      <w:pPr>
        <w:spacing w:line="360" w:lineRule="auto"/>
      </w:pPr>
    </w:p>
    <w:p w14:paraId="11488013" w14:textId="589B0ECC" w:rsidR="00EB202A" w:rsidRDefault="00EB202A" w:rsidP="00EB202A">
      <w:pPr>
        <w:spacing w:line="360" w:lineRule="auto"/>
      </w:pPr>
      <w:r w:rsidRPr="00985266">
        <w:t xml:space="preserve">Nicholson, P.T. and Peltenburg, E. (2000), “Egyptian Faience” in Nicholson, P.T. and Shaw, I. eds. </w:t>
      </w:r>
      <w:r w:rsidRPr="00985266">
        <w:rPr>
          <w:i/>
          <w:iCs/>
        </w:rPr>
        <w:t>Ancient Egyptian Materials and Technology,</w:t>
      </w:r>
      <w:r w:rsidRPr="00985266">
        <w:t xml:space="preserve"> Cambridge, Cambridge University Press</w:t>
      </w:r>
    </w:p>
    <w:p w14:paraId="4F93919C" w14:textId="6B45DDEB" w:rsidR="009E231D" w:rsidRDefault="009E231D" w:rsidP="00EB202A">
      <w:pPr>
        <w:spacing w:line="360" w:lineRule="auto"/>
      </w:pPr>
    </w:p>
    <w:p w14:paraId="725F6ED0" w14:textId="6A33D1C9" w:rsidR="009E231D" w:rsidRPr="00985266" w:rsidRDefault="009E231D" w:rsidP="00EB202A">
      <w:pPr>
        <w:spacing w:line="360" w:lineRule="auto"/>
      </w:pPr>
      <w:r>
        <w:t>O’Connor, D. and Silverman, D.P. (1995), “Introduction” in</w:t>
      </w:r>
      <w:r w:rsidRPr="00985266">
        <w:t xml:space="preserve"> O’Connor, D. and Silverman, D.P. eds. </w:t>
      </w:r>
      <w:r w:rsidRPr="00985266">
        <w:rPr>
          <w:i/>
        </w:rPr>
        <w:t xml:space="preserve">Ancient Egyptian Kingship, </w:t>
      </w:r>
      <w:r w:rsidRPr="00985266">
        <w:t xml:space="preserve">Leiden, Brill, pp. </w:t>
      </w:r>
      <w:r>
        <w:t>XVII - XXVIII</w:t>
      </w:r>
    </w:p>
    <w:p w14:paraId="25661320" w14:textId="77777777" w:rsidR="00EB202A" w:rsidRPr="00985266" w:rsidRDefault="00EB202A" w:rsidP="00EB202A">
      <w:pPr>
        <w:spacing w:line="360" w:lineRule="auto"/>
      </w:pPr>
    </w:p>
    <w:p w14:paraId="57F86B45" w14:textId="77777777" w:rsidR="00EB202A" w:rsidRPr="00985266" w:rsidRDefault="00EB202A" w:rsidP="00EB202A">
      <w:pPr>
        <w:spacing w:line="360" w:lineRule="auto"/>
        <w:rPr>
          <w:i/>
          <w:iCs/>
        </w:rPr>
      </w:pPr>
      <w:r w:rsidRPr="00985266">
        <w:t xml:space="preserve">Obenga, T. (1992), </w:t>
      </w:r>
      <w:r w:rsidRPr="00985266">
        <w:rPr>
          <w:i/>
          <w:iCs/>
        </w:rPr>
        <w:t xml:space="preserve">Ancient Egypt and Black Africa: A Students Handbook for the Study of Ancient Egypt in Philosophy, Linguistics and Gender Relations, </w:t>
      </w:r>
      <w:r w:rsidRPr="00985266">
        <w:t xml:space="preserve">London, Karnak House </w:t>
      </w:r>
      <w:r w:rsidRPr="00985266">
        <w:rPr>
          <w:i/>
          <w:iCs/>
        </w:rPr>
        <w:t xml:space="preserve"> </w:t>
      </w:r>
    </w:p>
    <w:p w14:paraId="70381C31" w14:textId="77777777" w:rsidR="00EB202A" w:rsidRPr="00985266" w:rsidRDefault="00EB202A" w:rsidP="00EB202A">
      <w:pPr>
        <w:spacing w:line="360" w:lineRule="auto"/>
        <w:rPr>
          <w:i/>
          <w:iCs/>
        </w:rPr>
      </w:pPr>
    </w:p>
    <w:p w14:paraId="339E73BF" w14:textId="6F321BEA" w:rsidR="00EB202A" w:rsidRDefault="00EB202A" w:rsidP="00EB202A">
      <w:pPr>
        <w:spacing w:line="360" w:lineRule="auto"/>
      </w:pPr>
      <w:r w:rsidRPr="00985266">
        <w:t xml:space="preserve">Peck, W. (2013), </w:t>
      </w:r>
      <w:r w:rsidRPr="00985266">
        <w:rPr>
          <w:i/>
          <w:iCs/>
        </w:rPr>
        <w:t xml:space="preserve">The Material World of Ancient Egypt, </w:t>
      </w:r>
      <w:r w:rsidRPr="00985266">
        <w:t xml:space="preserve">New York, Cambridge University Press </w:t>
      </w:r>
    </w:p>
    <w:p w14:paraId="7065C05D" w14:textId="7187030F" w:rsidR="00CF7EB6" w:rsidRPr="00CF7EB6" w:rsidRDefault="00CF7EB6" w:rsidP="00EB202A">
      <w:pPr>
        <w:spacing w:line="360" w:lineRule="auto"/>
      </w:pPr>
      <w:r>
        <w:t xml:space="preserve">Pinch, G. (1994), </w:t>
      </w:r>
      <w:r>
        <w:rPr>
          <w:i/>
          <w:iCs/>
        </w:rPr>
        <w:t xml:space="preserve">Magic in Ancient Egypt, </w:t>
      </w:r>
      <w:r>
        <w:t xml:space="preserve">London, British Museum Press </w:t>
      </w:r>
    </w:p>
    <w:p w14:paraId="60CB283F" w14:textId="77777777" w:rsidR="00EB202A" w:rsidRPr="00985266" w:rsidRDefault="00EB202A" w:rsidP="00EB202A">
      <w:pPr>
        <w:spacing w:line="360" w:lineRule="auto"/>
      </w:pPr>
    </w:p>
    <w:p w14:paraId="6CD3EC20" w14:textId="77777777" w:rsidR="00EB202A" w:rsidRPr="00985266" w:rsidRDefault="00EB202A" w:rsidP="00EB202A">
      <w:pPr>
        <w:spacing w:line="360" w:lineRule="auto"/>
      </w:pPr>
      <w:r w:rsidRPr="00985266">
        <w:t xml:space="preserve">Pinch, G. (2002), </w:t>
      </w:r>
      <w:r w:rsidRPr="00985266">
        <w:rPr>
          <w:i/>
          <w:iCs/>
        </w:rPr>
        <w:t xml:space="preserve">Egyptian Mythology: A Guide to the Gods, Goddesses and Traditions of Ancient Egypt, </w:t>
      </w:r>
      <w:r w:rsidRPr="00985266">
        <w:t xml:space="preserve">New York, Oxford University Press </w:t>
      </w:r>
    </w:p>
    <w:p w14:paraId="19166F67" w14:textId="77777777" w:rsidR="00EB202A" w:rsidRPr="00985266" w:rsidRDefault="00EB202A" w:rsidP="00EB202A">
      <w:pPr>
        <w:spacing w:line="360" w:lineRule="auto"/>
      </w:pPr>
    </w:p>
    <w:p w14:paraId="0CBC8BED" w14:textId="77777777" w:rsidR="00EB202A" w:rsidRPr="00985266" w:rsidRDefault="00EB202A" w:rsidP="00EB202A">
      <w:pPr>
        <w:spacing w:line="360" w:lineRule="auto"/>
      </w:pPr>
      <w:r w:rsidRPr="00985266">
        <w:t xml:space="preserve">Pinch, G. (2004), </w:t>
      </w:r>
      <w:r w:rsidRPr="00985266">
        <w:rPr>
          <w:i/>
          <w:iCs/>
        </w:rPr>
        <w:t>Egyptian Myth: A Very Short Introduction</w:t>
      </w:r>
      <w:r w:rsidRPr="00985266">
        <w:t>, Oxford, Oxford University Press</w:t>
      </w:r>
    </w:p>
    <w:p w14:paraId="3850BDD8" w14:textId="77777777" w:rsidR="00EB202A" w:rsidRPr="00985266" w:rsidRDefault="00EB202A" w:rsidP="00EB202A">
      <w:pPr>
        <w:spacing w:line="360" w:lineRule="auto"/>
      </w:pPr>
    </w:p>
    <w:p w14:paraId="0C8FCA88" w14:textId="77777777" w:rsidR="00EB202A" w:rsidRPr="00985266" w:rsidRDefault="00EB202A" w:rsidP="00EB202A">
      <w:pPr>
        <w:spacing w:line="360" w:lineRule="auto"/>
      </w:pPr>
      <w:r w:rsidRPr="00985266">
        <w:t xml:space="preserve">Pinkowski, J. (2006), Egypt’s Ageless Goddess, </w:t>
      </w:r>
      <w:r w:rsidRPr="00985266">
        <w:rPr>
          <w:i/>
        </w:rPr>
        <w:t>Archaeology</w:t>
      </w:r>
      <w:r w:rsidRPr="00985266">
        <w:t xml:space="preserve">, 59(9), 44-49, accessed on </w:t>
      </w:r>
      <w:hyperlink r:id="rId20" w:history="1">
        <w:r w:rsidRPr="00985266">
          <w:rPr>
            <w:rStyle w:val="Hyperlink"/>
          </w:rPr>
          <w:t>https://web-b-ebscohost-com.ezproxy.uwtsd.ac.uk/</w:t>
        </w:r>
      </w:hyperlink>
      <w:r w:rsidRPr="00985266">
        <w:t xml:space="preserve">  </w:t>
      </w:r>
    </w:p>
    <w:p w14:paraId="03598CB1" w14:textId="77777777" w:rsidR="00EB202A" w:rsidRPr="00985266" w:rsidRDefault="00EB202A" w:rsidP="00EB202A">
      <w:pPr>
        <w:spacing w:line="360" w:lineRule="auto"/>
      </w:pPr>
    </w:p>
    <w:p w14:paraId="1D770824" w14:textId="178641F3" w:rsidR="00EB202A" w:rsidRPr="00985266" w:rsidRDefault="00EB202A" w:rsidP="00EB202A">
      <w:pPr>
        <w:spacing w:line="360" w:lineRule="auto"/>
        <w:rPr>
          <w:iCs/>
        </w:rPr>
      </w:pPr>
      <w:r w:rsidRPr="00985266">
        <w:t xml:space="preserve">Pinarello, M. (2018), “The Platypus </w:t>
      </w:r>
      <w:r w:rsidR="00985266" w:rsidRPr="00985266">
        <w:t>Paradox:</w:t>
      </w:r>
      <w:r w:rsidRPr="00985266">
        <w:t xml:space="preserve"> An Archaeological Approach to Ancient Egyptian Writing Practices” in Hoogendijk, F.A. and van Gompel, S.M.T. eds. </w:t>
      </w:r>
      <w:r w:rsidRPr="00985266">
        <w:rPr>
          <w:i/>
        </w:rPr>
        <w:t xml:space="preserve">The Materiality of Texts from Ancient Egypt: New Approaches to the Study of Textual Material from the early Pharaonic to the Late Antique Period, </w:t>
      </w:r>
      <w:r w:rsidRPr="00985266">
        <w:rPr>
          <w:iCs/>
        </w:rPr>
        <w:t>Leiden, Brill</w:t>
      </w:r>
    </w:p>
    <w:p w14:paraId="7A801C80" w14:textId="77777777" w:rsidR="00EB202A" w:rsidRPr="00985266" w:rsidRDefault="00EB202A" w:rsidP="00EB202A">
      <w:pPr>
        <w:spacing w:line="360" w:lineRule="auto"/>
      </w:pPr>
    </w:p>
    <w:p w14:paraId="1FD24906" w14:textId="77777777" w:rsidR="00EB202A" w:rsidRPr="00985266" w:rsidRDefault="00EB202A" w:rsidP="00EB202A">
      <w:pPr>
        <w:spacing w:line="360" w:lineRule="auto"/>
      </w:pPr>
      <w:r w:rsidRPr="00985266">
        <w:t xml:space="preserve">Preys, R. (2006), Les manifestations d'Hathor: protection, alimentation et illumination divines, </w:t>
      </w:r>
      <w:r w:rsidRPr="00985266">
        <w:rPr>
          <w:i/>
          <w:iCs/>
        </w:rPr>
        <w:t>Studien zur Altägyptischen Kultu</w:t>
      </w:r>
      <w:r w:rsidRPr="00985266">
        <w:t>r, 34, pp. 353-375</w:t>
      </w:r>
    </w:p>
    <w:p w14:paraId="61481BA8" w14:textId="77777777" w:rsidR="00EB202A" w:rsidRPr="00985266" w:rsidRDefault="00EB202A" w:rsidP="00EB202A">
      <w:pPr>
        <w:spacing w:line="360" w:lineRule="auto"/>
        <w:rPr>
          <w:sz w:val="22"/>
          <w:szCs w:val="22"/>
        </w:rPr>
      </w:pPr>
    </w:p>
    <w:p w14:paraId="626E1B27" w14:textId="738F12DE" w:rsidR="00EB202A" w:rsidRDefault="00EB202A" w:rsidP="00EB202A">
      <w:pPr>
        <w:spacing w:line="360" w:lineRule="auto"/>
      </w:pPr>
      <w:r w:rsidRPr="00985266">
        <w:t xml:space="preserve">Quirke, S. (2015), </w:t>
      </w:r>
      <w:r w:rsidRPr="00985266">
        <w:rPr>
          <w:i/>
          <w:iCs/>
        </w:rPr>
        <w:t xml:space="preserve">Exploring Religion in Ancient Egypt, </w:t>
      </w:r>
      <w:r w:rsidRPr="00985266">
        <w:t>Oxford, Wiley Blackwell</w:t>
      </w:r>
    </w:p>
    <w:p w14:paraId="52D3BEF7" w14:textId="77777777" w:rsidR="00985266" w:rsidRPr="00985266" w:rsidRDefault="00985266" w:rsidP="00EB202A">
      <w:pPr>
        <w:spacing w:line="360" w:lineRule="auto"/>
      </w:pPr>
    </w:p>
    <w:p w14:paraId="35148CC6" w14:textId="77777777" w:rsidR="00EB202A" w:rsidRPr="00985266" w:rsidRDefault="00EB202A" w:rsidP="00EB202A">
      <w:pPr>
        <w:spacing w:line="360" w:lineRule="auto"/>
      </w:pPr>
      <w:r w:rsidRPr="00985266">
        <w:t xml:space="preserve">Ray, J. (1994), Hatshepsut: The Female Pharaoh, </w:t>
      </w:r>
      <w:r w:rsidRPr="00985266">
        <w:rPr>
          <w:i/>
        </w:rPr>
        <w:t>History Today</w:t>
      </w:r>
      <w:r w:rsidRPr="00985266">
        <w:t xml:space="preserve">, 44(5), 23-29, accessed on </w:t>
      </w:r>
      <w:hyperlink r:id="rId21" w:history="1">
        <w:r w:rsidRPr="00985266">
          <w:rPr>
            <w:rStyle w:val="Hyperlink"/>
          </w:rPr>
          <w:t>https://search-proquest-com.ezproxy.uwtsd.ac.uk/docview/202809985?accountid=130472&amp;rfr_id=info%3Axri%2Fsid</w:t>
        </w:r>
        <w:r w:rsidRPr="00985266">
          <w:rPr>
            <w:rStyle w:val="Hyperlink"/>
          </w:rPr>
          <w:t>%</w:t>
        </w:r>
        <w:r w:rsidRPr="00985266">
          <w:rPr>
            <w:rStyle w:val="Hyperlink"/>
          </w:rPr>
          <w:t>3Aprimo</w:t>
        </w:r>
      </w:hyperlink>
    </w:p>
    <w:p w14:paraId="70694717" w14:textId="77777777" w:rsidR="00EB202A" w:rsidRPr="00985266" w:rsidRDefault="00EB202A" w:rsidP="00EB202A">
      <w:pPr>
        <w:spacing w:line="360" w:lineRule="auto"/>
      </w:pPr>
    </w:p>
    <w:p w14:paraId="11D94248" w14:textId="77777777" w:rsidR="00EB202A" w:rsidRPr="00985266" w:rsidRDefault="00EB202A" w:rsidP="00EB202A">
      <w:pPr>
        <w:spacing w:line="360" w:lineRule="auto"/>
      </w:pPr>
      <w:r w:rsidRPr="00985266">
        <w:t xml:space="preserve">Ray, J. (2002), </w:t>
      </w:r>
      <w:r w:rsidRPr="00985266">
        <w:rPr>
          <w:i/>
        </w:rPr>
        <w:t xml:space="preserve">Reflections of Osiris: Lives from Ancient Egypt, </w:t>
      </w:r>
      <w:r w:rsidRPr="00985266">
        <w:t xml:space="preserve">New York, Oxford University Press </w:t>
      </w:r>
    </w:p>
    <w:p w14:paraId="56D0809F" w14:textId="77777777" w:rsidR="00EB202A" w:rsidRPr="00985266" w:rsidRDefault="00EB202A" w:rsidP="00EB202A">
      <w:pPr>
        <w:spacing w:line="360" w:lineRule="auto"/>
      </w:pPr>
    </w:p>
    <w:p w14:paraId="17E34402" w14:textId="77777777" w:rsidR="00EB202A" w:rsidRPr="00985266" w:rsidRDefault="00EB202A" w:rsidP="00EB202A">
      <w:pPr>
        <w:spacing w:line="360" w:lineRule="auto"/>
      </w:pPr>
      <w:r w:rsidRPr="00985266">
        <w:t xml:space="preserve">Redford, D. (1984), </w:t>
      </w:r>
      <w:r w:rsidRPr="00985266">
        <w:rPr>
          <w:i/>
          <w:iCs/>
        </w:rPr>
        <w:t xml:space="preserve">Akhenaten: The Heretic King, </w:t>
      </w:r>
      <w:r w:rsidRPr="00985266">
        <w:t xml:space="preserve">Princeton, Princeton University Press </w:t>
      </w:r>
    </w:p>
    <w:p w14:paraId="04B4B7F4" w14:textId="77777777" w:rsidR="00EB202A" w:rsidRPr="00985266" w:rsidRDefault="00EB202A" w:rsidP="00EB202A">
      <w:pPr>
        <w:spacing w:line="360" w:lineRule="auto"/>
      </w:pPr>
    </w:p>
    <w:p w14:paraId="714D1C3C" w14:textId="0DCECA25" w:rsidR="00EB202A" w:rsidRPr="00985266" w:rsidRDefault="00EB202A" w:rsidP="00EB202A">
      <w:pPr>
        <w:spacing w:line="360" w:lineRule="auto"/>
      </w:pPr>
      <w:r w:rsidRPr="00985266">
        <w:t xml:space="preserve">Redford, D. (1995), “The Concept of Kingship during the Eighteenth Dynasty” in O’Connor, D. and Silverman, D.P. eds. </w:t>
      </w:r>
      <w:r w:rsidRPr="00985266">
        <w:rPr>
          <w:i/>
        </w:rPr>
        <w:t xml:space="preserve">Ancient Egyptian Kingship, </w:t>
      </w:r>
      <w:r w:rsidRPr="00985266">
        <w:t>Leiden, Brill, pp. 157-185</w:t>
      </w:r>
    </w:p>
    <w:p w14:paraId="512D9860" w14:textId="77777777" w:rsidR="00EB202A" w:rsidRPr="00985266" w:rsidRDefault="00EB202A" w:rsidP="00EB202A">
      <w:pPr>
        <w:spacing w:line="360" w:lineRule="auto"/>
      </w:pPr>
    </w:p>
    <w:p w14:paraId="36410AC1" w14:textId="77777777" w:rsidR="00EB202A" w:rsidRPr="00985266" w:rsidRDefault="00EB202A" w:rsidP="00EB202A">
      <w:pPr>
        <w:spacing w:line="360" w:lineRule="auto"/>
      </w:pPr>
      <w:r w:rsidRPr="00985266">
        <w:t xml:space="preserve">Redford, D. (2013), Akhenaten: New Theories and Old Facts, </w:t>
      </w:r>
      <w:r w:rsidRPr="00985266">
        <w:rPr>
          <w:i/>
          <w:iCs/>
        </w:rPr>
        <w:t xml:space="preserve">Bulletin of the American Schools of Oriental Research, </w:t>
      </w:r>
      <w:r w:rsidRPr="00985266">
        <w:t>369, pp.9-34</w:t>
      </w:r>
    </w:p>
    <w:p w14:paraId="784669BF" w14:textId="77777777" w:rsidR="00EB202A" w:rsidRPr="00985266" w:rsidRDefault="00EB202A" w:rsidP="00EB202A">
      <w:pPr>
        <w:spacing w:line="360" w:lineRule="auto"/>
      </w:pPr>
    </w:p>
    <w:p w14:paraId="4053CA35" w14:textId="77777777" w:rsidR="00EB202A" w:rsidRPr="00985266" w:rsidRDefault="00EB202A" w:rsidP="00EB202A">
      <w:pPr>
        <w:spacing w:line="360" w:lineRule="auto"/>
        <w:rPr>
          <w:i/>
          <w:iCs/>
        </w:rPr>
      </w:pPr>
      <w:r w:rsidRPr="00985266">
        <w:t xml:space="preserve">Ritner, R. (1993), </w:t>
      </w:r>
      <w:r w:rsidRPr="00985266">
        <w:rPr>
          <w:i/>
          <w:iCs/>
        </w:rPr>
        <w:t xml:space="preserve">The Mechanics of Ancient Egyptian Magical Practice, </w:t>
      </w:r>
      <w:r w:rsidRPr="00985266">
        <w:t xml:space="preserve">Studies, Studies in Ancient Oriental Civilisation No.54, Chicago, The Oriental Institute of Chicago </w:t>
      </w:r>
      <w:r w:rsidRPr="00985266">
        <w:rPr>
          <w:i/>
          <w:iCs/>
        </w:rPr>
        <w:t xml:space="preserve"> </w:t>
      </w:r>
    </w:p>
    <w:p w14:paraId="69813CFA" w14:textId="0B9959C9" w:rsidR="00EB202A" w:rsidRDefault="00EB202A" w:rsidP="00EB202A">
      <w:pPr>
        <w:spacing w:line="360" w:lineRule="auto"/>
      </w:pPr>
      <w:r w:rsidRPr="00985266">
        <w:t xml:space="preserve">Roehrig, C., Dreyfus, R. and Keller, C. (2005), “Introduction” in Roehrig, C., Dreyfus, R. and Keller, C. eds. </w:t>
      </w:r>
      <w:r w:rsidRPr="00985266">
        <w:rPr>
          <w:i/>
        </w:rPr>
        <w:t>Hatshepsut: From Queen to Pharaoh</w:t>
      </w:r>
      <w:r w:rsidRPr="00985266">
        <w:t xml:space="preserve">, New York, The Metropolitan Museum of Art, pp. 2-6 </w:t>
      </w:r>
    </w:p>
    <w:p w14:paraId="15163536" w14:textId="10040D25" w:rsidR="00B760DC" w:rsidRDefault="00B760DC" w:rsidP="00EB202A">
      <w:pPr>
        <w:spacing w:line="360" w:lineRule="auto"/>
      </w:pPr>
    </w:p>
    <w:p w14:paraId="06790495" w14:textId="5F89EDB5" w:rsidR="00B760DC" w:rsidRPr="00B760DC" w:rsidRDefault="00B760DC" w:rsidP="00EB202A">
      <w:pPr>
        <w:spacing w:line="360" w:lineRule="auto"/>
      </w:pPr>
      <w:r>
        <w:t xml:space="preserve">Robins, G. (1993), </w:t>
      </w:r>
      <w:r>
        <w:rPr>
          <w:i/>
          <w:iCs/>
        </w:rPr>
        <w:t xml:space="preserve">Women in Ancient Egypt, </w:t>
      </w:r>
      <w:r>
        <w:t xml:space="preserve">Cambridge, Massachusetts, Harvard University Press </w:t>
      </w:r>
    </w:p>
    <w:p w14:paraId="1E0D27FA" w14:textId="77777777" w:rsidR="00EB202A" w:rsidRPr="00985266" w:rsidRDefault="00EB202A" w:rsidP="00EB202A">
      <w:pPr>
        <w:spacing w:line="360" w:lineRule="auto"/>
      </w:pPr>
    </w:p>
    <w:p w14:paraId="14A5681A" w14:textId="32914F3B" w:rsidR="00B760DC" w:rsidRPr="00985266" w:rsidRDefault="00EB202A" w:rsidP="00EB202A">
      <w:pPr>
        <w:spacing w:line="360" w:lineRule="auto"/>
      </w:pPr>
      <w:r w:rsidRPr="00985266">
        <w:t xml:space="preserve">Robins, G. (1999), The Names of Hatshepsut as King, </w:t>
      </w:r>
      <w:r w:rsidRPr="00985266">
        <w:rPr>
          <w:i/>
        </w:rPr>
        <w:t>The Journal of Egyptian Archaeology</w:t>
      </w:r>
      <w:r w:rsidRPr="00985266">
        <w:t xml:space="preserve">, 85, pp. 103-112, available from </w:t>
      </w:r>
      <w:hyperlink r:id="rId22" w:history="1">
        <w:r w:rsidRPr="00985266">
          <w:rPr>
            <w:rStyle w:val="Hyperlink"/>
          </w:rPr>
          <w:t>www.JSTOR.org</w:t>
        </w:r>
      </w:hyperlink>
      <w:r w:rsidRPr="00985266">
        <w:t xml:space="preserve"> </w:t>
      </w:r>
    </w:p>
    <w:p w14:paraId="56E8480E" w14:textId="77777777" w:rsidR="00EB202A" w:rsidRPr="00985266" w:rsidRDefault="00EB202A" w:rsidP="00EB202A">
      <w:pPr>
        <w:spacing w:line="360" w:lineRule="auto"/>
      </w:pPr>
    </w:p>
    <w:p w14:paraId="28212185" w14:textId="77777777" w:rsidR="00EB202A" w:rsidRPr="00985266" w:rsidRDefault="00EB202A" w:rsidP="00EB202A">
      <w:pPr>
        <w:spacing w:line="360" w:lineRule="auto"/>
      </w:pPr>
      <w:r w:rsidRPr="00985266">
        <w:t xml:space="preserve">Roth, A. M. (2005), “Models of Authority: Hatshepsut’s Predecessors in Power” in Roehrig, C., Dreyfus, R. and Keller, C. eds. </w:t>
      </w:r>
      <w:r w:rsidRPr="00985266">
        <w:rPr>
          <w:i/>
        </w:rPr>
        <w:t>Hatshepsut: From Queen to Pharaoh</w:t>
      </w:r>
      <w:r w:rsidRPr="00985266">
        <w:t>, New York, The Metropolitan Museum of Art, pp. 9-15</w:t>
      </w:r>
    </w:p>
    <w:p w14:paraId="1A0FBC64" w14:textId="77777777" w:rsidR="00EB202A" w:rsidRPr="00985266" w:rsidRDefault="00EB202A" w:rsidP="00EB202A">
      <w:pPr>
        <w:spacing w:line="360" w:lineRule="auto"/>
      </w:pPr>
    </w:p>
    <w:p w14:paraId="68BB1055" w14:textId="77777777" w:rsidR="00EB202A" w:rsidRPr="00985266" w:rsidRDefault="00EB202A" w:rsidP="00EB202A">
      <w:pPr>
        <w:spacing w:line="360" w:lineRule="auto"/>
      </w:pPr>
      <w:r w:rsidRPr="00985266">
        <w:t xml:space="preserve">Roth, A. M. (2005b.), “Hatshepsut’s Mortuary Temple at Deir el-Bahri: Architecture as Political Statement” in Roehrig, C., Dreyfus, R. and Keller, C. eds. </w:t>
      </w:r>
      <w:r w:rsidRPr="00985266">
        <w:rPr>
          <w:i/>
        </w:rPr>
        <w:t>Hatshepsut: From Queen to Pharaoh</w:t>
      </w:r>
      <w:r w:rsidRPr="00985266">
        <w:t>, New York, The Metropolitan Museum of Art, pp. 147-158</w:t>
      </w:r>
    </w:p>
    <w:p w14:paraId="6B6E7C12" w14:textId="77777777" w:rsidR="00EB202A" w:rsidRPr="00985266" w:rsidRDefault="00EB202A" w:rsidP="00EB202A">
      <w:pPr>
        <w:spacing w:line="360" w:lineRule="auto"/>
        <w:rPr>
          <w:sz w:val="22"/>
          <w:szCs w:val="22"/>
        </w:rPr>
      </w:pPr>
    </w:p>
    <w:p w14:paraId="089AADA9" w14:textId="77777777" w:rsidR="00EB202A" w:rsidRPr="00985266" w:rsidRDefault="00EB202A" w:rsidP="00EB202A">
      <w:pPr>
        <w:spacing w:line="360" w:lineRule="auto"/>
      </w:pPr>
      <w:r w:rsidRPr="00985266">
        <w:t xml:space="preserve">Sankiewicz, M. (2010), The ‘co-regency’ of Hatshepsut and Thutmose III in the light of iconography in the temple of Hatshepsut at Deir el-Bahari, </w:t>
      </w:r>
      <w:r w:rsidRPr="00985266">
        <w:rPr>
          <w:i/>
          <w:iCs/>
        </w:rPr>
        <w:t>Current Research in Egyptology 2010. Proceedings of the Eleventh Annual Symposium</w:t>
      </w:r>
      <w:r w:rsidRPr="00985266">
        <w:t xml:space="preserve">. Leiden University 2010, M. Horn, J. Kramer, N. Staring, C. van den Hoven, L. Weiss (eds.), Oxford, Oakville 2011, available from </w:t>
      </w:r>
      <w:hyperlink r:id="rId23" w:history="1">
        <w:r w:rsidRPr="00985266">
          <w:rPr>
            <w:rStyle w:val="Hyperlink"/>
          </w:rPr>
          <w:t>www.academia.edu</w:t>
        </w:r>
      </w:hyperlink>
      <w:r w:rsidRPr="00985266">
        <w:t>, pp. 131-144</w:t>
      </w:r>
    </w:p>
    <w:p w14:paraId="3104EE42" w14:textId="77777777" w:rsidR="00EB202A" w:rsidRPr="00985266" w:rsidRDefault="00EB202A" w:rsidP="00EB202A">
      <w:pPr>
        <w:spacing w:line="360" w:lineRule="auto"/>
      </w:pPr>
    </w:p>
    <w:p w14:paraId="253526DB" w14:textId="77777777" w:rsidR="00EB202A" w:rsidRPr="00985266" w:rsidRDefault="00EB202A" w:rsidP="00EB202A">
      <w:pPr>
        <w:spacing w:line="360" w:lineRule="auto"/>
      </w:pPr>
      <w:r w:rsidRPr="00985266">
        <w:t xml:space="preserve">Schorsch, D. and Wypyski, M. (2009), Seth, “Figure of Mystery”, </w:t>
      </w:r>
      <w:r w:rsidRPr="00985266">
        <w:rPr>
          <w:i/>
          <w:iCs/>
        </w:rPr>
        <w:t xml:space="preserve">Journal of the American Research Centre in Egypt, </w:t>
      </w:r>
      <w:r w:rsidRPr="00985266">
        <w:t xml:space="preserve">45, pp.177-200, accessed on JSTOR </w:t>
      </w:r>
    </w:p>
    <w:p w14:paraId="032060FA" w14:textId="77777777" w:rsidR="00EB202A" w:rsidRPr="00985266" w:rsidRDefault="00EB202A" w:rsidP="00EB202A">
      <w:pPr>
        <w:spacing w:line="360" w:lineRule="auto"/>
      </w:pPr>
    </w:p>
    <w:p w14:paraId="0C34F9E4" w14:textId="77777777" w:rsidR="00EB202A" w:rsidRPr="00985266" w:rsidRDefault="00EB202A" w:rsidP="00EB202A">
      <w:pPr>
        <w:spacing w:line="360" w:lineRule="auto"/>
      </w:pPr>
      <w:r w:rsidRPr="00985266">
        <w:t xml:space="preserve">Shafer, B. (1997), “Temples, Priests and Rituals” in Shafer, B. ed. </w:t>
      </w:r>
      <w:r w:rsidRPr="00985266">
        <w:rPr>
          <w:i/>
          <w:iCs/>
        </w:rPr>
        <w:t xml:space="preserve">Temples of Ancient Egypt, </w:t>
      </w:r>
      <w:r w:rsidRPr="00985266">
        <w:t>London/New York, I.B. Tauris</w:t>
      </w:r>
    </w:p>
    <w:p w14:paraId="6763539B" w14:textId="77777777" w:rsidR="00EB202A" w:rsidRPr="00985266" w:rsidRDefault="00EB202A" w:rsidP="00EB202A">
      <w:pPr>
        <w:spacing w:line="360" w:lineRule="auto"/>
      </w:pPr>
    </w:p>
    <w:p w14:paraId="688B3F7B" w14:textId="77777777" w:rsidR="00EB202A" w:rsidRPr="00985266" w:rsidRDefault="00EB202A" w:rsidP="00EB202A">
      <w:pPr>
        <w:spacing w:line="360" w:lineRule="auto"/>
      </w:pPr>
      <w:r w:rsidRPr="00985266">
        <w:t xml:space="preserve">Shaw, I. (1994), Balustrades, Stairs and Altars in the Cult of the Aten at El-Amarna, </w:t>
      </w:r>
      <w:r w:rsidRPr="00985266">
        <w:rPr>
          <w:i/>
          <w:iCs/>
        </w:rPr>
        <w:t xml:space="preserve">The Journal of Egyptian Archaeology, </w:t>
      </w:r>
      <w:r w:rsidRPr="00985266">
        <w:t>80, pp.109-127, accessed on www.JSTOR.org</w:t>
      </w:r>
    </w:p>
    <w:p w14:paraId="410F4EF7" w14:textId="77777777" w:rsidR="00EB202A" w:rsidRPr="00985266" w:rsidRDefault="00EB202A" w:rsidP="00EB202A">
      <w:pPr>
        <w:spacing w:line="360" w:lineRule="auto"/>
      </w:pPr>
    </w:p>
    <w:p w14:paraId="0355282F" w14:textId="77777777" w:rsidR="00EB202A" w:rsidRPr="00985266" w:rsidRDefault="00EB202A" w:rsidP="00EB202A">
      <w:pPr>
        <w:spacing w:line="360" w:lineRule="auto"/>
      </w:pPr>
      <w:r w:rsidRPr="00985266">
        <w:t xml:space="preserve">Shaw, I. (2004), </w:t>
      </w:r>
      <w:r w:rsidRPr="00985266">
        <w:rPr>
          <w:i/>
          <w:iCs/>
        </w:rPr>
        <w:t xml:space="preserve">Ancient Egypt: A Very Short Introduction, </w:t>
      </w:r>
      <w:r w:rsidRPr="00985266">
        <w:t>Oxford, Oxford University Press</w:t>
      </w:r>
    </w:p>
    <w:p w14:paraId="74F34D5E" w14:textId="77777777" w:rsidR="00EB202A" w:rsidRPr="00985266" w:rsidRDefault="00EB202A" w:rsidP="00EB202A">
      <w:pPr>
        <w:spacing w:line="360" w:lineRule="auto"/>
      </w:pPr>
    </w:p>
    <w:p w14:paraId="34EBF521" w14:textId="77777777" w:rsidR="00EB202A" w:rsidRPr="00985266" w:rsidRDefault="00EB202A" w:rsidP="00EB202A">
      <w:pPr>
        <w:spacing w:line="360" w:lineRule="auto"/>
      </w:pPr>
      <w:r w:rsidRPr="00985266">
        <w:lastRenderedPageBreak/>
        <w:t xml:space="preserve">Shaw, I. and Nicholson, P. (2003), </w:t>
      </w:r>
      <w:r w:rsidRPr="00985266">
        <w:rPr>
          <w:i/>
        </w:rPr>
        <w:t>The Dictionary of Ancient Egypt</w:t>
      </w:r>
      <w:r w:rsidRPr="00985266">
        <w:t>, New York, Harry N. Abrams</w:t>
      </w:r>
    </w:p>
    <w:p w14:paraId="5B27C5A2" w14:textId="77777777" w:rsidR="00EB202A" w:rsidRPr="00985266" w:rsidRDefault="00EB202A" w:rsidP="00EB202A">
      <w:pPr>
        <w:spacing w:line="360" w:lineRule="auto"/>
      </w:pPr>
    </w:p>
    <w:p w14:paraId="1FD5BF1B" w14:textId="0AD0919A" w:rsidR="00EB202A" w:rsidRDefault="00EB202A" w:rsidP="00EB202A">
      <w:pPr>
        <w:spacing w:line="360" w:lineRule="auto"/>
      </w:pPr>
      <w:r w:rsidRPr="00985266">
        <w:t xml:space="preserve">Shortland, A., Nicholson, P. and Jackson, C. (2001), “Glass and Faience at Amarna: Different methods of both supply for production, and subsequent distribution” in Shortland, A. ed. </w:t>
      </w:r>
      <w:r w:rsidRPr="00985266">
        <w:rPr>
          <w:i/>
          <w:iCs/>
        </w:rPr>
        <w:t xml:space="preserve">The Social Context of Technological Change: Egypt and The Near East 1650-1150 BC, </w:t>
      </w:r>
      <w:r w:rsidRPr="00985266">
        <w:t>Oxford, Oxbow Books</w:t>
      </w:r>
    </w:p>
    <w:p w14:paraId="7E6E7C5C" w14:textId="77777777" w:rsidR="009E231D" w:rsidRPr="00985266" w:rsidRDefault="009E231D" w:rsidP="00EB202A">
      <w:pPr>
        <w:spacing w:line="360" w:lineRule="auto"/>
      </w:pPr>
    </w:p>
    <w:p w14:paraId="66112DD2" w14:textId="77777777" w:rsidR="00EB202A" w:rsidRPr="00985266" w:rsidRDefault="00EB202A" w:rsidP="00EB202A">
      <w:pPr>
        <w:spacing w:line="360" w:lineRule="auto"/>
      </w:pPr>
      <w:r w:rsidRPr="00985266">
        <w:t xml:space="preserve">Silverman, D. (1992), “Divinities and Deities in Ancient Egypt” in Shafer, B. ed. </w:t>
      </w:r>
      <w:r w:rsidRPr="00985266">
        <w:rPr>
          <w:i/>
        </w:rPr>
        <w:t xml:space="preserve">Religion in Ancient Egypt, </w:t>
      </w:r>
      <w:r w:rsidRPr="00985266">
        <w:t>Ithaca, Cornell University Press, pp. 7-88</w:t>
      </w:r>
    </w:p>
    <w:p w14:paraId="3C17C847" w14:textId="77777777" w:rsidR="00EB202A" w:rsidRPr="00985266" w:rsidRDefault="00EB202A" w:rsidP="00EB202A">
      <w:pPr>
        <w:spacing w:line="360" w:lineRule="auto"/>
      </w:pPr>
    </w:p>
    <w:p w14:paraId="776B1059" w14:textId="77777777" w:rsidR="00EB202A" w:rsidRPr="00985266" w:rsidRDefault="00EB202A" w:rsidP="00EB202A">
      <w:pPr>
        <w:spacing w:line="360" w:lineRule="auto"/>
      </w:pPr>
      <w:r w:rsidRPr="00985266">
        <w:t xml:space="preserve">Silverman, D., Wegner, J.W and Wegner, J.H. (2006), </w:t>
      </w:r>
      <w:r w:rsidRPr="00985266">
        <w:rPr>
          <w:i/>
          <w:iCs/>
        </w:rPr>
        <w:t xml:space="preserve">Akhenaten and Tutankhamun: Revolution and Restoration, </w:t>
      </w:r>
      <w:r w:rsidRPr="00985266">
        <w:t>Philadelphia, University of Pennsylvania Museum of Archaeology and Anthropology</w:t>
      </w:r>
    </w:p>
    <w:p w14:paraId="615F2E40" w14:textId="77777777" w:rsidR="00EB202A" w:rsidRPr="00985266" w:rsidRDefault="00EB202A" w:rsidP="00EB202A">
      <w:pPr>
        <w:spacing w:line="360" w:lineRule="auto"/>
      </w:pPr>
    </w:p>
    <w:p w14:paraId="1B7E3A46" w14:textId="77777777" w:rsidR="00EB202A" w:rsidRPr="00985266" w:rsidRDefault="00EB202A" w:rsidP="00EB202A">
      <w:pPr>
        <w:spacing w:line="360" w:lineRule="auto"/>
        <w:rPr>
          <w:b/>
          <w:bCs/>
        </w:rPr>
      </w:pPr>
      <w:r w:rsidRPr="00985266">
        <w:t xml:space="preserve">Simpson, W.K. (2003), “Hymn to the Aten” in Simpson, W.K. ed. </w:t>
      </w:r>
      <w:r w:rsidRPr="00985266">
        <w:rPr>
          <w:i/>
          <w:iCs/>
        </w:rPr>
        <w:t xml:space="preserve">The Literature of Ancient Egypt: An Anthology of Stories, Instructions, Stelae, Autobiographies, and Poetry (Third Edition), </w:t>
      </w:r>
      <w:r w:rsidRPr="00985266">
        <w:t>New Haven, Yale University Press, pp. 278-284</w:t>
      </w:r>
    </w:p>
    <w:p w14:paraId="548E4DEB" w14:textId="77777777" w:rsidR="00EB202A" w:rsidRPr="00985266" w:rsidRDefault="00EB202A" w:rsidP="00EB202A">
      <w:pPr>
        <w:spacing w:line="360" w:lineRule="auto"/>
      </w:pPr>
    </w:p>
    <w:p w14:paraId="72501CF0" w14:textId="77777777" w:rsidR="00EB202A" w:rsidRPr="00985266" w:rsidRDefault="00EB202A" w:rsidP="00EB202A">
      <w:pPr>
        <w:spacing w:line="360" w:lineRule="auto"/>
      </w:pPr>
      <w:r w:rsidRPr="00985266">
        <w:t xml:space="preserve">Snape, S. (1996), </w:t>
      </w:r>
      <w:r w:rsidRPr="00985266">
        <w:rPr>
          <w:i/>
          <w:iCs/>
        </w:rPr>
        <w:t xml:space="preserve">Egyptian Temple, </w:t>
      </w:r>
      <w:r w:rsidRPr="00985266">
        <w:t>Aylesbury, Shire Egyptology</w:t>
      </w:r>
    </w:p>
    <w:p w14:paraId="06732AF6" w14:textId="77777777" w:rsidR="00EB202A" w:rsidRPr="00985266" w:rsidRDefault="00EB202A" w:rsidP="00EB202A">
      <w:pPr>
        <w:spacing w:line="360" w:lineRule="auto"/>
        <w:rPr>
          <w:sz w:val="22"/>
          <w:szCs w:val="22"/>
        </w:rPr>
      </w:pPr>
    </w:p>
    <w:p w14:paraId="0B43D7F1" w14:textId="77777777" w:rsidR="00EB202A" w:rsidRPr="00985266" w:rsidRDefault="00EB202A" w:rsidP="00EB202A">
      <w:pPr>
        <w:spacing w:line="360" w:lineRule="auto"/>
      </w:pPr>
      <w:r w:rsidRPr="00985266">
        <w:t xml:space="preserve">Spalinger, A. (2000), The Destruction of Mankind: A Transitional Literary Text, </w:t>
      </w:r>
      <w:r w:rsidRPr="00985266">
        <w:rPr>
          <w:i/>
          <w:iCs/>
        </w:rPr>
        <w:t xml:space="preserve">Studien zur Altägyptischen Kultur, </w:t>
      </w:r>
      <w:r w:rsidRPr="00985266">
        <w:t>28, pp.257-282, accessed on JSTOR</w:t>
      </w:r>
    </w:p>
    <w:p w14:paraId="44BFF159" w14:textId="77777777" w:rsidR="00EB202A" w:rsidRPr="00985266" w:rsidRDefault="00EB202A" w:rsidP="00EB202A">
      <w:pPr>
        <w:spacing w:line="360" w:lineRule="auto"/>
      </w:pPr>
    </w:p>
    <w:p w14:paraId="129AB109" w14:textId="77777777" w:rsidR="00EB202A" w:rsidRPr="00985266" w:rsidRDefault="00EB202A" w:rsidP="00EB202A">
      <w:pPr>
        <w:spacing w:line="360" w:lineRule="auto"/>
      </w:pPr>
      <w:r w:rsidRPr="00985266">
        <w:t xml:space="preserve">Spalinger, A. (2007), “The Army” in Wilkinson, T. ed. </w:t>
      </w:r>
      <w:r w:rsidRPr="00985266">
        <w:rPr>
          <w:i/>
        </w:rPr>
        <w:t xml:space="preserve">The Egyptian World, </w:t>
      </w:r>
      <w:r w:rsidRPr="00985266">
        <w:t>Abingdon, Routledge, pp. 118-131</w:t>
      </w:r>
    </w:p>
    <w:p w14:paraId="5386679B" w14:textId="77777777" w:rsidR="00EB202A" w:rsidRPr="00985266" w:rsidRDefault="00EB202A" w:rsidP="00EB202A">
      <w:pPr>
        <w:spacing w:line="360" w:lineRule="auto"/>
      </w:pPr>
    </w:p>
    <w:p w14:paraId="66418E22" w14:textId="77777777" w:rsidR="00EB202A" w:rsidRPr="00985266" w:rsidRDefault="00EB202A" w:rsidP="00EB202A">
      <w:pPr>
        <w:spacing w:line="360" w:lineRule="auto"/>
      </w:pPr>
      <w:r w:rsidRPr="00985266">
        <w:t xml:space="preserve">Spence, K. (2007), “Architecture” in Wilkinson, T. ed. </w:t>
      </w:r>
      <w:r w:rsidRPr="00985266">
        <w:rPr>
          <w:i/>
        </w:rPr>
        <w:t xml:space="preserve">The Egyptian World, </w:t>
      </w:r>
      <w:r w:rsidRPr="00985266">
        <w:t xml:space="preserve">Abingdon, Routledge, pp. 366-388 </w:t>
      </w:r>
    </w:p>
    <w:p w14:paraId="7BF68C9C" w14:textId="77777777" w:rsidR="00EB202A" w:rsidRPr="00985266" w:rsidRDefault="00EB202A" w:rsidP="00EB202A">
      <w:pPr>
        <w:spacing w:line="360" w:lineRule="auto"/>
      </w:pPr>
    </w:p>
    <w:p w14:paraId="3C7D29D8" w14:textId="77777777" w:rsidR="00EB202A" w:rsidRPr="00985266" w:rsidRDefault="00EB202A" w:rsidP="00EB202A">
      <w:pPr>
        <w:spacing w:line="360" w:lineRule="auto"/>
        <w:rPr>
          <w:iCs/>
        </w:rPr>
      </w:pPr>
      <w:r w:rsidRPr="00985266">
        <w:t xml:space="preserve">Spencer, N. (2010), “Priests and Temples: Pharaonic” in Lloyd, A.B. ed. </w:t>
      </w:r>
      <w:r w:rsidRPr="00985266">
        <w:rPr>
          <w:i/>
        </w:rPr>
        <w:t xml:space="preserve">A Companion to Ancient Egypt, </w:t>
      </w:r>
      <w:r w:rsidRPr="00985266">
        <w:rPr>
          <w:iCs/>
        </w:rPr>
        <w:t>Oxford, Blackwell</w:t>
      </w:r>
    </w:p>
    <w:p w14:paraId="28BB0FF9" w14:textId="77777777" w:rsidR="00EB202A" w:rsidRPr="00985266" w:rsidRDefault="00EB202A" w:rsidP="00EB202A">
      <w:pPr>
        <w:spacing w:line="360" w:lineRule="auto"/>
        <w:rPr>
          <w:iCs/>
        </w:rPr>
      </w:pPr>
    </w:p>
    <w:p w14:paraId="2B608865" w14:textId="77777777" w:rsidR="00EB202A" w:rsidRPr="00985266" w:rsidRDefault="00EB202A" w:rsidP="00EB202A">
      <w:pPr>
        <w:spacing w:line="360" w:lineRule="auto"/>
        <w:rPr>
          <w:iCs/>
        </w:rPr>
      </w:pPr>
      <w:r w:rsidRPr="00985266">
        <w:rPr>
          <w:iCs/>
        </w:rPr>
        <w:t xml:space="preserve">Strudwick, H. and Strudwick, N. (1999), </w:t>
      </w:r>
      <w:r w:rsidRPr="00985266">
        <w:rPr>
          <w:i/>
        </w:rPr>
        <w:t xml:space="preserve">Thebes in Egypt: A Guide to the Tombs and Temples of Ancient Luxor, </w:t>
      </w:r>
      <w:r w:rsidRPr="00985266">
        <w:rPr>
          <w:iCs/>
        </w:rPr>
        <w:t>Ithaca, Cornell University Press</w:t>
      </w:r>
    </w:p>
    <w:p w14:paraId="315D425D" w14:textId="77777777" w:rsidR="00EB202A" w:rsidRPr="00985266" w:rsidRDefault="00EB202A" w:rsidP="00EB202A">
      <w:pPr>
        <w:spacing w:line="360" w:lineRule="auto"/>
      </w:pPr>
    </w:p>
    <w:p w14:paraId="61C7C20D" w14:textId="77777777" w:rsidR="00EB202A" w:rsidRPr="00985266" w:rsidRDefault="00EB202A" w:rsidP="00EB202A">
      <w:pPr>
        <w:spacing w:line="360" w:lineRule="auto"/>
      </w:pPr>
      <w:r w:rsidRPr="00985266">
        <w:t xml:space="preserve">Szafrański, Z. (2014), “The Exceptional Creativity of Hatshepsut”, in Galán, J., Bryan, B. and Dorman, P. eds. </w:t>
      </w:r>
      <w:r w:rsidRPr="00985266">
        <w:rPr>
          <w:i/>
        </w:rPr>
        <w:t>SAOC 69: Creativity and Innovation in the Reign of Hatshepsut</w:t>
      </w:r>
      <w:r w:rsidRPr="00985266">
        <w:t>, Chicago, University of Chicago, pp. 125-139</w:t>
      </w:r>
    </w:p>
    <w:p w14:paraId="476C4583" w14:textId="77777777" w:rsidR="00EB202A" w:rsidRPr="00985266" w:rsidRDefault="00EB202A" w:rsidP="00EB202A">
      <w:pPr>
        <w:spacing w:line="360" w:lineRule="auto"/>
      </w:pPr>
    </w:p>
    <w:p w14:paraId="1FB395CC" w14:textId="7366F5F9" w:rsidR="00EB202A" w:rsidRPr="00985266" w:rsidRDefault="00EB202A" w:rsidP="00EB202A">
      <w:pPr>
        <w:spacing w:line="360" w:lineRule="auto"/>
        <w:rPr>
          <w:iCs/>
        </w:rPr>
      </w:pPr>
      <w:r w:rsidRPr="00985266">
        <w:rPr>
          <w:iCs/>
        </w:rPr>
        <w:t xml:space="preserve">Szpakowska, K. (2012), “Hidden Voices: Unveiling women in Ancient Egypt” in Dillon, S. and James, S.J. eds. </w:t>
      </w:r>
      <w:r w:rsidRPr="00985266">
        <w:rPr>
          <w:i/>
        </w:rPr>
        <w:t xml:space="preserve">A Companion </w:t>
      </w:r>
      <w:r w:rsidR="00985266" w:rsidRPr="00985266">
        <w:rPr>
          <w:i/>
        </w:rPr>
        <w:t>to</w:t>
      </w:r>
      <w:r w:rsidRPr="00985266">
        <w:rPr>
          <w:i/>
        </w:rPr>
        <w:t xml:space="preserve"> Women in the Ancient World, </w:t>
      </w:r>
      <w:r w:rsidRPr="00985266">
        <w:rPr>
          <w:iCs/>
        </w:rPr>
        <w:t>Oxford, Wiley-Blackwell, pp. 25-38</w:t>
      </w:r>
    </w:p>
    <w:p w14:paraId="47867978" w14:textId="77777777" w:rsidR="00EB202A" w:rsidRPr="00985266" w:rsidRDefault="00EB202A" w:rsidP="00EB202A">
      <w:pPr>
        <w:spacing w:line="360" w:lineRule="auto"/>
      </w:pPr>
    </w:p>
    <w:p w14:paraId="0CEEB994" w14:textId="77777777" w:rsidR="00EB202A" w:rsidRPr="00985266" w:rsidRDefault="00EB202A" w:rsidP="00EB202A">
      <w:pPr>
        <w:spacing w:line="360" w:lineRule="auto"/>
      </w:pPr>
      <w:r w:rsidRPr="00985266">
        <w:t xml:space="preserve">Teeter, E. (1990), Wearer of the Royal Uraeus: Hatshepsut, </w:t>
      </w:r>
      <w:r w:rsidRPr="00985266">
        <w:rPr>
          <w:i/>
          <w:iCs/>
        </w:rPr>
        <w:t xml:space="preserve">KMT, </w:t>
      </w:r>
      <w:r w:rsidRPr="00985266">
        <w:t>1(1), pp. 4–13</w:t>
      </w:r>
    </w:p>
    <w:p w14:paraId="3D521318" w14:textId="77777777" w:rsidR="00EB202A" w:rsidRPr="00985266" w:rsidRDefault="00EB202A" w:rsidP="00EB202A">
      <w:pPr>
        <w:spacing w:line="360" w:lineRule="auto"/>
      </w:pPr>
    </w:p>
    <w:p w14:paraId="10B35FA1" w14:textId="77777777" w:rsidR="00EB202A" w:rsidRPr="00985266" w:rsidRDefault="00EB202A" w:rsidP="00EB202A">
      <w:pPr>
        <w:spacing w:line="360" w:lineRule="auto"/>
      </w:pPr>
      <w:r w:rsidRPr="00985266">
        <w:t xml:space="preserve">Teeter, E. (2006), Museum Review: Hatshepsut and Her World, </w:t>
      </w:r>
      <w:r w:rsidRPr="00985266">
        <w:rPr>
          <w:i/>
        </w:rPr>
        <w:t xml:space="preserve">American Journal of Archaeology, </w:t>
      </w:r>
      <w:r w:rsidRPr="00985266">
        <w:t xml:space="preserve">110(4), pp. 649-653, accessed on 2/11/2019, Available on </w:t>
      </w:r>
      <w:hyperlink r:id="rId24" w:history="1">
        <w:r w:rsidRPr="00985266">
          <w:rPr>
            <w:rStyle w:val="Hyperlink"/>
          </w:rPr>
          <w:t>www.JSTOR.org</w:t>
        </w:r>
      </w:hyperlink>
    </w:p>
    <w:p w14:paraId="4C686A25" w14:textId="77777777" w:rsidR="00EB202A" w:rsidRPr="00985266" w:rsidRDefault="00EB202A" w:rsidP="00EB202A">
      <w:pPr>
        <w:spacing w:line="360" w:lineRule="auto"/>
      </w:pPr>
    </w:p>
    <w:p w14:paraId="5CBCF24B" w14:textId="77777777" w:rsidR="00EB202A" w:rsidRPr="00985266" w:rsidRDefault="00EB202A" w:rsidP="00EB202A">
      <w:pPr>
        <w:spacing w:line="360" w:lineRule="auto"/>
      </w:pPr>
      <w:r w:rsidRPr="00985266">
        <w:t xml:space="preserve">Teeter, E, (2011), </w:t>
      </w:r>
      <w:r w:rsidRPr="00985266">
        <w:rPr>
          <w:i/>
          <w:iCs/>
        </w:rPr>
        <w:t xml:space="preserve">Religion and Ritual in Ancient Egypt, </w:t>
      </w:r>
      <w:r w:rsidRPr="00985266">
        <w:t>New York, Cambridge University Press</w:t>
      </w:r>
    </w:p>
    <w:p w14:paraId="57A813D1" w14:textId="77777777" w:rsidR="00EB202A" w:rsidRPr="00985266" w:rsidRDefault="00EB202A" w:rsidP="00EB202A">
      <w:pPr>
        <w:spacing w:line="360" w:lineRule="auto"/>
      </w:pPr>
    </w:p>
    <w:p w14:paraId="660D1A55" w14:textId="77777777" w:rsidR="00EB202A" w:rsidRPr="00985266" w:rsidRDefault="00EB202A" w:rsidP="00EB202A">
      <w:pPr>
        <w:spacing w:line="360" w:lineRule="auto"/>
      </w:pPr>
      <w:r w:rsidRPr="00985266">
        <w:t xml:space="preserve">Thimes, J.L. (2016), The Lotus of Ancient Egypt, </w:t>
      </w:r>
      <w:r w:rsidRPr="00985266">
        <w:rPr>
          <w:i/>
          <w:iCs/>
        </w:rPr>
        <w:t xml:space="preserve">Ancient Egypt Magazine, </w:t>
      </w:r>
      <w:r w:rsidRPr="00985266">
        <w:t>17(1), pp.44-49</w:t>
      </w:r>
    </w:p>
    <w:p w14:paraId="1FB80DD1" w14:textId="77777777" w:rsidR="00EB202A" w:rsidRPr="00985266" w:rsidRDefault="00EB202A" w:rsidP="00EB202A">
      <w:pPr>
        <w:spacing w:line="360" w:lineRule="auto"/>
      </w:pPr>
    </w:p>
    <w:p w14:paraId="72F6C3B8" w14:textId="1DBAB6EE" w:rsidR="00EB202A" w:rsidRPr="00985266" w:rsidRDefault="00985266" w:rsidP="00EB202A">
      <w:pPr>
        <w:spacing w:line="360" w:lineRule="auto"/>
      </w:pPr>
      <w:r w:rsidRPr="00985266">
        <w:t xml:space="preserve">Tobin, V. (1988), Mytho-Theology in Ancient Egypt, </w:t>
      </w:r>
      <w:r w:rsidRPr="00985266">
        <w:rPr>
          <w:i/>
          <w:iCs/>
        </w:rPr>
        <w:t xml:space="preserve">Journal of the American Research Centre in Egypt, </w:t>
      </w:r>
      <w:r w:rsidRPr="00985266">
        <w:t>25, pp.169-183</w:t>
      </w:r>
    </w:p>
    <w:p w14:paraId="7FBF5DE7" w14:textId="77777777" w:rsidR="00EB202A" w:rsidRPr="00985266" w:rsidRDefault="00EB202A" w:rsidP="00EB202A">
      <w:pPr>
        <w:spacing w:line="360" w:lineRule="auto"/>
        <w:rPr>
          <w:sz w:val="22"/>
          <w:szCs w:val="22"/>
        </w:rPr>
      </w:pPr>
    </w:p>
    <w:p w14:paraId="6B82750E" w14:textId="77777777" w:rsidR="00EB202A" w:rsidRPr="00985266" w:rsidRDefault="00EB202A" w:rsidP="00EB202A">
      <w:pPr>
        <w:spacing w:line="360" w:lineRule="auto"/>
      </w:pPr>
      <w:r w:rsidRPr="00985266">
        <w:t xml:space="preserve">Troy, L. (2006), “Religion and Cult During the Time of Thutmose III” in Cline, E. and O’Connor, D. eds. </w:t>
      </w:r>
      <w:r w:rsidRPr="00985266">
        <w:rPr>
          <w:i/>
        </w:rPr>
        <w:t xml:space="preserve">Thutmose III: A New Biography, </w:t>
      </w:r>
      <w:r w:rsidRPr="00985266">
        <w:t>Ann Arbor, University of Michigan Press</w:t>
      </w:r>
    </w:p>
    <w:p w14:paraId="06D189F5" w14:textId="77777777" w:rsidR="00EB202A" w:rsidRPr="00985266" w:rsidRDefault="00EB202A" w:rsidP="00EB202A">
      <w:pPr>
        <w:spacing w:line="360" w:lineRule="auto"/>
      </w:pPr>
    </w:p>
    <w:p w14:paraId="2FA636D3" w14:textId="77777777" w:rsidR="00EB202A" w:rsidRPr="00985266" w:rsidRDefault="00EB202A" w:rsidP="00EB202A">
      <w:pPr>
        <w:spacing w:line="360" w:lineRule="auto"/>
      </w:pPr>
      <w:r w:rsidRPr="00985266">
        <w:t xml:space="preserve">Tyldesley, J. (1996), </w:t>
      </w:r>
      <w:r w:rsidRPr="00985266">
        <w:rPr>
          <w:i/>
        </w:rPr>
        <w:t xml:space="preserve">Hatchepsut: The Female Pharaoh, </w:t>
      </w:r>
      <w:r w:rsidRPr="00985266">
        <w:t>London: Penguin</w:t>
      </w:r>
    </w:p>
    <w:p w14:paraId="169206AF" w14:textId="77777777" w:rsidR="00EB202A" w:rsidRPr="00985266" w:rsidRDefault="00EB202A" w:rsidP="00EB202A">
      <w:pPr>
        <w:spacing w:line="360" w:lineRule="auto"/>
      </w:pPr>
    </w:p>
    <w:p w14:paraId="7B172CBB" w14:textId="77777777" w:rsidR="00EB202A" w:rsidRPr="00985266" w:rsidRDefault="00EB202A" w:rsidP="00EB202A">
      <w:pPr>
        <w:spacing w:line="360" w:lineRule="auto"/>
      </w:pPr>
      <w:r w:rsidRPr="00985266">
        <w:t xml:space="preserve">Tyldesley, J. (2006), </w:t>
      </w:r>
      <w:r w:rsidRPr="00985266">
        <w:rPr>
          <w:i/>
        </w:rPr>
        <w:t>Chronicle of the Queens of Egypt</w:t>
      </w:r>
      <w:r w:rsidRPr="00985266">
        <w:t>, London, Thames and Hudson,</w:t>
      </w:r>
    </w:p>
    <w:p w14:paraId="431BF4E0" w14:textId="77777777" w:rsidR="00EB202A" w:rsidRPr="00985266" w:rsidRDefault="00EB202A" w:rsidP="00EB202A">
      <w:pPr>
        <w:spacing w:line="360" w:lineRule="auto"/>
      </w:pPr>
    </w:p>
    <w:p w14:paraId="228E016E" w14:textId="77777777" w:rsidR="00EB202A" w:rsidRPr="00985266" w:rsidRDefault="00EB202A" w:rsidP="00EB202A">
      <w:pPr>
        <w:spacing w:line="360" w:lineRule="auto"/>
      </w:pPr>
      <w:r w:rsidRPr="00985266">
        <w:lastRenderedPageBreak/>
        <w:t xml:space="preserve">Tyldesley, J. (2011), </w:t>
      </w:r>
      <w:r w:rsidRPr="00985266">
        <w:rPr>
          <w:i/>
          <w:iCs/>
        </w:rPr>
        <w:t xml:space="preserve">The Penguin Book of Myths and Legends of Ancient Egypt, </w:t>
      </w:r>
      <w:r w:rsidRPr="00985266">
        <w:t>London, Penguin</w:t>
      </w:r>
    </w:p>
    <w:p w14:paraId="3CD99A73" w14:textId="77777777" w:rsidR="00EB202A" w:rsidRPr="00985266" w:rsidRDefault="00EB202A" w:rsidP="00EB202A">
      <w:pPr>
        <w:spacing w:line="360" w:lineRule="auto"/>
      </w:pPr>
    </w:p>
    <w:p w14:paraId="0306FE2E" w14:textId="77777777" w:rsidR="00EB202A" w:rsidRPr="00985266" w:rsidRDefault="00EB202A" w:rsidP="00EB202A">
      <w:pPr>
        <w:spacing w:line="360" w:lineRule="auto"/>
      </w:pPr>
      <w:r w:rsidRPr="00985266">
        <w:t xml:space="preserve">Tyldesley, J. (2012), “Foremost of Women: The Female Pharaohs of Ancient Egypt” in Wilkinson, R. ed. </w:t>
      </w:r>
      <w:r w:rsidRPr="00985266">
        <w:rPr>
          <w:i/>
        </w:rPr>
        <w:t xml:space="preserve">Tausret: Forgotten Queen and Pharaoh of Egypt, </w:t>
      </w:r>
      <w:r w:rsidRPr="00985266">
        <w:t xml:space="preserve">New York, Oxford University Press </w:t>
      </w:r>
    </w:p>
    <w:p w14:paraId="3E51DA5E" w14:textId="77777777" w:rsidR="00EB202A" w:rsidRPr="00985266" w:rsidRDefault="00EB202A" w:rsidP="00EB202A">
      <w:pPr>
        <w:spacing w:line="360" w:lineRule="auto"/>
      </w:pPr>
    </w:p>
    <w:p w14:paraId="65330FB5" w14:textId="77777777" w:rsidR="00EB202A" w:rsidRPr="00985266" w:rsidRDefault="00EB202A" w:rsidP="00EB202A">
      <w:pPr>
        <w:spacing w:line="360" w:lineRule="auto"/>
      </w:pPr>
      <w:r w:rsidRPr="00985266">
        <w:t xml:space="preserve">Tyldesley, J. (2015), Hatshepsut: The Female Pharaoh, </w:t>
      </w:r>
      <w:r w:rsidRPr="00985266">
        <w:rPr>
          <w:i/>
        </w:rPr>
        <w:t>Ancient Egypt Magazine</w:t>
      </w:r>
      <w:r w:rsidRPr="00985266">
        <w:t>, 15(6), pp. 52-56</w:t>
      </w:r>
    </w:p>
    <w:p w14:paraId="72EE6F23" w14:textId="77777777" w:rsidR="00EB202A" w:rsidRPr="00985266" w:rsidRDefault="00EB202A" w:rsidP="00EB202A">
      <w:pPr>
        <w:spacing w:line="360" w:lineRule="auto"/>
      </w:pPr>
    </w:p>
    <w:p w14:paraId="402A907E" w14:textId="77777777" w:rsidR="00EB202A" w:rsidRPr="00985266" w:rsidRDefault="00EB202A" w:rsidP="00EB202A">
      <w:pPr>
        <w:spacing w:line="360" w:lineRule="auto"/>
      </w:pPr>
      <w:r w:rsidRPr="00985266">
        <w:t xml:space="preserve">Tyldesley, J. (2016), Tales from Ancient Egypt, </w:t>
      </w:r>
      <w:r w:rsidRPr="00985266">
        <w:rPr>
          <w:i/>
          <w:iCs/>
        </w:rPr>
        <w:t xml:space="preserve">Ancient Egypt Magazine, </w:t>
      </w:r>
      <w:r w:rsidRPr="00985266">
        <w:t>17(1), pp.32-36</w:t>
      </w:r>
    </w:p>
    <w:p w14:paraId="3BF61880" w14:textId="77777777" w:rsidR="00EB202A" w:rsidRPr="00985266" w:rsidRDefault="00EB202A" w:rsidP="00EB202A">
      <w:pPr>
        <w:spacing w:line="360" w:lineRule="auto"/>
      </w:pPr>
    </w:p>
    <w:p w14:paraId="6B16C176" w14:textId="77777777" w:rsidR="00EB202A" w:rsidRPr="00985266" w:rsidRDefault="00EB202A" w:rsidP="00EB202A">
      <w:pPr>
        <w:spacing w:line="360" w:lineRule="auto"/>
        <w:rPr>
          <w:iCs/>
        </w:rPr>
      </w:pPr>
      <w:r w:rsidRPr="00985266">
        <w:rPr>
          <w:iCs/>
        </w:rPr>
        <w:t xml:space="preserve">Van Dijk, J. (2000), “The Amarna Period and the Later New Kingdom”, in Shaw, I. ed. </w:t>
      </w:r>
      <w:r w:rsidRPr="00985266">
        <w:rPr>
          <w:i/>
        </w:rPr>
        <w:t xml:space="preserve">The Oxford History of Ancient Egypt, </w:t>
      </w:r>
      <w:r w:rsidRPr="00985266">
        <w:rPr>
          <w:iCs/>
        </w:rPr>
        <w:t>Oxford, Oxford University Press</w:t>
      </w:r>
    </w:p>
    <w:p w14:paraId="6308B956" w14:textId="77777777" w:rsidR="00EB202A" w:rsidRPr="00985266" w:rsidRDefault="00EB202A" w:rsidP="00EB202A">
      <w:pPr>
        <w:spacing w:line="360" w:lineRule="auto"/>
      </w:pPr>
    </w:p>
    <w:p w14:paraId="60BB009E" w14:textId="77777777" w:rsidR="00EB202A" w:rsidRPr="00985266" w:rsidRDefault="00EB202A" w:rsidP="00EB202A">
      <w:pPr>
        <w:spacing w:line="360" w:lineRule="auto"/>
      </w:pPr>
      <w:r w:rsidRPr="00985266">
        <w:t xml:space="preserve">Van Den Dungen, W. (2016), </w:t>
      </w:r>
      <w:r w:rsidRPr="00985266">
        <w:rPr>
          <w:i/>
          <w:iCs/>
        </w:rPr>
        <w:t xml:space="preserve">Ancient Egyptian Readings, </w:t>
      </w:r>
      <w:r w:rsidRPr="00985266">
        <w:t xml:space="preserve">Brasschaat, Taurus Press </w:t>
      </w:r>
    </w:p>
    <w:p w14:paraId="01138837" w14:textId="77777777" w:rsidR="00EB202A" w:rsidRPr="00985266" w:rsidRDefault="00EB202A" w:rsidP="00EB202A">
      <w:pPr>
        <w:spacing w:line="360" w:lineRule="auto"/>
      </w:pPr>
    </w:p>
    <w:p w14:paraId="655D5F26" w14:textId="77777777" w:rsidR="00EB202A" w:rsidRPr="00985266" w:rsidRDefault="00EB202A" w:rsidP="00EB202A">
      <w:pPr>
        <w:spacing w:line="360" w:lineRule="auto"/>
      </w:pPr>
      <w:r w:rsidRPr="00985266">
        <w:t xml:space="preserve">Van De Mieroop, M. (2011), </w:t>
      </w:r>
      <w:r w:rsidRPr="00985266">
        <w:rPr>
          <w:i/>
          <w:iCs/>
        </w:rPr>
        <w:t xml:space="preserve">A History of Ancient Egypt, </w:t>
      </w:r>
      <w:r w:rsidRPr="00985266">
        <w:t>Oxford, Wiley-Blackwell</w:t>
      </w:r>
    </w:p>
    <w:p w14:paraId="4A182559" w14:textId="77777777" w:rsidR="00EB202A" w:rsidRPr="00985266" w:rsidRDefault="00EB202A" w:rsidP="00EB202A">
      <w:pPr>
        <w:spacing w:line="360" w:lineRule="auto"/>
      </w:pPr>
    </w:p>
    <w:p w14:paraId="1B5DA5E5" w14:textId="77777777" w:rsidR="00EB202A" w:rsidRPr="00985266" w:rsidRDefault="00EB202A" w:rsidP="00EB202A">
      <w:pPr>
        <w:spacing w:line="360" w:lineRule="auto"/>
      </w:pPr>
      <w:r w:rsidRPr="00985266">
        <w:t xml:space="preserve">Warburton, D. (2012), </w:t>
      </w:r>
      <w:r w:rsidRPr="00985266">
        <w:rPr>
          <w:i/>
        </w:rPr>
        <w:t xml:space="preserve">Architecture, Power, and Religion: Hatshepsut, Amun &amp; Karnak in Context, </w:t>
      </w:r>
      <w:r w:rsidRPr="00985266">
        <w:t>Munster, LIT</w:t>
      </w:r>
    </w:p>
    <w:p w14:paraId="72B1FE82" w14:textId="77777777" w:rsidR="00EB202A" w:rsidRPr="00985266" w:rsidRDefault="00EB202A" w:rsidP="00EB202A">
      <w:pPr>
        <w:spacing w:line="360" w:lineRule="auto"/>
      </w:pPr>
    </w:p>
    <w:p w14:paraId="317DA389" w14:textId="77777777" w:rsidR="00EB202A" w:rsidRPr="00985266" w:rsidRDefault="00EB202A" w:rsidP="00EB202A">
      <w:pPr>
        <w:spacing w:line="360" w:lineRule="auto"/>
      </w:pPr>
      <w:r w:rsidRPr="00985266">
        <w:t xml:space="preserve">Wasilewska, E. (2000), </w:t>
      </w:r>
      <w:r w:rsidRPr="00985266">
        <w:rPr>
          <w:i/>
          <w:iCs/>
        </w:rPr>
        <w:t xml:space="preserve">Creation Stories of the Middle East, </w:t>
      </w:r>
      <w:r w:rsidRPr="00985266">
        <w:t>London/Philadelphia, Jessika Kingsley Publishers</w:t>
      </w:r>
    </w:p>
    <w:p w14:paraId="3BF77E3C" w14:textId="77777777" w:rsidR="00EB202A" w:rsidRPr="00985266" w:rsidRDefault="00EB202A" w:rsidP="00EB202A">
      <w:pPr>
        <w:spacing w:line="360" w:lineRule="auto"/>
      </w:pPr>
    </w:p>
    <w:p w14:paraId="20B297DE" w14:textId="77777777" w:rsidR="00EB202A" w:rsidRPr="00985266" w:rsidRDefault="00EB202A" w:rsidP="00EB202A">
      <w:pPr>
        <w:spacing w:line="360" w:lineRule="auto"/>
      </w:pPr>
      <w:r w:rsidRPr="00985266">
        <w:t xml:space="preserve">Wilfong, T. (2007), “Gender and Sexuality” in Wilkinson, T. ed. </w:t>
      </w:r>
      <w:r w:rsidRPr="00985266">
        <w:rPr>
          <w:i/>
        </w:rPr>
        <w:t xml:space="preserve">The Egyptian World, </w:t>
      </w:r>
      <w:r w:rsidRPr="00985266">
        <w:t>Abingdon, London, pp. 205-218</w:t>
      </w:r>
    </w:p>
    <w:p w14:paraId="7E78F1D7" w14:textId="77777777" w:rsidR="00EB202A" w:rsidRPr="00985266" w:rsidRDefault="00EB202A" w:rsidP="00EB202A">
      <w:pPr>
        <w:spacing w:line="360" w:lineRule="auto"/>
      </w:pPr>
    </w:p>
    <w:p w14:paraId="00E2CF47" w14:textId="77777777" w:rsidR="00EB202A" w:rsidRPr="00985266" w:rsidRDefault="00EB202A" w:rsidP="00EB202A">
      <w:pPr>
        <w:spacing w:line="360" w:lineRule="auto"/>
      </w:pPr>
      <w:r w:rsidRPr="00985266">
        <w:t xml:space="preserve">Wilkinson, T. (2010), </w:t>
      </w:r>
      <w:r w:rsidRPr="00985266">
        <w:rPr>
          <w:i/>
        </w:rPr>
        <w:t xml:space="preserve">The Rise and Fall of Ancient Egypt: The History of a Civilisation From 3000 B.C. to Cleopatra, </w:t>
      </w:r>
      <w:r w:rsidRPr="00985266">
        <w:t>London, Bloomsbury</w:t>
      </w:r>
    </w:p>
    <w:p w14:paraId="1836882C" w14:textId="77777777" w:rsidR="00EB202A" w:rsidRPr="00985266" w:rsidRDefault="00EB202A" w:rsidP="00EB202A">
      <w:pPr>
        <w:spacing w:line="360" w:lineRule="auto"/>
      </w:pPr>
    </w:p>
    <w:p w14:paraId="7F12CE5B" w14:textId="77777777" w:rsidR="00EB202A" w:rsidRPr="00985266" w:rsidRDefault="00EB202A" w:rsidP="00EB202A">
      <w:pPr>
        <w:spacing w:line="360" w:lineRule="auto"/>
      </w:pPr>
      <w:r w:rsidRPr="00985266">
        <w:lastRenderedPageBreak/>
        <w:t xml:space="preserve">Wilkinson, T. (2014), </w:t>
      </w:r>
      <w:r w:rsidRPr="00985266">
        <w:rPr>
          <w:i/>
          <w:iCs/>
        </w:rPr>
        <w:t xml:space="preserve">The Nile: Downriver through Egypt’s Past and Present, </w:t>
      </w:r>
      <w:r w:rsidRPr="00985266">
        <w:t>London, Bloomsbury</w:t>
      </w:r>
    </w:p>
    <w:p w14:paraId="0F83849E" w14:textId="77777777" w:rsidR="00EB202A" w:rsidRPr="00985266" w:rsidRDefault="00EB202A" w:rsidP="00EB202A">
      <w:pPr>
        <w:spacing w:line="360" w:lineRule="auto"/>
      </w:pPr>
    </w:p>
    <w:p w14:paraId="092BB6CF" w14:textId="3D24B8B2" w:rsidR="008F0634" w:rsidRPr="00985266" w:rsidRDefault="00EB202A" w:rsidP="00EB202A">
      <w:pPr>
        <w:spacing w:line="360" w:lineRule="auto"/>
      </w:pPr>
      <w:r w:rsidRPr="00985266">
        <w:rPr>
          <w:iCs/>
        </w:rPr>
        <w:t xml:space="preserve">Williamson, J. (2016), </w:t>
      </w:r>
      <w:r w:rsidRPr="00985266">
        <w:rPr>
          <w:i/>
        </w:rPr>
        <w:t xml:space="preserve">Nefertiti’s Sun Temple (2 vols.): A New Cult Complex at Tell El-Amarna (Harvard Egyptological Studies), </w:t>
      </w:r>
      <w:r w:rsidRPr="00985266">
        <w:rPr>
          <w:iCs/>
        </w:rPr>
        <w:t>Leiden, Brill</w:t>
      </w:r>
    </w:p>
    <w:p w14:paraId="44CE677F" w14:textId="77777777" w:rsidR="008F0634" w:rsidRPr="00985266" w:rsidRDefault="008F0634" w:rsidP="00EB202A">
      <w:pPr>
        <w:spacing w:line="360" w:lineRule="auto"/>
      </w:pPr>
    </w:p>
    <w:p w14:paraId="49C70777" w14:textId="61A5547B" w:rsidR="00EB202A" w:rsidRPr="00985266" w:rsidRDefault="00EB202A" w:rsidP="00EB202A">
      <w:pPr>
        <w:spacing w:line="360" w:lineRule="auto"/>
      </w:pPr>
      <w:r w:rsidRPr="00985266">
        <w:t xml:space="preserve">Wilson, P. (2007), “The Nile Delta” in Wilkinson, T. ed. </w:t>
      </w:r>
      <w:r w:rsidRPr="00985266">
        <w:rPr>
          <w:i/>
          <w:iCs/>
        </w:rPr>
        <w:t xml:space="preserve">The Egyptian World, </w:t>
      </w:r>
      <w:r w:rsidRPr="00985266">
        <w:t>Abingdon, Routledge, pp.15-29</w:t>
      </w:r>
    </w:p>
    <w:p w14:paraId="1EA6EA32" w14:textId="04734F24" w:rsidR="008F0634" w:rsidRPr="00985266" w:rsidRDefault="008F0634" w:rsidP="00EB202A">
      <w:pPr>
        <w:spacing w:line="360" w:lineRule="auto"/>
      </w:pPr>
    </w:p>
    <w:p w14:paraId="6C580C5F" w14:textId="014647E3" w:rsidR="008F0634" w:rsidRPr="00985266" w:rsidRDefault="008F0634" w:rsidP="00EB202A">
      <w:pPr>
        <w:spacing w:line="360" w:lineRule="auto"/>
        <w:rPr>
          <w:u w:val="single"/>
        </w:rPr>
      </w:pPr>
      <w:r w:rsidRPr="00985266">
        <w:rPr>
          <w:u w:val="single"/>
        </w:rPr>
        <w:t>Online Resources</w:t>
      </w:r>
    </w:p>
    <w:p w14:paraId="3B858897" w14:textId="13168B1C" w:rsidR="008F0634" w:rsidRDefault="008F0634" w:rsidP="00EB202A">
      <w:pPr>
        <w:spacing w:line="360" w:lineRule="auto"/>
      </w:pPr>
    </w:p>
    <w:p w14:paraId="4773D32B" w14:textId="77777777" w:rsidR="00A41D2E" w:rsidRPr="00985266" w:rsidRDefault="00A41D2E" w:rsidP="00A41D2E">
      <w:pPr>
        <w:spacing w:line="360" w:lineRule="auto"/>
      </w:pPr>
      <w:r w:rsidRPr="00985266">
        <w:t xml:space="preserve">Hill, M. (2015), “Art, Architecture, and the City in the Reign of Amenhotep IV / Akhenaten (ca. 1353–1336 B.C.)” in </w:t>
      </w:r>
      <w:r w:rsidRPr="00985266">
        <w:rPr>
          <w:i/>
          <w:iCs/>
        </w:rPr>
        <w:t>Heilbrunn Timeline of Art History</w:t>
      </w:r>
      <w:r w:rsidRPr="00985266">
        <w:t>, New York, The Metropolitan Museum of Art, accessed online at</w:t>
      </w:r>
      <w:r w:rsidRPr="00985266">
        <w:t xml:space="preserve"> </w:t>
      </w:r>
      <w:hyperlink r:id="rId25" w:history="1">
        <w:r w:rsidRPr="00985266">
          <w:rPr>
            <w:rStyle w:val="Hyperlink"/>
          </w:rPr>
          <w:t>https://www.metmuseum.org/toah/hd/amar/hd_amar.htm</w:t>
        </w:r>
      </w:hyperlink>
      <w:r w:rsidRPr="00985266">
        <w:t xml:space="preserve"> </w:t>
      </w:r>
    </w:p>
    <w:p w14:paraId="62E35D01" w14:textId="77777777" w:rsidR="00A41D2E" w:rsidRPr="00985266" w:rsidRDefault="00A41D2E" w:rsidP="00EB202A">
      <w:pPr>
        <w:spacing w:line="360" w:lineRule="auto"/>
      </w:pPr>
    </w:p>
    <w:p w14:paraId="0A50E90E" w14:textId="6580B2E9" w:rsidR="008F0634" w:rsidRPr="00985266" w:rsidRDefault="008F0634" w:rsidP="00EB202A">
      <w:pPr>
        <w:spacing w:line="360" w:lineRule="auto"/>
      </w:pPr>
      <w:r w:rsidRPr="00985266">
        <w:t xml:space="preserve">Oxford University Press (2019), “Creation”, found on </w:t>
      </w:r>
      <w:hyperlink r:id="rId26" w:history="1">
        <w:r w:rsidRPr="00985266">
          <w:rPr>
            <w:rStyle w:val="Hyperlink"/>
          </w:rPr>
          <w:t>www.lexico.com</w:t>
        </w:r>
      </w:hyperlink>
      <w:r w:rsidRPr="00985266">
        <w:t xml:space="preserve"> </w:t>
      </w:r>
    </w:p>
    <w:p w14:paraId="155C802B" w14:textId="18ADBE33" w:rsidR="008F0634" w:rsidRPr="00985266" w:rsidRDefault="008F0634" w:rsidP="00EB202A">
      <w:pPr>
        <w:spacing w:line="360" w:lineRule="auto"/>
      </w:pPr>
    </w:p>
    <w:p w14:paraId="61DA33E0" w14:textId="58C131A5" w:rsidR="008F0634" w:rsidRPr="00985266" w:rsidRDefault="008F0634" w:rsidP="008F0634">
      <w:pPr>
        <w:spacing w:line="360" w:lineRule="auto"/>
        <w:rPr>
          <w:sz w:val="28"/>
          <w:szCs w:val="28"/>
        </w:rPr>
      </w:pPr>
      <w:r w:rsidRPr="00985266">
        <w:t>Oxford University Press (2019), “</w:t>
      </w:r>
      <w:r w:rsidRPr="00985266">
        <w:t>Destruction</w:t>
      </w:r>
      <w:r w:rsidRPr="00985266">
        <w:t xml:space="preserve">”, found on </w:t>
      </w:r>
      <w:hyperlink r:id="rId27" w:history="1">
        <w:r w:rsidRPr="00985266">
          <w:rPr>
            <w:rStyle w:val="Hyperlink"/>
          </w:rPr>
          <w:t>www.lexico.com</w:t>
        </w:r>
      </w:hyperlink>
      <w:r w:rsidRPr="00985266">
        <w:rPr>
          <w:sz w:val="28"/>
          <w:szCs w:val="28"/>
        </w:rPr>
        <w:t xml:space="preserve"> </w:t>
      </w:r>
    </w:p>
    <w:p w14:paraId="5C66766E" w14:textId="77777777" w:rsidR="008F0634" w:rsidRDefault="008F0634" w:rsidP="00EB202A">
      <w:pPr>
        <w:spacing w:line="360" w:lineRule="auto"/>
      </w:pPr>
    </w:p>
    <w:p w14:paraId="72C83B77" w14:textId="77777777" w:rsidR="008F0634" w:rsidRDefault="008F0634" w:rsidP="00EB202A">
      <w:pPr>
        <w:spacing w:line="360" w:lineRule="auto"/>
      </w:pPr>
    </w:p>
    <w:sectPr w:rsidR="008F0634" w:rsidSect="00D85715">
      <w:footerReference w:type="even" r:id="rId28"/>
      <w:footerReference w:type="default" r:id="rId2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EFF1AC6" w14:textId="77777777" w:rsidR="00C4717B" w:rsidRDefault="00C4717B" w:rsidP="00060E63">
      <w:r>
        <w:separator/>
      </w:r>
    </w:p>
  </w:endnote>
  <w:endnote w:type="continuationSeparator" w:id="0">
    <w:p w14:paraId="1F7B6857" w14:textId="77777777" w:rsidR="00C4717B" w:rsidRDefault="00C4717B" w:rsidP="00060E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74139830"/>
      <w:docPartObj>
        <w:docPartGallery w:val="Page Numbers (Bottom of Page)"/>
        <w:docPartUnique/>
      </w:docPartObj>
    </w:sdtPr>
    <w:sdtContent>
      <w:p w14:paraId="327AE811" w14:textId="2F63CEB5" w:rsidR="005C2027" w:rsidRDefault="005C2027" w:rsidP="00837D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A3D733E" w14:textId="77777777" w:rsidR="005C2027" w:rsidRDefault="005C2027" w:rsidP="005C202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53558732"/>
      <w:docPartObj>
        <w:docPartGallery w:val="Page Numbers (Bottom of Page)"/>
        <w:docPartUnique/>
      </w:docPartObj>
    </w:sdtPr>
    <w:sdtContent>
      <w:p w14:paraId="197B362A" w14:textId="0994ED01" w:rsidR="005C2027" w:rsidRDefault="005C2027" w:rsidP="00837D5D">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4CF8DAF" w14:textId="77777777" w:rsidR="005C2027" w:rsidRDefault="005C2027" w:rsidP="005C202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BFDDEDA" w14:textId="77777777" w:rsidR="00C4717B" w:rsidRDefault="00C4717B" w:rsidP="00060E63">
      <w:r>
        <w:separator/>
      </w:r>
    </w:p>
  </w:footnote>
  <w:footnote w:type="continuationSeparator" w:id="0">
    <w:p w14:paraId="658EC9F0" w14:textId="77777777" w:rsidR="00C4717B" w:rsidRDefault="00C4717B" w:rsidP="00060E63">
      <w:r>
        <w:continuationSeparator/>
      </w:r>
    </w:p>
  </w:footnote>
  <w:footnote w:id="1">
    <w:p w14:paraId="101DC76F" w14:textId="05AD3A61" w:rsidR="005C2027" w:rsidRDefault="005C2027" w:rsidP="005C2027">
      <w:pPr>
        <w:pStyle w:val="FootnoteText"/>
      </w:pPr>
      <w:r>
        <w:rPr>
          <w:rStyle w:val="FootnoteReference"/>
        </w:rPr>
        <w:footnoteRef/>
      </w:r>
      <w:r>
        <w:t xml:space="preserve"> Kemp, B. (2018)</w:t>
      </w:r>
      <w:r w:rsidR="008F0634">
        <w:t xml:space="preserve">, </w:t>
      </w:r>
      <w:r>
        <w:t>pp.66</w:t>
      </w:r>
    </w:p>
  </w:footnote>
  <w:footnote w:id="2">
    <w:p w14:paraId="6178A1FF" w14:textId="77777777" w:rsidR="005C2027" w:rsidRDefault="005C2027" w:rsidP="005C2027">
      <w:pPr>
        <w:pStyle w:val="FootnoteText"/>
      </w:pPr>
      <w:r>
        <w:rPr>
          <w:rStyle w:val="FootnoteReference"/>
        </w:rPr>
        <w:footnoteRef/>
      </w:r>
      <w:r>
        <w:t xml:space="preserve"> Quirke, S. (2015), pp.110 </w:t>
      </w:r>
    </w:p>
  </w:footnote>
  <w:footnote w:id="3">
    <w:p w14:paraId="3C95DF76" w14:textId="6BDD1175" w:rsidR="00EF7C48" w:rsidRDefault="00EF7C48">
      <w:pPr>
        <w:pStyle w:val="FootnoteText"/>
      </w:pPr>
      <w:r>
        <w:rPr>
          <w:rStyle w:val="FootnoteReference"/>
        </w:rPr>
        <w:footnoteRef/>
      </w:r>
      <w:r>
        <w:t xml:space="preserve"> Mancini, A. (2002), pp. 81</w:t>
      </w:r>
    </w:p>
  </w:footnote>
  <w:footnote w:id="4">
    <w:p w14:paraId="59A4A287" w14:textId="1D4664FD" w:rsidR="005B1D45" w:rsidRDefault="005B1D45">
      <w:pPr>
        <w:pStyle w:val="FootnoteText"/>
      </w:pPr>
      <w:r>
        <w:rPr>
          <w:rStyle w:val="FootnoteReference"/>
        </w:rPr>
        <w:footnoteRef/>
      </w:r>
      <w:r>
        <w:t xml:space="preserve"> </w:t>
      </w:r>
      <w:r>
        <w:t>Goelet, O. (2003), pp</w:t>
      </w:r>
      <w:r>
        <w:t xml:space="preserve">. </w:t>
      </w:r>
      <w:r>
        <w:t>24</w:t>
      </w:r>
    </w:p>
  </w:footnote>
  <w:footnote w:id="5">
    <w:p w14:paraId="3328B0AE" w14:textId="77777777" w:rsidR="00FC6F8A" w:rsidRDefault="00FC6F8A" w:rsidP="00FC6F8A">
      <w:pPr>
        <w:pStyle w:val="FootnoteText"/>
      </w:pPr>
      <w:r>
        <w:rPr>
          <w:rStyle w:val="FootnoteReference"/>
        </w:rPr>
        <w:footnoteRef/>
      </w:r>
      <w:r>
        <w:t xml:space="preserve"> </w:t>
      </w:r>
      <w:hyperlink r:id="rId1" w:history="1">
        <w:r w:rsidRPr="00837D5D">
          <w:rPr>
            <w:rStyle w:val="Hyperlink"/>
          </w:rPr>
          <w:t>https://www.lexico.com/definition/creation</w:t>
        </w:r>
      </w:hyperlink>
    </w:p>
  </w:footnote>
  <w:footnote w:id="6">
    <w:p w14:paraId="3B0EBFAE" w14:textId="77777777" w:rsidR="00FC6F8A" w:rsidRDefault="00FC6F8A" w:rsidP="00FC6F8A">
      <w:pPr>
        <w:pStyle w:val="FootnoteText"/>
      </w:pPr>
      <w:r>
        <w:rPr>
          <w:rStyle w:val="FootnoteReference"/>
        </w:rPr>
        <w:footnoteRef/>
      </w:r>
      <w:r>
        <w:t xml:space="preserve"> </w:t>
      </w:r>
      <w:hyperlink r:id="rId2" w:history="1">
        <w:r w:rsidRPr="00837D5D">
          <w:rPr>
            <w:rStyle w:val="Hyperlink"/>
          </w:rPr>
          <w:t>https://www.lexico.com/definition/destruction</w:t>
        </w:r>
      </w:hyperlink>
      <w:r>
        <w:t xml:space="preserve"> </w:t>
      </w:r>
    </w:p>
  </w:footnote>
  <w:footnote w:id="7">
    <w:p w14:paraId="3FDC4017" w14:textId="77777777" w:rsidR="00FC6F8A" w:rsidRDefault="00FC6F8A" w:rsidP="00FC6F8A">
      <w:pPr>
        <w:pStyle w:val="FootnoteText"/>
      </w:pPr>
      <w:r>
        <w:rPr>
          <w:rStyle w:val="FootnoteReference"/>
        </w:rPr>
        <w:footnoteRef/>
      </w:r>
      <w:r>
        <w:t xml:space="preserve"> Pinch, G. (2004) pp. 1-2 advises that there is disagreement between Egyptologists about what constitutes myth and is often used in a negative way to refer to something that is untrue. Pinch disagrees with this notion and stories imbued with meaning and power and are often more influential than the original facts. Assmann, J. and Frankfurter, D. (2004), pp.157 advise that myth is the linguistic realisation of divine presence. </w:t>
      </w:r>
    </w:p>
  </w:footnote>
  <w:footnote w:id="8">
    <w:p w14:paraId="7F938FF0" w14:textId="77777777" w:rsidR="00FC6F8A" w:rsidRDefault="00FC6F8A" w:rsidP="00FC6F8A">
      <w:pPr>
        <w:pStyle w:val="FootnoteText"/>
      </w:pPr>
      <w:r>
        <w:rPr>
          <w:rStyle w:val="FootnoteReference"/>
        </w:rPr>
        <w:footnoteRef/>
      </w:r>
      <w:r>
        <w:t xml:space="preserve"> Pinch, G. (2004), pp.13</w:t>
      </w:r>
    </w:p>
  </w:footnote>
  <w:footnote w:id="9">
    <w:p w14:paraId="5B05E55E" w14:textId="77777777" w:rsidR="00FC6F8A" w:rsidRDefault="00FC6F8A" w:rsidP="00FC6F8A">
      <w:pPr>
        <w:pStyle w:val="FootnoteText"/>
      </w:pPr>
      <w:r>
        <w:rPr>
          <w:rStyle w:val="FootnoteReference"/>
        </w:rPr>
        <w:footnoteRef/>
      </w:r>
      <w:r>
        <w:t xml:space="preserve"> Leprohon, R.J. (2008)</w:t>
      </w:r>
    </w:p>
  </w:footnote>
  <w:footnote w:id="10">
    <w:p w14:paraId="0C3D38AB" w14:textId="77777777" w:rsidR="00FC6F8A" w:rsidRDefault="00FC6F8A" w:rsidP="00FC6F8A">
      <w:pPr>
        <w:pStyle w:val="FootnoteText"/>
      </w:pPr>
      <w:r>
        <w:rPr>
          <w:rStyle w:val="FootnoteReference"/>
        </w:rPr>
        <w:footnoteRef/>
      </w:r>
      <w:r>
        <w:t xml:space="preserve"> Assmann, J. and Frankfurter, D. (2004), pp.157 advise that Egyptian mythology is centred on three basic myths: the myths of cosmogony, the myth of Osiris and the solar myth (which in itself is also cosmological). Whilst it is evident that these three myths are crucial when forming a basic idea of Egyptian state ideology, one could argue that Egyptian mythology cannot be restricted itself to the framework of these three myths.</w:t>
      </w:r>
    </w:p>
  </w:footnote>
  <w:footnote w:id="11">
    <w:p w14:paraId="23B3B2B8" w14:textId="77777777" w:rsidR="00FC6F8A" w:rsidRDefault="00FC6F8A" w:rsidP="00FC6F8A">
      <w:pPr>
        <w:pStyle w:val="FootnoteText"/>
      </w:pPr>
      <w:r>
        <w:rPr>
          <w:rStyle w:val="FootnoteReference"/>
        </w:rPr>
        <w:footnoteRef/>
      </w:r>
      <w:r>
        <w:t xml:space="preserve"> There is also the Elephantine creation myth that features the god Khnum as the creator. Some scholars believe this to be the fourth main account. See Tyldesley, J. (2016), pp.36</w:t>
      </w:r>
    </w:p>
  </w:footnote>
  <w:footnote w:id="12">
    <w:p w14:paraId="3FDBF1F8" w14:textId="77777777" w:rsidR="00FC6F8A" w:rsidRDefault="00FC6F8A" w:rsidP="00FC6F8A">
      <w:pPr>
        <w:pStyle w:val="FootnoteText"/>
      </w:pPr>
      <w:r>
        <w:rPr>
          <w:rStyle w:val="FootnoteReference"/>
        </w:rPr>
        <w:footnoteRef/>
      </w:r>
      <w:r>
        <w:t xml:space="preserve"> Wasilewska, E. (2000), pp.59; Tyldesley, J. (2011), pp. 1-2, advises us that it is a mistake to see these mythologies as rivals as Egyptians had no difficulty in accepting the contradictions and inconsistencies of such stories. Tobin, V. (1988), pp.170 also advises that the Egyptian mythology was free of the logics that eliminate contradictory accounts and free of the dogmatic framework that aims to categorise such concepts.</w:t>
      </w:r>
    </w:p>
  </w:footnote>
  <w:footnote w:id="13">
    <w:p w14:paraId="73DE889D" w14:textId="77777777" w:rsidR="00FC6F8A" w:rsidRDefault="00FC6F8A" w:rsidP="00FC6F8A">
      <w:pPr>
        <w:pStyle w:val="FootnoteText"/>
      </w:pPr>
      <w:r>
        <w:rPr>
          <w:rStyle w:val="FootnoteReference"/>
        </w:rPr>
        <w:footnoteRef/>
      </w:r>
      <w:r>
        <w:t xml:space="preserve"> Alford, A. (2004), pp65-66 has argued against traditional scholarship by maintaining that the sun god is a product of the creator god, not a creator god himself, and that the creator can be seen to be non-solar at the beginning. For example, Khnum, Ptah and Amun are not solar deities yet they are present at the beginning, before the appearance of a solar deity. This is an interesting point to consider when dealing with the role of the sun as creator.</w:t>
      </w:r>
    </w:p>
  </w:footnote>
  <w:footnote w:id="14">
    <w:p w14:paraId="3B2BE0DA" w14:textId="77777777" w:rsidR="00FC6F8A" w:rsidRDefault="00FC6F8A" w:rsidP="00FC6F8A">
      <w:pPr>
        <w:pStyle w:val="FootnoteText"/>
      </w:pPr>
      <w:r>
        <w:rPr>
          <w:rStyle w:val="FootnoteReference"/>
        </w:rPr>
        <w:footnoteRef/>
      </w:r>
      <w:r>
        <w:t xml:space="preserve"> Wasilewska, E. (2000), pp.59 advises that the modes of creation differed depending on the religious centre which produced them. </w:t>
      </w:r>
    </w:p>
  </w:footnote>
  <w:footnote w:id="15">
    <w:p w14:paraId="1D5DE1BD" w14:textId="77777777" w:rsidR="00FC6F8A" w:rsidRDefault="00FC6F8A" w:rsidP="00FC6F8A">
      <w:pPr>
        <w:pStyle w:val="FootnoteText"/>
      </w:pPr>
      <w:r>
        <w:rPr>
          <w:rStyle w:val="FootnoteReference"/>
        </w:rPr>
        <w:footnoteRef/>
      </w:r>
      <w:r>
        <w:t xml:space="preserve"> Collins, J. (2004), pp.59 states that cities that rose to power each formulated their own myth of creation, upon which the creator god is syncretised with the sun god Re e.g. Amun-Re and Re-Atum</w:t>
      </w:r>
    </w:p>
  </w:footnote>
  <w:footnote w:id="16">
    <w:p w14:paraId="35A9E1A2" w14:textId="77777777" w:rsidR="00FC6F8A" w:rsidRDefault="00FC6F8A" w:rsidP="00FC6F8A">
      <w:pPr>
        <w:pStyle w:val="FootnoteText"/>
      </w:pPr>
      <w:r>
        <w:rPr>
          <w:rStyle w:val="FootnoteReference"/>
        </w:rPr>
        <w:footnoteRef/>
      </w:r>
      <w:r>
        <w:t xml:space="preserve"> Wasilewska, E. (2000), pp.174</w:t>
      </w:r>
    </w:p>
  </w:footnote>
  <w:footnote w:id="17">
    <w:p w14:paraId="5141D2C0" w14:textId="7F81159D" w:rsidR="00FC6F8A" w:rsidRDefault="00FC6F8A" w:rsidP="00FC6F8A">
      <w:pPr>
        <w:pStyle w:val="FootnoteText"/>
      </w:pPr>
      <w:r>
        <w:rPr>
          <w:rStyle w:val="FootnoteReference"/>
        </w:rPr>
        <w:footnoteRef/>
      </w:r>
      <w:r>
        <w:t xml:space="preserve"> Also known as “The Destruction of Humanity”. Full accounts found in the tombs of New Kingdom Pharaohs such as Tutankhamun, Seti I, Rameses II etc. Seen to originate during the Amarna Period, it was seen as a “redemption” text in response to the tumultuous reign of Akhenaten. See Hornung, E. (1999), pp.16-17 and Lesko, B. (1999), pp.24. Spalinger, A. (2000), pp. 261 however would argue saying there is not enough evidence to prove that this is an “anti-Amarna” piece of religious propaganda and that this viewpoint takes away from the tenor of the piece in terms of literary or theological meaning </w:t>
      </w:r>
    </w:p>
  </w:footnote>
  <w:footnote w:id="18">
    <w:p w14:paraId="653EF3DA" w14:textId="77777777" w:rsidR="00FC6F8A" w:rsidRDefault="00FC6F8A" w:rsidP="00FC6F8A">
      <w:pPr>
        <w:pStyle w:val="FootnoteText"/>
      </w:pPr>
      <w:r>
        <w:rPr>
          <w:rStyle w:val="FootnoteReference"/>
        </w:rPr>
        <w:footnoteRef/>
      </w:r>
      <w:r>
        <w:t xml:space="preserve"> For more information on the Book of the Heavenly cow see Hornung, E. (1997), pp.149; </w:t>
      </w:r>
      <w:r w:rsidRPr="00D64705">
        <w:t>Guilhou,</w:t>
      </w:r>
      <w:r>
        <w:t xml:space="preserve"> </w:t>
      </w:r>
      <w:r w:rsidRPr="00D64705">
        <w:t>N.</w:t>
      </w:r>
      <w:r>
        <w:t xml:space="preserve"> </w:t>
      </w:r>
      <w:r w:rsidRPr="00D64705">
        <w:t>(2010)</w:t>
      </w:r>
      <w:r>
        <w:t xml:space="preserve">; </w:t>
      </w:r>
    </w:p>
  </w:footnote>
  <w:footnote w:id="19">
    <w:p w14:paraId="3B1DE5CF" w14:textId="77777777" w:rsidR="00FC6F8A" w:rsidRDefault="00FC6F8A" w:rsidP="00FC6F8A">
      <w:pPr>
        <w:pStyle w:val="FootnoteText"/>
      </w:pPr>
      <w:r>
        <w:rPr>
          <w:rStyle w:val="FootnoteReference"/>
        </w:rPr>
        <w:footnoteRef/>
      </w:r>
      <w:r>
        <w:t xml:space="preserve"> The dual nature of the divine can be seen when taking into account the main players of the myth, Re and Hathor. Re as a solar god is seen as the creator of humanity however he is also seen within this myth as the agent of destruction, ordering the annihilation of mankind. Hathor is also shown here in here destructive image as Sekhmet or “the fiery eye of Ra”. Here we can see the feminine duality where both creative and destructive aspects of the female are illustrated. See Graves-Brown, C. (2010), pp. 170 for more information on the dual aspects of the feminine goddess</w:t>
      </w:r>
    </w:p>
  </w:footnote>
  <w:footnote w:id="20">
    <w:p w14:paraId="05061A75" w14:textId="77777777" w:rsidR="00FC6F8A" w:rsidRDefault="00FC6F8A" w:rsidP="00FC6F8A">
      <w:pPr>
        <w:pStyle w:val="FootnoteText"/>
      </w:pPr>
      <w:r>
        <w:rPr>
          <w:rStyle w:val="FootnoteReference"/>
        </w:rPr>
        <w:footnoteRef/>
      </w:r>
      <w:r>
        <w:t xml:space="preserve"> Schorsch, D. and Wypyski, M. (2009) also state that Seth was championed by the Hyksos who invaded Egypt. This in itself would have been symbolic to the Egyptians, reiterating the chaotic and destructive nature of the god himself. </w:t>
      </w:r>
    </w:p>
  </w:footnote>
  <w:footnote w:id="21">
    <w:p w14:paraId="5631AF54" w14:textId="77777777" w:rsidR="00FC6F8A" w:rsidRDefault="00FC6F8A" w:rsidP="00FC6F8A">
      <w:pPr>
        <w:pStyle w:val="FootnoteText"/>
      </w:pPr>
      <w:r>
        <w:rPr>
          <w:rStyle w:val="FootnoteReference"/>
        </w:rPr>
        <w:footnoteRef/>
      </w:r>
      <w:r>
        <w:t xml:space="preserve"> Preys, R. (2006), pp.373 talks about the protective qualities of Hathor as the destroyer of enemies. Biles, K. and Page, J. (2011) pp.67-68 also talk about the balance of polarities and how destruction is often used in aid of creation. An example of this can be seen when dealing with goddess Sekhmet (destruction) who is the wife of the creator god Ptah (creation). Whilst Sekhmet is known for her destruction, it is pointed out that her destruction is born out of necessity for instilling order as the warrior goddess and was always just and fair unlike Seth whose destruction was “chaotic in nature”</w:t>
      </w:r>
    </w:p>
  </w:footnote>
  <w:footnote w:id="22">
    <w:p w14:paraId="4B200587" w14:textId="77777777" w:rsidR="00FC6F8A" w:rsidRDefault="00FC6F8A" w:rsidP="00FC6F8A">
      <w:pPr>
        <w:pStyle w:val="FootnoteText"/>
      </w:pPr>
      <w:r>
        <w:rPr>
          <w:rStyle w:val="FootnoteReference"/>
        </w:rPr>
        <w:footnoteRef/>
      </w:r>
      <w:r>
        <w:t xml:space="preserve"> See Meyer-Dietrich, E. (2004), pp.1 explains that the ecology of religion attempts to understand connection between the physical world and the religious ideas of the people who live in that environment. This is useful when looking at the Egyptians and their dependency on the natural world to survive. </w:t>
      </w:r>
    </w:p>
  </w:footnote>
  <w:footnote w:id="23">
    <w:p w14:paraId="2680E7FB" w14:textId="77777777" w:rsidR="00FC6F8A" w:rsidRDefault="00FC6F8A" w:rsidP="00FC6F8A">
      <w:pPr>
        <w:pStyle w:val="FootnoteText"/>
      </w:pPr>
      <w:r>
        <w:rPr>
          <w:rStyle w:val="FootnoteReference"/>
        </w:rPr>
        <w:footnoteRef/>
      </w:r>
      <w:r>
        <w:t xml:space="preserve"> Jeffreys, D. (2007), pp.7 advises that the Nile is unique and unusual given the fact that it is a major river system travelling through a “hyper-arid” desert</w:t>
      </w:r>
    </w:p>
  </w:footnote>
  <w:footnote w:id="24">
    <w:p w14:paraId="3A505D27" w14:textId="77777777" w:rsidR="00FC6F8A" w:rsidRDefault="00FC6F8A" w:rsidP="00FC6F8A">
      <w:pPr>
        <w:pStyle w:val="FootnoteText"/>
      </w:pPr>
      <w:r>
        <w:rPr>
          <w:rStyle w:val="FootnoteReference"/>
        </w:rPr>
        <w:footnoteRef/>
      </w:r>
      <w:r>
        <w:t xml:space="preserve"> Wasilewska, E. (2000), pp.174; Hughes, D. (1992), pp.13 advises that the sustainability of agriculture was made possible by the annual inundation of the Nile and deposition of fertile alluvial soil.</w:t>
      </w:r>
    </w:p>
  </w:footnote>
  <w:footnote w:id="25">
    <w:p w14:paraId="38127A42" w14:textId="77777777" w:rsidR="00FC6F8A" w:rsidRDefault="00FC6F8A" w:rsidP="00FC6F8A">
      <w:pPr>
        <w:pStyle w:val="FootnoteText"/>
      </w:pPr>
      <w:r>
        <w:rPr>
          <w:rStyle w:val="FootnoteReference"/>
        </w:rPr>
        <w:footnoteRef/>
      </w:r>
      <w:r>
        <w:t xml:space="preserve"> Jeffreys, D. (2007), pp14</w:t>
      </w:r>
    </w:p>
  </w:footnote>
  <w:footnote w:id="26">
    <w:p w14:paraId="37E90EB1" w14:textId="77777777" w:rsidR="00FC6F8A" w:rsidRDefault="00FC6F8A" w:rsidP="00FC6F8A">
      <w:pPr>
        <w:pStyle w:val="FootnoteText"/>
      </w:pPr>
      <w:r>
        <w:rPr>
          <w:rStyle w:val="FootnoteReference"/>
        </w:rPr>
        <w:footnoteRef/>
      </w:r>
      <w:r>
        <w:t xml:space="preserve"> Hassan, F. (1997), pp.54; Wilson, P. (2007), pp.19 advises that river routes gave “open access to important resource areas” and that the maintenance of the state depended on the managements of these routes and of the delta. </w:t>
      </w:r>
    </w:p>
  </w:footnote>
  <w:footnote w:id="27">
    <w:p w14:paraId="02E5788B" w14:textId="77777777" w:rsidR="00FC6F8A" w:rsidRDefault="00FC6F8A" w:rsidP="00FC6F8A">
      <w:pPr>
        <w:pStyle w:val="FootnoteText"/>
      </w:pPr>
      <w:r>
        <w:rPr>
          <w:rStyle w:val="FootnoteReference"/>
        </w:rPr>
        <w:footnoteRef/>
      </w:r>
      <w:r>
        <w:t xml:space="preserve"> David, R. (2002), pp.1 discusses how the environment and its natural forces have always had a strong impact on the Egyptian people, where the consistent destruction and creation of the Nile inspired its people to believe that human existence reflected these natural cycles.</w:t>
      </w:r>
    </w:p>
  </w:footnote>
  <w:footnote w:id="28">
    <w:p w14:paraId="384E109D" w14:textId="77777777" w:rsidR="00FC6F8A" w:rsidRDefault="00FC6F8A" w:rsidP="00FC6F8A">
      <w:pPr>
        <w:pStyle w:val="FootnoteText"/>
      </w:pPr>
      <w:r>
        <w:rPr>
          <w:rStyle w:val="FootnoteReference"/>
        </w:rPr>
        <w:footnoteRef/>
      </w:r>
      <w:r>
        <w:t xml:space="preserve"> Meyer-Dietrich, E. (2004), pp.14 </w:t>
      </w:r>
      <w:r w:rsidRPr="00BA67E6">
        <w:t>states that the Nile becomes the ruler over all “ontological and cosmological dominions”</w:t>
      </w:r>
      <w:r>
        <w:t xml:space="preserve">; see Kerisel, J. (1999), pp.35 for the Nile and its connection with the myth of emergence; Brandon, S.G.F. and Miller, D. (2014 ) pp.30 advise that two basic features have always dominated the life in Egypt. These are the river Nile and the sun, from which stemmed two basic themes of Egyptian Religion. </w:t>
      </w:r>
    </w:p>
  </w:footnote>
  <w:footnote w:id="29">
    <w:p w14:paraId="25E01FA5" w14:textId="77777777" w:rsidR="00FC6F8A" w:rsidRDefault="00FC6F8A" w:rsidP="00FC6F8A">
      <w:pPr>
        <w:pStyle w:val="FootnoteText"/>
      </w:pPr>
      <w:r>
        <w:rPr>
          <w:rStyle w:val="FootnoteReference"/>
        </w:rPr>
        <w:footnoteRef/>
      </w:r>
      <w:r>
        <w:t xml:space="preserve"> David, R. (2002), pp. 11 advises that through the irrigation of the Nile, the river had a profound effect upon political organisation and religious history of Egypt, becoming the ultimate unifier of the land. </w:t>
      </w:r>
    </w:p>
  </w:footnote>
  <w:footnote w:id="30">
    <w:p w14:paraId="222AC7CC" w14:textId="77777777" w:rsidR="00FC6F8A" w:rsidRDefault="00FC6F8A" w:rsidP="00FC6F8A">
      <w:pPr>
        <w:pStyle w:val="FootnoteText"/>
      </w:pPr>
      <w:r>
        <w:rPr>
          <w:rStyle w:val="FootnoteReference"/>
        </w:rPr>
        <w:footnoteRef/>
      </w:r>
      <w:r>
        <w:t xml:space="preserve"> Wilkinson, T. (2014), pp.71</w:t>
      </w:r>
    </w:p>
  </w:footnote>
  <w:footnote w:id="31">
    <w:p w14:paraId="5E3FA231" w14:textId="77777777" w:rsidR="00FC6F8A" w:rsidRDefault="00FC6F8A" w:rsidP="00FC6F8A">
      <w:pPr>
        <w:pStyle w:val="FootnoteText"/>
      </w:pPr>
      <w:r>
        <w:rPr>
          <w:rStyle w:val="FootnoteReference"/>
        </w:rPr>
        <w:footnoteRef/>
      </w:r>
      <w:r>
        <w:t xml:space="preserve"> Tyldesley, J. (2016), pp.36 </w:t>
      </w:r>
    </w:p>
  </w:footnote>
  <w:footnote w:id="32">
    <w:p w14:paraId="4A3E1DC6" w14:textId="77777777" w:rsidR="00FC6F8A" w:rsidRDefault="00FC6F8A" w:rsidP="00FC6F8A">
      <w:pPr>
        <w:pStyle w:val="FootnoteText"/>
      </w:pPr>
      <w:r>
        <w:rPr>
          <w:rStyle w:val="FootnoteReference"/>
        </w:rPr>
        <w:footnoteRef/>
      </w:r>
      <w:r>
        <w:t xml:space="preserve"> Tyldesley, J. (2016), pp.26; </w:t>
      </w:r>
    </w:p>
  </w:footnote>
  <w:footnote w:id="33">
    <w:p w14:paraId="4C0904F4" w14:textId="77777777" w:rsidR="00FC6F8A" w:rsidRDefault="00FC6F8A" w:rsidP="00FC6F8A">
      <w:pPr>
        <w:pStyle w:val="FootnoteText"/>
      </w:pPr>
      <w:r>
        <w:rPr>
          <w:rStyle w:val="FootnoteReference"/>
        </w:rPr>
        <w:footnoteRef/>
      </w:r>
      <w:r>
        <w:t xml:space="preserve"> Meyer-Dietrich, E. (2004)</w:t>
      </w:r>
    </w:p>
  </w:footnote>
  <w:footnote w:id="34">
    <w:p w14:paraId="110FDE2F" w14:textId="77777777" w:rsidR="00FC6F8A" w:rsidRDefault="00FC6F8A" w:rsidP="00FC6F8A">
      <w:pPr>
        <w:pStyle w:val="FootnoteText"/>
      </w:pPr>
      <w:r>
        <w:rPr>
          <w:rStyle w:val="FootnoteReference"/>
        </w:rPr>
        <w:footnoteRef/>
      </w:r>
      <w:r>
        <w:t xml:space="preserve"> Hassan, F. (1997), pp.53</w:t>
      </w:r>
    </w:p>
  </w:footnote>
  <w:footnote w:id="35">
    <w:p w14:paraId="28CB66E0" w14:textId="77777777" w:rsidR="00FC6F8A" w:rsidRDefault="00FC6F8A" w:rsidP="00FC6F8A">
      <w:pPr>
        <w:pStyle w:val="FootnoteText"/>
      </w:pPr>
      <w:r>
        <w:rPr>
          <w:rStyle w:val="FootnoteReference"/>
        </w:rPr>
        <w:footnoteRef/>
      </w:r>
      <w:r>
        <w:t xml:space="preserve"> Pinch, G. (2002), pp.3</w:t>
      </w:r>
    </w:p>
  </w:footnote>
  <w:footnote w:id="36">
    <w:p w14:paraId="1E3662E3" w14:textId="77777777" w:rsidR="00FC6F8A" w:rsidRDefault="00FC6F8A" w:rsidP="00FC6F8A">
      <w:pPr>
        <w:pStyle w:val="FootnoteText"/>
      </w:pPr>
      <w:r>
        <w:rPr>
          <w:rStyle w:val="FootnoteReference"/>
        </w:rPr>
        <w:footnoteRef/>
      </w:r>
      <w:r>
        <w:t xml:space="preserve"> Wasilewska, E. (2000), pp.</w:t>
      </w:r>
    </w:p>
  </w:footnote>
  <w:footnote w:id="37">
    <w:p w14:paraId="277C6B31" w14:textId="77777777" w:rsidR="00FC6F8A" w:rsidRDefault="00FC6F8A" w:rsidP="00FC6F8A">
      <w:pPr>
        <w:pStyle w:val="FootnoteText"/>
      </w:pPr>
      <w:r>
        <w:rPr>
          <w:rStyle w:val="FootnoteReference"/>
        </w:rPr>
        <w:footnoteRef/>
      </w:r>
      <w:r>
        <w:t xml:space="preserve"> Hense, M. and Sidebotham, S.  (2008), pp.27</w:t>
      </w:r>
    </w:p>
  </w:footnote>
  <w:footnote w:id="38">
    <w:p w14:paraId="6B2910A3" w14:textId="77777777" w:rsidR="00FC6F8A" w:rsidRDefault="00FC6F8A" w:rsidP="00FC6F8A">
      <w:pPr>
        <w:pStyle w:val="FootnoteText"/>
      </w:pPr>
      <w:r>
        <w:rPr>
          <w:rStyle w:val="FootnoteReference"/>
        </w:rPr>
        <w:footnoteRef/>
      </w:r>
      <w:r>
        <w:t xml:space="preserve"> Biles, K. and Page, J. (2011), pp.66 advise that the desert wind is compared to the breath of Sekhmet, the goddess of destruction and death </w:t>
      </w:r>
    </w:p>
  </w:footnote>
  <w:footnote w:id="39">
    <w:p w14:paraId="21703541" w14:textId="77777777" w:rsidR="00FC6F8A" w:rsidRDefault="00FC6F8A" w:rsidP="00FC6F8A">
      <w:pPr>
        <w:pStyle w:val="FootnoteText"/>
      </w:pPr>
      <w:r>
        <w:rPr>
          <w:rStyle w:val="FootnoteReference"/>
        </w:rPr>
        <w:footnoteRef/>
      </w:r>
      <w:r>
        <w:t xml:space="preserve"> Hense, M. and Sidebotham, S. (2008), pp.21; Pinch, G. (2002), pp.2</w:t>
      </w:r>
    </w:p>
  </w:footnote>
  <w:footnote w:id="40">
    <w:p w14:paraId="68B7B1CA" w14:textId="77777777" w:rsidR="00FC6F8A" w:rsidRDefault="00FC6F8A" w:rsidP="00FC6F8A">
      <w:pPr>
        <w:pStyle w:val="FootnoteText"/>
      </w:pPr>
      <w:r>
        <w:rPr>
          <w:rStyle w:val="FootnoteReference"/>
        </w:rPr>
        <w:footnoteRef/>
      </w:r>
      <w:r>
        <w:t xml:space="preserve"> Snape, S. (1996), pp.8 advises that architectural form and its decorations are crucial when highlighting aspects of “accepted belief” to their audience. </w:t>
      </w:r>
    </w:p>
  </w:footnote>
  <w:footnote w:id="41">
    <w:p w14:paraId="6A2C6E8B" w14:textId="77777777" w:rsidR="00FC6F8A" w:rsidRDefault="00FC6F8A" w:rsidP="00FC6F8A">
      <w:pPr>
        <w:pStyle w:val="FootnoteText"/>
      </w:pPr>
      <w:r>
        <w:rPr>
          <w:rStyle w:val="FootnoteReference"/>
        </w:rPr>
        <w:footnoteRef/>
      </w:r>
      <w:r>
        <w:t xml:space="preserve"> Snape, S. (1996)</w:t>
      </w:r>
    </w:p>
  </w:footnote>
  <w:footnote w:id="42">
    <w:p w14:paraId="4599B45F" w14:textId="77777777" w:rsidR="00FC6F8A" w:rsidRDefault="00FC6F8A" w:rsidP="00FC6F8A">
      <w:pPr>
        <w:pStyle w:val="FootnoteText"/>
      </w:pPr>
      <w:r>
        <w:rPr>
          <w:rStyle w:val="FootnoteReference"/>
        </w:rPr>
        <w:footnoteRef/>
      </w:r>
      <w:r>
        <w:t xml:space="preserve"> Pinch, G. (2002), pp. 4</w:t>
      </w:r>
    </w:p>
  </w:footnote>
  <w:footnote w:id="43">
    <w:p w14:paraId="34A96D3D" w14:textId="77777777" w:rsidR="00FC6F8A" w:rsidRDefault="00FC6F8A" w:rsidP="00FC6F8A">
      <w:pPr>
        <w:pStyle w:val="FootnoteText"/>
      </w:pPr>
      <w:r>
        <w:rPr>
          <w:rStyle w:val="FootnoteReference"/>
        </w:rPr>
        <w:footnoteRef/>
      </w:r>
      <w:r>
        <w:t xml:space="preserve"> Snape, S. (1996), pp.31; Gahlin, L. (2007)</w:t>
      </w:r>
    </w:p>
  </w:footnote>
  <w:footnote w:id="44">
    <w:p w14:paraId="62D096FF" w14:textId="62CD8A7A" w:rsidR="00FC6F8A" w:rsidRDefault="00FC6F8A" w:rsidP="00FC6F8A">
      <w:pPr>
        <w:pStyle w:val="FootnoteText"/>
      </w:pPr>
      <w:r>
        <w:rPr>
          <w:rStyle w:val="FootnoteReference"/>
        </w:rPr>
        <w:footnoteRef/>
      </w:r>
      <w:r>
        <w:t xml:space="preserve"> See Goelet, O. (2003), pp.24-25 and how the destruction and decay of temple buildings is linked with </w:t>
      </w:r>
      <w:r w:rsidRPr="008F0634">
        <w:rPr>
          <w:i/>
          <w:iCs/>
        </w:rPr>
        <w:t xml:space="preserve">isfet </w:t>
      </w:r>
      <w:r>
        <w:t>and a return to the primordial state. This is highlighted on the restoration stelae of Tutankhamun. Also see Cooney, K. (201</w:t>
      </w:r>
      <w:r w:rsidR="005B1D45">
        <w:t>4</w:t>
      </w:r>
      <w:r>
        <w:t xml:space="preserve">), pp.14 who uses Karnak temple as an example, where the temple facilitated the ongoing process of creation instigated by the creator god Amun. If enemies were not kept outside of the temple walls, then the offerings would cease to </w:t>
      </w:r>
      <w:r w:rsidR="00985266">
        <w:t>exist,</w:t>
      </w:r>
      <w:r>
        <w:t xml:space="preserve"> and it is believed that creation would stop. Therefore, the importance of sacred space and ritual is thus highlighted. </w:t>
      </w:r>
    </w:p>
  </w:footnote>
  <w:footnote w:id="45">
    <w:p w14:paraId="773DACAB" w14:textId="77777777" w:rsidR="00FC6F8A" w:rsidRDefault="00FC6F8A" w:rsidP="00FC6F8A">
      <w:pPr>
        <w:pStyle w:val="FootnoteText"/>
      </w:pPr>
      <w:r>
        <w:rPr>
          <w:rStyle w:val="FootnoteReference"/>
        </w:rPr>
        <w:footnoteRef/>
      </w:r>
      <w:r>
        <w:t xml:space="preserve">  Snape, S. (1996), pp.8</w:t>
      </w:r>
    </w:p>
  </w:footnote>
  <w:footnote w:id="46">
    <w:p w14:paraId="14161BE0" w14:textId="3FC23344" w:rsidR="00FC6F8A" w:rsidRDefault="00FC6F8A" w:rsidP="00FC6F8A">
      <w:pPr>
        <w:pStyle w:val="FootnoteText"/>
      </w:pPr>
      <w:r>
        <w:rPr>
          <w:rStyle w:val="FootnoteReference"/>
        </w:rPr>
        <w:footnoteRef/>
      </w:r>
      <w:r>
        <w:t xml:space="preserve"> Wasilewska, E. (2000) pp.58; Gahlin, L</w:t>
      </w:r>
      <w:r w:rsidR="00CF7EB6">
        <w:t xml:space="preserve">. </w:t>
      </w:r>
      <w:r>
        <w:t>(2007), pp.308</w:t>
      </w:r>
    </w:p>
  </w:footnote>
  <w:footnote w:id="47">
    <w:p w14:paraId="2F382EAD" w14:textId="77777777" w:rsidR="00FC6F8A" w:rsidRDefault="00FC6F8A" w:rsidP="00FC6F8A">
      <w:pPr>
        <w:pStyle w:val="FootnoteText"/>
      </w:pPr>
      <w:r>
        <w:rPr>
          <w:rStyle w:val="FootnoteReference"/>
        </w:rPr>
        <w:footnoteRef/>
      </w:r>
      <w:r>
        <w:t xml:space="preserve"> Snape, S. (1996), pp.30</w:t>
      </w:r>
    </w:p>
  </w:footnote>
  <w:footnote w:id="48">
    <w:p w14:paraId="19637592" w14:textId="77777777" w:rsidR="00FC6F8A" w:rsidRDefault="00FC6F8A" w:rsidP="00FC6F8A">
      <w:pPr>
        <w:pStyle w:val="FootnoteText"/>
      </w:pPr>
      <w:r>
        <w:rPr>
          <w:rStyle w:val="FootnoteReference"/>
        </w:rPr>
        <w:footnoteRef/>
      </w:r>
      <w:r>
        <w:t xml:space="preserve"> Thimes, J.L. (2016), pp.44 advises that the Lotus is a symbol for creation, rebirth and resurrection and is prominent in creation myths. The sun god is seen to emerge from one in the Hermopolitan creation myth. Snape, S. (1996), pp.30 discusses the decorative features of the temples as symbolic of the temple as epitome of the cosmos.  </w:t>
      </w:r>
    </w:p>
  </w:footnote>
  <w:footnote w:id="49">
    <w:p w14:paraId="17A229E6" w14:textId="77777777" w:rsidR="00FC6F8A" w:rsidRDefault="00FC6F8A" w:rsidP="00FC6F8A">
      <w:pPr>
        <w:pStyle w:val="FootnoteText"/>
      </w:pPr>
      <w:r>
        <w:rPr>
          <w:rStyle w:val="FootnoteReference"/>
        </w:rPr>
        <w:footnoteRef/>
      </w:r>
      <w:r>
        <w:t xml:space="preserve"> Tyldesley, J. (2011), pp.5</w:t>
      </w:r>
    </w:p>
  </w:footnote>
  <w:footnote w:id="50">
    <w:p w14:paraId="432E1773" w14:textId="77777777" w:rsidR="00FC6F8A" w:rsidRDefault="00FC6F8A" w:rsidP="00FC6F8A">
      <w:pPr>
        <w:pStyle w:val="FootnoteText"/>
      </w:pPr>
      <w:r>
        <w:rPr>
          <w:rStyle w:val="FootnoteReference"/>
        </w:rPr>
        <w:footnoteRef/>
      </w:r>
      <w:r>
        <w:t xml:space="preserve"> Finnestad, R.B. (1997), pp.219</w:t>
      </w:r>
    </w:p>
  </w:footnote>
  <w:footnote w:id="51">
    <w:p w14:paraId="5A4667C6" w14:textId="77777777" w:rsidR="00FC6F8A" w:rsidRDefault="00FC6F8A" w:rsidP="00FC6F8A">
      <w:pPr>
        <w:pStyle w:val="FootnoteText"/>
      </w:pPr>
      <w:r>
        <w:rPr>
          <w:rStyle w:val="FootnoteReference"/>
        </w:rPr>
        <w:footnoteRef/>
      </w:r>
      <w:r>
        <w:t xml:space="preserve"> Shafer, B. (1997), pp.1</w:t>
      </w:r>
    </w:p>
  </w:footnote>
  <w:footnote w:id="52">
    <w:p w14:paraId="5A07FE54" w14:textId="77777777" w:rsidR="00FC6F8A" w:rsidRDefault="00FC6F8A" w:rsidP="00FC6F8A">
      <w:pPr>
        <w:pStyle w:val="FootnoteText"/>
      </w:pPr>
      <w:r>
        <w:rPr>
          <w:rStyle w:val="FootnoteReference"/>
        </w:rPr>
        <w:footnoteRef/>
      </w:r>
      <w:r>
        <w:t xml:space="preserve"> Tyldesley, J. (2011), pp.5 advises that everything within the temple complex was designed for ritual purpose</w:t>
      </w:r>
    </w:p>
  </w:footnote>
  <w:footnote w:id="53">
    <w:p w14:paraId="7FB4CFD4" w14:textId="77777777" w:rsidR="00FC6F8A" w:rsidRDefault="00FC6F8A" w:rsidP="00FC6F8A">
      <w:pPr>
        <w:pStyle w:val="FootnoteText"/>
      </w:pPr>
      <w:r>
        <w:rPr>
          <w:rStyle w:val="FootnoteReference"/>
        </w:rPr>
        <w:footnoteRef/>
      </w:r>
      <w:r>
        <w:t xml:space="preserve"> Pinch, G. (1994), pp. 9; Teeter, E. (2011), pp.162</w:t>
      </w:r>
    </w:p>
  </w:footnote>
  <w:footnote w:id="54">
    <w:p w14:paraId="5695E6C2" w14:textId="59821A26" w:rsidR="00FC6F8A" w:rsidRPr="001C51C1" w:rsidRDefault="00FC6F8A" w:rsidP="00FC6F8A">
      <w:pPr>
        <w:pStyle w:val="FootnoteText"/>
      </w:pPr>
      <w:r>
        <w:rPr>
          <w:rStyle w:val="FootnoteReference"/>
        </w:rPr>
        <w:footnoteRef/>
      </w:r>
      <w:r>
        <w:t xml:space="preserve"> </w:t>
      </w:r>
      <w:r>
        <w:rPr>
          <w:i/>
          <w:iCs/>
        </w:rPr>
        <w:t xml:space="preserve">The Instruction to Merikare, </w:t>
      </w:r>
      <w:r>
        <w:t>“He made for them magic as weapons, to ward of the blow of events” for an account of this see van den Dungen (201</w:t>
      </w:r>
      <w:r w:rsidR="00CF7EB6">
        <w:t>6</w:t>
      </w:r>
      <w:r>
        <w:t>) pp.134; Teeter, E. (2011), pp.162</w:t>
      </w:r>
    </w:p>
  </w:footnote>
  <w:footnote w:id="55">
    <w:p w14:paraId="4FC28C4C" w14:textId="77777777" w:rsidR="00FC6F8A" w:rsidRDefault="00FC6F8A" w:rsidP="00FC6F8A">
      <w:pPr>
        <w:pStyle w:val="FootnoteText"/>
      </w:pPr>
      <w:r>
        <w:rPr>
          <w:rStyle w:val="FootnoteReference"/>
        </w:rPr>
        <w:footnoteRef/>
      </w:r>
      <w:r>
        <w:t xml:space="preserve"> Dieleman, J. (2019), pp.87; Nagel, S. (2019), pp.17  </w:t>
      </w:r>
    </w:p>
  </w:footnote>
  <w:footnote w:id="56">
    <w:p w14:paraId="758D280E" w14:textId="02DDCCF8" w:rsidR="00FC6F8A" w:rsidRDefault="00FC6F8A" w:rsidP="00FC6F8A">
      <w:pPr>
        <w:pStyle w:val="FootnoteText"/>
      </w:pPr>
      <w:r>
        <w:rPr>
          <w:rStyle w:val="FootnoteReference"/>
        </w:rPr>
        <w:footnoteRef/>
      </w:r>
      <w:r>
        <w:t xml:space="preserve"> Tyldesley, J. (2011), pp. 19 advises that magic cannot be separated in any meaningful way from formal religion or even science Teeter, E. (2011), pp. 161 advise that scholars disagree still as to what constitutes magic within ancient Egypt and what constitutes religion. Assmann (1997), pp. 4 suggests that magic is for the private sphere and religion for the public sphere. This kind of differentiation does not work for Ancient Egypt for two reasons. First of all, magic and religion cannot be separated due to the fact these categories did not exist within Ancient Egypt. Religion and magic were so firmly imbedded into the consciousness of everyday people that they would not have been able to differentiate between the two. Second of all, ritual practice was seen to be imbued with </w:t>
      </w:r>
      <w:r w:rsidRPr="00223589">
        <w:rPr>
          <w:i/>
          <w:iCs/>
        </w:rPr>
        <w:t>heka</w:t>
      </w:r>
      <w:r>
        <w:t xml:space="preserve">, as this is the only way humans could use such a power. It was used in state ritual alongside private ritual and is controlled by the state. Therefore, </w:t>
      </w:r>
      <w:r w:rsidR="00223589" w:rsidRPr="00223589">
        <w:rPr>
          <w:i/>
          <w:iCs/>
        </w:rPr>
        <w:t>h</w:t>
      </w:r>
      <w:r w:rsidRPr="00223589">
        <w:rPr>
          <w:i/>
          <w:iCs/>
        </w:rPr>
        <w:t>eka</w:t>
      </w:r>
      <w:r>
        <w:t xml:space="preserve"> is not restricted to the private sphere.</w:t>
      </w:r>
    </w:p>
  </w:footnote>
  <w:footnote w:id="57">
    <w:p w14:paraId="4346A93B" w14:textId="77777777" w:rsidR="00FC6F8A" w:rsidRDefault="00FC6F8A" w:rsidP="00FC6F8A">
      <w:pPr>
        <w:pStyle w:val="FootnoteText"/>
      </w:pPr>
      <w:r>
        <w:rPr>
          <w:rStyle w:val="FootnoteReference"/>
        </w:rPr>
        <w:footnoteRef/>
      </w:r>
      <w:r>
        <w:t xml:space="preserve"> Nagel, S. (2019), pp.12; Dieleman, J. (2019), pp.88</w:t>
      </w:r>
    </w:p>
  </w:footnote>
  <w:footnote w:id="58">
    <w:p w14:paraId="08D717ED" w14:textId="6560A7F3" w:rsidR="00FC6F8A" w:rsidRDefault="00FC6F8A" w:rsidP="00FC6F8A">
      <w:pPr>
        <w:pStyle w:val="FootnoteText"/>
      </w:pPr>
      <w:r>
        <w:rPr>
          <w:rStyle w:val="FootnoteReference"/>
        </w:rPr>
        <w:footnoteRef/>
      </w:r>
      <w:r>
        <w:t xml:space="preserve"> See Bernd-Christian, O. (2013)</w:t>
      </w:r>
      <w:r w:rsidR="005B1D45">
        <w:t>, pp.40-43</w:t>
      </w:r>
      <w:r>
        <w:t xml:space="preserve"> for more information on the problem of ethnocentricity within Egyptological studies on Egyptian magic</w:t>
      </w:r>
    </w:p>
  </w:footnote>
  <w:footnote w:id="59">
    <w:p w14:paraId="3EBD8A42" w14:textId="77777777" w:rsidR="00FC6F8A" w:rsidRDefault="00FC6F8A" w:rsidP="00FC6F8A">
      <w:pPr>
        <w:pStyle w:val="FootnoteText"/>
      </w:pPr>
      <w:r>
        <w:rPr>
          <w:rStyle w:val="FootnoteReference"/>
        </w:rPr>
        <w:footnoteRef/>
      </w:r>
      <w:r>
        <w:t xml:space="preserve"> Dunande, F. and Zivie-Coch, C. (2004), pp.122 </w:t>
      </w:r>
    </w:p>
  </w:footnote>
  <w:footnote w:id="60">
    <w:p w14:paraId="086DD16F" w14:textId="77777777" w:rsidR="00FC6F8A" w:rsidRDefault="00FC6F8A" w:rsidP="00FC6F8A">
      <w:pPr>
        <w:pStyle w:val="FootnoteText"/>
      </w:pPr>
      <w:r>
        <w:rPr>
          <w:rStyle w:val="FootnoteReference"/>
        </w:rPr>
        <w:footnoteRef/>
      </w:r>
      <w:r>
        <w:t xml:space="preserve"> Pinch, G. (1994), pp.9; Ritner, R. (1993), pp.3-14; Baines, J. (2006), pp.1-2</w:t>
      </w:r>
    </w:p>
  </w:footnote>
  <w:footnote w:id="61">
    <w:p w14:paraId="78083F6D" w14:textId="77777777" w:rsidR="00FC6F8A" w:rsidRDefault="00FC6F8A" w:rsidP="00FC6F8A">
      <w:pPr>
        <w:pStyle w:val="FootnoteText"/>
      </w:pPr>
      <w:r>
        <w:rPr>
          <w:rStyle w:val="FootnoteReference"/>
        </w:rPr>
        <w:footnoteRef/>
      </w:r>
      <w:r>
        <w:t xml:space="preserve"> Teeter, E. (2011), pp.163</w:t>
      </w:r>
    </w:p>
  </w:footnote>
  <w:footnote w:id="62">
    <w:p w14:paraId="6F7629F6" w14:textId="77777777" w:rsidR="00FC6F8A" w:rsidRDefault="00FC6F8A" w:rsidP="00FC6F8A">
      <w:pPr>
        <w:pStyle w:val="FootnoteText"/>
      </w:pPr>
      <w:r>
        <w:rPr>
          <w:rStyle w:val="FootnoteReference"/>
        </w:rPr>
        <w:footnoteRef/>
      </w:r>
      <w:r>
        <w:t xml:space="preserve"> Pinch, G. (1994), pp.12</w:t>
      </w:r>
    </w:p>
  </w:footnote>
  <w:footnote w:id="63">
    <w:p w14:paraId="2334BBD4" w14:textId="77777777" w:rsidR="00FC6F8A" w:rsidRDefault="00FC6F8A" w:rsidP="00FC6F8A">
      <w:pPr>
        <w:pStyle w:val="FootnoteText"/>
      </w:pPr>
      <w:r>
        <w:rPr>
          <w:rStyle w:val="FootnoteReference"/>
        </w:rPr>
        <w:footnoteRef/>
      </w:r>
      <w:r>
        <w:t xml:space="preserve"> Exell, K. and Naunton, C. (2007), pp.92</w:t>
      </w:r>
    </w:p>
  </w:footnote>
  <w:footnote w:id="64">
    <w:p w14:paraId="3916786D" w14:textId="77777777" w:rsidR="00FC6F8A" w:rsidRDefault="00FC6F8A" w:rsidP="00FC6F8A">
      <w:pPr>
        <w:pStyle w:val="FootnoteText"/>
      </w:pPr>
      <w:r>
        <w:rPr>
          <w:rStyle w:val="FootnoteReference"/>
        </w:rPr>
        <w:footnoteRef/>
      </w:r>
      <w:r>
        <w:t xml:space="preserve"> Tyldesley, J. (2011), pp.19</w:t>
      </w:r>
    </w:p>
  </w:footnote>
  <w:footnote w:id="65">
    <w:p w14:paraId="2E16C138" w14:textId="77777777" w:rsidR="00FC6F8A" w:rsidRDefault="00FC6F8A" w:rsidP="00FC6F8A">
      <w:pPr>
        <w:pStyle w:val="FootnoteText"/>
      </w:pPr>
      <w:r>
        <w:rPr>
          <w:rStyle w:val="FootnoteReference"/>
        </w:rPr>
        <w:footnoteRef/>
      </w:r>
      <w:r>
        <w:t xml:space="preserve"> Dieleman, J. (2019), pp.113</w:t>
      </w:r>
    </w:p>
  </w:footnote>
  <w:footnote w:id="66">
    <w:p w14:paraId="39FF5018" w14:textId="77777777" w:rsidR="00FC6F8A" w:rsidRDefault="00FC6F8A" w:rsidP="00FC6F8A">
      <w:pPr>
        <w:pStyle w:val="FootnoteText"/>
      </w:pPr>
      <w:r>
        <w:rPr>
          <w:rStyle w:val="FootnoteReference"/>
        </w:rPr>
        <w:footnoteRef/>
      </w:r>
      <w:r>
        <w:t xml:space="preserve"> Pinch, G. (1994), pp.158</w:t>
      </w:r>
    </w:p>
  </w:footnote>
  <w:footnote w:id="67">
    <w:p w14:paraId="12B07EE4" w14:textId="77777777" w:rsidR="00FC6F8A" w:rsidRDefault="00FC6F8A" w:rsidP="00FC6F8A">
      <w:pPr>
        <w:pStyle w:val="FootnoteText"/>
      </w:pPr>
      <w:r>
        <w:rPr>
          <w:rStyle w:val="FootnoteReference"/>
        </w:rPr>
        <w:footnoteRef/>
      </w:r>
      <w:r>
        <w:t xml:space="preserve"> Dieleman, J. (2019), pp.96</w:t>
      </w:r>
    </w:p>
  </w:footnote>
  <w:footnote w:id="68">
    <w:p w14:paraId="18009FF6" w14:textId="77777777" w:rsidR="00FC6F8A" w:rsidRDefault="00FC6F8A" w:rsidP="00FC6F8A">
      <w:pPr>
        <w:pStyle w:val="FootnoteText"/>
      </w:pPr>
      <w:r>
        <w:rPr>
          <w:rStyle w:val="FootnoteReference"/>
        </w:rPr>
        <w:footnoteRef/>
      </w:r>
      <w:r>
        <w:t xml:space="preserve"> Tyldesley, J. (2011), pp.19 advises that Egyptian </w:t>
      </w:r>
      <w:r w:rsidRPr="001701D6">
        <w:t>King</w:t>
      </w:r>
      <w:r>
        <w:t>s</w:t>
      </w:r>
      <w:r w:rsidRPr="001701D6">
        <w:t xml:space="preserve"> eliminated </w:t>
      </w:r>
      <w:r>
        <w:t xml:space="preserve">foreign </w:t>
      </w:r>
      <w:r w:rsidRPr="001701D6">
        <w:t xml:space="preserve">enemies by </w:t>
      </w:r>
      <w:r>
        <w:t>“</w:t>
      </w:r>
      <w:r w:rsidRPr="001701D6">
        <w:t>burning or smashing their names in temple rituals</w:t>
      </w:r>
      <w:r>
        <w:t>”; Teeter, E. (2011), pp.163</w:t>
      </w:r>
    </w:p>
  </w:footnote>
  <w:footnote w:id="69">
    <w:p w14:paraId="6B055D82" w14:textId="77777777" w:rsidR="00FC6F8A" w:rsidRDefault="00FC6F8A" w:rsidP="00FC6F8A">
      <w:pPr>
        <w:pStyle w:val="FootnoteText"/>
      </w:pPr>
      <w:r>
        <w:rPr>
          <w:rStyle w:val="FootnoteReference"/>
        </w:rPr>
        <w:footnoteRef/>
      </w:r>
      <w:r>
        <w:t xml:space="preserve"> Nagel, S. (2019), pp.18</w:t>
      </w:r>
    </w:p>
  </w:footnote>
  <w:footnote w:id="70">
    <w:p w14:paraId="47E12675" w14:textId="77777777" w:rsidR="00FC6F8A" w:rsidRDefault="00FC6F8A" w:rsidP="00FC6F8A">
      <w:pPr>
        <w:pStyle w:val="FootnoteText"/>
      </w:pPr>
      <w:r>
        <w:rPr>
          <w:rStyle w:val="FootnoteReference"/>
        </w:rPr>
        <w:footnoteRef/>
      </w:r>
      <w:r>
        <w:t xml:space="preserve"> Fontaine, C. (1981), pp.156</w:t>
      </w:r>
    </w:p>
  </w:footnote>
  <w:footnote w:id="71">
    <w:p w14:paraId="238D3571" w14:textId="77777777" w:rsidR="00FC6F8A" w:rsidRDefault="00FC6F8A" w:rsidP="00FC6F8A">
      <w:pPr>
        <w:pStyle w:val="FootnoteText"/>
      </w:pPr>
      <w:r>
        <w:rPr>
          <w:rStyle w:val="FootnoteReference"/>
        </w:rPr>
        <w:footnoteRef/>
      </w:r>
      <w:r>
        <w:t xml:space="preserve"> Teeter, E, (1990) </w:t>
      </w:r>
    </w:p>
  </w:footnote>
  <w:footnote w:id="72">
    <w:p w14:paraId="10BC9A89" w14:textId="77777777" w:rsidR="00FC6F8A" w:rsidRDefault="00FC6F8A" w:rsidP="00FC6F8A">
      <w:pPr>
        <w:pStyle w:val="FootnoteText"/>
      </w:pPr>
      <w:r>
        <w:rPr>
          <w:rStyle w:val="FootnoteReference"/>
        </w:rPr>
        <w:footnoteRef/>
      </w:r>
      <w:r>
        <w:t xml:space="preserve"> Karenga, M. (2004) pp.198</w:t>
      </w:r>
    </w:p>
  </w:footnote>
  <w:footnote w:id="73">
    <w:p w14:paraId="2E813B2F" w14:textId="796C854B" w:rsidR="00FC6F8A" w:rsidRDefault="00FC6F8A" w:rsidP="00FC6F8A">
      <w:pPr>
        <w:pStyle w:val="FootnoteText"/>
      </w:pPr>
      <w:r>
        <w:rPr>
          <w:rStyle w:val="FootnoteReference"/>
        </w:rPr>
        <w:footnoteRef/>
      </w:r>
      <w:r>
        <w:t xml:space="preserve"> Karenga, M. (2004), pp.5. advises that </w:t>
      </w:r>
      <w:r w:rsidR="008F0634" w:rsidRPr="008F0634">
        <w:rPr>
          <w:i/>
          <w:iCs/>
        </w:rPr>
        <w:t>m</w:t>
      </w:r>
      <w:r w:rsidRPr="008F0634">
        <w:rPr>
          <w:i/>
          <w:iCs/>
        </w:rPr>
        <w:t>aat</w:t>
      </w:r>
      <w:r>
        <w:t xml:space="preserve"> is “polysemic” and lacks categorical preciseness and analytical utility; Morenz, (1984), pp.</w:t>
      </w:r>
      <w:r w:rsidR="00985266">
        <w:t>1</w:t>
      </w:r>
      <w:r>
        <w:t xml:space="preserve">16 advises that </w:t>
      </w:r>
      <w:r w:rsidR="008F0634" w:rsidRPr="008F0634">
        <w:rPr>
          <w:i/>
          <w:iCs/>
        </w:rPr>
        <w:t>m</w:t>
      </w:r>
      <w:r w:rsidRPr="008F0634">
        <w:rPr>
          <w:i/>
          <w:iCs/>
        </w:rPr>
        <w:t>aat</w:t>
      </w:r>
      <w:r>
        <w:t xml:space="preserve"> has a “rich treasury of meaning”</w:t>
      </w:r>
    </w:p>
  </w:footnote>
  <w:footnote w:id="74">
    <w:p w14:paraId="2EC84381" w14:textId="654CDA8B" w:rsidR="00FC6F8A" w:rsidRDefault="00FC6F8A" w:rsidP="00FC6F8A">
      <w:pPr>
        <w:pStyle w:val="FootnoteText"/>
      </w:pPr>
      <w:r>
        <w:rPr>
          <w:rStyle w:val="FootnoteReference"/>
        </w:rPr>
        <w:footnoteRef/>
      </w:r>
      <w:r>
        <w:t xml:space="preserve"> Quirke, S. (2015), pp.152 advises that Egyptological studies insufficiently explore the inclusiveness of the written sources, and whether or not they appeal to all social categories or whether they concern only a few; Karenga, M. (2004), pp.12 implies that different approaches to the concept of </w:t>
      </w:r>
      <w:r w:rsidR="008F0634" w:rsidRPr="008F0634">
        <w:rPr>
          <w:i/>
          <w:iCs/>
        </w:rPr>
        <w:t>m</w:t>
      </w:r>
      <w:r w:rsidRPr="008F0634">
        <w:rPr>
          <w:i/>
          <w:iCs/>
        </w:rPr>
        <w:t>aat</w:t>
      </w:r>
      <w:r>
        <w:t xml:space="preserve"> are needed in order to fully understand it. These include ethical and philosophical approaches, steering away from the seemingly archaic practices of Egyptologists. </w:t>
      </w:r>
    </w:p>
  </w:footnote>
  <w:footnote w:id="75">
    <w:p w14:paraId="53D28600" w14:textId="2C8DFB82" w:rsidR="00FC6F8A" w:rsidRDefault="00FC6F8A" w:rsidP="00FC6F8A">
      <w:pPr>
        <w:pStyle w:val="FootnoteText"/>
      </w:pPr>
      <w:r>
        <w:rPr>
          <w:rStyle w:val="FootnoteReference"/>
        </w:rPr>
        <w:footnoteRef/>
      </w:r>
      <w:r>
        <w:t xml:space="preserve"> Mancini, A. (2002), pp.81 advises that as modern scholars we tend to compartmentalise which is the opposite of Egyptian mentality where “all aspects of life and knowledge were fully integrated”. This is important to consider when dealing with </w:t>
      </w:r>
      <w:r w:rsidR="008F0634">
        <w:rPr>
          <w:i/>
          <w:iCs/>
        </w:rPr>
        <w:t>m</w:t>
      </w:r>
      <w:r w:rsidRPr="008F0634">
        <w:rPr>
          <w:i/>
          <w:iCs/>
        </w:rPr>
        <w:t>aat</w:t>
      </w:r>
      <w:r>
        <w:t xml:space="preserve"> as it shows us that </w:t>
      </w:r>
      <w:r w:rsidR="008F0634">
        <w:rPr>
          <w:i/>
          <w:iCs/>
        </w:rPr>
        <w:t>maat</w:t>
      </w:r>
      <w:r>
        <w:t xml:space="preserve"> is multifaceted and highly inclusive.</w:t>
      </w:r>
    </w:p>
  </w:footnote>
  <w:footnote w:id="76">
    <w:p w14:paraId="4E6B9B8B" w14:textId="77777777" w:rsidR="00FC6F8A" w:rsidRDefault="00FC6F8A" w:rsidP="00FC6F8A">
      <w:pPr>
        <w:pStyle w:val="FootnoteText"/>
      </w:pPr>
      <w:r>
        <w:rPr>
          <w:rStyle w:val="FootnoteReference"/>
        </w:rPr>
        <w:footnoteRef/>
      </w:r>
      <w:r>
        <w:t xml:space="preserve"> Obenga, (1990), pp.158 found in Karenga, M. (2004), pp.7 </w:t>
      </w:r>
    </w:p>
  </w:footnote>
  <w:footnote w:id="77">
    <w:p w14:paraId="113B12C5" w14:textId="77777777" w:rsidR="00FC6F8A" w:rsidRDefault="00FC6F8A" w:rsidP="00FC6F8A">
      <w:pPr>
        <w:pStyle w:val="FootnoteText"/>
      </w:pPr>
      <w:r>
        <w:rPr>
          <w:rStyle w:val="FootnoteReference"/>
        </w:rPr>
        <w:footnoteRef/>
      </w:r>
      <w:r>
        <w:t xml:space="preserve"> Mancini, A. (2002), pp.82</w:t>
      </w:r>
    </w:p>
  </w:footnote>
  <w:footnote w:id="78">
    <w:p w14:paraId="224BB8EE" w14:textId="77777777" w:rsidR="00FC6F8A" w:rsidRDefault="00FC6F8A" w:rsidP="00FC6F8A">
      <w:pPr>
        <w:pStyle w:val="FootnoteText"/>
      </w:pPr>
      <w:r>
        <w:rPr>
          <w:rStyle w:val="FootnoteReference"/>
        </w:rPr>
        <w:footnoteRef/>
      </w:r>
      <w:r>
        <w:t xml:space="preserve"> Wasilewska, E. (2000), pp.175</w:t>
      </w:r>
    </w:p>
  </w:footnote>
  <w:footnote w:id="79">
    <w:p w14:paraId="4E024020" w14:textId="77777777" w:rsidR="00FC6F8A" w:rsidRDefault="00FC6F8A" w:rsidP="00FC6F8A">
      <w:pPr>
        <w:pStyle w:val="FootnoteText"/>
      </w:pPr>
      <w:r>
        <w:rPr>
          <w:rStyle w:val="FootnoteReference"/>
        </w:rPr>
        <w:footnoteRef/>
      </w:r>
      <w:r>
        <w:t xml:space="preserve"> Baines, J. (1995b.), pp.95</w:t>
      </w:r>
    </w:p>
  </w:footnote>
  <w:footnote w:id="80">
    <w:p w14:paraId="4762F845" w14:textId="77777777" w:rsidR="00FC6F8A" w:rsidRDefault="00FC6F8A" w:rsidP="00FC6F8A">
      <w:pPr>
        <w:pStyle w:val="FootnoteText"/>
      </w:pPr>
      <w:r>
        <w:rPr>
          <w:rStyle w:val="FootnoteReference"/>
        </w:rPr>
        <w:footnoteRef/>
      </w:r>
      <w:r>
        <w:t xml:space="preserve"> Goebs, K. (2007), pp.275</w:t>
      </w:r>
    </w:p>
  </w:footnote>
  <w:footnote w:id="81">
    <w:p w14:paraId="3ADB5771" w14:textId="77777777" w:rsidR="00FC6F8A" w:rsidRDefault="00FC6F8A" w:rsidP="00FC6F8A">
      <w:pPr>
        <w:pStyle w:val="FootnoteText"/>
      </w:pPr>
      <w:r>
        <w:rPr>
          <w:rStyle w:val="FootnoteReference"/>
        </w:rPr>
        <w:footnoteRef/>
      </w:r>
      <w:r>
        <w:t xml:space="preserve"> Baines, (1995a.), pp.5</w:t>
      </w:r>
    </w:p>
  </w:footnote>
  <w:footnote w:id="82">
    <w:p w14:paraId="0BB664DE" w14:textId="77777777" w:rsidR="00FC6F8A" w:rsidRDefault="00FC6F8A" w:rsidP="00FC6F8A">
      <w:pPr>
        <w:pStyle w:val="FootnoteText"/>
      </w:pPr>
      <w:r>
        <w:rPr>
          <w:rStyle w:val="FootnoteReference"/>
        </w:rPr>
        <w:footnoteRef/>
      </w:r>
      <w:r>
        <w:t xml:space="preserve"> Assmann, J. and Frankfurter, D. (2004), pp. 155</w:t>
      </w:r>
    </w:p>
  </w:footnote>
  <w:footnote w:id="83">
    <w:p w14:paraId="6F4851D1" w14:textId="77777777" w:rsidR="00FC6F8A" w:rsidRDefault="00FC6F8A" w:rsidP="00FC6F8A">
      <w:pPr>
        <w:pStyle w:val="FootnoteText"/>
      </w:pPr>
      <w:r>
        <w:rPr>
          <w:rStyle w:val="FootnoteReference"/>
        </w:rPr>
        <w:footnoteRef/>
      </w:r>
      <w:r>
        <w:t xml:space="preserve"> Mancini, A. (2002), pp.82</w:t>
      </w:r>
    </w:p>
  </w:footnote>
  <w:footnote w:id="84">
    <w:p w14:paraId="4477AF78" w14:textId="77777777" w:rsidR="00FC6F8A" w:rsidRDefault="00FC6F8A" w:rsidP="00FC6F8A">
      <w:pPr>
        <w:pStyle w:val="FootnoteText"/>
      </w:pPr>
      <w:r>
        <w:rPr>
          <w:rStyle w:val="FootnoteReference"/>
        </w:rPr>
        <w:footnoteRef/>
      </w:r>
      <w:r>
        <w:t xml:space="preserve"> Goebs, (2007), pp.287</w:t>
      </w:r>
    </w:p>
  </w:footnote>
  <w:footnote w:id="85">
    <w:p w14:paraId="3E9361D7" w14:textId="77777777" w:rsidR="00FC6F8A" w:rsidRDefault="00FC6F8A" w:rsidP="00FC6F8A">
      <w:pPr>
        <w:pStyle w:val="FootnoteText"/>
      </w:pPr>
      <w:r>
        <w:rPr>
          <w:rStyle w:val="FootnoteReference"/>
        </w:rPr>
        <w:footnoteRef/>
      </w:r>
      <w:r>
        <w:t xml:space="preserve"> Dodson, A. (2007), pp. 77</w:t>
      </w:r>
    </w:p>
  </w:footnote>
  <w:footnote w:id="86">
    <w:p w14:paraId="371D4761" w14:textId="77777777" w:rsidR="00FC6F8A" w:rsidRDefault="00FC6F8A" w:rsidP="00FC6F8A">
      <w:pPr>
        <w:pStyle w:val="FootnoteText"/>
      </w:pPr>
      <w:r>
        <w:rPr>
          <w:rStyle w:val="FootnoteReference"/>
        </w:rPr>
        <w:footnoteRef/>
      </w:r>
      <w:r>
        <w:t xml:space="preserve"> Frankfort, H. (1948), pp.231; </w:t>
      </w:r>
    </w:p>
  </w:footnote>
  <w:footnote w:id="87">
    <w:p w14:paraId="794818A5" w14:textId="77777777" w:rsidR="00FC6F8A" w:rsidRDefault="00FC6F8A" w:rsidP="00FC6F8A">
      <w:pPr>
        <w:pStyle w:val="FootnoteText"/>
      </w:pPr>
      <w:r>
        <w:rPr>
          <w:rStyle w:val="FootnoteReference"/>
        </w:rPr>
        <w:footnoteRef/>
      </w:r>
      <w:r>
        <w:t xml:space="preserve"> Dodson, A. (2007), pp.75 states that periods of national decline usually went hand in hand with problems with the monarchy</w:t>
      </w:r>
    </w:p>
  </w:footnote>
  <w:footnote w:id="88">
    <w:p w14:paraId="5DE66BEC" w14:textId="6B74DBDA" w:rsidR="00FC6F8A" w:rsidRDefault="00FC6F8A" w:rsidP="00FC6F8A">
      <w:pPr>
        <w:pStyle w:val="FootnoteText"/>
      </w:pPr>
      <w:r>
        <w:rPr>
          <w:rStyle w:val="FootnoteReference"/>
        </w:rPr>
        <w:footnoteRef/>
      </w:r>
      <w:r>
        <w:t xml:space="preserve"> O’Connor, D. and Silverman, D.</w:t>
      </w:r>
      <w:r w:rsidR="009E231D">
        <w:t>P.</w:t>
      </w:r>
      <w:r>
        <w:t xml:space="preserve"> (1995), pp. xx-xxi; Lesko, L. (1991</w:t>
      </w:r>
      <w:r w:rsidR="00EB202A">
        <w:t>b.</w:t>
      </w:r>
      <w:r>
        <w:t>). pp102</w:t>
      </w:r>
    </w:p>
  </w:footnote>
  <w:footnote w:id="89">
    <w:p w14:paraId="6BC731D8" w14:textId="7BE71746" w:rsidR="00FC6F8A" w:rsidRDefault="00FC6F8A" w:rsidP="00FC6F8A">
      <w:pPr>
        <w:pStyle w:val="FootnoteText"/>
      </w:pPr>
      <w:r>
        <w:rPr>
          <w:rStyle w:val="FootnoteReference"/>
        </w:rPr>
        <w:footnoteRef/>
      </w:r>
      <w:r>
        <w:t xml:space="preserve"> O’Connor, D. and Silverman, D.</w:t>
      </w:r>
      <w:r w:rsidR="009E231D">
        <w:t>P.</w:t>
      </w:r>
      <w:r>
        <w:t xml:space="preserve"> (1995), pp. xxi</w:t>
      </w:r>
    </w:p>
  </w:footnote>
  <w:footnote w:id="90">
    <w:p w14:paraId="53D02800" w14:textId="77777777" w:rsidR="00FC6F8A" w:rsidRDefault="00FC6F8A" w:rsidP="00FC6F8A">
      <w:pPr>
        <w:pStyle w:val="FootnoteText"/>
      </w:pPr>
      <w:r>
        <w:rPr>
          <w:rStyle w:val="FootnoteReference"/>
        </w:rPr>
        <w:footnoteRef/>
      </w:r>
      <w:r>
        <w:t xml:space="preserve"> The invasion of the Hyksos was seen as a period of destruction, confusion and chaos. Ahmose, the first Pharaoh of the New Kingdom, conquers the Hyksos capital of Avaris and is seen as the unifier of the two lands of Egypt. Here we see the recreation of Egypt as an order and unified state. See Van De Mieroop, M. (2011), pp.126-136; Bourriau, J. (2000), pp.172; Wilkinson, T. (2010) pp.547 advises that for the most detailed account of the campaign against the Hyksos can be found on three stelae’s of </w:t>
      </w:r>
      <w:proofErr w:type="spellStart"/>
      <w:r>
        <w:t>Kamose</w:t>
      </w:r>
      <w:proofErr w:type="spellEnd"/>
      <w:r>
        <w:t xml:space="preserve"> at </w:t>
      </w:r>
      <w:proofErr w:type="spellStart"/>
      <w:r>
        <w:t>Ipetsut</w:t>
      </w:r>
      <w:proofErr w:type="spellEnd"/>
      <w:r>
        <w:t xml:space="preserve">  </w:t>
      </w:r>
    </w:p>
  </w:footnote>
  <w:footnote w:id="91">
    <w:p w14:paraId="17F28D7C" w14:textId="77777777" w:rsidR="00060E63" w:rsidRDefault="00060E63" w:rsidP="00060E63">
      <w:pPr>
        <w:pStyle w:val="FootnoteText"/>
      </w:pPr>
      <w:r>
        <w:rPr>
          <w:rStyle w:val="FootnoteReference"/>
        </w:rPr>
        <w:footnoteRef/>
      </w:r>
      <w:r>
        <w:t xml:space="preserve"> Bickel, S. (2014), pp.21</w:t>
      </w:r>
    </w:p>
  </w:footnote>
  <w:footnote w:id="92">
    <w:p w14:paraId="4F2A8BA3" w14:textId="5CC2D3B5" w:rsidR="00060E63" w:rsidRDefault="00060E63" w:rsidP="00060E63">
      <w:pPr>
        <w:pStyle w:val="FootnoteText"/>
      </w:pPr>
      <w:r>
        <w:rPr>
          <w:rStyle w:val="FootnoteReference"/>
        </w:rPr>
        <w:footnoteRef/>
      </w:r>
      <w:r>
        <w:t xml:space="preserve"> See Tyldesley, J. (2006), pp.97 for the myth of divine birth for Hatshepsut, see also pp.53 for the divine birth myth of </w:t>
      </w:r>
      <w:r w:rsidRPr="00092743">
        <w:t>Userkaf, Sahure and Nyuserre</w:t>
      </w:r>
      <w:r>
        <w:t xml:space="preserve"> found on the Westcar papyrus in order to see an earlier example; Arnold, D. (2005), pp.135; Lesko, B. (1991</w:t>
      </w:r>
      <w:r w:rsidR="00EB202A">
        <w:t>a.</w:t>
      </w:r>
      <w:r>
        <w:t>), pp.11; Ray, J.(1994), pp.27</w:t>
      </w:r>
    </w:p>
  </w:footnote>
  <w:footnote w:id="93">
    <w:p w14:paraId="2E3BD1E5" w14:textId="77777777" w:rsidR="00060E63" w:rsidRDefault="00060E63" w:rsidP="00060E63">
      <w:pPr>
        <w:pStyle w:val="FootnoteText"/>
      </w:pPr>
      <w:r>
        <w:rPr>
          <w:rStyle w:val="FootnoteReference"/>
        </w:rPr>
        <w:footnoteRef/>
      </w:r>
      <w:r>
        <w:t xml:space="preserve"> Dell, P. (2009), pp.19. It must also be considered, however, that the Egyptians did not have a clear heir system and that it did not operate in the way that modern monarchies do. </w:t>
      </w:r>
    </w:p>
  </w:footnote>
  <w:footnote w:id="94">
    <w:p w14:paraId="47F00453" w14:textId="77777777" w:rsidR="00060E63" w:rsidRDefault="00060E63" w:rsidP="00060E63">
      <w:pPr>
        <w:pStyle w:val="FootnoteText"/>
      </w:pPr>
      <w:r>
        <w:rPr>
          <w:rStyle w:val="FootnoteReference"/>
        </w:rPr>
        <w:footnoteRef/>
      </w:r>
      <w:r>
        <w:t xml:space="preserve"> Creasman, P. (2014), pp.396; Cooney, K. (2014), pp.14</w:t>
      </w:r>
    </w:p>
  </w:footnote>
  <w:footnote w:id="95">
    <w:p w14:paraId="5DE2BE97" w14:textId="77777777" w:rsidR="00060E63" w:rsidRDefault="00060E63" w:rsidP="00060E63">
      <w:pPr>
        <w:pStyle w:val="FootnoteText"/>
      </w:pPr>
      <w:r>
        <w:rPr>
          <w:rStyle w:val="FootnoteReference"/>
        </w:rPr>
        <w:footnoteRef/>
      </w:r>
      <w:r>
        <w:t xml:space="preserve"> </w:t>
      </w:r>
      <w:r w:rsidRPr="00E401D5">
        <w:t>Tyldesley</w:t>
      </w:r>
      <w:r>
        <w:t>, J. (2006), pp.94; This is also due to the fact that Isis was a commoner and therefore could not become regent</w:t>
      </w:r>
    </w:p>
  </w:footnote>
  <w:footnote w:id="96">
    <w:p w14:paraId="5EB689E9" w14:textId="6FB54226" w:rsidR="00060E63" w:rsidRDefault="00060E63" w:rsidP="00060E63">
      <w:pPr>
        <w:pStyle w:val="FootnoteText"/>
      </w:pPr>
      <w:r>
        <w:rPr>
          <w:rStyle w:val="FootnoteReference"/>
        </w:rPr>
        <w:footnoteRef/>
      </w:r>
      <w:r>
        <w:t xml:space="preserve"> Roth, A, M. (2005</w:t>
      </w:r>
      <w:r w:rsidR="009E231D">
        <w:t>a.</w:t>
      </w:r>
      <w:r>
        <w:t xml:space="preserve">), pp.10; Cooney, K. (2018) pp.69. </w:t>
      </w:r>
    </w:p>
  </w:footnote>
  <w:footnote w:id="97">
    <w:p w14:paraId="1BD58E6E" w14:textId="77777777" w:rsidR="00060E63" w:rsidRDefault="00060E63" w:rsidP="00060E63">
      <w:pPr>
        <w:pStyle w:val="FootnoteText"/>
      </w:pPr>
      <w:r>
        <w:rPr>
          <w:rStyle w:val="FootnoteReference"/>
        </w:rPr>
        <w:footnoteRef/>
      </w:r>
      <w:r>
        <w:t xml:space="preserve"> There is some contention as to the specific date of coronation. See Grimal, N. (1988), pp.207; Tyldesley, J. (2006) pp.95; Sankiewicz, M. (2010), pp.132</w:t>
      </w:r>
    </w:p>
  </w:footnote>
  <w:footnote w:id="98">
    <w:p w14:paraId="6AC5E32E" w14:textId="77777777" w:rsidR="00060E63" w:rsidRDefault="00060E63" w:rsidP="00060E63">
      <w:pPr>
        <w:pStyle w:val="FootnoteText"/>
      </w:pPr>
      <w:r>
        <w:rPr>
          <w:rStyle w:val="FootnoteReference"/>
        </w:rPr>
        <w:footnoteRef/>
      </w:r>
      <w:r>
        <w:t xml:space="preserve"> Cooney, K. (2014), pp129; also see Murnane, W. (1977) for more information </w:t>
      </w:r>
    </w:p>
  </w:footnote>
  <w:footnote w:id="99">
    <w:p w14:paraId="44A95804" w14:textId="72598AEC" w:rsidR="00060E63" w:rsidRDefault="00060E63" w:rsidP="00060E63">
      <w:pPr>
        <w:pStyle w:val="FootnoteText"/>
      </w:pPr>
      <w:r>
        <w:rPr>
          <w:rStyle w:val="FootnoteReference"/>
        </w:rPr>
        <w:footnoteRef/>
      </w:r>
      <w:r>
        <w:t xml:space="preserve"> Robins, G. (1999), pp. 110; Roth, A.M. (2005</w:t>
      </w:r>
      <w:r w:rsidR="009E231D">
        <w:t>a.</w:t>
      </w:r>
      <w:r>
        <w:t>), pp.10, For a definition of co-regency see Shaw, I. and Nicholson, P. (2003), pp.72</w:t>
      </w:r>
    </w:p>
  </w:footnote>
  <w:footnote w:id="100">
    <w:p w14:paraId="2FA2787B" w14:textId="77777777" w:rsidR="00060E63" w:rsidRDefault="00060E63" w:rsidP="00060E63">
      <w:pPr>
        <w:pStyle w:val="FootnoteText"/>
      </w:pPr>
      <w:r>
        <w:rPr>
          <w:rStyle w:val="FootnoteReference"/>
        </w:rPr>
        <w:footnoteRef/>
      </w:r>
      <w:r>
        <w:t xml:space="preserve"> Sankiewicz, M. (2010), pp.132 </w:t>
      </w:r>
    </w:p>
  </w:footnote>
  <w:footnote w:id="101">
    <w:p w14:paraId="06F4D729" w14:textId="77777777" w:rsidR="00060E63" w:rsidRDefault="00060E63" w:rsidP="00060E63">
      <w:pPr>
        <w:pStyle w:val="FootnoteText"/>
      </w:pPr>
      <w:r>
        <w:rPr>
          <w:rStyle w:val="FootnoteReference"/>
        </w:rPr>
        <w:footnoteRef/>
      </w:r>
      <w:r>
        <w:t xml:space="preserve"> Tyldesley, J. (2006), pp.52 </w:t>
      </w:r>
    </w:p>
  </w:footnote>
  <w:footnote w:id="102">
    <w:p w14:paraId="79EEF684" w14:textId="77777777" w:rsidR="00060E63" w:rsidRDefault="00060E63" w:rsidP="00060E63">
      <w:pPr>
        <w:pStyle w:val="FootnoteText"/>
      </w:pPr>
      <w:r>
        <w:rPr>
          <w:rStyle w:val="FootnoteReference"/>
        </w:rPr>
        <w:footnoteRef/>
      </w:r>
      <w:r>
        <w:t xml:space="preserve"> Murnane, W. (1977), pp.33</w:t>
      </w:r>
    </w:p>
  </w:footnote>
  <w:footnote w:id="103">
    <w:p w14:paraId="5F740FC0" w14:textId="77777777" w:rsidR="00060E63" w:rsidRDefault="00060E63" w:rsidP="00060E63">
      <w:pPr>
        <w:pStyle w:val="FootnoteText"/>
      </w:pPr>
      <w:r>
        <w:rPr>
          <w:rStyle w:val="FootnoteReference"/>
        </w:rPr>
        <w:footnoteRef/>
      </w:r>
      <w:r>
        <w:t xml:space="preserve"> For translation see Breasted (1906), pp.142, II. 341</w:t>
      </w:r>
    </w:p>
  </w:footnote>
  <w:footnote w:id="104">
    <w:p w14:paraId="028D24E0" w14:textId="77777777" w:rsidR="00060E63" w:rsidRDefault="00060E63" w:rsidP="00060E63">
      <w:pPr>
        <w:pStyle w:val="FootnoteText"/>
      </w:pPr>
      <w:r>
        <w:rPr>
          <w:rStyle w:val="FootnoteReference"/>
        </w:rPr>
        <w:footnoteRef/>
      </w:r>
      <w:r>
        <w:t xml:space="preserve"> Davies, V. (2004), pp.55</w:t>
      </w:r>
    </w:p>
  </w:footnote>
  <w:footnote w:id="105">
    <w:p w14:paraId="7BCC5CF8" w14:textId="77777777" w:rsidR="00060E63" w:rsidRDefault="00060E63" w:rsidP="00060E63">
      <w:pPr>
        <w:pStyle w:val="FootnoteText"/>
      </w:pPr>
      <w:r>
        <w:rPr>
          <w:rStyle w:val="FootnoteReference"/>
        </w:rPr>
        <w:footnoteRef/>
      </w:r>
      <w:r>
        <w:t xml:space="preserve"> Goebs, K. (2007), pp. 278</w:t>
      </w:r>
    </w:p>
  </w:footnote>
  <w:footnote w:id="106">
    <w:p w14:paraId="6A178DC1" w14:textId="77777777" w:rsidR="00060E63" w:rsidRDefault="00060E63" w:rsidP="00060E63">
      <w:pPr>
        <w:pStyle w:val="FootnoteText"/>
      </w:pPr>
      <w:r>
        <w:rPr>
          <w:rStyle w:val="FootnoteReference"/>
        </w:rPr>
        <w:footnoteRef/>
      </w:r>
      <w:r>
        <w:t xml:space="preserve"> Bailey, L. (2003), pp.239 advises the death of each pharaoh brought chaos until the coronation of the next brought back order.</w:t>
      </w:r>
    </w:p>
  </w:footnote>
  <w:footnote w:id="107">
    <w:p w14:paraId="24A61908" w14:textId="77777777" w:rsidR="00060E63" w:rsidRDefault="00060E63" w:rsidP="00060E63">
      <w:pPr>
        <w:pStyle w:val="FootnoteText"/>
      </w:pPr>
      <w:r>
        <w:rPr>
          <w:rStyle w:val="FootnoteReference"/>
        </w:rPr>
        <w:footnoteRef/>
      </w:r>
      <w:r>
        <w:t xml:space="preserve"> Destruction may be used in various forms here. Not only could it mean the metaphorical destruction of the predecessor and their reign, but also could be mean a breakdown in order. Change could mean uncertainty and even in some cases failure. This could affect the continuity of the Kingship. See Bailey, L. (2003), pp.238-240</w:t>
      </w:r>
    </w:p>
  </w:footnote>
  <w:footnote w:id="108">
    <w:p w14:paraId="131AFB4F" w14:textId="77777777" w:rsidR="00060E63" w:rsidRDefault="00060E63" w:rsidP="00060E63">
      <w:pPr>
        <w:pStyle w:val="FootnoteText"/>
      </w:pPr>
      <w:r>
        <w:rPr>
          <w:rStyle w:val="FootnoteReference"/>
        </w:rPr>
        <w:footnoteRef/>
      </w:r>
      <w:r>
        <w:t xml:space="preserve"> Goebs, K. (2007), pp. 276</w:t>
      </w:r>
    </w:p>
  </w:footnote>
  <w:footnote w:id="109">
    <w:p w14:paraId="0D27D068" w14:textId="01921998" w:rsidR="00060E63" w:rsidRDefault="00060E63" w:rsidP="00060E63">
      <w:pPr>
        <w:pStyle w:val="FootnoteText"/>
      </w:pPr>
      <w:r>
        <w:rPr>
          <w:rStyle w:val="FootnoteReference"/>
        </w:rPr>
        <w:footnoteRef/>
      </w:r>
      <w:r>
        <w:t xml:space="preserve"> Roth, A.M (2005</w:t>
      </w:r>
      <w:r w:rsidR="009E231D">
        <w:t>a.</w:t>
      </w:r>
      <w:r>
        <w:t xml:space="preserve">), pp. 13 advises us on the importance of the King Mother in the 18th </w:t>
      </w:r>
      <w:r w:rsidR="000C76ED">
        <w:t>D</w:t>
      </w:r>
      <w:r>
        <w:t>ynasty.</w:t>
      </w:r>
    </w:p>
  </w:footnote>
  <w:footnote w:id="110">
    <w:p w14:paraId="4B72DCEE" w14:textId="77777777" w:rsidR="00060E63" w:rsidRDefault="00060E63" w:rsidP="00060E63">
      <w:pPr>
        <w:pStyle w:val="FootnoteText"/>
      </w:pPr>
      <w:r>
        <w:rPr>
          <w:rStyle w:val="FootnoteReference"/>
        </w:rPr>
        <w:footnoteRef/>
      </w:r>
      <w:r>
        <w:t xml:space="preserve"> Wilkinson, T. (2010), pp.230-231, Wilfong, T.G (2007), pp.208</w:t>
      </w:r>
    </w:p>
  </w:footnote>
  <w:footnote w:id="111">
    <w:p w14:paraId="10926451" w14:textId="0AA746DF" w:rsidR="00060E63" w:rsidRDefault="00060E63" w:rsidP="00060E63">
      <w:pPr>
        <w:pStyle w:val="FootnoteText"/>
      </w:pPr>
      <w:r>
        <w:rPr>
          <w:rStyle w:val="FootnoteReference"/>
        </w:rPr>
        <w:footnoteRef/>
      </w:r>
      <w:r>
        <w:t xml:space="preserve"> Cooney, K. (2018), pp. 69 states that the 18</w:t>
      </w:r>
      <w:r w:rsidRPr="00942BA5">
        <w:rPr>
          <w:vertAlign w:val="superscript"/>
        </w:rPr>
        <w:t>th</w:t>
      </w:r>
      <w:r>
        <w:t xml:space="preserve"> </w:t>
      </w:r>
      <w:r w:rsidR="000C76ED">
        <w:t>D</w:t>
      </w:r>
      <w:r>
        <w:t>ynasty itself began with “real and unadulterated female power in every sphere of government”. Cooney is referring to Ahmose-Nefertari who acted as regent for King Amenhotep I. This can also be seen throughout history when looking at the regencies of Merneith (1</w:t>
      </w:r>
      <w:r w:rsidRPr="00942BA5">
        <w:rPr>
          <w:vertAlign w:val="superscript"/>
        </w:rPr>
        <w:t>st</w:t>
      </w:r>
      <w:r>
        <w:t xml:space="preserve"> Dynasty) and Sobekneferu (12</w:t>
      </w:r>
      <w:r w:rsidRPr="00942BA5">
        <w:rPr>
          <w:vertAlign w:val="superscript"/>
        </w:rPr>
        <w:t>th</w:t>
      </w:r>
      <w:r>
        <w:t xml:space="preserve"> Dynasty) as mentioned on pp.84</w:t>
      </w:r>
    </w:p>
  </w:footnote>
  <w:footnote w:id="112">
    <w:p w14:paraId="5B1F2056" w14:textId="783509A6" w:rsidR="00060E63" w:rsidRDefault="00060E63" w:rsidP="00060E63">
      <w:pPr>
        <w:pStyle w:val="FootnoteText"/>
      </w:pPr>
      <w:r>
        <w:rPr>
          <w:rStyle w:val="FootnoteReference"/>
        </w:rPr>
        <w:footnoteRef/>
      </w:r>
      <w:r>
        <w:t xml:space="preserve"> Roth, A. M. (2005</w:t>
      </w:r>
      <w:r w:rsidR="009E231D">
        <w:t>a.</w:t>
      </w:r>
      <w:r>
        <w:t>), pp.11 states “women effectively ruled Egypt for almost half of the approximately seventy years preceding Hatshepsut’s accession”.</w:t>
      </w:r>
    </w:p>
  </w:footnote>
  <w:footnote w:id="113">
    <w:p w14:paraId="542863D3" w14:textId="7F60F830" w:rsidR="00060E63" w:rsidRDefault="00060E63" w:rsidP="00060E63">
      <w:pPr>
        <w:pStyle w:val="FootnoteText"/>
      </w:pPr>
      <w:r>
        <w:rPr>
          <w:rStyle w:val="FootnoteReference"/>
        </w:rPr>
        <w:footnoteRef/>
      </w:r>
      <w:r>
        <w:t xml:space="preserve"> Lesko, B. (1991</w:t>
      </w:r>
      <w:r w:rsidR="00EB202A">
        <w:t>a.</w:t>
      </w:r>
      <w:r>
        <w:t>), pp.12</w:t>
      </w:r>
    </w:p>
  </w:footnote>
  <w:footnote w:id="114">
    <w:p w14:paraId="2C8A74AA" w14:textId="77777777" w:rsidR="00060E63" w:rsidRDefault="00060E63" w:rsidP="00060E63">
      <w:pPr>
        <w:pStyle w:val="FootnoteText"/>
      </w:pPr>
      <w:r>
        <w:rPr>
          <w:rStyle w:val="FootnoteReference"/>
        </w:rPr>
        <w:footnoteRef/>
      </w:r>
      <w:r>
        <w:t xml:space="preserve"> Tyldesley, J. (2015), pp.52</w:t>
      </w:r>
    </w:p>
  </w:footnote>
  <w:footnote w:id="115">
    <w:p w14:paraId="56AA5D85" w14:textId="77777777" w:rsidR="00060E63" w:rsidRDefault="00060E63" w:rsidP="00060E63">
      <w:pPr>
        <w:pStyle w:val="FootnoteText"/>
      </w:pPr>
      <w:r>
        <w:rPr>
          <w:rStyle w:val="FootnoteReference"/>
        </w:rPr>
        <w:footnoteRef/>
      </w:r>
      <w:r>
        <w:t xml:space="preserve"> Kemp, B. (2018), pp.65; Teeter, E. (1990), pp.4; Laboury, D. (2014), pp.51-52</w:t>
      </w:r>
    </w:p>
  </w:footnote>
  <w:footnote w:id="116">
    <w:p w14:paraId="60D2A742" w14:textId="77777777" w:rsidR="00060E63" w:rsidRDefault="00060E63" w:rsidP="00060E63">
      <w:pPr>
        <w:pStyle w:val="FootnoteText"/>
      </w:pPr>
      <w:r>
        <w:rPr>
          <w:rStyle w:val="FootnoteReference"/>
        </w:rPr>
        <w:footnoteRef/>
      </w:r>
      <w:r>
        <w:t xml:space="preserve"> For an overview of quotes by scholars on the ambition of Hatshepsut see Bradley, P. (2014), pp.137</w:t>
      </w:r>
    </w:p>
  </w:footnote>
  <w:footnote w:id="117">
    <w:p w14:paraId="0C67770E" w14:textId="77777777" w:rsidR="00060E63" w:rsidRDefault="00060E63" w:rsidP="00060E63">
      <w:pPr>
        <w:pStyle w:val="FootnoteText"/>
      </w:pPr>
      <w:r>
        <w:rPr>
          <w:rStyle w:val="FootnoteReference"/>
        </w:rPr>
        <w:footnoteRef/>
      </w:r>
      <w:r>
        <w:t xml:space="preserve"> Shaw, I. (2004), pp.110 advises that there is a growing number of female professional Egyptologists throughout the last 30 years therefore a it is not surprising that feminist scholarship has developed. Bradley, P. (2014), pp.137 has advised that modern scholarship have allowed these extreme views to be abandoned. </w:t>
      </w:r>
    </w:p>
  </w:footnote>
  <w:footnote w:id="118">
    <w:p w14:paraId="784F1306" w14:textId="77777777" w:rsidR="00060E63" w:rsidRDefault="00060E63" w:rsidP="00060E63">
      <w:pPr>
        <w:pStyle w:val="FootnoteText"/>
      </w:pPr>
      <w:r>
        <w:rPr>
          <w:rStyle w:val="FootnoteReference"/>
        </w:rPr>
        <w:footnoteRef/>
      </w:r>
      <w:r>
        <w:t xml:space="preserve"> Teeter, E. (2006) pp.649 mentions misogynism within the sources. </w:t>
      </w:r>
    </w:p>
  </w:footnote>
  <w:footnote w:id="119">
    <w:p w14:paraId="0C99BD33" w14:textId="0B8C1A02" w:rsidR="00060E63" w:rsidRDefault="00060E63" w:rsidP="00060E63">
      <w:pPr>
        <w:pStyle w:val="FootnoteText"/>
      </w:pPr>
      <w:r>
        <w:rPr>
          <w:rStyle w:val="FootnoteReference"/>
        </w:rPr>
        <w:footnoteRef/>
      </w:r>
      <w:r>
        <w:t xml:space="preserve"> Keller, C. (2005a</w:t>
      </w:r>
      <w:r w:rsidR="00EB202A">
        <w:t>.</w:t>
      </w:r>
      <w:r>
        <w:t>), pp.97</w:t>
      </w:r>
    </w:p>
  </w:footnote>
  <w:footnote w:id="120">
    <w:p w14:paraId="00FC1649" w14:textId="77777777" w:rsidR="00060E63" w:rsidRDefault="00060E63" w:rsidP="00060E63">
      <w:pPr>
        <w:pStyle w:val="FootnoteText"/>
      </w:pPr>
      <w:r>
        <w:rPr>
          <w:rStyle w:val="FootnoteReference"/>
        </w:rPr>
        <w:footnoteRef/>
      </w:r>
      <w:r>
        <w:t xml:space="preserve"> Silverman, D. (1992), pp. 68-70</w:t>
      </w:r>
    </w:p>
  </w:footnote>
  <w:footnote w:id="121">
    <w:p w14:paraId="61EFB04E" w14:textId="54720052" w:rsidR="00060E63" w:rsidRDefault="00060E63" w:rsidP="00060E63">
      <w:pPr>
        <w:pStyle w:val="FootnoteText"/>
      </w:pPr>
      <w:r>
        <w:rPr>
          <w:rStyle w:val="FootnoteReference"/>
        </w:rPr>
        <w:footnoteRef/>
      </w:r>
      <w:r>
        <w:t xml:space="preserve"> Roth, A.M. (2005</w:t>
      </w:r>
      <w:r w:rsidR="009E231D">
        <w:t>a.</w:t>
      </w:r>
      <w:r>
        <w:t xml:space="preserve">), pp.13 </w:t>
      </w:r>
    </w:p>
  </w:footnote>
  <w:footnote w:id="122">
    <w:p w14:paraId="434B8C9C" w14:textId="77777777" w:rsidR="00060E63" w:rsidRDefault="00060E63" w:rsidP="00060E63">
      <w:pPr>
        <w:pStyle w:val="FootnoteText"/>
      </w:pPr>
      <w:r>
        <w:rPr>
          <w:rStyle w:val="FootnoteReference"/>
        </w:rPr>
        <w:footnoteRef/>
      </w:r>
      <w:r>
        <w:t xml:space="preserve"> Frankfort, H. (1948), pp.123-39 mentioned in Silverman, D. (1992), pp.68</w:t>
      </w:r>
    </w:p>
  </w:footnote>
  <w:footnote w:id="123">
    <w:p w14:paraId="445E0DAB" w14:textId="77777777" w:rsidR="00060E63" w:rsidRDefault="00060E63" w:rsidP="00060E63">
      <w:pPr>
        <w:pStyle w:val="FootnoteText"/>
      </w:pPr>
      <w:r>
        <w:rPr>
          <w:rStyle w:val="FootnoteReference"/>
        </w:rPr>
        <w:footnoteRef/>
      </w:r>
      <w:r>
        <w:t xml:space="preserve"> Tyldesley, J. (2012) pp.14</w:t>
      </w:r>
    </w:p>
  </w:footnote>
  <w:footnote w:id="124">
    <w:p w14:paraId="673F4085" w14:textId="24EF5530" w:rsidR="00060E63" w:rsidRDefault="00060E63" w:rsidP="00060E63">
      <w:pPr>
        <w:pStyle w:val="FootnoteText"/>
      </w:pPr>
      <w:r>
        <w:rPr>
          <w:rStyle w:val="FootnoteReference"/>
        </w:rPr>
        <w:footnoteRef/>
      </w:r>
      <w:r>
        <w:t xml:space="preserve"> Roth, A.M(2005</w:t>
      </w:r>
      <w:r w:rsidR="009E231D">
        <w:t>a.</w:t>
      </w:r>
      <w:r>
        <w:t>), pp.13</w:t>
      </w:r>
    </w:p>
  </w:footnote>
  <w:footnote w:id="125">
    <w:p w14:paraId="009B21A3" w14:textId="77777777" w:rsidR="00060E63" w:rsidRDefault="00060E63" w:rsidP="00060E63">
      <w:pPr>
        <w:pStyle w:val="FootnoteText"/>
      </w:pPr>
      <w:r>
        <w:rPr>
          <w:rStyle w:val="FootnoteReference"/>
        </w:rPr>
        <w:footnoteRef/>
      </w:r>
      <w:r>
        <w:t xml:space="preserve"> Dodson, A. (2007), pp. 78-79; Roehrig, C., Dreyfus, R. and Keller, C. (2005), pp.4; Wilfong (2007), pp.206</w:t>
      </w:r>
    </w:p>
  </w:footnote>
  <w:footnote w:id="126">
    <w:p w14:paraId="5A660C3B" w14:textId="77777777" w:rsidR="00060E63" w:rsidRDefault="00060E63" w:rsidP="00060E63">
      <w:pPr>
        <w:pStyle w:val="FootnoteText"/>
      </w:pPr>
      <w:r>
        <w:rPr>
          <w:rStyle w:val="FootnoteReference"/>
        </w:rPr>
        <w:footnoteRef/>
      </w:r>
      <w:r>
        <w:t xml:space="preserve"> Goebs, K. (2007), pp.281; For more information on Heliopolitan cosmogony see Assmann, J. (2001), 1.5, pp.111-149. Assmann tells us about the links between kingship and cosmogony and how the creator god Atum sets in motion the historical lineage of kings.</w:t>
      </w:r>
    </w:p>
  </w:footnote>
  <w:footnote w:id="127">
    <w:p w14:paraId="17F01F1C" w14:textId="77777777" w:rsidR="00060E63" w:rsidRDefault="00060E63" w:rsidP="00060E63">
      <w:pPr>
        <w:pStyle w:val="FootnoteText"/>
      </w:pPr>
      <w:r>
        <w:rPr>
          <w:rStyle w:val="FootnoteReference"/>
        </w:rPr>
        <w:footnoteRef/>
      </w:r>
      <w:r>
        <w:t xml:space="preserve"> Ray, J. (1994), pp.35</w:t>
      </w:r>
    </w:p>
  </w:footnote>
  <w:footnote w:id="128">
    <w:p w14:paraId="71E634C9" w14:textId="77777777" w:rsidR="00060E63" w:rsidRDefault="00060E63" w:rsidP="00060E63">
      <w:pPr>
        <w:pStyle w:val="FootnoteText"/>
      </w:pPr>
      <w:r>
        <w:rPr>
          <w:rStyle w:val="FootnoteReference"/>
        </w:rPr>
        <w:footnoteRef/>
      </w:r>
      <w:r>
        <w:t xml:space="preserve"> Ray, J. (1994), pp.23</w:t>
      </w:r>
    </w:p>
  </w:footnote>
  <w:footnote w:id="129">
    <w:p w14:paraId="2783E507" w14:textId="77777777" w:rsidR="00060E63" w:rsidRDefault="00060E63" w:rsidP="00060E63">
      <w:pPr>
        <w:pStyle w:val="FootnoteText"/>
      </w:pPr>
      <w:r>
        <w:rPr>
          <w:rStyle w:val="FootnoteReference"/>
        </w:rPr>
        <w:footnoteRef/>
      </w:r>
      <w:r>
        <w:t xml:space="preserve"> Robins, G. (1999), pp.106</w:t>
      </w:r>
    </w:p>
  </w:footnote>
  <w:footnote w:id="130">
    <w:p w14:paraId="09F60780" w14:textId="77777777" w:rsidR="00060E63" w:rsidRDefault="00060E63" w:rsidP="00060E63">
      <w:pPr>
        <w:pStyle w:val="FootnoteText"/>
      </w:pPr>
      <w:r>
        <w:rPr>
          <w:rStyle w:val="FootnoteReference"/>
        </w:rPr>
        <w:footnoteRef/>
      </w:r>
      <w:r>
        <w:t xml:space="preserve"> Der Manuelian, P. and Loeben, C.E. (1993), pp.26 </w:t>
      </w:r>
    </w:p>
  </w:footnote>
  <w:footnote w:id="131">
    <w:p w14:paraId="3E8A77B1" w14:textId="77777777" w:rsidR="00060E63" w:rsidRDefault="00060E63" w:rsidP="00060E63">
      <w:pPr>
        <w:pStyle w:val="FootnoteText"/>
      </w:pPr>
      <w:r>
        <w:rPr>
          <w:rStyle w:val="FootnoteReference"/>
        </w:rPr>
        <w:footnoteRef/>
      </w:r>
      <w:r>
        <w:t xml:space="preserve"> Kemp, B. (2018), pp.256</w:t>
      </w:r>
    </w:p>
  </w:footnote>
  <w:footnote w:id="132">
    <w:p w14:paraId="611E91FF" w14:textId="77777777" w:rsidR="00060E63" w:rsidRDefault="00060E63" w:rsidP="00060E63">
      <w:pPr>
        <w:pStyle w:val="FootnoteText"/>
      </w:pPr>
      <w:r>
        <w:rPr>
          <w:rStyle w:val="FootnoteReference"/>
        </w:rPr>
        <w:footnoteRef/>
      </w:r>
      <w:r>
        <w:t xml:space="preserve"> Ray, J. (1994), pp.25</w:t>
      </w:r>
    </w:p>
  </w:footnote>
  <w:footnote w:id="133">
    <w:p w14:paraId="6CD3D586" w14:textId="77777777" w:rsidR="00060E63" w:rsidRDefault="00060E63" w:rsidP="00060E63">
      <w:pPr>
        <w:pStyle w:val="FootnoteText"/>
      </w:pPr>
      <w:r>
        <w:rPr>
          <w:rStyle w:val="FootnoteReference"/>
        </w:rPr>
        <w:footnoteRef/>
      </w:r>
      <w:r>
        <w:t xml:space="preserve"> Robins, G. (1999), pp.110</w:t>
      </w:r>
    </w:p>
  </w:footnote>
  <w:footnote w:id="134">
    <w:p w14:paraId="15B3797B" w14:textId="12DF2B9F" w:rsidR="00060E63" w:rsidRDefault="00060E63" w:rsidP="00060E63">
      <w:pPr>
        <w:pStyle w:val="FootnoteText"/>
      </w:pPr>
      <w:r>
        <w:rPr>
          <w:rStyle w:val="FootnoteReference"/>
        </w:rPr>
        <w:footnoteRef/>
      </w:r>
      <w:r>
        <w:t xml:space="preserve"> Lesko, B. (1992</w:t>
      </w:r>
      <w:r w:rsidR="00EB202A">
        <w:t>a.</w:t>
      </w:r>
      <w:r>
        <w:t>), pp.11</w:t>
      </w:r>
    </w:p>
  </w:footnote>
  <w:footnote w:id="135">
    <w:p w14:paraId="21482AA5" w14:textId="77777777" w:rsidR="00060E63" w:rsidRDefault="00060E63" w:rsidP="00060E63">
      <w:pPr>
        <w:pStyle w:val="FootnoteText"/>
      </w:pPr>
      <w:r>
        <w:rPr>
          <w:rStyle w:val="FootnoteReference"/>
        </w:rPr>
        <w:footnoteRef/>
      </w:r>
      <w:r>
        <w:t xml:space="preserve"> The myth of divine birth states that Hatshepsut was the divine child of Amun and Ahmose, after the creator god fell in love with her earthly mother. Hatshepsut was then created by the god Khnum on his wheel along with her Ka. The myth is used to legitimise Hatshepsut as the daughter of the creator and his heir. For more information see Tyldesley, J. (2006), pp.97 for a description of the myth itself. </w:t>
      </w:r>
    </w:p>
  </w:footnote>
  <w:footnote w:id="136">
    <w:p w14:paraId="6898AFF1" w14:textId="77777777" w:rsidR="00060E63" w:rsidRDefault="00060E63" w:rsidP="00060E63">
      <w:pPr>
        <w:pStyle w:val="FootnoteText"/>
      </w:pPr>
      <w:r>
        <w:rPr>
          <w:rStyle w:val="FootnoteReference"/>
        </w:rPr>
        <w:footnoteRef/>
      </w:r>
      <w:r>
        <w:t xml:space="preserve"> Hatshepsut can be seen to refashion the divine birth myth found primarily in the papyrus Westcar in order to legitimise her own divine birth at the hands of the Theban god Amun and to further her own political standing. See Jarrell, R. (2013), pp.19; Johnston, S. I. (2004), pp.549 also states that the New Kingdom also saw the first manifestations of a visible concept of the divine birth within the mortuary reliefs of Hatshepsut. Therefore, we can see the recreation of the divine birth myth in iconographical form rather than being purely literary</w:t>
      </w:r>
    </w:p>
  </w:footnote>
  <w:footnote w:id="137">
    <w:p w14:paraId="44A28CA3" w14:textId="77777777" w:rsidR="00060E63" w:rsidRDefault="00060E63" w:rsidP="00060E63">
      <w:pPr>
        <w:pStyle w:val="FootnoteText"/>
      </w:pPr>
      <w:r>
        <w:rPr>
          <w:rStyle w:val="FootnoteReference"/>
        </w:rPr>
        <w:footnoteRef/>
      </w:r>
      <w:r>
        <w:t xml:space="preserve"> Der Manuelian, P. and Loeben, C.E. (1993), pp.28; for information on the oracle of Amun see Graves-Brown, C. (2010), pp.150; Cooney, K. (2018) pp.75 also mentions this was done for Thutmose III therefore may have been used more to legitimise her rule rather than excuse her gender</w:t>
      </w:r>
    </w:p>
  </w:footnote>
  <w:footnote w:id="138">
    <w:p w14:paraId="2AFA2C1F" w14:textId="77777777" w:rsidR="00060E63" w:rsidRDefault="00060E63" w:rsidP="00060E63">
      <w:pPr>
        <w:pStyle w:val="FootnoteText"/>
      </w:pPr>
      <w:r>
        <w:rPr>
          <w:rStyle w:val="FootnoteReference"/>
        </w:rPr>
        <w:footnoteRef/>
      </w:r>
      <w:r>
        <w:t>Redford, D. (1995), pp.170; for more information on the role of the Amun regarding kingship, see Allen, J. (2005), pp.83-85</w:t>
      </w:r>
    </w:p>
  </w:footnote>
  <w:footnote w:id="139">
    <w:p w14:paraId="5A7B721C" w14:textId="77777777" w:rsidR="00060E63" w:rsidRDefault="00060E63" w:rsidP="00060E63">
      <w:pPr>
        <w:pStyle w:val="FootnoteText"/>
      </w:pPr>
      <w:r>
        <w:rPr>
          <w:rStyle w:val="FootnoteReference"/>
        </w:rPr>
        <w:footnoteRef/>
      </w:r>
      <w:r>
        <w:t xml:space="preserve"> Cooney, K. (2014), pp.15</w:t>
      </w:r>
    </w:p>
  </w:footnote>
  <w:footnote w:id="140">
    <w:p w14:paraId="1AA9A5E3" w14:textId="545363BB" w:rsidR="008F0634" w:rsidRDefault="008F0634">
      <w:pPr>
        <w:pStyle w:val="FootnoteText"/>
      </w:pPr>
      <w:r>
        <w:rPr>
          <w:rStyle w:val="FootnoteReference"/>
        </w:rPr>
        <w:footnoteRef/>
      </w:r>
      <w:r>
        <w:t xml:space="preserve"> Cooney, K. (2018), pp.97</w:t>
      </w:r>
    </w:p>
  </w:footnote>
  <w:footnote w:id="141">
    <w:p w14:paraId="4CD575A3" w14:textId="77777777" w:rsidR="00060E63" w:rsidRDefault="00060E63" w:rsidP="00060E63">
      <w:pPr>
        <w:pStyle w:val="FootnoteText"/>
      </w:pPr>
      <w:r>
        <w:rPr>
          <w:rStyle w:val="FootnoteReference"/>
        </w:rPr>
        <w:footnoteRef/>
      </w:r>
      <w:r>
        <w:t xml:space="preserve"> An example of this can be found in the Westcar Papyrus of the Old Kingdom, where three sons were born of Ra to become the first three rulers of the 5</w:t>
      </w:r>
      <w:r w:rsidRPr="00401C74">
        <w:rPr>
          <w:vertAlign w:val="superscript"/>
        </w:rPr>
        <w:t>th</w:t>
      </w:r>
      <w:r>
        <w:t xml:space="preserve"> Dynasty. See Tyldesley, J. (2006), pp.53-54; Roth, A. (2005b.), pp.149</w:t>
      </w:r>
    </w:p>
  </w:footnote>
  <w:footnote w:id="142">
    <w:p w14:paraId="340EC369" w14:textId="77777777" w:rsidR="00060E63" w:rsidRDefault="00060E63" w:rsidP="00060E63">
      <w:pPr>
        <w:pStyle w:val="FootnoteText"/>
      </w:pPr>
      <w:r>
        <w:rPr>
          <w:rStyle w:val="FootnoteReference"/>
        </w:rPr>
        <w:footnoteRef/>
      </w:r>
      <w:r>
        <w:t xml:space="preserve"> Wilkinson, T. (2010), pp.231; Shaw, I. (2004) pp. 93-94 also advises that many Egyptologists have argued that her gender forced her to create new ways of justifying her rule such as the myth of the “divine birth”. However, Shaw argues that this does not explain why Amenhotep III felt the need to use the myth of divine birth when there was no question of gender. Therefore, gender may not have been a problem here </w:t>
      </w:r>
    </w:p>
  </w:footnote>
  <w:footnote w:id="143">
    <w:p w14:paraId="5F04CA66" w14:textId="15066897" w:rsidR="00F4185A" w:rsidRDefault="00F4185A">
      <w:pPr>
        <w:pStyle w:val="FootnoteText"/>
      </w:pPr>
      <w:r>
        <w:rPr>
          <w:rStyle w:val="FootnoteReference"/>
        </w:rPr>
        <w:footnoteRef/>
      </w:r>
      <w:r>
        <w:t xml:space="preserve"> Ray, J. (1994), pp.28 advises a female Horus was not orthodox</w:t>
      </w:r>
    </w:p>
  </w:footnote>
  <w:footnote w:id="144">
    <w:p w14:paraId="356B5AC7" w14:textId="77777777" w:rsidR="00060E63" w:rsidRDefault="00060E63" w:rsidP="00060E63">
      <w:pPr>
        <w:pStyle w:val="FootnoteText"/>
      </w:pPr>
      <w:r>
        <w:rPr>
          <w:rStyle w:val="FootnoteReference"/>
        </w:rPr>
        <w:footnoteRef/>
      </w:r>
      <w:r>
        <w:t xml:space="preserve"> Silverman, D, (1992), pp.68-70</w:t>
      </w:r>
    </w:p>
  </w:footnote>
  <w:footnote w:id="145">
    <w:p w14:paraId="728650A4" w14:textId="77777777" w:rsidR="00060E63" w:rsidRDefault="00060E63" w:rsidP="00060E63">
      <w:pPr>
        <w:pStyle w:val="FootnoteText"/>
      </w:pPr>
      <w:r>
        <w:rPr>
          <w:rStyle w:val="FootnoteReference"/>
        </w:rPr>
        <w:footnoteRef/>
      </w:r>
      <w:r>
        <w:t xml:space="preserve"> Teeter, E. (2006), pp.649; Tyldesley, J. (2015), pp.52</w:t>
      </w:r>
    </w:p>
  </w:footnote>
  <w:footnote w:id="146">
    <w:p w14:paraId="25D0A74E" w14:textId="77777777" w:rsidR="00060E63" w:rsidRDefault="00060E63" w:rsidP="00060E63">
      <w:pPr>
        <w:pStyle w:val="FootnoteText"/>
      </w:pPr>
      <w:r>
        <w:rPr>
          <w:rStyle w:val="FootnoteReference"/>
        </w:rPr>
        <w:footnoteRef/>
      </w:r>
      <w:r>
        <w:t xml:space="preserve"> Der Manuelian, P. and Loeben, C.E. (1993), pp. 27</w:t>
      </w:r>
    </w:p>
  </w:footnote>
  <w:footnote w:id="147">
    <w:p w14:paraId="50AF1B66" w14:textId="46D67AA3" w:rsidR="00060E63" w:rsidRDefault="00060E63" w:rsidP="00060E63">
      <w:pPr>
        <w:pStyle w:val="FootnoteText"/>
      </w:pPr>
      <w:r>
        <w:rPr>
          <w:rStyle w:val="FootnoteReference"/>
        </w:rPr>
        <w:footnoteRef/>
      </w:r>
      <w:r>
        <w:t xml:space="preserve"> Dorman, P. (2005</w:t>
      </w:r>
      <w:r w:rsidR="00760924">
        <w:t>a.</w:t>
      </w:r>
      <w:r>
        <w:t>), pp. 87-88</w:t>
      </w:r>
    </w:p>
  </w:footnote>
  <w:footnote w:id="148">
    <w:p w14:paraId="68BAFD81" w14:textId="77777777" w:rsidR="00060E63" w:rsidRDefault="00060E63" w:rsidP="00060E63">
      <w:pPr>
        <w:pStyle w:val="FootnoteText"/>
      </w:pPr>
      <w:r>
        <w:rPr>
          <w:rStyle w:val="FootnoteReference"/>
        </w:rPr>
        <w:footnoteRef/>
      </w:r>
      <w:r>
        <w:t xml:space="preserve"> Wilkinson, T. (2010), pp.230</w:t>
      </w:r>
    </w:p>
  </w:footnote>
  <w:footnote w:id="149">
    <w:p w14:paraId="689C3BD1" w14:textId="77777777" w:rsidR="00060E63" w:rsidRDefault="00060E63" w:rsidP="00060E63">
      <w:pPr>
        <w:pStyle w:val="FootnoteText"/>
      </w:pPr>
      <w:r>
        <w:rPr>
          <w:rStyle w:val="FootnoteReference"/>
        </w:rPr>
        <w:footnoteRef/>
      </w:r>
      <w:r>
        <w:t xml:space="preserve"> Cooney, K. (2018), pp.77-78</w:t>
      </w:r>
    </w:p>
  </w:footnote>
  <w:footnote w:id="150">
    <w:p w14:paraId="4CAFA7BA" w14:textId="77777777" w:rsidR="00060E63" w:rsidRDefault="00060E63" w:rsidP="00060E63">
      <w:pPr>
        <w:pStyle w:val="FootnoteText"/>
      </w:pPr>
      <w:r>
        <w:rPr>
          <w:rStyle w:val="FootnoteReference"/>
        </w:rPr>
        <w:footnoteRef/>
      </w:r>
      <w:r>
        <w:t xml:space="preserve"> Spalinger, A. (2007), pp.120</w:t>
      </w:r>
    </w:p>
  </w:footnote>
  <w:footnote w:id="151">
    <w:p w14:paraId="09C26C81" w14:textId="77777777" w:rsidR="00060E63" w:rsidRPr="00092743" w:rsidRDefault="00060E63" w:rsidP="00060E63">
      <w:pPr>
        <w:pStyle w:val="FootnoteText"/>
      </w:pPr>
      <w:r w:rsidRPr="00092743">
        <w:rPr>
          <w:rStyle w:val="FootnoteReference"/>
        </w:rPr>
        <w:footnoteRef/>
      </w:r>
      <w:r w:rsidRPr="00092743">
        <w:t xml:space="preserve"> Bourriau, J. (2000), pp.187 states that the inscription in the Speos Artemidos records the “intensive restoration and </w:t>
      </w:r>
      <w:proofErr w:type="spellStart"/>
      <w:r w:rsidRPr="00092743">
        <w:t>reconsecration</w:t>
      </w:r>
      <w:proofErr w:type="spellEnd"/>
      <w:r w:rsidRPr="00092743">
        <w:t xml:space="preserve"> of temples” around the area. The inscription states </w:t>
      </w:r>
      <w:r>
        <w:t>“</w:t>
      </w:r>
      <w:r w:rsidRPr="00810A4B">
        <w:t xml:space="preserve">I have raised up what was dismembered from the first time when </w:t>
      </w:r>
      <w:proofErr w:type="spellStart"/>
      <w:r w:rsidRPr="00810A4B">
        <w:t>Asiatics</w:t>
      </w:r>
      <w:proofErr w:type="spellEnd"/>
      <w:r w:rsidRPr="00810A4B">
        <w:t xml:space="preserve"> were in Avaris…The temple of Lady </w:t>
      </w:r>
      <w:proofErr w:type="spellStart"/>
      <w:r w:rsidRPr="00810A4B">
        <w:t>cusae</w:t>
      </w:r>
      <w:proofErr w:type="spellEnd"/>
      <w:r w:rsidRPr="00810A4B">
        <w:t xml:space="preserve">…was fallen into dissolution”. This shows Hatshepsut taking on the kingly role of restoring </w:t>
      </w:r>
      <w:r w:rsidRPr="00942BA5">
        <w:rPr>
          <w:i/>
          <w:iCs/>
        </w:rPr>
        <w:t>maat</w:t>
      </w:r>
      <w:r w:rsidRPr="00092743">
        <w:t xml:space="preserve"> and destroying </w:t>
      </w:r>
      <w:r w:rsidRPr="00942BA5">
        <w:rPr>
          <w:i/>
          <w:iCs/>
        </w:rPr>
        <w:t>isfe</w:t>
      </w:r>
      <w:r w:rsidRPr="00092743">
        <w:rPr>
          <w:i/>
          <w:iCs/>
        </w:rPr>
        <w:t>t.</w:t>
      </w:r>
    </w:p>
  </w:footnote>
  <w:footnote w:id="152">
    <w:p w14:paraId="02C953DA" w14:textId="52303A9C" w:rsidR="00060E63" w:rsidRDefault="00060E63" w:rsidP="00060E63">
      <w:pPr>
        <w:pStyle w:val="FootnoteText"/>
      </w:pPr>
      <w:r>
        <w:rPr>
          <w:rStyle w:val="FootnoteReference"/>
        </w:rPr>
        <w:footnoteRef/>
      </w:r>
      <w:r>
        <w:t xml:space="preserve"> This </w:t>
      </w:r>
      <w:r w:rsidR="009E231D">
        <w:t xml:space="preserve">is especially evident </w:t>
      </w:r>
      <w:r>
        <w:t>during the reign of Tutankhamun with his Restoration Stelae at Karnak. See Dorman, F. (2014), pp.5</w:t>
      </w:r>
    </w:p>
  </w:footnote>
  <w:footnote w:id="153">
    <w:p w14:paraId="00A29483" w14:textId="77777777" w:rsidR="00060E63" w:rsidRDefault="00060E63" w:rsidP="00060E63">
      <w:pPr>
        <w:pStyle w:val="FootnoteText"/>
      </w:pPr>
      <w:r>
        <w:rPr>
          <w:rStyle w:val="FootnoteReference"/>
        </w:rPr>
        <w:footnoteRef/>
      </w:r>
      <w:r>
        <w:t xml:space="preserve"> Gal</w:t>
      </w:r>
      <w:r w:rsidRPr="00974605">
        <w:t>á</w:t>
      </w:r>
      <w:r>
        <w:t>n, J. (2014), pp.x; Silverman, D. (1992) pp.70; Kemp, B. (2018), pp.65</w:t>
      </w:r>
    </w:p>
  </w:footnote>
  <w:footnote w:id="154">
    <w:p w14:paraId="78280F8D" w14:textId="77777777" w:rsidR="00060E63" w:rsidRDefault="00060E63" w:rsidP="00060E63">
      <w:pPr>
        <w:pStyle w:val="FootnoteText"/>
      </w:pPr>
      <w:r>
        <w:rPr>
          <w:rStyle w:val="FootnoteReference"/>
        </w:rPr>
        <w:footnoteRef/>
      </w:r>
      <w:r>
        <w:t xml:space="preserve"> Ray, J. (1994), pp.25</w:t>
      </w:r>
    </w:p>
  </w:footnote>
  <w:footnote w:id="155">
    <w:p w14:paraId="33E97A45" w14:textId="77777777" w:rsidR="00060E63" w:rsidRDefault="00060E63" w:rsidP="00060E63">
      <w:pPr>
        <w:pStyle w:val="FootnoteText"/>
      </w:pPr>
      <w:r>
        <w:rPr>
          <w:rStyle w:val="FootnoteReference"/>
        </w:rPr>
        <w:footnoteRef/>
      </w:r>
      <w:r>
        <w:t xml:space="preserve"> Bickel, S. (2014), pp. 28-30</w:t>
      </w:r>
    </w:p>
  </w:footnote>
  <w:footnote w:id="156">
    <w:p w14:paraId="1F047F03" w14:textId="77777777" w:rsidR="00060E63" w:rsidRDefault="00060E63" w:rsidP="00060E63">
      <w:pPr>
        <w:pStyle w:val="FootnoteText"/>
      </w:pPr>
      <w:r>
        <w:rPr>
          <w:rStyle w:val="FootnoteReference"/>
        </w:rPr>
        <w:footnoteRef/>
      </w:r>
      <w:r>
        <w:t xml:space="preserve"> Spence, K. (2007), pp.382-384</w:t>
      </w:r>
    </w:p>
  </w:footnote>
  <w:footnote w:id="157">
    <w:p w14:paraId="0A8956AE" w14:textId="0DC413AB" w:rsidR="00060E63" w:rsidRDefault="00060E63" w:rsidP="00060E63">
      <w:pPr>
        <w:pStyle w:val="FootnoteText"/>
      </w:pPr>
      <w:r>
        <w:rPr>
          <w:rStyle w:val="FootnoteReference"/>
        </w:rPr>
        <w:footnoteRef/>
      </w:r>
      <w:r>
        <w:t xml:space="preserve"> Lesko, B. (1991</w:t>
      </w:r>
      <w:r w:rsidR="00EB202A">
        <w:t>a.</w:t>
      </w:r>
      <w:r>
        <w:t>), pp.11</w:t>
      </w:r>
    </w:p>
  </w:footnote>
  <w:footnote w:id="158">
    <w:p w14:paraId="51CF1AB7" w14:textId="77777777" w:rsidR="00060E63" w:rsidRDefault="00060E63" w:rsidP="00060E63">
      <w:pPr>
        <w:pStyle w:val="FootnoteText"/>
      </w:pPr>
      <w:r>
        <w:rPr>
          <w:rStyle w:val="FootnoteReference"/>
        </w:rPr>
        <w:footnoteRef/>
      </w:r>
      <w:r>
        <w:t xml:space="preserve"> See Arnold, D. (2005), pp. 135-140 for more information on Deir el-Bahri</w:t>
      </w:r>
    </w:p>
  </w:footnote>
  <w:footnote w:id="159">
    <w:p w14:paraId="1140BF97" w14:textId="77777777" w:rsidR="00060E63" w:rsidRDefault="00060E63" w:rsidP="00060E63">
      <w:pPr>
        <w:pStyle w:val="FootnoteText"/>
      </w:pPr>
      <w:r>
        <w:rPr>
          <w:rStyle w:val="FootnoteReference"/>
        </w:rPr>
        <w:footnoteRef/>
      </w:r>
      <w:r>
        <w:t xml:space="preserve"> Szafranski, Z. (2014), pp.126</w:t>
      </w:r>
    </w:p>
  </w:footnote>
  <w:footnote w:id="160">
    <w:p w14:paraId="7C02C6EA" w14:textId="77777777" w:rsidR="00060E63" w:rsidRDefault="00060E63" w:rsidP="00060E63">
      <w:pPr>
        <w:pStyle w:val="FootnoteText"/>
      </w:pPr>
      <w:r>
        <w:rPr>
          <w:rStyle w:val="FootnoteReference"/>
        </w:rPr>
        <w:footnoteRef/>
      </w:r>
      <w:r>
        <w:t xml:space="preserve"> See Bietak, M. (2005), pp.80 for more information on relationship between Egypt and the Aegean and how this manifested within Egyptian architecture </w:t>
      </w:r>
    </w:p>
  </w:footnote>
  <w:footnote w:id="161">
    <w:p w14:paraId="1195EEA7" w14:textId="77777777" w:rsidR="00060E63" w:rsidRDefault="00060E63" w:rsidP="00060E63">
      <w:pPr>
        <w:pStyle w:val="FootnoteText"/>
      </w:pPr>
      <w:r>
        <w:rPr>
          <w:rStyle w:val="FootnoteReference"/>
        </w:rPr>
        <w:footnoteRef/>
      </w:r>
      <w:r>
        <w:t xml:space="preserve"> Gal</w:t>
      </w:r>
      <w:r w:rsidRPr="00974605">
        <w:t>á</w:t>
      </w:r>
      <w:r>
        <w:t xml:space="preserve">n, J. (2014), </w:t>
      </w:r>
      <w:proofErr w:type="spellStart"/>
      <w:proofErr w:type="gramStart"/>
      <w:r>
        <w:t>pp.ix</w:t>
      </w:r>
      <w:proofErr w:type="spellEnd"/>
      <w:r>
        <w:t>.</w:t>
      </w:r>
      <w:proofErr w:type="gramEnd"/>
    </w:p>
  </w:footnote>
  <w:footnote w:id="162">
    <w:p w14:paraId="3FF14905" w14:textId="77777777" w:rsidR="00060E63" w:rsidRDefault="00060E63" w:rsidP="00060E63">
      <w:pPr>
        <w:pStyle w:val="FootnoteText"/>
      </w:pPr>
      <w:r>
        <w:rPr>
          <w:rStyle w:val="FootnoteReference"/>
        </w:rPr>
        <w:footnoteRef/>
      </w:r>
      <w:r>
        <w:t xml:space="preserve"> Warburton, D. (2012), pp. 25</w:t>
      </w:r>
    </w:p>
  </w:footnote>
  <w:footnote w:id="163">
    <w:p w14:paraId="268B222E" w14:textId="77777777" w:rsidR="00060E63" w:rsidRDefault="00060E63" w:rsidP="00060E63">
      <w:pPr>
        <w:pStyle w:val="FootnoteText"/>
      </w:pPr>
      <w:r>
        <w:rPr>
          <w:rStyle w:val="FootnoteReference"/>
        </w:rPr>
        <w:footnoteRef/>
      </w:r>
      <w:r>
        <w:t xml:space="preserve"> Keller, C. (2005a), pp.97; for further information on the building program at Karnak please see Wilkinson, T. (2010), pp.232</w:t>
      </w:r>
    </w:p>
  </w:footnote>
  <w:footnote w:id="164">
    <w:p w14:paraId="42AAFEA0" w14:textId="77777777" w:rsidR="00060E63" w:rsidRDefault="00060E63" w:rsidP="00060E63">
      <w:pPr>
        <w:pStyle w:val="FootnoteText"/>
      </w:pPr>
      <w:r>
        <w:rPr>
          <w:rStyle w:val="FootnoteReference"/>
        </w:rPr>
        <w:footnoteRef/>
      </w:r>
      <w:r>
        <w:t xml:space="preserve"> Bryan, B. (2001), pp.30</w:t>
      </w:r>
    </w:p>
  </w:footnote>
  <w:footnote w:id="165">
    <w:p w14:paraId="34F717A4" w14:textId="77777777" w:rsidR="00060E63" w:rsidRDefault="00060E63" w:rsidP="00060E63">
      <w:pPr>
        <w:pStyle w:val="FootnoteText"/>
      </w:pPr>
      <w:r>
        <w:rPr>
          <w:rStyle w:val="FootnoteReference"/>
        </w:rPr>
        <w:footnoteRef/>
      </w:r>
      <w:r>
        <w:t xml:space="preserve"> Tyldesley, J. (1996), pp.65-67</w:t>
      </w:r>
    </w:p>
  </w:footnote>
  <w:footnote w:id="166">
    <w:p w14:paraId="0652CE6A" w14:textId="77777777" w:rsidR="00060E63" w:rsidRDefault="00060E63" w:rsidP="00060E63">
      <w:pPr>
        <w:pStyle w:val="FootnoteText"/>
      </w:pPr>
      <w:r>
        <w:rPr>
          <w:rStyle w:val="FootnoteReference"/>
        </w:rPr>
        <w:footnoteRef/>
      </w:r>
      <w:r>
        <w:t xml:space="preserve"> Tyldesley, J. (2006), pp.97</w:t>
      </w:r>
    </w:p>
  </w:footnote>
  <w:footnote w:id="167">
    <w:p w14:paraId="31C57833" w14:textId="7EEBA51D" w:rsidR="00060E63" w:rsidRDefault="00060E63" w:rsidP="00060E63">
      <w:pPr>
        <w:pStyle w:val="FootnoteText"/>
      </w:pPr>
      <w:r>
        <w:rPr>
          <w:rStyle w:val="FootnoteReference"/>
        </w:rPr>
        <w:footnoteRef/>
      </w:r>
      <w:r>
        <w:t xml:space="preserve"> Dorman, P. (2005</w:t>
      </w:r>
      <w:r w:rsidR="00760924">
        <w:t>a.</w:t>
      </w:r>
      <w:r>
        <w:t>), pp.88</w:t>
      </w:r>
    </w:p>
  </w:footnote>
  <w:footnote w:id="168">
    <w:p w14:paraId="7FA0FF23" w14:textId="77777777" w:rsidR="00060E63" w:rsidRDefault="00060E63" w:rsidP="00060E63">
      <w:pPr>
        <w:pStyle w:val="FootnoteText"/>
      </w:pPr>
      <w:r>
        <w:rPr>
          <w:rStyle w:val="FootnoteReference"/>
        </w:rPr>
        <w:footnoteRef/>
      </w:r>
      <w:r>
        <w:t xml:space="preserve"> Hilliard, F. and Wurtzel, K. (2009), pp.27</w:t>
      </w:r>
    </w:p>
  </w:footnote>
  <w:footnote w:id="169">
    <w:p w14:paraId="5E68CDE9" w14:textId="77777777" w:rsidR="00060E63" w:rsidRDefault="00060E63" w:rsidP="00060E63">
      <w:pPr>
        <w:pStyle w:val="FootnoteText"/>
      </w:pPr>
      <w:r>
        <w:rPr>
          <w:rStyle w:val="FootnoteReference"/>
        </w:rPr>
        <w:footnoteRef/>
      </w:r>
      <w:r>
        <w:t xml:space="preserve"> Hilliard, F. and Wurtzel, K. (2009), pp.27</w:t>
      </w:r>
    </w:p>
  </w:footnote>
  <w:footnote w:id="170">
    <w:p w14:paraId="75B04892" w14:textId="078C92E4" w:rsidR="00060E63" w:rsidRDefault="00060E63" w:rsidP="00060E63">
      <w:pPr>
        <w:pStyle w:val="FootnoteText"/>
      </w:pPr>
      <w:r>
        <w:rPr>
          <w:rStyle w:val="FootnoteReference"/>
        </w:rPr>
        <w:footnoteRef/>
      </w:r>
      <w:r>
        <w:t xml:space="preserve"> Roth, A.M. (2005</w:t>
      </w:r>
      <w:r w:rsidR="009E231D">
        <w:t>a.</w:t>
      </w:r>
      <w:r>
        <w:t>), pp.9</w:t>
      </w:r>
    </w:p>
  </w:footnote>
  <w:footnote w:id="171">
    <w:p w14:paraId="06DCFC95" w14:textId="3A8B8CBE" w:rsidR="00060E63" w:rsidRDefault="00060E63" w:rsidP="00060E63">
      <w:pPr>
        <w:pStyle w:val="FootnoteText"/>
      </w:pPr>
      <w:r>
        <w:rPr>
          <w:rStyle w:val="FootnoteReference"/>
        </w:rPr>
        <w:footnoteRef/>
      </w:r>
      <w:r>
        <w:t xml:space="preserve"> Der Manuelian, P. and Loeben, C. (1993), pp.27; Kemp, B. (2018), pp.256; Ray, J. (1994), pp,35. It must be noted that changes were made to the regalia and stature Hatshepsut still managed to retain her feminine facial features within iconography. See Keller, C. (2005b</w:t>
      </w:r>
      <w:r w:rsidR="00EB202A">
        <w:t>.</w:t>
      </w:r>
      <w:r>
        <w:t>) pp.158-173</w:t>
      </w:r>
    </w:p>
  </w:footnote>
  <w:footnote w:id="172">
    <w:p w14:paraId="66D29733" w14:textId="16A32340" w:rsidR="00060E63" w:rsidRDefault="00060E63" w:rsidP="00060E63">
      <w:pPr>
        <w:pStyle w:val="FootnoteText"/>
      </w:pPr>
      <w:r>
        <w:rPr>
          <w:rStyle w:val="FootnoteReference"/>
        </w:rPr>
        <w:footnoteRef/>
      </w:r>
      <w:r>
        <w:t xml:space="preserve"> Keller, C. (2005a</w:t>
      </w:r>
      <w:r w:rsidR="00EB202A">
        <w:t>.</w:t>
      </w:r>
      <w:r>
        <w:t>) pp.97</w:t>
      </w:r>
    </w:p>
  </w:footnote>
  <w:footnote w:id="173">
    <w:p w14:paraId="37FF6CC6" w14:textId="77777777" w:rsidR="00060E63" w:rsidRDefault="00060E63" w:rsidP="00060E63">
      <w:pPr>
        <w:pStyle w:val="FootnoteText"/>
      </w:pPr>
      <w:r>
        <w:rPr>
          <w:rStyle w:val="FootnoteReference"/>
        </w:rPr>
        <w:footnoteRef/>
      </w:r>
      <w:r>
        <w:t xml:space="preserve"> Hilliard, F. and Wurtzel, K. (2009), pp.27</w:t>
      </w:r>
    </w:p>
  </w:footnote>
  <w:footnote w:id="174">
    <w:p w14:paraId="5CFCBB53" w14:textId="1435DEC2" w:rsidR="00060E63" w:rsidRDefault="00060E63" w:rsidP="00060E63">
      <w:pPr>
        <w:pStyle w:val="FootnoteText"/>
      </w:pPr>
      <w:r>
        <w:rPr>
          <w:rStyle w:val="FootnoteReference"/>
        </w:rPr>
        <w:footnoteRef/>
      </w:r>
      <w:r>
        <w:t xml:space="preserve"> Roth, A.M. (2005</w:t>
      </w:r>
      <w:r w:rsidR="009E231D">
        <w:t>a.</w:t>
      </w:r>
      <w:r>
        <w:t>), pp.9</w:t>
      </w:r>
    </w:p>
  </w:footnote>
  <w:footnote w:id="175">
    <w:p w14:paraId="66AB3F5C" w14:textId="757EF6C3" w:rsidR="00060E63" w:rsidRDefault="00060E63" w:rsidP="00060E63">
      <w:pPr>
        <w:pStyle w:val="FootnoteText"/>
      </w:pPr>
      <w:r>
        <w:rPr>
          <w:rStyle w:val="FootnoteReference"/>
        </w:rPr>
        <w:footnoteRef/>
      </w:r>
      <w:r>
        <w:t xml:space="preserve"> Robins, G. (1999); Roth, A.M. (2005</w:t>
      </w:r>
      <w:r w:rsidR="009E231D">
        <w:t>a.</w:t>
      </w:r>
      <w:r>
        <w:t>) pp.9</w:t>
      </w:r>
    </w:p>
  </w:footnote>
  <w:footnote w:id="176">
    <w:p w14:paraId="52AA8EF4" w14:textId="77777777" w:rsidR="00060E63" w:rsidRDefault="00060E63" w:rsidP="00060E63">
      <w:pPr>
        <w:pStyle w:val="FootnoteText"/>
      </w:pPr>
      <w:r>
        <w:rPr>
          <w:rStyle w:val="FootnoteReference"/>
        </w:rPr>
        <w:footnoteRef/>
      </w:r>
      <w:r>
        <w:t xml:space="preserve"> Davies, V. (2004), pp. 64 talks about how the coming together of opposites under the person of the king was a reminder that the King was unifier and ruler </w:t>
      </w:r>
    </w:p>
  </w:footnote>
  <w:footnote w:id="177">
    <w:p w14:paraId="743AFB02" w14:textId="77777777" w:rsidR="00060E63" w:rsidRDefault="00060E63" w:rsidP="00060E63">
      <w:pPr>
        <w:pStyle w:val="FootnoteText"/>
      </w:pPr>
      <w:r>
        <w:rPr>
          <w:rStyle w:val="FootnoteReference"/>
        </w:rPr>
        <w:footnoteRef/>
      </w:r>
      <w:r>
        <w:t xml:space="preserve"> Hilliard, F. and Wurtzel, K. (2009), pp.27</w:t>
      </w:r>
    </w:p>
  </w:footnote>
  <w:footnote w:id="178">
    <w:p w14:paraId="15BC69CD" w14:textId="77777777" w:rsidR="00060E63" w:rsidRDefault="00060E63" w:rsidP="00060E63">
      <w:pPr>
        <w:pStyle w:val="FootnoteText"/>
      </w:pPr>
      <w:r>
        <w:rPr>
          <w:rStyle w:val="FootnoteReference"/>
        </w:rPr>
        <w:footnoteRef/>
      </w:r>
      <w:r>
        <w:t xml:space="preserve"> Wilfong, T. (2007), pp.206</w:t>
      </w:r>
    </w:p>
  </w:footnote>
  <w:footnote w:id="179">
    <w:p w14:paraId="78338A80" w14:textId="77777777" w:rsidR="00060E63" w:rsidRDefault="00060E63" w:rsidP="00060E63">
      <w:pPr>
        <w:pStyle w:val="FootnoteText"/>
      </w:pPr>
      <w:r>
        <w:rPr>
          <w:rStyle w:val="FootnoteReference"/>
        </w:rPr>
        <w:footnoteRef/>
      </w:r>
      <w:r>
        <w:t xml:space="preserve"> Davies, V. (2004), pp. 64</w:t>
      </w:r>
    </w:p>
  </w:footnote>
  <w:footnote w:id="180">
    <w:p w14:paraId="3955FFA8" w14:textId="77777777" w:rsidR="00F4185A" w:rsidRDefault="00F4185A" w:rsidP="00F4185A">
      <w:pPr>
        <w:pStyle w:val="FootnoteText"/>
      </w:pPr>
      <w:r>
        <w:rPr>
          <w:rStyle w:val="FootnoteReference"/>
        </w:rPr>
        <w:footnoteRef/>
      </w:r>
      <w:r>
        <w:t xml:space="preserve"> Davies, V. (2004), pp.63</w:t>
      </w:r>
    </w:p>
  </w:footnote>
  <w:footnote w:id="181">
    <w:p w14:paraId="20FA3012" w14:textId="77777777" w:rsidR="00060E63" w:rsidRDefault="00060E63" w:rsidP="00060E63">
      <w:pPr>
        <w:pStyle w:val="FootnoteText"/>
      </w:pPr>
      <w:r>
        <w:rPr>
          <w:rStyle w:val="FootnoteReference"/>
        </w:rPr>
        <w:footnoteRef/>
      </w:r>
      <w:r>
        <w:t xml:space="preserve"> See Davies, V. (2004) for interpretations on various scenes portraying both Hatshepsut and her co-regent Thutmose III. See also </w:t>
      </w:r>
    </w:p>
  </w:footnote>
  <w:footnote w:id="182">
    <w:p w14:paraId="177B3E5B" w14:textId="4B764AED" w:rsidR="00F4185A" w:rsidRDefault="00F4185A">
      <w:pPr>
        <w:pStyle w:val="FootnoteText"/>
      </w:pPr>
      <w:r>
        <w:rPr>
          <w:rStyle w:val="FootnoteReference"/>
        </w:rPr>
        <w:footnoteRef/>
      </w:r>
      <w:r>
        <w:t xml:space="preserve"> See pp.30</w:t>
      </w:r>
    </w:p>
  </w:footnote>
  <w:footnote w:id="183">
    <w:p w14:paraId="3912F6FC" w14:textId="77777777" w:rsidR="00060E63" w:rsidRDefault="00060E63" w:rsidP="00060E63">
      <w:pPr>
        <w:pStyle w:val="FootnoteText"/>
      </w:pPr>
      <w:r>
        <w:rPr>
          <w:rStyle w:val="FootnoteReference"/>
        </w:rPr>
        <w:footnoteRef/>
      </w:r>
      <w:r>
        <w:t xml:space="preserve"> As previously discussed, Hatshepsut’s daughter Neferure now takes on duties traditionally given to the Queen, thus fulfilling the feminine aspect of the Kingship. In terms of her role as wife, this was already contentious given the fact her husband had died. Nevertheless, in order to move on from widow to ruler, she could no longer just be seen as the wife of the late King, but a ruler in her own right. </w:t>
      </w:r>
    </w:p>
  </w:footnote>
  <w:footnote w:id="184">
    <w:p w14:paraId="2799F039" w14:textId="41A3431B" w:rsidR="00060E63" w:rsidRDefault="00060E63" w:rsidP="00060E63">
      <w:pPr>
        <w:pStyle w:val="FootnoteText"/>
      </w:pPr>
      <w:r>
        <w:rPr>
          <w:rStyle w:val="FootnoteReference"/>
        </w:rPr>
        <w:footnoteRef/>
      </w:r>
      <w:r>
        <w:t xml:space="preserve"> Roth, A. M.</w:t>
      </w:r>
      <w:r w:rsidR="009E231D">
        <w:t xml:space="preserve"> </w:t>
      </w:r>
      <w:r>
        <w:t>(2005</w:t>
      </w:r>
      <w:r w:rsidR="009E231D">
        <w:t>a.</w:t>
      </w:r>
      <w:r>
        <w:t>), pp.9</w:t>
      </w:r>
    </w:p>
  </w:footnote>
  <w:footnote w:id="185">
    <w:p w14:paraId="57A189E8" w14:textId="77777777" w:rsidR="00060E63" w:rsidRDefault="00060E63" w:rsidP="00060E63">
      <w:pPr>
        <w:pStyle w:val="FootnoteText"/>
      </w:pPr>
      <w:r>
        <w:rPr>
          <w:rStyle w:val="FootnoteReference"/>
        </w:rPr>
        <w:footnoteRef/>
      </w:r>
      <w:r>
        <w:t xml:space="preserve"> Karenga, M. (2004), pp.221-222, </w:t>
      </w:r>
    </w:p>
  </w:footnote>
  <w:footnote w:id="186">
    <w:p w14:paraId="6B3462E5" w14:textId="77777777" w:rsidR="00060E63" w:rsidRDefault="00060E63" w:rsidP="00060E63">
      <w:pPr>
        <w:pStyle w:val="FootnoteText"/>
      </w:pPr>
      <w:r>
        <w:rPr>
          <w:rStyle w:val="FootnoteReference"/>
        </w:rPr>
        <w:footnoteRef/>
      </w:r>
      <w:r>
        <w:t xml:space="preserve"> Robins, G. (1999), pp. 106</w:t>
      </w:r>
    </w:p>
  </w:footnote>
  <w:footnote w:id="187">
    <w:p w14:paraId="53C2CE52" w14:textId="77777777" w:rsidR="00060E63" w:rsidRDefault="00060E63" w:rsidP="00060E63">
      <w:pPr>
        <w:pStyle w:val="FootnoteText"/>
      </w:pPr>
      <w:r>
        <w:rPr>
          <w:rStyle w:val="FootnoteReference"/>
        </w:rPr>
        <w:footnoteRef/>
      </w:r>
      <w:r>
        <w:t xml:space="preserve"> Bryan, B. (2005), pp.181</w:t>
      </w:r>
    </w:p>
  </w:footnote>
  <w:footnote w:id="188">
    <w:p w14:paraId="7372059D" w14:textId="0C7B5DDE" w:rsidR="00060E63" w:rsidRDefault="00060E63" w:rsidP="00060E63">
      <w:pPr>
        <w:pStyle w:val="FootnoteText"/>
      </w:pPr>
      <w:r>
        <w:rPr>
          <w:rStyle w:val="FootnoteReference"/>
        </w:rPr>
        <w:footnoteRef/>
      </w:r>
      <w:r>
        <w:t xml:space="preserve"> Pinkowski, J. (2006), pp.47; Lesko, B. (199</w:t>
      </w:r>
      <w:r w:rsidR="005B1D45">
        <w:t>9</w:t>
      </w:r>
      <w:r>
        <w:t>), pp.136</w:t>
      </w:r>
    </w:p>
  </w:footnote>
  <w:footnote w:id="189">
    <w:p w14:paraId="784E5277" w14:textId="144735B3" w:rsidR="00060E63" w:rsidRDefault="00060E63" w:rsidP="00060E63">
      <w:pPr>
        <w:pStyle w:val="FootnoteText"/>
      </w:pPr>
      <w:r>
        <w:rPr>
          <w:rStyle w:val="FootnoteReference"/>
        </w:rPr>
        <w:footnoteRef/>
      </w:r>
      <w:r>
        <w:t xml:space="preserve"> Lesko, B. (1999), pp.136</w:t>
      </w:r>
    </w:p>
  </w:footnote>
  <w:footnote w:id="190">
    <w:p w14:paraId="6FBE97F0" w14:textId="77777777" w:rsidR="00060E63" w:rsidRDefault="00060E63" w:rsidP="00060E63">
      <w:pPr>
        <w:pStyle w:val="FootnoteText"/>
      </w:pPr>
      <w:r>
        <w:rPr>
          <w:rStyle w:val="FootnoteReference"/>
        </w:rPr>
        <w:footnoteRef/>
      </w:r>
      <w:r>
        <w:t xml:space="preserve"> Troy, L. (2006), pp.125</w:t>
      </w:r>
    </w:p>
  </w:footnote>
  <w:footnote w:id="191">
    <w:p w14:paraId="7DD7C400" w14:textId="77777777" w:rsidR="00060E63" w:rsidRDefault="00060E63" w:rsidP="00060E63">
      <w:pPr>
        <w:pStyle w:val="FootnoteText"/>
      </w:pPr>
      <w:r>
        <w:rPr>
          <w:rStyle w:val="FootnoteReference"/>
        </w:rPr>
        <w:footnoteRef/>
      </w:r>
      <w:r>
        <w:t xml:space="preserve"> Tyldesley, J. (2015), pp.54; Roehrig, C., Dreyfus, R. and Keller, C. (2005), pp.4; See Dorman, P. (2005b.), pp.267 for more information regarding the destruction of Hatshepsut’s statues at Deir el-Bahri</w:t>
      </w:r>
    </w:p>
  </w:footnote>
  <w:footnote w:id="192">
    <w:p w14:paraId="598730E7" w14:textId="77777777" w:rsidR="00060E63" w:rsidRDefault="00060E63" w:rsidP="00060E63">
      <w:pPr>
        <w:pStyle w:val="FootnoteText"/>
      </w:pPr>
      <w:r>
        <w:rPr>
          <w:rStyle w:val="FootnoteReference"/>
        </w:rPr>
        <w:footnoteRef/>
      </w:r>
      <w:r>
        <w:t xml:space="preserve"> Dorman, P. (2005b.) pp.267</w:t>
      </w:r>
    </w:p>
  </w:footnote>
  <w:footnote w:id="193">
    <w:p w14:paraId="326C0654" w14:textId="77777777" w:rsidR="00060E63" w:rsidRDefault="00060E63" w:rsidP="00060E63">
      <w:pPr>
        <w:pStyle w:val="FootnoteText"/>
      </w:pPr>
      <w:r>
        <w:rPr>
          <w:rStyle w:val="FootnoteReference"/>
        </w:rPr>
        <w:footnoteRef/>
      </w:r>
      <w:r>
        <w:t xml:space="preserve"> See Tyldesley, J. (2006), pp.106. Advises that this assessment is too simplistic, and it is “dangerous to psychoanalyse the dead”</w:t>
      </w:r>
    </w:p>
  </w:footnote>
  <w:footnote w:id="194">
    <w:p w14:paraId="5E1B1BF9" w14:textId="4AA2A180" w:rsidR="00272F44" w:rsidRDefault="00272F44">
      <w:pPr>
        <w:pStyle w:val="FootnoteText"/>
      </w:pPr>
      <w:r>
        <w:rPr>
          <w:rStyle w:val="FootnoteReference"/>
        </w:rPr>
        <w:footnoteRef/>
      </w:r>
      <w:r>
        <w:t xml:space="preserve"> Tyldesley, J, (2015), pp.55</w:t>
      </w:r>
    </w:p>
  </w:footnote>
  <w:footnote w:id="195">
    <w:p w14:paraId="47ACA572" w14:textId="5ABDD40A" w:rsidR="00F4185A" w:rsidRDefault="00F4185A">
      <w:pPr>
        <w:pStyle w:val="FootnoteText"/>
      </w:pPr>
      <w:r>
        <w:rPr>
          <w:rStyle w:val="FootnoteReference"/>
        </w:rPr>
        <w:footnoteRef/>
      </w:r>
      <w:r>
        <w:t xml:space="preserve"> Dell, P. (2009), pp.64</w:t>
      </w:r>
    </w:p>
  </w:footnote>
  <w:footnote w:id="196">
    <w:p w14:paraId="773DC6CF" w14:textId="5A00572A" w:rsidR="00F4185A" w:rsidRDefault="00F4185A">
      <w:pPr>
        <w:pStyle w:val="FootnoteText"/>
      </w:pPr>
      <w:r>
        <w:rPr>
          <w:rStyle w:val="FootnoteReference"/>
        </w:rPr>
        <w:footnoteRef/>
      </w:r>
      <w:r>
        <w:t xml:space="preserve"> Teeter, E. (2006), pp.650</w:t>
      </w:r>
    </w:p>
  </w:footnote>
  <w:footnote w:id="197">
    <w:p w14:paraId="50AB72F3" w14:textId="309D094A" w:rsidR="00060E63" w:rsidRDefault="00060E63" w:rsidP="00060E63">
      <w:pPr>
        <w:pStyle w:val="FootnoteText"/>
      </w:pPr>
      <w:r>
        <w:rPr>
          <w:rStyle w:val="FootnoteReference"/>
        </w:rPr>
        <w:footnoteRef/>
      </w:r>
      <w:r>
        <w:t xml:space="preserve"> Goelet, O. (2003), pp</w:t>
      </w:r>
      <w:r w:rsidR="005B1D45">
        <w:t>.</w:t>
      </w:r>
      <w:r>
        <w:t>24</w:t>
      </w:r>
    </w:p>
  </w:footnote>
  <w:footnote w:id="198">
    <w:p w14:paraId="5C65B8E8" w14:textId="77777777" w:rsidR="00060E63" w:rsidRDefault="00060E63" w:rsidP="00060E63">
      <w:pPr>
        <w:pStyle w:val="FootnoteText"/>
      </w:pPr>
      <w:r>
        <w:rPr>
          <w:rStyle w:val="FootnoteReference"/>
        </w:rPr>
        <w:footnoteRef/>
      </w:r>
      <w:r>
        <w:t xml:space="preserve"> Teeter, E. (2011), pp.182</w:t>
      </w:r>
    </w:p>
  </w:footnote>
  <w:footnote w:id="199">
    <w:p w14:paraId="457373F3" w14:textId="137A2B63" w:rsidR="00060E63" w:rsidRDefault="00060E63" w:rsidP="00060E63">
      <w:pPr>
        <w:pStyle w:val="FootnoteText"/>
      </w:pPr>
      <w:r>
        <w:rPr>
          <w:rStyle w:val="FootnoteReference"/>
        </w:rPr>
        <w:footnoteRef/>
      </w:r>
      <w:r>
        <w:t xml:space="preserve"> Wilkinson, T. (2010), pp.279; Redford, D. (1984); Redford, D. (2013); Hornung, E. (1992); Montserrat, D. (2000), pp.36 talks about how Akhenaten is often labelled as a heretic who had a reign of revolution and reformation. </w:t>
      </w:r>
    </w:p>
  </w:footnote>
  <w:footnote w:id="200">
    <w:p w14:paraId="7933F8AE" w14:textId="77777777" w:rsidR="00060E63" w:rsidRDefault="00060E63" w:rsidP="00060E63">
      <w:pPr>
        <w:pStyle w:val="FootnoteText"/>
      </w:pPr>
      <w:r>
        <w:rPr>
          <w:rStyle w:val="FootnoteReference"/>
        </w:rPr>
        <w:footnoteRef/>
      </w:r>
      <w:r>
        <w:t xml:space="preserve"> Asante, M.K and Ismail, S. (2009), pp.297 state that Akhenaten was the beginning of a revolution in religious thinking, by introducing a sense of rebellion and revolt to the status quo of religious order. See also Christie, J.J. (2016), pp.25 who states that Akhenaten radically reorganised the Egyptian religious and political system and redirected it. </w:t>
      </w:r>
    </w:p>
  </w:footnote>
  <w:footnote w:id="201">
    <w:p w14:paraId="59D82F62" w14:textId="77777777" w:rsidR="00060E63" w:rsidRDefault="00060E63" w:rsidP="00060E63">
      <w:pPr>
        <w:pStyle w:val="FootnoteText"/>
      </w:pPr>
      <w:r>
        <w:rPr>
          <w:rStyle w:val="FootnoteReference"/>
        </w:rPr>
        <w:footnoteRef/>
      </w:r>
      <w:r>
        <w:t xml:space="preserve"> See Darnell, J. and Marnassa, C. (2007), pp.41-42 who argue that Aten, Akhenaten and Nefertiti essentially recreate the divine triad of Heliopolis, replacing Atum, Shu and Tefnut. Asante, M. K. and Ismail, S. (2009) also advise that reverence to the sun was not unknown before the reign of Akhenaten. Therefore, showing that Akhenaten is recreating and developing on an already well-known concept within Egyptian religion. </w:t>
      </w:r>
    </w:p>
  </w:footnote>
  <w:footnote w:id="202">
    <w:p w14:paraId="559EAC53" w14:textId="50DF1DBA" w:rsidR="00060E63" w:rsidRDefault="00060E63" w:rsidP="00060E63">
      <w:pPr>
        <w:pStyle w:val="FootnoteText"/>
      </w:pPr>
      <w:r>
        <w:rPr>
          <w:rStyle w:val="FootnoteReference"/>
        </w:rPr>
        <w:footnoteRef/>
      </w:r>
      <w:r>
        <w:t xml:space="preserve"> Silverman, D., Wegner, J.W and Wegner, J.H. (2006), pp.39; Tobin, V. (1988), pp.174</w:t>
      </w:r>
      <w:r w:rsidR="00985266">
        <w:t xml:space="preserve">; </w:t>
      </w:r>
      <w:r w:rsidR="00985266">
        <w:t>Gahlin, L. (2007), pp.297</w:t>
      </w:r>
    </w:p>
  </w:footnote>
  <w:footnote w:id="203">
    <w:p w14:paraId="687B7F6A" w14:textId="5DE0943B" w:rsidR="00060E63" w:rsidRDefault="00060E63" w:rsidP="00060E63">
      <w:pPr>
        <w:pStyle w:val="FootnoteText"/>
      </w:pPr>
      <w:r>
        <w:rPr>
          <w:rStyle w:val="FootnoteReference"/>
        </w:rPr>
        <w:footnoteRef/>
      </w:r>
      <w:r>
        <w:t xml:space="preserve"> </w:t>
      </w:r>
      <w:r w:rsidRPr="00B43E31">
        <w:rPr>
          <w:color w:val="000000" w:themeColor="text1"/>
        </w:rPr>
        <w:t xml:space="preserve">Hornung, E. (1992), pp.44; Redford, D. (2013), pp.23; Silverman, D., Wegner, J.W and Wegner, J.H. (2006), pp. 13 discuss the growing influence of the priesthood of Amun and the potential competition they present in opposition to the throne.  </w:t>
      </w:r>
    </w:p>
  </w:footnote>
  <w:footnote w:id="204">
    <w:p w14:paraId="64D3FCCB" w14:textId="77777777" w:rsidR="00060E63" w:rsidRDefault="00060E63" w:rsidP="00060E63">
      <w:pPr>
        <w:pStyle w:val="FootnoteText"/>
      </w:pPr>
      <w:r>
        <w:rPr>
          <w:rStyle w:val="FootnoteReference"/>
        </w:rPr>
        <w:footnoteRef/>
      </w:r>
      <w:r>
        <w:t xml:space="preserve"> Teeter, E. (2011), pp.182-183</w:t>
      </w:r>
    </w:p>
  </w:footnote>
  <w:footnote w:id="205">
    <w:p w14:paraId="3395D82E" w14:textId="77777777" w:rsidR="00060E63" w:rsidRDefault="00060E63" w:rsidP="00060E63">
      <w:pPr>
        <w:pStyle w:val="FootnoteText"/>
      </w:pPr>
      <w:r>
        <w:rPr>
          <w:rStyle w:val="FootnoteReference"/>
        </w:rPr>
        <w:footnoteRef/>
      </w:r>
      <w:r>
        <w:t xml:space="preserve"> Hoffmeier (2015), pp.5; Eliade, M. (1963), pp.128 advised that Egyptian religion more so than any other was dominated by sun-worship</w:t>
      </w:r>
    </w:p>
  </w:footnote>
  <w:footnote w:id="206">
    <w:p w14:paraId="16932DC9" w14:textId="77777777" w:rsidR="00060E63" w:rsidRDefault="00060E63" w:rsidP="00060E63">
      <w:pPr>
        <w:pStyle w:val="FootnoteText"/>
      </w:pPr>
      <w:r>
        <w:rPr>
          <w:rStyle w:val="FootnoteReference"/>
        </w:rPr>
        <w:footnoteRef/>
      </w:r>
      <w:r>
        <w:t xml:space="preserve"> Asante, M.K. and Ismail, S. (2009), pp. 299 advise that reverence for the sun was not unknown before Akhenaten; See also Silverman, D., Wegner, J.W and Wegner, J.H. (2006), pp.27 for more information</w:t>
      </w:r>
    </w:p>
  </w:footnote>
  <w:footnote w:id="207">
    <w:p w14:paraId="27504007" w14:textId="77777777" w:rsidR="00060E63" w:rsidRDefault="00060E63" w:rsidP="00060E63">
      <w:pPr>
        <w:pStyle w:val="FootnoteText"/>
      </w:pPr>
      <w:r>
        <w:rPr>
          <w:rStyle w:val="FootnoteReference"/>
        </w:rPr>
        <w:footnoteRef/>
      </w:r>
      <w:r>
        <w:t xml:space="preserve"> Silverman, D., Wegner, J.W and Wegner, J.H. (2006), pp.27; Alford, A. (2003) pp.2 </w:t>
      </w:r>
    </w:p>
  </w:footnote>
  <w:footnote w:id="208">
    <w:p w14:paraId="4CB5155F" w14:textId="77777777" w:rsidR="00060E63" w:rsidRDefault="00060E63" w:rsidP="00060E63">
      <w:pPr>
        <w:pStyle w:val="FootnoteText"/>
      </w:pPr>
      <w:r>
        <w:rPr>
          <w:rStyle w:val="FootnoteReference"/>
        </w:rPr>
        <w:footnoteRef/>
      </w:r>
      <w:r>
        <w:t xml:space="preserve"> Kamil, J. (1984), pp. 91</w:t>
      </w:r>
    </w:p>
  </w:footnote>
  <w:footnote w:id="209">
    <w:p w14:paraId="5A01CCA1" w14:textId="77777777" w:rsidR="00060E63" w:rsidRDefault="00060E63" w:rsidP="00060E63">
      <w:pPr>
        <w:pStyle w:val="FootnoteText"/>
      </w:pPr>
      <w:r>
        <w:rPr>
          <w:rStyle w:val="FootnoteReference"/>
        </w:rPr>
        <w:footnoteRef/>
      </w:r>
      <w:r>
        <w:t xml:space="preserve"> Alford, A. (2003), pp. 3-4 advises that true pyramids were seen as symbolic of the journey to the afterlife with the sun. The pyramids are seen as a symbol of a shift in focus from stellar religion to solar religion. </w:t>
      </w:r>
    </w:p>
  </w:footnote>
  <w:footnote w:id="210">
    <w:p w14:paraId="121424A4" w14:textId="77777777" w:rsidR="00060E63" w:rsidRDefault="00060E63" w:rsidP="00060E63">
      <w:pPr>
        <w:pStyle w:val="FootnoteText"/>
      </w:pPr>
      <w:r>
        <w:rPr>
          <w:rStyle w:val="FootnoteReference"/>
        </w:rPr>
        <w:footnoteRef/>
      </w:r>
      <w:r>
        <w:t xml:space="preserve"> Silverman, D., Wegner, J.W and Wegner, J.H. (2006), pp.29</w:t>
      </w:r>
    </w:p>
  </w:footnote>
  <w:footnote w:id="211">
    <w:p w14:paraId="29CE6D7D" w14:textId="6B8EAF9A" w:rsidR="00060E63" w:rsidRDefault="00060E63" w:rsidP="00060E63">
      <w:pPr>
        <w:pStyle w:val="FootnoteText"/>
      </w:pPr>
      <w:r>
        <w:rPr>
          <w:rStyle w:val="FootnoteReference"/>
        </w:rPr>
        <w:footnoteRef/>
      </w:r>
      <w:r>
        <w:t xml:space="preserve"> </w:t>
      </w:r>
      <w:r w:rsidRPr="00B43E31">
        <w:rPr>
          <w:color w:val="000000" w:themeColor="text1"/>
        </w:rPr>
        <w:t>Solar religion can be seen to have grown in importance throughout the 18</w:t>
      </w:r>
      <w:r w:rsidRPr="00B43E31">
        <w:rPr>
          <w:color w:val="000000" w:themeColor="text1"/>
          <w:vertAlign w:val="superscript"/>
        </w:rPr>
        <w:t>th</w:t>
      </w:r>
      <w:r w:rsidRPr="00B43E31">
        <w:rPr>
          <w:color w:val="000000" w:themeColor="text1"/>
        </w:rPr>
        <w:t xml:space="preserve"> </w:t>
      </w:r>
      <w:r w:rsidR="000C76ED">
        <w:rPr>
          <w:color w:val="000000" w:themeColor="text1"/>
        </w:rPr>
        <w:t>D</w:t>
      </w:r>
      <w:r w:rsidRPr="00B43E31">
        <w:rPr>
          <w:color w:val="000000" w:themeColor="text1"/>
        </w:rPr>
        <w:t>ynasty. This can be seen before the reign of Amenhotep III, however reached its culmination in his reign and throughout the Amarna Period. Extensive solar symbolism can be found on Tuthmosid architecture and iconography, for more information see Bryan, B. (2000), pp.244-249</w:t>
      </w:r>
    </w:p>
  </w:footnote>
  <w:footnote w:id="212">
    <w:p w14:paraId="6F4B19F1" w14:textId="77777777" w:rsidR="00060E63" w:rsidRDefault="00060E63" w:rsidP="00060E63">
      <w:pPr>
        <w:pStyle w:val="FootnoteText"/>
      </w:pPr>
      <w:r>
        <w:rPr>
          <w:rStyle w:val="FootnoteReference"/>
        </w:rPr>
        <w:footnoteRef/>
      </w:r>
      <w:r>
        <w:t xml:space="preserve"> Assmann, J. (1995), pp.9-10, for further information on New Solar Religion see Assmann, J. (1995) and Assmann, J. (2001). Assmann indicates the New Solar Religion was based on the course of the sun and its theological implications.   </w:t>
      </w:r>
    </w:p>
  </w:footnote>
  <w:footnote w:id="213">
    <w:p w14:paraId="2F2F21F8" w14:textId="77777777" w:rsidR="00060E63" w:rsidRDefault="00060E63" w:rsidP="00060E63">
      <w:pPr>
        <w:pStyle w:val="FootnoteText"/>
      </w:pPr>
      <w:r>
        <w:rPr>
          <w:rStyle w:val="FootnoteReference"/>
        </w:rPr>
        <w:footnoteRef/>
      </w:r>
      <w:r>
        <w:t xml:space="preserve"> Johnson, W.R. (1996), pp.66 states that the grandiose architecture of Amenhotep III expresses the piety he had towards Amun Re </w:t>
      </w:r>
    </w:p>
  </w:footnote>
  <w:footnote w:id="214">
    <w:p w14:paraId="3E3704D4" w14:textId="77777777" w:rsidR="00060E63" w:rsidRDefault="00060E63" w:rsidP="00060E63">
      <w:pPr>
        <w:pStyle w:val="FootnoteText"/>
      </w:pPr>
      <w:r>
        <w:rPr>
          <w:rStyle w:val="FootnoteReference"/>
        </w:rPr>
        <w:footnoteRef/>
      </w:r>
      <w:r>
        <w:t xml:space="preserve"> Assmann, J. (1995), pp.1 advises in no other period or no other culture has there been such an abundance of poetry in praise of the sun god. </w:t>
      </w:r>
    </w:p>
  </w:footnote>
  <w:footnote w:id="215">
    <w:p w14:paraId="5FC11BC5" w14:textId="77777777" w:rsidR="00060E63" w:rsidRDefault="00060E63" w:rsidP="00060E63">
      <w:pPr>
        <w:pStyle w:val="FootnoteText"/>
      </w:pPr>
      <w:r>
        <w:rPr>
          <w:rStyle w:val="FootnoteReference"/>
        </w:rPr>
        <w:footnoteRef/>
      </w:r>
      <w:r>
        <w:t xml:space="preserve"> Gahlin L. (2007), pp.297, </w:t>
      </w:r>
    </w:p>
  </w:footnote>
  <w:footnote w:id="216">
    <w:p w14:paraId="0E533DD8" w14:textId="77777777" w:rsidR="00060E63" w:rsidRDefault="00060E63" w:rsidP="00060E63">
      <w:pPr>
        <w:pStyle w:val="FootnoteText"/>
      </w:pPr>
      <w:r>
        <w:rPr>
          <w:rStyle w:val="FootnoteReference"/>
        </w:rPr>
        <w:footnoteRef/>
      </w:r>
      <w:r>
        <w:t xml:space="preserve"> Exell, K. and Naunton, C. (2007), pp.96</w:t>
      </w:r>
    </w:p>
  </w:footnote>
  <w:footnote w:id="217">
    <w:p w14:paraId="2A7842D0" w14:textId="77777777" w:rsidR="00060E63" w:rsidRDefault="00060E63" w:rsidP="00060E63">
      <w:pPr>
        <w:pStyle w:val="FootnoteText"/>
      </w:pPr>
      <w:r>
        <w:rPr>
          <w:rStyle w:val="FootnoteReference"/>
        </w:rPr>
        <w:footnoteRef/>
      </w:r>
      <w:r>
        <w:t xml:space="preserve"> Johnson, W.R. (1996), pp. 67 This can be seen in reliefs found at Soleb in Nubia where the King experiences living deification, Bryan, B. (2000) pp.252 advises this can also be seen in the Theban Tomb of Kheruef where he is depicted in the barque of the sun god, thus identifying as him; For more information see Johnson, W.R. (2001) pp.87-88 and Aldred, C. (1988), pp.151-152 about the living deification of Amenhotep III</w:t>
      </w:r>
    </w:p>
  </w:footnote>
  <w:footnote w:id="218">
    <w:p w14:paraId="62A7FA01" w14:textId="77777777" w:rsidR="00060E63" w:rsidRDefault="00060E63" w:rsidP="00060E63">
      <w:pPr>
        <w:pStyle w:val="FootnoteText"/>
      </w:pPr>
      <w:r>
        <w:rPr>
          <w:rStyle w:val="FootnoteReference"/>
        </w:rPr>
        <w:footnoteRef/>
      </w:r>
      <w:r>
        <w:t xml:space="preserve"> Johnson, W.R. (1997), pp.66; Kozloff, A. (2012), pp.2</w:t>
      </w:r>
    </w:p>
  </w:footnote>
  <w:footnote w:id="219">
    <w:p w14:paraId="612EED66" w14:textId="77777777" w:rsidR="00060E63" w:rsidRDefault="00060E63" w:rsidP="00060E63">
      <w:pPr>
        <w:pStyle w:val="FootnoteText"/>
      </w:pPr>
      <w:r>
        <w:rPr>
          <w:rStyle w:val="FootnoteReference"/>
        </w:rPr>
        <w:footnoteRef/>
      </w:r>
      <w:r>
        <w:t xml:space="preserve"> Assmann, J. (2001), pp.201</w:t>
      </w:r>
    </w:p>
  </w:footnote>
  <w:footnote w:id="220">
    <w:p w14:paraId="6056579E" w14:textId="2F523874" w:rsidR="00060E63" w:rsidRPr="00B83C0B" w:rsidRDefault="00060E63" w:rsidP="00060E63">
      <w:pPr>
        <w:pStyle w:val="FootnoteText"/>
      </w:pPr>
      <w:r>
        <w:rPr>
          <w:rStyle w:val="FootnoteReference"/>
        </w:rPr>
        <w:footnoteRef/>
      </w:r>
      <w:r>
        <w:t xml:space="preserve"> Hoffmeier, J. (2015), pp.193 advises that the plural word for gods “</w:t>
      </w:r>
      <w:r>
        <w:rPr>
          <w:i/>
          <w:iCs/>
        </w:rPr>
        <w:t xml:space="preserve">ntrw” </w:t>
      </w:r>
      <w:r>
        <w:t>can be found on blocks in the Aten temple at Karnak in a hymn sung by his children for the Sed-Festival. It has been debated as to whether this was for archaic tradition, stating that the sed rituals were such that these could not be excluded. Therefore, the inclusion is not explicit evidence of a theological viewpoint. See also Allen, J. (1996)</w:t>
      </w:r>
      <w:r w:rsidR="009E231D">
        <w:t>,</w:t>
      </w:r>
      <w:r>
        <w:t xml:space="preserve"> pp.4</w:t>
      </w:r>
    </w:p>
  </w:footnote>
  <w:footnote w:id="221">
    <w:p w14:paraId="6B6C2203" w14:textId="129F8F56" w:rsidR="00060E63" w:rsidRDefault="00060E63" w:rsidP="00060E63">
      <w:pPr>
        <w:pStyle w:val="FootnoteText"/>
      </w:pPr>
      <w:r>
        <w:rPr>
          <w:rStyle w:val="FootnoteReference"/>
        </w:rPr>
        <w:footnoteRef/>
      </w:r>
      <w:r>
        <w:t xml:space="preserve"> General consensus amongst scholars is that the iconoclasm appeared in the fifth year of Akhenaten’s reign, just before the move to Tell el-Amarna. See Hoffmeier, J. (2015) pp</w:t>
      </w:r>
      <w:r w:rsidR="009E231D">
        <w:t>.</w:t>
      </w:r>
      <w:r>
        <w:t>195; Van Dijk, J. (2000), pp.270; Redford, D. (2013), pp.25</w:t>
      </w:r>
    </w:p>
  </w:footnote>
  <w:footnote w:id="222">
    <w:p w14:paraId="2E61B039" w14:textId="77777777" w:rsidR="00060E63" w:rsidRDefault="00060E63" w:rsidP="00060E63">
      <w:pPr>
        <w:pStyle w:val="FootnoteText"/>
      </w:pPr>
      <w:r>
        <w:rPr>
          <w:rStyle w:val="FootnoteReference"/>
        </w:rPr>
        <w:footnoteRef/>
      </w:r>
      <w:r>
        <w:t xml:space="preserve"> Teeter, E. (2011), pp.185 states this can be seen in the Temple to Aten in East Karnak where the temple is dedicated to Aten only. This differs from earlier temple layouts where one god was prioritised, but other deities were also included. </w:t>
      </w:r>
    </w:p>
  </w:footnote>
  <w:footnote w:id="223">
    <w:p w14:paraId="74B23A2B" w14:textId="636F1F85" w:rsidR="00060E63" w:rsidRDefault="00060E63" w:rsidP="00060E63">
      <w:pPr>
        <w:pStyle w:val="FootnoteText"/>
      </w:pPr>
      <w:r>
        <w:rPr>
          <w:rStyle w:val="FootnoteReference"/>
        </w:rPr>
        <w:footnoteRef/>
      </w:r>
      <w:r>
        <w:t xml:space="preserve"> Teeter, E. (2011), pp.184</w:t>
      </w:r>
    </w:p>
  </w:footnote>
  <w:footnote w:id="224">
    <w:p w14:paraId="746E7E0D" w14:textId="77777777" w:rsidR="00060E63" w:rsidRDefault="00060E63" w:rsidP="00060E63">
      <w:pPr>
        <w:pStyle w:val="FootnoteText"/>
      </w:pPr>
      <w:r>
        <w:rPr>
          <w:rStyle w:val="FootnoteReference"/>
        </w:rPr>
        <w:footnoteRef/>
      </w:r>
      <w:r>
        <w:t xml:space="preserve"> Goelet, O. (2003), pp.24</w:t>
      </w:r>
    </w:p>
  </w:footnote>
  <w:footnote w:id="225">
    <w:p w14:paraId="4DE6B16E" w14:textId="77777777" w:rsidR="00060E63" w:rsidRDefault="00060E63" w:rsidP="00060E63">
      <w:pPr>
        <w:pStyle w:val="FootnoteText"/>
      </w:pPr>
      <w:r>
        <w:rPr>
          <w:rStyle w:val="FootnoteReference"/>
        </w:rPr>
        <w:footnoteRef/>
      </w:r>
      <w:r>
        <w:t xml:space="preserve"> Redford, D. (2013), pp.19 advises the justification behind the diversion of taxes was that if the gods had stopped, they were no longer in need of such money. </w:t>
      </w:r>
    </w:p>
  </w:footnote>
  <w:footnote w:id="226">
    <w:p w14:paraId="2631BAC7" w14:textId="6EDAD6DF" w:rsidR="00060E63" w:rsidRDefault="00060E63" w:rsidP="00060E63">
      <w:pPr>
        <w:pStyle w:val="FootnoteText"/>
      </w:pPr>
      <w:r>
        <w:rPr>
          <w:rStyle w:val="FootnoteReference"/>
        </w:rPr>
        <w:footnoteRef/>
      </w:r>
      <w:r>
        <w:t xml:space="preserve"> Kemp</w:t>
      </w:r>
      <w:r w:rsidR="006316D7">
        <w:t>, B.</w:t>
      </w:r>
      <w:r>
        <w:t xml:space="preserve"> (2018), pp.324 argues however that even though we can see the outward destruction in terms of defacement, we do not know for sure this affected daily practice. It is possible that most of the old temples were left alone and that we do not know for sure what happened at Karnak and Luxor in terms of their personnel and functionality.</w:t>
      </w:r>
    </w:p>
  </w:footnote>
  <w:footnote w:id="227">
    <w:p w14:paraId="5CD73AC2" w14:textId="77777777" w:rsidR="00060E63" w:rsidRDefault="00060E63" w:rsidP="00060E63">
      <w:pPr>
        <w:pStyle w:val="FootnoteText"/>
      </w:pPr>
      <w:r>
        <w:rPr>
          <w:rStyle w:val="FootnoteReference"/>
        </w:rPr>
        <w:footnoteRef/>
      </w:r>
      <w:r>
        <w:t xml:space="preserve"> Christie, J.J. (2016), pp.25</w:t>
      </w:r>
    </w:p>
  </w:footnote>
  <w:footnote w:id="228">
    <w:p w14:paraId="47F615D8" w14:textId="77777777" w:rsidR="00060E63" w:rsidRDefault="00060E63" w:rsidP="00060E63">
      <w:pPr>
        <w:pStyle w:val="FootnoteText"/>
      </w:pPr>
      <w:r>
        <w:rPr>
          <w:rStyle w:val="FootnoteReference"/>
        </w:rPr>
        <w:footnoteRef/>
      </w:r>
      <w:r>
        <w:t xml:space="preserve"> Kemp, B. (2018), pp.338; Christie, J.J. (2016), pp.48; Silverman, D., Wegner, J.W and Wegner, J.H. (2006) talk about the divine aspect of the family. As Aten had no offspring or consort it is conceivable that the royal family took those places.</w:t>
      </w:r>
    </w:p>
  </w:footnote>
  <w:footnote w:id="229">
    <w:p w14:paraId="46B0D27D" w14:textId="77777777" w:rsidR="00060E63" w:rsidRDefault="00060E63" w:rsidP="00060E63">
      <w:pPr>
        <w:pStyle w:val="FootnoteText"/>
      </w:pPr>
      <w:r>
        <w:rPr>
          <w:rStyle w:val="FootnoteReference"/>
        </w:rPr>
        <w:footnoteRef/>
      </w:r>
      <w:r>
        <w:t xml:space="preserve"> Wilkinson, T. (2010), pp.288</w:t>
      </w:r>
    </w:p>
  </w:footnote>
  <w:footnote w:id="230">
    <w:p w14:paraId="0887E925" w14:textId="77777777" w:rsidR="00060E63" w:rsidRDefault="00060E63" w:rsidP="00060E63">
      <w:pPr>
        <w:pStyle w:val="FootnoteText"/>
      </w:pPr>
      <w:r>
        <w:rPr>
          <w:rStyle w:val="FootnoteReference"/>
        </w:rPr>
        <w:footnoteRef/>
      </w:r>
      <w:r>
        <w:t xml:space="preserve"> Kemp, B. (2018), pp. 324 advises that the judgement of the dead no longer had a place within the religious theology of Akhenaten and Osiris ceased to be a god of importance</w:t>
      </w:r>
    </w:p>
  </w:footnote>
  <w:footnote w:id="231">
    <w:p w14:paraId="6107DAD9" w14:textId="77777777" w:rsidR="00060E63" w:rsidRDefault="00060E63" w:rsidP="00060E63">
      <w:pPr>
        <w:pStyle w:val="FootnoteText"/>
      </w:pPr>
      <w:r>
        <w:rPr>
          <w:rStyle w:val="FootnoteReference"/>
        </w:rPr>
        <w:footnoteRef/>
      </w:r>
      <w:r>
        <w:t xml:space="preserve"> Assmann (1995), pp.208</w:t>
      </w:r>
    </w:p>
  </w:footnote>
  <w:footnote w:id="232">
    <w:p w14:paraId="0563AFB2" w14:textId="77777777" w:rsidR="00060E63" w:rsidRDefault="00060E63" w:rsidP="00060E63">
      <w:pPr>
        <w:pStyle w:val="FootnoteText"/>
      </w:pPr>
      <w:r>
        <w:rPr>
          <w:rStyle w:val="FootnoteReference"/>
        </w:rPr>
        <w:footnoteRef/>
      </w:r>
      <w:r>
        <w:t xml:space="preserve"> Hoffmeier, J. (2015), pp.207</w:t>
      </w:r>
    </w:p>
  </w:footnote>
  <w:footnote w:id="233">
    <w:p w14:paraId="5C57F29D" w14:textId="77777777" w:rsidR="00060E63" w:rsidRDefault="00060E63" w:rsidP="00060E63">
      <w:pPr>
        <w:pStyle w:val="FootnoteText"/>
      </w:pPr>
      <w:r>
        <w:rPr>
          <w:rStyle w:val="FootnoteReference"/>
        </w:rPr>
        <w:footnoteRef/>
      </w:r>
      <w:r>
        <w:t xml:space="preserve"> Goelet, (2003), pp.24; Hari, R. (1985), pp.3-4 states that in its final form, Atenism was a monotheistic religion where Ra in his form of Aten become the universal creator; Glassman, R. (2017), pp. 589; Redford, D. (2013), pp.26</w:t>
      </w:r>
    </w:p>
  </w:footnote>
  <w:footnote w:id="234">
    <w:p w14:paraId="35035EA8" w14:textId="77777777" w:rsidR="00060E63" w:rsidRDefault="00060E63" w:rsidP="00060E63">
      <w:pPr>
        <w:pStyle w:val="FootnoteText"/>
      </w:pPr>
      <w:r>
        <w:rPr>
          <w:rStyle w:val="FootnoteReference"/>
        </w:rPr>
        <w:footnoteRef/>
      </w:r>
      <w:r>
        <w:t xml:space="preserve"> Quirke, S. (2015), pp.3 believes that twenty first century readers can more easily understand this form of religion as it confirms the modern meaning of religion. </w:t>
      </w:r>
    </w:p>
  </w:footnote>
  <w:footnote w:id="235">
    <w:p w14:paraId="5D5322E7" w14:textId="47DEDB74" w:rsidR="00060E63" w:rsidRDefault="00060E63" w:rsidP="00060E63">
      <w:pPr>
        <w:pStyle w:val="FootnoteText"/>
      </w:pPr>
      <w:r>
        <w:rPr>
          <w:rStyle w:val="FootnoteReference"/>
        </w:rPr>
        <w:footnoteRef/>
      </w:r>
      <w:r>
        <w:t xml:space="preserve"> Brewer, D.J and Teeter, E. (1999)</w:t>
      </w:r>
      <w:r w:rsidR="00D6522D">
        <w:t>,</w:t>
      </w:r>
      <w:r>
        <w:t xml:space="preserve"> pp. 91 advise that Maat in her personification of a deity and as the concept were both employed throughout the period, as were Shu and Tefnut who appeared to be the divine representative of the royal family. Household gods are also mentioned such as Bes and Tawaret. For more information on household gods and archaeological findings within Amarna please see Kemp, B. (2012) pp.239-245</w:t>
      </w:r>
    </w:p>
  </w:footnote>
  <w:footnote w:id="236">
    <w:p w14:paraId="596EE9E2" w14:textId="77777777" w:rsidR="00060E63" w:rsidRDefault="00060E63" w:rsidP="00060E63">
      <w:pPr>
        <w:pStyle w:val="FootnoteText"/>
      </w:pPr>
      <w:r>
        <w:rPr>
          <w:rStyle w:val="FootnoteReference"/>
        </w:rPr>
        <w:footnoteRef/>
      </w:r>
      <w:r>
        <w:t xml:space="preserve"> Goebs, K. (2007), pp.285</w:t>
      </w:r>
    </w:p>
  </w:footnote>
  <w:footnote w:id="237">
    <w:p w14:paraId="0F0F6782" w14:textId="77777777" w:rsidR="00060E63" w:rsidRDefault="00060E63" w:rsidP="00060E63">
      <w:pPr>
        <w:pStyle w:val="FootnoteText"/>
      </w:pPr>
      <w:r>
        <w:rPr>
          <w:rStyle w:val="FootnoteReference"/>
        </w:rPr>
        <w:footnoteRef/>
      </w:r>
      <w:r>
        <w:t xml:space="preserve"> Kemp, B. argues there is no doctrine that states that the Egyptian people had to live a certain way and worship in a certain way. Tobin, V. (1988), pp.182 also argues that Amarna texts do not indicate the absolute denial of the existence of other gods. </w:t>
      </w:r>
    </w:p>
  </w:footnote>
  <w:footnote w:id="238">
    <w:p w14:paraId="5D02A8FC" w14:textId="77777777" w:rsidR="00060E63" w:rsidRDefault="00060E63" w:rsidP="00060E63">
      <w:pPr>
        <w:pStyle w:val="FootnoteText"/>
      </w:pPr>
      <w:r>
        <w:rPr>
          <w:rStyle w:val="FootnoteReference"/>
        </w:rPr>
        <w:footnoteRef/>
      </w:r>
      <w:r>
        <w:t xml:space="preserve"> Brewer, D.J and Teeter, E. (1999) pp. 91</w:t>
      </w:r>
    </w:p>
  </w:footnote>
  <w:footnote w:id="239">
    <w:p w14:paraId="4A19C5AE" w14:textId="77777777" w:rsidR="00060E63" w:rsidRPr="006022EA" w:rsidRDefault="00060E63" w:rsidP="00060E63">
      <w:pPr>
        <w:pStyle w:val="FootnoteText"/>
      </w:pPr>
      <w:r>
        <w:rPr>
          <w:rStyle w:val="FootnoteReference"/>
        </w:rPr>
        <w:footnoteRef/>
      </w:r>
      <w:r>
        <w:t xml:space="preserve"> </w:t>
      </w:r>
      <w:r>
        <w:rPr>
          <w:i/>
          <w:iCs/>
        </w:rPr>
        <w:t>Hymn to the Aten</w:t>
      </w:r>
      <w:r>
        <w:t>, 8-11, found in Simpson, W.K. (2003), pp.278-284</w:t>
      </w:r>
    </w:p>
  </w:footnote>
  <w:footnote w:id="240">
    <w:p w14:paraId="59C180E5" w14:textId="77777777" w:rsidR="00060E63" w:rsidRDefault="00060E63" w:rsidP="00060E63">
      <w:pPr>
        <w:pStyle w:val="FootnoteText"/>
      </w:pPr>
      <w:r>
        <w:rPr>
          <w:rStyle w:val="FootnoteReference"/>
        </w:rPr>
        <w:footnoteRef/>
      </w:r>
      <w:r>
        <w:t xml:space="preserve"> Montserrat, D. (2000) pp.120 states that there is almost an appealing anti-racist message where parts of the Aten hymn can be interpreted as regarding all people no matter their race or colour as creations of the sun god himself and that social hierarchal structures are no longer important. It is therefore evident that the god is no longer political and no longer looks to differentiate. But does this mean he is more accessible, or does it prove that he is disinterested?</w:t>
      </w:r>
    </w:p>
  </w:footnote>
  <w:footnote w:id="241">
    <w:p w14:paraId="6F7AC57A" w14:textId="77777777" w:rsidR="00060E63" w:rsidRDefault="00060E63" w:rsidP="00060E63">
      <w:pPr>
        <w:pStyle w:val="FootnoteText"/>
      </w:pPr>
      <w:r>
        <w:rPr>
          <w:rStyle w:val="FootnoteReference"/>
        </w:rPr>
        <w:footnoteRef/>
      </w:r>
      <w:r>
        <w:t xml:space="preserve"> Asante, M.K. and Ismail, S. (2009) advise that the Aten provided people with an “immediate appreciation” of the divine which contrasted with that of Amun who was seen as the hidden one. </w:t>
      </w:r>
    </w:p>
  </w:footnote>
  <w:footnote w:id="242">
    <w:p w14:paraId="53F6D5ED" w14:textId="77777777" w:rsidR="00060E63" w:rsidRPr="0016075A" w:rsidRDefault="00060E63" w:rsidP="00060E63">
      <w:pPr>
        <w:pStyle w:val="FootnoteText"/>
      </w:pPr>
      <w:r>
        <w:rPr>
          <w:rStyle w:val="FootnoteReference"/>
        </w:rPr>
        <w:footnoteRef/>
      </w:r>
      <w:r>
        <w:t xml:space="preserve"> </w:t>
      </w:r>
      <w:r w:rsidRPr="0016075A">
        <w:rPr>
          <w:i/>
          <w:iCs/>
        </w:rPr>
        <w:t>Hymn to the Aten</w:t>
      </w:r>
      <w:r>
        <w:rPr>
          <w:i/>
          <w:iCs/>
        </w:rPr>
        <w:t xml:space="preserve">, </w:t>
      </w:r>
      <w:r>
        <w:t>12-13 found in Simpson, W. K. (2003), pp.278-284</w:t>
      </w:r>
    </w:p>
  </w:footnote>
  <w:footnote w:id="243">
    <w:p w14:paraId="3F79C1A2" w14:textId="77777777" w:rsidR="00060E63" w:rsidRDefault="00060E63" w:rsidP="00060E63">
      <w:pPr>
        <w:pStyle w:val="FootnoteText"/>
      </w:pPr>
      <w:r>
        <w:rPr>
          <w:rStyle w:val="FootnoteReference"/>
        </w:rPr>
        <w:footnoteRef/>
      </w:r>
      <w:r>
        <w:t xml:space="preserve"> Tobin, V. (1988), pp.181 states that this was based on a political move, in order to break the power of the priesthood which had functioned as a rival to the throne for well over a century</w:t>
      </w:r>
    </w:p>
  </w:footnote>
  <w:footnote w:id="244">
    <w:p w14:paraId="3D064A34" w14:textId="2C605A23" w:rsidR="00060E63" w:rsidRDefault="00060E63" w:rsidP="00060E63">
      <w:pPr>
        <w:pStyle w:val="FootnoteText"/>
      </w:pPr>
      <w:r>
        <w:rPr>
          <w:rStyle w:val="FootnoteReference"/>
        </w:rPr>
        <w:footnoteRef/>
      </w:r>
      <w:r>
        <w:t xml:space="preserve"> David, R. (2007), pp.107 advises that the fate of the temples was linked to political circumstances and that the priesthood of Amun-Ra reached its zenith at the beginning of the 18</w:t>
      </w:r>
      <w:r w:rsidRPr="00745633">
        <w:rPr>
          <w:vertAlign w:val="superscript"/>
        </w:rPr>
        <w:t>th</w:t>
      </w:r>
      <w:r>
        <w:t xml:space="preserve"> </w:t>
      </w:r>
      <w:r w:rsidR="000C76ED">
        <w:t>D</w:t>
      </w:r>
      <w:r>
        <w:t>ynasty, when kings enriched Karnak temple</w:t>
      </w:r>
    </w:p>
  </w:footnote>
  <w:footnote w:id="245">
    <w:p w14:paraId="35598B60" w14:textId="77777777" w:rsidR="00060E63" w:rsidRDefault="00060E63" w:rsidP="00060E63">
      <w:pPr>
        <w:pStyle w:val="FootnoteText"/>
      </w:pPr>
      <w:r>
        <w:rPr>
          <w:rStyle w:val="FootnoteReference"/>
        </w:rPr>
        <w:footnoteRef/>
      </w:r>
      <w:r>
        <w:t xml:space="preserve"> David, R. (2007), pp. 107; Asante, M.K. and Ismail, S. (2009), pp. 298 </w:t>
      </w:r>
    </w:p>
  </w:footnote>
  <w:footnote w:id="246">
    <w:p w14:paraId="4744BD96" w14:textId="77777777" w:rsidR="00060E63" w:rsidRDefault="00060E63" w:rsidP="00060E63">
      <w:pPr>
        <w:pStyle w:val="FootnoteText"/>
      </w:pPr>
      <w:r>
        <w:rPr>
          <w:rStyle w:val="FootnoteReference"/>
        </w:rPr>
        <w:footnoteRef/>
      </w:r>
      <w:r>
        <w:t xml:space="preserve"> Goebs, K. (2007), pp.275</w:t>
      </w:r>
    </w:p>
  </w:footnote>
  <w:footnote w:id="247">
    <w:p w14:paraId="332A09EC" w14:textId="77777777" w:rsidR="00060E63" w:rsidRDefault="00060E63" w:rsidP="00060E63">
      <w:pPr>
        <w:pStyle w:val="FootnoteText"/>
      </w:pPr>
      <w:r>
        <w:rPr>
          <w:rStyle w:val="FootnoteReference"/>
        </w:rPr>
        <w:footnoteRef/>
      </w:r>
      <w:r>
        <w:t xml:space="preserve"> David, R. (2007), pp.107</w:t>
      </w:r>
    </w:p>
  </w:footnote>
  <w:footnote w:id="248">
    <w:p w14:paraId="6ECB61D2" w14:textId="77777777" w:rsidR="00060E63" w:rsidRDefault="00060E63" w:rsidP="00060E63">
      <w:pPr>
        <w:pStyle w:val="FootnoteText"/>
      </w:pPr>
      <w:r>
        <w:rPr>
          <w:rStyle w:val="FootnoteReference"/>
        </w:rPr>
        <w:footnoteRef/>
      </w:r>
      <w:r>
        <w:t xml:space="preserve"> Johnson, W.R. (1998), pp.87-88</w:t>
      </w:r>
    </w:p>
  </w:footnote>
  <w:footnote w:id="249">
    <w:p w14:paraId="0B74B33F" w14:textId="77777777" w:rsidR="00060E63" w:rsidRDefault="00060E63" w:rsidP="00060E63">
      <w:pPr>
        <w:pStyle w:val="FootnoteText"/>
      </w:pPr>
      <w:r>
        <w:rPr>
          <w:rStyle w:val="FootnoteReference"/>
        </w:rPr>
        <w:footnoteRef/>
      </w:r>
      <w:r>
        <w:t xml:space="preserve"> Silverman, D., Wegner, J.W and Wegner, J.H. (2006), pp.29; Johnson, W.R. (1996), advises that Amenhotep III in the last decade of his life was officially seen as the living manifestation of the creator god in his manifestation as the sun disc Aten. </w:t>
      </w:r>
    </w:p>
  </w:footnote>
  <w:footnote w:id="250">
    <w:p w14:paraId="170D3867" w14:textId="77777777" w:rsidR="00060E63" w:rsidRDefault="00060E63" w:rsidP="00060E63">
      <w:pPr>
        <w:pStyle w:val="FootnoteText"/>
      </w:pPr>
      <w:r>
        <w:rPr>
          <w:rStyle w:val="FootnoteReference"/>
        </w:rPr>
        <w:footnoteRef/>
      </w:r>
      <w:r>
        <w:t xml:space="preserve"> Asante, M.K. and Ismail, S. (2009), pp.300</w:t>
      </w:r>
    </w:p>
  </w:footnote>
  <w:footnote w:id="251">
    <w:p w14:paraId="713989F4" w14:textId="77777777" w:rsidR="00060E63" w:rsidRDefault="00060E63" w:rsidP="00060E63">
      <w:pPr>
        <w:pStyle w:val="FootnoteText"/>
      </w:pPr>
      <w:r>
        <w:rPr>
          <w:rStyle w:val="FootnoteReference"/>
        </w:rPr>
        <w:footnoteRef/>
      </w:r>
      <w:r>
        <w:t xml:space="preserve"> The place where the first moment of creation was designated to be and where the creator gods were seen to be buried. See Darnell, J. and Marnassa, C. (2007), pp. 38</w:t>
      </w:r>
    </w:p>
  </w:footnote>
  <w:footnote w:id="252">
    <w:p w14:paraId="476E3ADE" w14:textId="77777777" w:rsidR="00060E63" w:rsidRDefault="00060E63" w:rsidP="00060E63">
      <w:pPr>
        <w:pStyle w:val="FootnoteText"/>
      </w:pPr>
      <w:r>
        <w:rPr>
          <w:rStyle w:val="FootnoteReference"/>
        </w:rPr>
        <w:footnoteRef/>
      </w:r>
      <w:r>
        <w:t xml:space="preserve"> Glassman, R. (2017), pp.588; Redford, D. (2013), pp.26</w:t>
      </w:r>
    </w:p>
  </w:footnote>
  <w:footnote w:id="253">
    <w:p w14:paraId="6AD53FC5" w14:textId="77777777" w:rsidR="00060E63" w:rsidRDefault="00060E63" w:rsidP="00060E63">
      <w:pPr>
        <w:pStyle w:val="FootnoteText"/>
      </w:pPr>
      <w:r>
        <w:rPr>
          <w:rStyle w:val="FootnoteReference"/>
        </w:rPr>
        <w:footnoteRef/>
      </w:r>
      <w:r>
        <w:t xml:space="preserve"> Kemp, B. (2018), pp.327; Kemp, B. (2012), pp.11; Christie, J.J. (2016), pp.30</w:t>
      </w:r>
    </w:p>
  </w:footnote>
  <w:footnote w:id="254">
    <w:p w14:paraId="11FC62B4" w14:textId="77777777" w:rsidR="00060E63" w:rsidRDefault="00060E63" w:rsidP="00060E63">
      <w:pPr>
        <w:pStyle w:val="FootnoteText"/>
      </w:pPr>
      <w:r>
        <w:rPr>
          <w:rStyle w:val="FootnoteReference"/>
        </w:rPr>
        <w:footnoteRef/>
      </w:r>
      <w:r>
        <w:t xml:space="preserve"> Christie, J. J. (2016), pp.28</w:t>
      </w:r>
    </w:p>
  </w:footnote>
  <w:footnote w:id="255">
    <w:p w14:paraId="1A6349DE" w14:textId="77777777" w:rsidR="00060E63" w:rsidRDefault="00060E63" w:rsidP="00060E63">
      <w:pPr>
        <w:pStyle w:val="FootnoteText"/>
      </w:pPr>
      <w:r>
        <w:rPr>
          <w:rStyle w:val="FootnoteReference"/>
        </w:rPr>
        <w:footnoteRef/>
      </w:r>
      <w:r>
        <w:t xml:space="preserve"> Christie, J.J. (2016, pp.29</w:t>
      </w:r>
    </w:p>
  </w:footnote>
  <w:footnote w:id="256">
    <w:p w14:paraId="6E157F25" w14:textId="77777777" w:rsidR="00060E63" w:rsidRDefault="00060E63" w:rsidP="00060E63">
      <w:pPr>
        <w:pStyle w:val="FootnoteText"/>
      </w:pPr>
      <w:r>
        <w:rPr>
          <w:rStyle w:val="FootnoteReference"/>
        </w:rPr>
        <w:footnoteRef/>
      </w:r>
      <w:r>
        <w:t xml:space="preserve"> See Figure 1. </w:t>
      </w:r>
    </w:p>
  </w:footnote>
  <w:footnote w:id="257">
    <w:p w14:paraId="49BBA2CE" w14:textId="77777777" w:rsidR="00060E63" w:rsidRDefault="00060E63" w:rsidP="00060E63">
      <w:pPr>
        <w:pStyle w:val="FootnoteText"/>
      </w:pPr>
      <w:r w:rsidRPr="001147F9">
        <w:rPr>
          <w:rStyle w:val="FootnoteReference"/>
          <w:color w:val="000000" w:themeColor="text1"/>
        </w:rPr>
        <w:footnoteRef/>
      </w:r>
      <w:r w:rsidRPr="001147F9">
        <w:rPr>
          <w:color w:val="000000" w:themeColor="text1"/>
        </w:rPr>
        <w:t xml:space="preserve"> Silverman, D., Wegner, J.W and Wegner, J.H. (2006), pp. 94 advises that the architects who designed Akhetaten recreated the distances that had defined the ritual settings of Thebes and they replicated the distances between the state temples of Amun-Re. Therefore, we see a recreation of a traditional temple layout into the architectural layout of a city. Kemp, B. (2012), pp.79 also advises that even though Akhetaten did not follow any predetermined plan it still reflected a “simple ordering scheme” already well established in Egypt where primacy was given to the orientation of temples against the river Nile.  </w:t>
      </w:r>
    </w:p>
  </w:footnote>
  <w:footnote w:id="258">
    <w:p w14:paraId="3E61961F" w14:textId="77777777" w:rsidR="00060E63" w:rsidRDefault="00060E63" w:rsidP="00060E63">
      <w:pPr>
        <w:pStyle w:val="FootnoteText"/>
      </w:pPr>
      <w:r>
        <w:rPr>
          <w:rStyle w:val="FootnoteReference"/>
        </w:rPr>
        <w:footnoteRef/>
      </w:r>
      <w:r>
        <w:t xml:space="preserve"> Kemp, B. (2012), pp.268</w:t>
      </w:r>
    </w:p>
  </w:footnote>
  <w:footnote w:id="259">
    <w:p w14:paraId="40C90292" w14:textId="77777777" w:rsidR="00060E63" w:rsidRDefault="00060E63" w:rsidP="00060E63">
      <w:pPr>
        <w:pStyle w:val="FootnoteText"/>
      </w:pPr>
      <w:r>
        <w:rPr>
          <w:rStyle w:val="FootnoteReference"/>
        </w:rPr>
        <w:footnoteRef/>
      </w:r>
      <w:r>
        <w:t xml:space="preserve"> Christie, J.J. (2016), pp.43, 48 </w:t>
      </w:r>
    </w:p>
  </w:footnote>
  <w:footnote w:id="260">
    <w:p w14:paraId="7A7476AC" w14:textId="77777777" w:rsidR="00060E63" w:rsidRDefault="00060E63" w:rsidP="00060E63">
      <w:pPr>
        <w:pStyle w:val="FootnoteText"/>
      </w:pPr>
      <w:r>
        <w:rPr>
          <w:rStyle w:val="FootnoteReference"/>
        </w:rPr>
        <w:footnoteRef/>
      </w:r>
      <w:r>
        <w:t xml:space="preserve"> Christie, J.J. (2016), pp.48</w:t>
      </w:r>
    </w:p>
  </w:footnote>
  <w:footnote w:id="261">
    <w:p w14:paraId="60F9AA4E" w14:textId="77777777" w:rsidR="00060E63" w:rsidRDefault="00060E63" w:rsidP="00060E63">
      <w:pPr>
        <w:pStyle w:val="FootnoteText"/>
      </w:pPr>
      <w:r>
        <w:rPr>
          <w:rStyle w:val="FootnoteReference"/>
        </w:rPr>
        <w:footnoteRef/>
      </w:r>
      <w:r>
        <w:t xml:space="preserve"> Christie, J.J. (2016), pp. 37</w:t>
      </w:r>
    </w:p>
  </w:footnote>
  <w:footnote w:id="262">
    <w:p w14:paraId="65075C0F" w14:textId="77777777" w:rsidR="00060E63" w:rsidRDefault="00060E63" w:rsidP="00060E63">
      <w:pPr>
        <w:pStyle w:val="FootnoteText"/>
      </w:pPr>
      <w:r>
        <w:rPr>
          <w:rStyle w:val="FootnoteReference"/>
        </w:rPr>
        <w:footnoteRef/>
      </w:r>
      <w:r>
        <w:t xml:space="preserve"> Asante, M.K. and Ismail, S. (2009), pp.301</w:t>
      </w:r>
    </w:p>
  </w:footnote>
  <w:footnote w:id="263">
    <w:p w14:paraId="6663909A" w14:textId="77777777" w:rsidR="00060E63" w:rsidRDefault="00060E63" w:rsidP="00060E63">
      <w:pPr>
        <w:pStyle w:val="FootnoteText"/>
      </w:pPr>
      <w:r>
        <w:rPr>
          <w:rStyle w:val="FootnoteReference"/>
        </w:rPr>
        <w:footnoteRef/>
      </w:r>
      <w:r>
        <w:t xml:space="preserve"> Kramer, S.N. (1948), pp. viii advises that the obligations of a King included the building and rebuilding of temples in the service of the gods. Wilkinson, T. (2010) pp.44 also advises that Kings used monumentality to project authority and to promote ideology. We can see that Akhenaten uses architecture for both of these reasons also. Silverman, D., Wegner, J.W and Wegner, J.H. (2006), pp.17 advises that new Pharaohs often began their reigns constructing temples</w:t>
      </w:r>
    </w:p>
  </w:footnote>
  <w:footnote w:id="264">
    <w:p w14:paraId="14AF4608" w14:textId="29804DA5" w:rsidR="00060E63" w:rsidRDefault="00060E63" w:rsidP="00060E63">
      <w:pPr>
        <w:pStyle w:val="FootnoteText"/>
      </w:pPr>
      <w:r>
        <w:rPr>
          <w:rStyle w:val="FootnoteReference"/>
        </w:rPr>
        <w:footnoteRef/>
      </w:r>
      <w:r>
        <w:t xml:space="preserve"> See Aldred, C. (1988), pp.82-83 for more information on benben monuments; Hoffmeier, J. (2015), pp.110-111; Teeter, E. (2011), pp.185 advises the additions to east Karnak were focused solely on the Aten. See also Murnane, W.J and Van Siclen III, C.C. (1993) </w:t>
      </w:r>
    </w:p>
  </w:footnote>
  <w:footnote w:id="265">
    <w:p w14:paraId="231E4B78" w14:textId="77777777" w:rsidR="00060E63" w:rsidRDefault="00060E63" w:rsidP="00060E63">
      <w:pPr>
        <w:pStyle w:val="FootnoteText"/>
      </w:pPr>
      <w:r>
        <w:rPr>
          <w:rStyle w:val="FootnoteReference"/>
        </w:rPr>
        <w:footnoteRef/>
      </w:r>
      <w:r>
        <w:t xml:space="preserve"> Shaw, I. (1994), pp.112 advises that the erection of ramps and steps with balustrades leading to altars with parapets was an idiosyncratic feature of Akhenaten’s temples to the Aten; Silverman, D., Wegner, J.W and Wegner, J.H. (2006), pp.64</w:t>
      </w:r>
    </w:p>
  </w:footnote>
  <w:footnote w:id="266">
    <w:p w14:paraId="5C41F4A9" w14:textId="3A2F78A0" w:rsidR="00060E63" w:rsidRDefault="00060E63" w:rsidP="00060E63">
      <w:pPr>
        <w:pStyle w:val="FootnoteText"/>
      </w:pPr>
      <w:r>
        <w:rPr>
          <w:rStyle w:val="FootnoteReference"/>
        </w:rPr>
        <w:footnoteRef/>
      </w:r>
      <w:r>
        <w:t xml:space="preserve"> Shaw, I. (1994), pp.109 argues that the religious and ceremonial buildings of the city are the most important sources to consider when studying the symbolism and rituals of Atenism and that the remains of the temples etc are survivors of a unique period within Egyptian history; Christie, J.J. (2016</w:t>
      </w:r>
      <w:r w:rsidR="00D6522D">
        <w:t>)</w:t>
      </w:r>
      <w:r>
        <w:t>, pp.41</w:t>
      </w:r>
    </w:p>
  </w:footnote>
  <w:footnote w:id="267">
    <w:p w14:paraId="6953EED4" w14:textId="4A33691E" w:rsidR="00060E63" w:rsidRDefault="00060E63" w:rsidP="00060E63">
      <w:pPr>
        <w:pStyle w:val="FootnoteText"/>
      </w:pPr>
      <w:r>
        <w:rPr>
          <w:rStyle w:val="FootnoteReference"/>
        </w:rPr>
        <w:footnoteRef/>
      </w:r>
      <w:r>
        <w:t xml:space="preserve"> Christie, J.J. (2016</w:t>
      </w:r>
      <w:r w:rsidR="00D6522D">
        <w:t>)</w:t>
      </w:r>
      <w:r>
        <w:t>, pp.41; Shaw (1994), pp.115</w:t>
      </w:r>
    </w:p>
  </w:footnote>
  <w:footnote w:id="268">
    <w:p w14:paraId="53FE2962" w14:textId="77777777" w:rsidR="00060E63" w:rsidRDefault="00060E63" w:rsidP="00060E63">
      <w:pPr>
        <w:pStyle w:val="FootnoteText"/>
      </w:pPr>
      <w:r>
        <w:rPr>
          <w:rStyle w:val="FootnoteReference"/>
        </w:rPr>
        <w:footnoteRef/>
      </w:r>
      <w:r>
        <w:t xml:space="preserve"> Kemp, B. (2018), pp.339</w:t>
      </w:r>
    </w:p>
  </w:footnote>
  <w:footnote w:id="269">
    <w:p w14:paraId="588683CB" w14:textId="77777777" w:rsidR="00060E63" w:rsidRDefault="00060E63" w:rsidP="00060E63">
      <w:pPr>
        <w:pStyle w:val="FootnoteText"/>
      </w:pPr>
      <w:r>
        <w:rPr>
          <w:rStyle w:val="FootnoteReference"/>
        </w:rPr>
        <w:footnoteRef/>
      </w:r>
      <w:r>
        <w:t xml:space="preserve"> Kemp, B. (2018), pp. 92-93 states that Akhenaten’s multiplication of offering tables could be seen as obsessive behaviour and a literal demonstration of the temple offerings so “what you see is what existed”. This highlights how Akhenaten created a more visual religion than a theoretical one. </w:t>
      </w:r>
    </w:p>
  </w:footnote>
  <w:footnote w:id="270">
    <w:p w14:paraId="3B7AF1DE" w14:textId="77777777" w:rsidR="00060E63" w:rsidRDefault="00060E63" w:rsidP="00060E63">
      <w:pPr>
        <w:pStyle w:val="FootnoteText"/>
      </w:pPr>
      <w:r>
        <w:rPr>
          <w:rStyle w:val="FootnoteReference"/>
        </w:rPr>
        <w:footnoteRef/>
      </w:r>
      <w:r>
        <w:t xml:space="preserve"> Kemp, B. (2018), pp.339; Christie, J.J. (2016), pp.41; Spencer, N. (2010), pp.264</w:t>
      </w:r>
    </w:p>
  </w:footnote>
  <w:footnote w:id="271">
    <w:p w14:paraId="769D936F" w14:textId="77777777" w:rsidR="00060E63" w:rsidRDefault="00060E63" w:rsidP="00060E63">
      <w:pPr>
        <w:pStyle w:val="FootnoteText"/>
      </w:pPr>
      <w:r>
        <w:rPr>
          <w:rStyle w:val="FootnoteReference"/>
        </w:rPr>
        <w:footnoteRef/>
      </w:r>
      <w:r>
        <w:t xml:space="preserve"> Hill, M. (2014)</w:t>
      </w:r>
    </w:p>
  </w:footnote>
  <w:footnote w:id="272">
    <w:p w14:paraId="162DF599" w14:textId="77777777" w:rsidR="00060E63" w:rsidRDefault="00060E63" w:rsidP="00060E63">
      <w:pPr>
        <w:pStyle w:val="FootnoteText"/>
      </w:pPr>
      <w:r>
        <w:rPr>
          <w:rStyle w:val="FootnoteReference"/>
        </w:rPr>
        <w:footnoteRef/>
      </w:r>
      <w:r>
        <w:t xml:space="preserve"> Allen, J. (1996), pp.4 advises that buildings made of talatat are less enduring than those of traditional stonemasonry. See also Strudwick, H and Strudwick, N. (1999), pp.60 </w:t>
      </w:r>
    </w:p>
  </w:footnote>
  <w:footnote w:id="273">
    <w:p w14:paraId="7C33B430" w14:textId="77777777" w:rsidR="00060E63" w:rsidRDefault="00060E63" w:rsidP="00060E63">
      <w:pPr>
        <w:pStyle w:val="FootnoteText"/>
      </w:pPr>
      <w:r>
        <w:rPr>
          <w:rStyle w:val="FootnoteReference"/>
        </w:rPr>
        <w:footnoteRef/>
      </w:r>
      <w:r>
        <w:t xml:space="preserve"> Christie, J.J. (2016), pp.50; Jackson, C. (2005), pp.1750- 1752 </w:t>
      </w:r>
    </w:p>
  </w:footnote>
  <w:footnote w:id="274">
    <w:p w14:paraId="66948BD2" w14:textId="77777777" w:rsidR="00060E63" w:rsidRDefault="00060E63" w:rsidP="00060E63">
      <w:pPr>
        <w:pStyle w:val="FootnoteText"/>
      </w:pPr>
      <w:r>
        <w:rPr>
          <w:rStyle w:val="FootnoteReference"/>
        </w:rPr>
        <w:footnoteRef/>
      </w:r>
      <w:r>
        <w:t xml:space="preserve"> Nicholson, P.T. and Peltenburg, E. (2000), pp.182-183</w:t>
      </w:r>
    </w:p>
  </w:footnote>
  <w:footnote w:id="275">
    <w:p w14:paraId="6BC4F730" w14:textId="77777777" w:rsidR="00060E63" w:rsidRDefault="00060E63" w:rsidP="00060E63">
      <w:pPr>
        <w:pStyle w:val="FootnoteText"/>
      </w:pPr>
      <w:r>
        <w:rPr>
          <w:rStyle w:val="FootnoteReference"/>
        </w:rPr>
        <w:footnoteRef/>
      </w:r>
      <w:r>
        <w:t xml:space="preserve"> Shortland, A., Nicholson, P. and Jackson, C. (2001) pp. 151 advise that textual evidence stresses the royal importance of glass. Whenever the word for glass can be seen, the royal cartouche can be seen to follow. No other materials seem to have this distinction, thus singling out glass as a desirable material. Jackson, C. (2005), pp.1750 also states that there is evidence on the Amarna Tablets where King Akhenaten is requesting the acquisition of glass and for it to be brought to Egypt. Peck, W. (2013) also states they were both often found within royal tombs and temples. </w:t>
      </w:r>
    </w:p>
  </w:footnote>
  <w:footnote w:id="276">
    <w:p w14:paraId="7E4BEEF6" w14:textId="77777777" w:rsidR="00060E63" w:rsidRDefault="00060E63" w:rsidP="00060E63">
      <w:pPr>
        <w:pStyle w:val="FootnoteText"/>
      </w:pPr>
      <w:r>
        <w:rPr>
          <w:rStyle w:val="FootnoteReference"/>
        </w:rPr>
        <w:footnoteRef/>
      </w:r>
      <w:r>
        <w:t xml:space="preserve"> Christie, J.J. (2016), pp. 50</w:t>
      </w:r>
    </w:p>
  </w:footnote>
  <w:footnote w:id="277">
    <w:p w14:paraId="421B3D64" w14:textId="77777777" w:rsidR="00060E63" w:rsidRPr="00413B70" w:rsidRDefault="00060E63" w:rsidP="00060E63">
      <w:pPr>
        <w:pStyle w:val="FootnoteText"/>
      </w:pPr>
      <w:r>
        <w:rPr>
          <w:rStyle w:val="FootnoteReference"/>
        </w:rPr>
        <w:footnoteRef/>
      </w:r>
      <w:r>
        <w:t xml:space="preserve"> Silverman, D., Wegner, J.W and Wegner, J.H. (2006), pp.117; Peck, W. (2013), pp.158 states that </w:t>
      </w:r>
      <w:r>
        <w:rPr>
          <w:i/>
          <w:iCs/>
        </w:rPr>
        <w:t>tjehent</w:t>
      </w:r>
      <w:r>
        <w:t xml:space="preserve"> means “that which is brilliant” </w:t>
      </w:r>
    </w:p>
  </w:footnote>
  <w:footnote w:id="278">
    <w:p w14:paraId="2A0F0011" w14:textId="77777777" w:rsidR="00060E63" w:rsidRDefault="00060E63" w:rsidP="00060E63">
      <w:pPr>
        <w:pStyle w:val="FootnoteText"/>
      </w:pPr>
      <w:r>
        <w:rPr>
          <w:rStyle w:val="FootnoteReference"/>
        </w:rPr>
        <w:footnoteRef/>
      </w:r>
      <w:r>
        <w:t xml:space="preserve"> Kemp, B. (2018) pp.325 states that the remains at Karnak from the early years of his reign show “extreme departures from convention” </w:t>
      </w:r>
    </w:p>
  </w:footnote>
  <w:footnote w:id="279">
    <w:p w14:paraId="1C8264BE" w14:textId="77777777" w:rsidR="00060E63" w:rsidRDefault="00060E63" w:rsidP="00060E63">
      <w:pPr>
        <w:pStyle w:val="FootnoteText"/>
      </w:pPr>
      <w:r>
        <w:rPr>
          <w:rStyle w:val="FootnoteReference"/>
        </w:rPr>
        <w:footnoteRef/>
      </w:r>
      <w:r>
        <w:t xml:space="preserve"> Kemp, B. (2018), pp.325</w:t>
      </w:r>
    </w:p>
  </w:footnote>
  <w:footnote w:id="280">
    <w:p w14:paraId="515F9B53" w14:textId="77777777" w:rsidR="00060E63" w:rsidRDefault="00060E63" w:rsidP="00060E63">
      <w:pPr>
        <w:pStyle w:val="FootnoteText"/>
      </w:pPr>
      <w:r>
        <w:rPr>
          <w:rStyle w:val="FootnoteReference"/>
        </w:rPr>
        <w:footnoteRef/>
      </w:r>
      <w:r>
        <w:t xml:space="preserve"> Kemp, B. (2018), pp.325</w:t>
      </w:r>
    </w:p>
  </w:footnote>
  <w:footnote w:id="281">
    <w:p w14:paraId="5BD691DF" w14:textId="77777777" w:rsidR="00060E63" w:rsidRDefault="00060E63" w:rsidP="00060E63">
      <w:pPr>
        <w:pStyle w:val="FootnoteText"/>
      </w:pPr>
      <w:r>
        <w:rPr>
          <w:rStyle w:val="FootnoteReference"/>
        </w:rPr>
        <w:footnoteRef/>
      </w:r>
      <w:r>
        <w:t xml:space="preserve"> Kemp, B. (2018), pp.325</w:t>
      </w:r>
    </w:p>
  </w:footnote>
  <w:footnote w:id="282">
    <w:p w14:paraId="51A7063B" w14:textId="77777777" w:rsidR="00060E63" w:rsidRDefault="00060E63" w:rsidP="00060E63">
      <w:pPr>
        <w:pStyle w:val="FootnoteText"/>
      </w:pPr>
      <w:r>
        <w:rPr>
          <w:rStyle w:val="FootnoteReference"/>
        </w:rPr>
        <w:footnoteRef/>
      </w:r>
      <w:r>
        <w:t xml:space="preserve"> Christie, J.J. (2016), pp.37</w:t>
      </w:r>
    </w:p>
  </w:footnote>
  <w:footnote w:id="283">
    <w:p w14:paraId="0FA6E6B2" w14:textId="77777777" w:rsidR="00060E63" w:rsidRPr="0034485F" w:rsidRDefault="00060E63" w:rsidP="00060E63">
      <w:pPr>
        <w:pStyle w:val="FootnoteText"/>
      </w:pPr>
      <w:r>
        <w:rPr>
          <w:rStyle w:val="FootnoteReference"/>
        </w:rPr>
        <w:footnoteRef/>
      </w:r>
      <w:r>
        <w:t xml:space="preserve"> Quirke, S. (2015), pp.117 advises that sculptors produced no other images of </w:t>
      </w:r>
      <w:r>
        <w:rPr>
          <w:i/>
          <w:iCs/>
        </w:rPr>
        <w:t>netjeru</w:t>
      </w:r>
      <w:r>
        <w:t xml:space="preserve"> apart from the solar disc with its hands and certain motifs were physically erased </w:t>
      </w:r>
    </w:p>
  </w:footnote>
  <w:footnote w:id="284">
    <w:p w14:paraId="10ECE54D" w14:textId="77777777" w:rsidR="00060E63" w:rsidRDefault="00060E63" w:rsidP="00060E63">
      <w:pPr>
        <w:pStyle w:val="FootnoteText"/>
      </w:pPr>
      <w:r>
        <w:rPr>
          <w:rStyle w:val="FootnoteReference"/>
        </w:rPr>
        <w:footnoteRef/>
      </w:r>
      <w:r>
        <w:t xml:space="preserve"> Hoffmeier, J. (2015), pp.14; Asante, M.K. and Ismail, S. (2009) state that the originality of Akhenaten can be seen in the creation of the sun rays into a physical reality</w:t>
      </w:r>
    </w:p>
  </w:footnote>
  <w:footnote w:id="285">
    <w:p w14:paraId="6B257C02" w14:textId="77777777" w:rsidR="00060E63" w:rsidRDefault="00060E63" w:rsidP="00060E63">
      <w:pPr>
        <w:pStyle w:val="FootnoteText"/>
      </w:pPr>
      <w:r>
        <w:rPr>
          <w:rStyle w:val="FootnoteReference"/>
        </w:rPr>
        <w:footnoteRef/>
      </w:r>
      <w:r>
        <w:t xml:space="preserve"> Asante, M.K and Ismail, S. (2009), pp.302 </w:t>
      </w:r>
    </w:p>
  </w:footnote>
  <w:footnote w:id="286">
    <w:p w14:paraId="18134C0B" w14:textId="77777777" w:rsidR="00060E63" w:rsidRDefault="00060E63" w:rsidP="00060E63">
      <w:pPr>
        <w:pStyle w:val="FootnoteText"/>
      </w:pPr>
      <w:r>
        <w:rPr>
          <w:rStyle w:val="FootnoteReference"/>
        </w:rPr>
        <w:footnoteRef/>
      </w:r>
      <w:r>
        <w:t xml:space="preserve"> Kemp, (2012), pp. 17</w:t>
      </w:r>
    </w:p>
  </w:footnote>
  <w:footnote w:id="287">
    <w:p w14:paraId="37590A74" w14:textId="77777777" w:rsidR="00060E63" w:rsidRDefault="00060E63" w:rsidP="00060E63">
      <w:pPr>
        <w:pStyle w:val="FootnoteText"/>
      </w:pPr>
      <w:r>
        <w:rPr>
          <w:rStyle w:val="FootnoteReference"/>
        </w:rPr>
        <w:footnoteRef/>
      </w:r>
      <w:r>
        <w:t xml:space="preserve"> The divine triad can be seen to involve Aten, Akhenaten and Nefertiti. Akhenaten and Nefertiti are seen to replace Shu and Tefnut. See Arnold, D. (1996), pp. 99; Darnell, J. and Marnassa, C. (2007), pp.41-42</w:t>
      </w:r>
    </w:p>
  </w:footnote>
  <w:footnote w:id="288">
    <w:p w14:paraId="6DF2D06A" w14:textId="393FB5C4" w:rsidR="00060E63" w:rsidRDefault="00060E63" w:rsidP="00060E63">
      <w:pPr>
        <w:pStyle w:val="FootnoteText"/>
      </w:pPr>
      <w:r>
        <w:rPr>
          <w:rStyle w:val="FootnoteReference"/>
        </w:rPr>
        <w:footnoteRef/>
      </w:r>
      <w:r>
        <w:t xml:space="preserve"> Green, L. (1996), pp.10 advises us that her participation in ritual was equal to her husband. Green also advises that in some parts of the temple at Karnak, Nefertiti dominates the decoration, leading to the suggestion that it was the Queen that became the real force behind Akhenaten’s religious revolution. </w:t>
      </w:r>
    </w:p>
  </w:footnote>
  <w:footnote w:id="289">
    <w:p w14:paraId="17326F44" w14:textId="77777777" w:rsidR="00060E63" w:rsidRDefault="00060E63" w:rsidP="00060E63">
      <w:pPr>
        <w:pStyle w:val="FootnoteText"/>
      </w:pPr>
      <w:r>
        <w:rPr>
          <w:rStyle w:val="FootnoteReference"/>
        </w:rPr>
        <w:footnoteRef/>
      </w:r>
      <w:r>
        <w:t xml:space="preserve"> Aldred, C. (1988), pp.223; Silverman, D., Wegner, J.W and Wegner, J.H. (2006), pp.14</w:t>
      </w:r>
    </w:p>
  </w:footnote>
  <w:footnote w:id="290">
    <w:p w14:paraId="04E347D1" w14:textId="77777777" w:rsidR="00060E63" w:rsidRDefault="00060E63" w:rsidP="00060E63">
      <w:pPr>
        <w:pStyle w:val="FootnoteText"/>
      </w:pPr>
      <w:r>
        <w:rPr>
          <w:rStyle w:val="FootnoteReference"/>
        </w:rPr>
        <w:footnoteRef/>
      </w:r>
      <w:r>
        <w:t xml:space="preserve"> Williamson, J. (2016), pp.189, </w:t>
      </w:r>
      <w:r w:rsidRPr="00591949">
        <w:t xml:space="preserve">Arnold, </w:t>
      </w:r>
      <w:r>
        <w:t>D. (</w:t>
      </w:r>
      <w:r w:rsidRPr="00591949">
        <w:t>1996</w:t>
      </w:r>
      <w:r>
        <w:t>)</w:t>
      </w:r>
      <w:r w:rsidRPr="00591949">
        <w:t xml:space="preserve"> pp. 95</w:t>
      </w:r>
    </w:p>
  </w:footnote>
  <w:footnote w:id="291">
    <w:p w14:paraId="1E46D4AD" w14:textId="77777777" w:rsidR="00060E63" w:rsidRDefault="00060E63" w:rsidP="00060E63">
      <w:pPr>
        <w:pStyle w:val="FootnoteText"/>
      </w:pPr>
      <w:r>
        <w:rPr>
          <w:rStyle w:val="FootnoteReference"/>
        </w:rPr>
        <w:footnoteRef/>
      </w:r>
      <w:r>
        <w:t xml:space="preserve"> Williamson, J. (2016), pp.189 advises that the rejuvenation of Osiris and rebirth of the divine king through the medium of his queen is reinterpreted within Atenism and that by replacing the goddesses, Nefertiti takes on the divine responsibilities </w:t>
      </w:r>
    </w:p>
  </w:footnote>
  <w:footnote w:id="292">
    <w:p w14:paraId="1E59A9B8" w14:textId="77777777" w:rsidR="00060E63" w:rsidRDefault="00060E63" w:rsidP="00060E63">
      <w:pPr>
        <w:pStyle w:val="FootnoteText"/>
      </w:pPr>
      <w:r>
        <w:rPr>
          <w:rStyle w:val="FootnoteReference"/>
        </w:rPr>
        <w:footnoteRef/>
      </w:r>
      <w:r>
        <w:t xml:space="preserve"> Aldred, C. (1988), pp.225</w:t>
      </w:r>
    </w:p>
  </w:footnote>
  <w:footnote w:id="293">
    <w:p w14:paraId="70D0CC83" w14:textId="77777777" w:rsidR="00060E63" w:rsidRDefault="00060E63" w:rsidP="00060E63">
      <w:pPr>
        <w:pStyle w:val="FootnoteText"/>
      </w:pPr>
      <w:r>
        <w:rPr>
          <w:rStyle w:val="FootnoteReference"/>
        </w:rPr>
        <w:footnoteRef/>
      </w:r>
      <w:r>
        <w:t xml:space="preserve"> Kemp, B. (2018), pp.321</w:t>
      </w:r>
    </w:p>
  </w:footnote>
  <w:footnote w:id="294">
    <w:p w14:paraId="1542A12C" w14:textId="77777777" w:rsidR="00060E63" w:rsidRDefault="00060E63" w:rsidP="00060E63">
      <w:pPr>
        <w:pStyle w:val="FootnoteText"/>
      </w:pPr>
      <w:r>
        <w:rPr>
          <w:rStyle w:val="FootnoteReference"/>
        </w:rPr>
        <w:footnoteRef/>
      </w:r>
      <w:r>
        <w:t xml:space="preserve"> Kemp, B. (2018), pp.327; Goelet, O. (2003), pp.24</w:t>
      </w:r>
    </w:p>
  </w:footnote>
  <w:footnote w:id="295">
    <w:p w14:paraId="382DD7E5" w14:textId="77777777" w:rsidR="00060E63" w:rsidRDefault="00060E63" w:rsidP="00060E63">
      <w:pPr>
        <w:pStyle w:val="FootnoteText"/>
      </w:pPr>
      <w:r>
        <w:rPr>
          <w:rStyle w:val="FootnoteReference"/>
        </w:rPr>
        <w:footnoteRef/>
      </w:r>
      <w:r>
        <w:t xml:space="preserve"> Silverman, D., Wegner, J.W and Wegner, J.H. (2006), pp.3</w:t>
      </w:r>
    </w:p>
  </w:footnote>
  <w:footnote w:id="296">
    <w:p w14:paraId="51C04DE6" w14:textId="77777777" w:rsidR="00060E63" w:rsidRDefault="00060E63" w:rsidP="00060E63">
      <w:pPr>
        <w:pStyle w:val="FootnoteText"/>
      </w:pPr>
      <w:r>
        <w:rPr>
          <w:rStyle w:val="FootnoteReference"/>
        </w:rPr>
        <w:footnoteRef/>
      </w:r>
      <w:r>
        <w:t xml:space="preserve"> Goelet, O. (2003), pp.24 states that when human constructions crumbled away, this was seen as them reverting back to the primordial state, therefore highlighting that </w:t>
      </w:r>
      <w:r w:rsidRPr="008F0634">
        <w:rPr>
          <w:i/>
          <w:iCs/>
        </w:rPr>
        <w:t xml:space="preserve">isfet </w:t>
      </w:r>
      <w:r>
        <w:t>has prevailed</w:t>
      </w:r>
    </w:p>
  </w:footnote>
  <w:footnote w:id="297">
    <w:p w14:paraId="597944FF" w14:textId="77777777" w:rsidR="00060E63" w:rsidRDefault="00060E63" w:rsidP="00060E63">
      <w:pPr>
        <w:pStyle w:val="FootnoteText"/>
      </w:pPr>
      <w:r>
        <w:rPr>
          <w:rStyle w:val="FootnoteReference"/>
        </w:rPr>
        <w:footnoteRef/>
      </w:r>
      <w:r>
        <w:t xml:space="preserve"> Goelet, O. (2003), pp.24</w:t>
      </w:r>
    </w:p>
  </w:footnote>
  <w:footnote w:id="298">
    <w:p w14:paraId="1C58DFAD" w14:textId="77777777" w:rsidR="00060E63" w:rsidRDefault="00060E63" w:rsidP="00060E63">
      <w:pPr>
        <w:pStyle w:val="FootnoteText"/>
      </w:pPr>
      <w:r>
        <w:rPr>
          <w:rStyle w:val="FootnoteReference"/>
        </w:rPr>
        <w:footnoteRef/>
      </w:r>
      <w:r>
        <w:t xml:space="preserve"> Brand, P. (1999), pp.117</w:t>
      </w:r>
    </w:p>
  </w:footnote>
  <w:footnote w:id="299">
    <w:p w14:paraId="1889BF0D" w14:textId="77777777" w:rsidR="00060E63" w:rsidRDefault="00060E63" w:rsidP="00060E63">
      <w:pPr>
        <w:pStyle w:val="FootnoteText"/>
      </w:pPr>
      <w:r>
        <w:rPr>
          <w:rStyle w:val="FootnoteReference"/>
        </w:rPr>
        <w:footnoteRef/>
      </w:r>
      <w:r>
        <w:t xml:space="preserve"> Goebs, K. (2007), pp.295; Exell, K. and Naunton, C. (2007), pp.96 advise that post-Akhenaten Egypt went through a long period of crisis until the establishment of Rameses I. The country had no strong heir or ruler to depend on until the military dynasty.  </w:t>
      </w:r>
    </w:p>
  </w:footnote>
  <w:footnote w:id="300">
    <w:p w14:paraId="777308F8" w14:textId="77777777" w:rsidR="00060E63" w:rsidRDefault="00060E63" w:rsidP="00060E63">
      <w:pPr>
        <w:pStyle w:val="FootnoteText"/>
      </w:pPr>
      <w:r>
        <w:rPr>
          <w:rStyle w:val="FootnoteReference"/>
        </w:rPr>
        <w:footnoteRef/>
      </w:r>
      <w:r>
        <w:t xml:space="preserve"> Teeter, E, (2011), pp.182-196 describes the emotional repercussions of such changes; Kemp, B. (2018), pp.321 advises whatever Akhenaten stood for seems to have been rapidly rejected after death; Tobin, V. (1988), pp.174</w:t>
      </w:r>
    </w:p>
  </w:footnote>
  <w:footnote w:id="301">
    <w:p w14:paraId="132C1B97" w14:textId="77777777" w:rsidR="00060E63" w:rsidRDefault="00060E63" w:rsidP="00060E63">
      <w:pPr>
        <w:pStyle w:val="FootnoteText"/>
      </w:pPr>
      <w:r>
        <w:rPr>
          <w:rStyle w:val="FootnoteReference"/>
        </w:rPr>
        <w:footnoteRef/>
      </w:r>
      <w:r>
        <w:t xml:space="preserve"> Mosjov, B. (2002), pp.492</w:t>
      </w:r>
    </w:p>
  </w:footnote>
  <w:footnote w:id="302">
    <w:p w14:paraId="28151E43" w14:textId="420E2393" w:rsidR="005B1D45" w:rsidRDefault="005B1D45">
      <w:pPr>
        <w:pStyle w:val="FootnoteText"/>
      </w:pPr>
      <w:r>
        <w:rPr>
          <w:rStyle w:val="FootnoteReference"/>
        </w:rPr>
        <w:footnoteRef/>
      </w:r>
      <w:r>
        <w:t xml:space="preserve"> </w:t>
      </w:r>
      <w:r>
        <w:t>Karenga, M. (2004), pp.5</w:t>
      </w:r>
      <w:r>
        <w:t>-6</w:t>
      </w:r>
    </w:p>
  </w:footnote>
  <w:footnote w:id="303">
    <w:p w14:paraId="230C266D" w14:textId="77777777" w:rsidR="00F55B1B" w:rsidRDefault="00F55B1B" w:rsidP="00F55B1B">
      <w:pPr>
        <w:pStyle w:val="FootnoteText"/>
      </w:pPr>
      <w:r>
        <w:rPr>
          <w:rStyle w:val="FootnoteReference"/>
        </w:rPr>
        <w:footnoteRef/>
      </w:r>
      <w:r>
        <w:t xml:space="preserve"> Cooney, K. (2018), pp.97</w:t>
      </w:r>
    </w:p>
  </w:footnote>
  <w:footnote w:id="304">
    <w:p w14:paraId="242AF798" w14:textId="77777777" w:rsidR="00F55B1B" w:rsidRDefault="00F55B1B" w:rsidP="00F55B1B">
      <w:pPr>
        <w:pStyle w:val="FootnoteText"/>
      </w:pPr>
      <w:r>
        <w:rPr>
          <w:rStyle w:val="FootnoteReference"/>
        </w:rPr>
        <w:footnoteRef/>
      </w:r>
      <w:r>
        <w:t xml:space="preserve"> Szpakowska, K. (2012), pp.25; Tyldesley, J. (2006), pp.38</w:t>
      </w:r>
    </w:p>
  </w:footnote>
  <w:footnote w:id="305">
    <w:p w14:paraId="1F694D73" w14:textId="77777777" w:rsidR="00F55B1B" w:rsidRDefault="00F55B1B" w:rsidP="00F55B1B">
      <w:pPr>
        <w:pStyle w:val="FootnoteText"/>
      </w:pPr>
      <w:r>
        <w:rPr>
          <w:rStyle w:val="FootnoteReference"/>
        </w:rPr>
        <w:footnoteRef/>
      </w:r>
      <w:r>
        <w:t xml:space="preserve"> Robins, G. (1993) pp.13</w:t>
      </w:r>
    </w:p>
  </w:footnote>
  <w:footnote w:id="306">
    <w:p w14:paraId="25CCF657" w14:textId="77777777" w:rsidR="00F55B1B" w:rsidRDefault="00F55B1B" w:rsidP="00F55B1B">
      <w:pPr>
        <w:pStyle w:val="FootnoteText"/>
      </w:pPr>
      <w:r>
        <w:rPr>
          <w:rStyle w:val="FootnoteReference"/>
        </w:rPr>
        <w:footnoteRef/>
      </w:r>
      <w:r>
        <w:t xml:space="preserve"> Bradley, P. (2014), pp.137</w:t>
      </w:r>
    </w:p>
  </w:footnote>
  <w:footnote w:id="307">
    <w:p w14:paraId="43133EF9" w14:textId="77777777" w:rsidR="00F55B1B" w:rsidRDefault="00F55B1B" w:rsidP="00F55B1B">
      <w:pPr>
        <w:pStyle w:val="FootnoteText"/>
      </w:pPr>
      <w:r>
        <w:rPr>
          <w:rStyle w:val="FootnoteReference"/>
        </w:rPr>
        <w:footnoteRef/>
      </w:r>
      <w:r>
        <w:t xml:space="preserve"> See Shaw, I. (1994), pp.101-113</w:t>
      </w:r>
    </w:p>
  </w:footnote>
  <w:footnote w:id="308">
    <w:p w14:paraId="5463A85A" w14:textId="77777777" w:rsidR="00F55B1B" w:rsidRDefault="00F55B1B" w:rsidP="00F55B1B">
      <w:pPr>
        <w:pStyle w:val="FootnoteText"/>
      </w:pPr>
      <w:r>
        <w:rPr>
          <w:rStyle w:val="FootnoteReference"/>
        </w:rPr>
        <w:footnoteRef/>
      </w:r>
      <w:r>
        <w:t xml:space="preserve"> Pinarello, M. (2018), pp. 14 advises that gender discrimination within the written sources has been seldomly addressed within Egyptology and that these biased underpinnings of Egyptology limit the full exploration of Egyptian society; Szpakowska, K. (2012), pp.26 advises that there is no monolithic category of “women” and that we must avoid generalisations. </w:t>
      </w:r>
    </w:p>
  </w:footnote>
  <w:footnote w:id="309">
    <w:p w14:paraId="0E3E72FE" w14:textId="77777777" w:rsidR="00F55B1B" w:rsidRDefault="00F55B1B" w:rsidP="00F55B1B">
      <w:pPr>
        <w:pStyle w:val="FootnoteText"/>
      </w:pPr>
      <w:r>
        <w:rPr>
          <w:rStyle w:val="FootnoteReference"/>
        </w:rPr>
        <w:footnoteRef/>
      </w:r>
      <w:r>
        <w:t xml:space="preserve"> Szpakowska, K. (2012), pp.27</w:t>
      </w:r>
    </w:p>
  </w:footnote>
  <w:footnote w:id="310">
    <w:p w14:paraId="0CCE3C24" w14:textId="77777777" w:rsidR="00F55B1B" w:rsidRDefault="00F55B1B" w:rsidP="00F55B1B">
      <w:pPr>
        <w:pStyle w:val="FootnoteText"/>
      </w:pPr>
      <w:r>
        <w:rPr>
          <w:rStyle w:val="FootnoteReference"/>
        </w:rPr>
        <w:footnoteRef/>
      </w:r>
      <w:r>
        <w:t xml:space="preserve"> Montserrat, D. (2000), pp. uses the examples of the works written by Cyril Aldred and Donal Redford, advising the former seems to display admiration for the King whereas the latter seems to take an extreme dislike. </w:t>
      </w:r>
    </w:p>
  </w:footnote>
  <w:footnote w:id="311">
    <w:p w14:paraId="5EE5D797" w14:textId="77777777" w:rsidR="00F55B1B" w:rsidRDefault="00F55B1B" w:rsidP="00F55B1B">
      <w:pPr>
        <w:pStyle w:val="FootnoteText"/>
      </w:pPr>
      <w:r>
        <w:rPr>
          <w:rStyle w:val="FootnoteReference"/>
        </w:rPr>
        <w:footnoteRef/>
      </w:r>
      <w:r>
        <w:t xml:space="preserve"> Kemp, B. (2018), pp.325 advises that it is impossible to write a history of the reign of Akhenaten which does not “embrace an element of historical fiction”.</w:t>
      </w:r>
    </w:p>
    <w:p w14:paraId="328CA3A2" w14:textId="77777777" w:rsidR="00F55B1B" w:rsidRDefault="00F55B1B" w:rsidP="00F55B1B">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64AD0"/>
    <w:multiLevelType w:val="hybridMultilevel"/>
    <w:tmpl w:val="C4CEA7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0FD18C6"/>
    <w:multiLevelType w:val="hybridMultilevel"/>
    <w:tmpl w:val="8452B0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3AA4F20"/>
    <w:multiLevelType w:val="hybridMultilevel"/>
    <w:tmpl w:val="C138398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0A896399"/>
    <w:multiLevelType w:val="hybridMultilevel"/>
    <w:tmpl w:val="80F0FCAA"/>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647185"/>
    <w:multiLevelType w:val="hybridMultilevel"/>
    <w:tmpl w:val="EBCC7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4342051"/>
    <w:multiLevelType w:val="multilevel"/>
    <w:tmpl w:val="D5CCA5F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4CF6025"/>
    <w:multiLevelType w:val="hybridMultilevel"/>
    <w:tmpl w:val="D20A8220"/>
    <w:lvl w:ilvl="0" w:tplc="A678DC38">
      <w:start w:val="1"/>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5E4620"/>
    <w:multiLevelType w:val="hybridMultilevel"/>
    <w:tmpl w:val="AF4EB2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2876F8"/>
    <w:multiLevelType w:val="multilevel"/>
    <w:tmpl w:val="A0F8E9A6"/>
    <w:lvl w:ilvl="0">
      <w:start w:val="1"/>
      <w:numFmt w:val="decimal"/>
      <w:lvlText w:val="%1."/>
      <w:lvlJc w:val="left"/>
      <w:pPr>
        <w:ind w:left="360" w:hanging="360"/>
      </w:pPr>
      <w:rPr>
        <w:rFonts w:hint="default"/>
        <w:color w:val="000000" w:themeColor="text1"/>
        <w:sz w:val="24"/>
      </w:rPr>
    </w:lvl>
    <w:lvl w:ilvl="1">
      <w:start w:val="6"/>
      <w:numFmt w:val="decimal"/>
      <w:lvlText w:val="%1.%2."/>
      <w:lvlJc w:val="left"/>
      <w:pPr>
        <w:ind w:left="1080" w:hanging="720"/>
      </w:pPr>
      <w:rPr>
        <w:rFonts w:hint="default"/>
        <w:color w:val="000000" w:themeColor="text1"/>
        <w:sz w:val="24"/>
      </w:rPr>
    </w:lvl>
    <w:lvl w:ilvl="2">
      <w:start w:val="1"/>
      <w:numFmt w:val="decimal"/>
      <w:lvlText w:val="%1.%2.%3."/>
      <w:lvlJc w:val="left"/>
      <w:pPr>
        <w:ind w:left="1440" w:hanging="720"/>
      </w:pPr>
      <w:rPr>
        <w:rFonts w:hint="default"/>
        <w:color w:val="000000" w:themeColor="text1"/>
        <w:sz w:val="24"/>
      </w:rPr>
    </w:lvl>
    <w:lvl w:ilvl="3">
      <w:start w:val="1"/>
      <w:numFmt w:val="decimal"/>
      <w:lvlText w:val="%1.%2.%3.%4."/>
      <w:lvlJc w:val="left"/>
      <w:pPr>
        <w:ind w:left="2160" w:hanging="1080"/>
      </w:pPr>
      <w:rPr>
        <w:rFonts w:hint="default"/>
        <w:color w:val="000000" w:themeColor="text1"/>
        <w:sz w:val="24"/>
      </w:rPr>
    </w:lvl>
    <w:lvl w:ilvl="4">
      <w:start w:val="1"/>
      <w:numFmt w:val="decimal"/>
      <w:lvlText w:val="%1.%2.%3.%4.%5."/>
      <w:lvlJc w:val="left"/>
      <w:pPr>
        <w:ind w:left="2520" w:hanging="1080"/>
      </w:pPr>
      <w:rPr>
        <w:rFonts w:hint="default"/>
        <w:color w:val="000000" w:themeColor="text1"/>
        <w:sz w:val="24"/>
      </w:rPr>
    </w:lvl>
    <w:lvl w:ilvl="5">
      <w:start w:val="1"/>
      <w:numFmt w:val="decimal"/>
      <w:lvlText w:val="%1.%2.%3.%4.%5.%6."/>
      <w:lvlJc w:val="left"/>
      <w:pPr>
        <w:ind w:left="3240" w:hanging="1440"/>
      </w:pPr>
      <w:rPr>
        <w:rFonts w:hint="default"/>
        <w:color w:val="000000" w:themeColor="text1"/>
        <w:sz w:val="24"/>
      </w:rPr>
    </w:lvl>
    <w:lvl w:ilvl="6">
      <w:start w:val="1"/>
      <w:numFmt w:val="decimal"/>
      <w:lvlText w:val="%1.%2.%3.%4.%5.%6.%7."/>
      <w:lvlJc w:val="left"/>
      <w:pPr>
        <w:ind w:left="3600" w:hanging="1440"/>
      </w:pPr>
      <w:rPr>
        <w:rFonts w:hint="default"/>
        <w:color w:val="000000" w:themeColor="text1"/>
        <w:sz w:val="24"/>
      </w:rPr>
    </w:lvl>
    <w:lvl w:ilvl="7">
      <w:start w:val="1"/>
      <w:numFmt w:val="decimal"/>
      <w:lvlText w:val="%1.%2.%3.%4.%5.%6.%7.%8."/>
      <w:lvlJc w:val="left"/>
      <w:pPr>
        <w:ind w:left="4320" w:hanging="1800"/>
      </w:pPr>
      <w:rPr>
        <w:rFonts w:hint="default"/>
        <w:color w:val="000000" w:themeColor="text1"/>
        <w:sz w:val="24"/>
      </w:rPr>
    </w:lvl>
    <w:lvl w:ilvl="8">
      <w:start w:val="1"/>
      <w:numFmt w:val="decimal"/>
      <w:lvlText w:val="%1.%2.%3.%4.%5.%6.%7.%8.%9."/>
      <w:lvlJc w:val="left"/>
      <w:pPr>
        <w:ind w:left="4680" w:hanging="1800"/>
      </w:pPr>
      <w:rPr>
        <w:rFonts w:hint="default"/>
        <w:color w:val="000000" w:themeColor="text1"/>
        <w:sz w:val="24"/>
      </w:rPr>
    </w:lvl>
  </w:abstractNum>
  <w:abstractNum w:abstractNumId="9" w15:restartNumberingAfterBreak="0">
    <w:nsid w:val="430E318B"/>
    <w:multiLevelType w:val="hybridMultilevel"/>
    <w:tmpl w:val="E1AC06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13C2543"/>
    <w:multiLevelType w:val="multilevel"/>
    <w:tmpl w:val="0834ED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52902BE6"/>
    <w:multiLevelType w:val="hybridMultilevel"/>
    <w:tmpl w:val="F18292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975DE5"/>
    <w:multiLevelType w:val="hybridMultilevel"/>
    <w:tmpl w:val="A27CF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585CC1"/>
    <w:multiLevelType w:val="hybridMultilevel"/>
    <w:tmpl w:val="C928A99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618279BC"/>
    <w:multiLevelType w:val="multilevel"/>
    <w:tmpl w:val="0B96E9DC"/>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5" w15:restartNumberingAfterBreak="0">
    <w:nsid w:val="61A30052"/>
    <w:multiLevelType w:val="hybridMultilevel"/>
    <w:tmpl w:val="FA38DE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E556DF"/>
    <w:multiLevelType w:val="multilevel"/>
    <w:tmpl w:val="C4347CF0"/>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6BB53B2A"/>
    <w:multiLevelType w:val="multilevel"/>
    <w:tmpl w:val="12A6D214"/>
    <w:lvl w:ilvl="0">
      <w:start w:val="1"/>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8" w15:restartNumberingAfterBreak="0">
    <w:nsid w:val="6DC60D37"/>
    <w:multiLevelType w:val="hybridMultilevel"/>
    <w:tmpl w:val="DB32970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893789A"/>
    <w:multiLevelType w:val="multilevel"/>
    <w:tmpl w:val="F35A897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15"/>
  </w:num>
  <w:num w:numId="2">
    <w:abstractNumId w:val="10"/>
  </w:num>
  <w:num w:numId="3">
    <w:abstractNumId w:val="12"/>
  </w:num>
  <w:num w:numId="4">
    <w:abstractNumId w:val="2"/>
  </w:num>
  <w:num w:numId="5">
    <w:abstractNumId w:val="13"/>
  </w:num>
  <w:num w:numId="6">
    <w:abstractNumId w:val="1"/>
  </w:num>
  <w:num w:numId="7">
    <w:abstractNumId w:val="7"/>
  </w:num>
  <w:num w:numId="8">
    <w:abstractNumId w:val="11"/>
  </w:num>
  <w:num w:numId="9">
    <w:abstractNumId w:val="9"/>
  </w:num>
  <w:num w:numId="10">
    <w:abstractNumId w:val="17"/>
  </w:num>
  <w:num w:numId="11">
    <w:abstractNumId w:val="3"/>
  </w:num>
  <w:num w:numId="12">
    <w:abstractNumId w:val="4"/>
  </w:num>
  <w:num w:numId="13">
    <w:abstractNumId w:val="19"/>
  </w:num>
  <w:num w:numId="14">
    <w:abstractNumId w:val="0"/>
  </w:num>
  <w:num w:numId="15">
    <w:abstractNumId w:val="14"/>
  </w:num>
  <w:num w:numId="16">
    <w:abstractNumId w:val="18"/>
  </w:num>
  <w:num w:numId="17">
    <w:abstractNumId w:val="8"/>
  </w:num>
  <w:num w:numId="18">
    <w:abstractNumId w:val="5"/>
  </w:num>
  <w:num w:numId="19">
    <w:abstractNumId w:val="16"/>
  </w:num>
  <w:num w:numId="2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E63"/>
    <w:rsid w:val="00060E63"/>
    <w:rsid w:val="000A1516"/>
    <w:rsid w:val="000C76ED"/>
    <w:rsid w:val="00206236"/>
    <w:rsid w:val="00223589"/>
    <w:rsid w:val="00272F44"/>
    <w:rsid w:val="00447EB3"/>
    <w:rsid w:val="00472606"/>
    <w:rsid w:val="00554E26"/>
    <w:rsid w:val="00594892"/>
    <w:rsid w:val="005B1D45"/>
    <w:rsid w:val="005C2027"/>
    <w:rsid w:val="006316D7"/>
    <w:rsid w:val="00760924"/>
    <w:rsid w:val="008F0634"/>
    <w:rsid w:val="008F4FEE"/>
    <w:rsid w:val="00985266"/>
    <w:rsid w:val="009E231D"/>
    <w:rsid w:val="00A41D2E"/>
    <w:rsid w:val="00A73E7E"/>
    <w:rsid w:val="00B760DC"/>
    <w:rsid w:val="00BB2706"/>
    <w:rsid w:val="00C4717B"/>
    <w:rsid w:val="00C675AE"/>
    <w:rsid w:val="00C73032"/>
    <w:rsid w:val="00CD44D3"/>
    <w:rsid w:val="00CF4564"/>
    <w:rsid w:val="00CF7EB6"/>
    <w:rsid w:val="00D6522D"/>
    <w:rsid w:val="00D85715"/>
    <w:rsid w:val="00DE01CC"/>
    <w:rsid w:val="00DE74B5"/>
    <w:rsid w:val="00EB202A"/>
    <w:rsid w:val="00EB3CF5"/>
    <w:rsid w:val="00EF7C48"/>
    <w:rsid w:val="00F4185A"/>
    <w:rsid w:val="00F50227"/>
    <w:rsid w:val="00F55B1B"/>
    <w:rsid w:val="00F82A0D"/>
    <w:rsid w:val="00FC6F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B51C8E3"/>
  <w15:chartTrackingRefBased/>
  <w15:docId w15:val="{3085E7E5-0FC7-C447-A005-DDD0AF9C44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0E63"/>
  </w:style>
  <w:style w:type="paragraph" w:styleId="Heading1">
    <w:name w:val="heading 1"/>
    <w:basedOn w:val="Normal"/>
    <w:next w:val="Normal"/>
    <w:link w:val="Heading1Char"/>
    <w:uiPriority w:val="9"/>
    <w:qFormat/>
    <w:rsid w:val="005C202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C2027"/>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60E63"/>
    <w:pPr>
      <w:spacing w:after="160" w:line="259" w:lineRule="auto"/>
      <w:ind w:left="720"/>
      <w:contextualSpacing/>
    </w:pPr>
    <w:rPr>
      <w:sz w:val="22"/>
      <w:szCs w:val="22"/>
    </w:rPr>
  </w:style>
  <w:style w:type="paragraph" w:styleId="FootnoteText">
    <w:name w:val="footnote text"/>
    <w:basedOn w:val="Normal"/>
    <w:link w:val="FootnoteTextChar"/>
    <w:uiPriority w:val="99"/>
    <w:semiHidden/>
    <w:unhideWhenUsed/>
    <w:rsid w:val="00060E63"/>
    <w:rPr>
      <w:sz w:val="20"/>
      <w:szCs w:val="20"/>
    </w:rPr>
  </w:style>
  <w:style w:type="character" w:customStyle="1" w:styleId="FootnoteTextChar">
    <w:name w:val="Footnote Text Char"/>
    <w:basedOn w:val="DefaultParagraphFont"/>
    <w:link w:val="FootnoteText"/>
    <w:uiPriority w:val="99"/>
    <w:semiHidden/>
    <w:rsid w:val="00060E63"/>
    <w:rPr>
      <w:sz w:val="20"/>
      <w:szCs w:val="20"/>
    </w:rPr>
  </w:style>
  <w:style w:type="character" w:styleId="FootnoteReference">
    <w:name w:val="footnote reference"/>
    <w:basedOn w:val="DefaultParagraphFont"/>
    <w:uiPriority w:val="99"/>
    <w:semiHidden/>
    <w:unhideWhenUsed/>
    <w:rsid w:val="00060E63"/>
    <w:rPr>
      <w:vertAlign w:val="superscript"/>
    </w:rPr>
  </w:style>
  <w:style w:type="character" w:styleId="Hyperlink">
    <w:name w:val="Hyperlink"/>
    <w:basedOn w:val="DefaultParagraphFont"/>
    <w:uiPriority w:val="99"/>
    <w:unhideWhenUsed/>
    <w:rsid w:val="00060E63"/>
    <w:rPr>
      <w:color w:val="0563C1" w:themeColor="hyperlink"/>
      <w:u w:val="single"/>
    </w:rPr>
  </w:style>
  <w:style w:type="paragraph" w:styleId="BalloonText">
    <w:name w:val="Balloon Text"/>
    <w:basedOn w:val="Normal"/>
    <w:link w:val="BalloonTextChar"/>
    <w:uiPriority w:val="99"/>
    <w:semiHidden/>
    <w:unhideWhenUsed/>
    <w:rsid w:val="00FC6F8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C6F8A"/>
    <w:rPr>
      <w:rFonts w:ascii="Times New Roman" w:hAnsi="Times New Roman" w:cs="Times New Roman"/>
      <w:sz w:val="18"/>
      <w:szCs w:val="18"/>
    </w:rPr>
  </w:style>
  <w:style w:type="character" w:styleId="UnresolvedMention">
    <w:name w:val="Unresolved Mention"/>
    <w:basedOn w:val="DefaultParagraphFont"/>
    <w:uiPriority w:val="99"/>
    <w:semiHidden/>
    <w:unhideWhenUsed/>
    <w:rsid w:val="00EB202A"/>
    <w:rPr>
      <w:color w:val="605E5C"/>
      <w:shd w:val="clear" w:color="auto" w:fill="E1DFDD"/>
    </w:rPr>
  </w:style>
  <w:style w:type="character" w:styleId="FollowedHyperlink">
    <w:name w:val="FollowedHyperlink"/>
    <w:basedOn w:val="DefaultParagraphFont"/>
    <w:uiPriority w:val="99"/>
    <w:semiHidden/>
    <w:unhideWhenUsed/>
    <w:rsid w:val="00EB202A"/>
    <w:rPr>
      <w:color w:val="954F72" w:themeColor="followedHyperlink"/>
      <w:u w:val="single"/>
    </w:rPr>
  </w:style>
  <w:style w:type="paragraph" w:styleId="Footer">
    <w:name w:val="footer"/>
    <w:basedOn w:val="Normal"/>
    <w:link w:val="FooterChar"/>
    <w:uiPriority w:val="99"/>
    <w:unhideWhenUsed/>
    <w:rsid w:val="005C2027"/>
    <w:pPr>
      <w:tabs>
        <w:tab w:val="center" w:pos="4513"/>
        <w:tab w:val="right" w:pos="9026"/>
      </w:tabs>
    </w:pPr>
  </w:style>
  <w:style w:type="character" w:customStyle="1" w:styleId="FooterChar">
    <w:name w:val="Footer Char"/>
    <w:basedOn w:val="DefaultParagraphFont"/>
    <w:link w:val="Footer"/>
    <w:uiPriority w:val="99"/>
    <w:rsid w:val="005C2027"/>
  </w:style>
  <w:style w:type="character" w:styleId="PageNumber">
    <w:name w:val="page number"/>
    <w:basedOn w:val="DefaultParagraphFont"/>
    <w:uiPriority w:val="99"/>
    <w:semiHidden/>
    <w:unhideWhenUsed/>
    <w:rsid w:val="005C2027"/>
  </w:style>
  <w:style w:type="character" w:customStyle="1" w:styleId="Heading1Char">
    <w:name w:val="Heading 1 Char"/>
    <w:basedOn w:val="DefaultParagraphFont"/>
    <w:link w:val="Heading1"/>
    <w:uiPriority w:val="9"/>
    <w:rsid w:val="005C202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C202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CF4564"/>
    <w:pPr>
      <w:tabs>
        <w:tab w:val="right" w:leader="dot" w:pos="9010"/>
      </w:tabs>
      <w:spacing w:before="120"/>
    </w:pPr>
    <w:rPr>
      <w:b/>
      <w:bCs/>
      <w:i/>
      <w:iCs/>
      <w:noProof/>
    </w:rPr>
  </w:style>
  <w:style w:type="paragraph" w:styleId="TOC2">
    <w:name w:val="toc 2"/>
    <w:basedOn w:val="Normal"/>
    <w:next w:val="Normal"/>
    <w:autoRedefine/>
    <w:uiPriority w:val="39"/>
    <w:unhideWhenUsed/>
    <w:rsid w:val="005C2027"/>
    <w:pPr>
      <w:spacing w:before="120"/>
      <w:ind w:left="240"/>
    </w:pPr>
    <w:rPr>
      <w:b/>
      <w:bCs/>
      <w:sz w:val="22"/>
      <w:szCs w:val="22"/>
    </w:rPr>
  </w:style>
  <w:style w:type="paragraph" w:styleId="TOC3">
    <w:name w:val="toc 3"/>
    <w:basedOn w:val="Normal"/>
    <w:next w:val="Normal"/>
    <w:autoRedefine/>
    <w:uiPriority w:val="39"/>
    <w:semiHidden/>
    <w:unhideWhenUsed/>
    <w:rsid w:val="005C2027"/>
    <w:pPr>
      <w:ind w:left="480"/>
    </w:pPr>
    <w:rPr>
      <w:sz w:val="20"/>
      <w:szCs w:val="20"/>
    </w:rPr>
  </w:style>
  <w:style w:type="paragraph" w:styleId="TOC4">
    <w:name w:val="toc 4"/>
    <w:basedOn w:val="Normal"/>
    <w:next w:val="Normal"/>
    <w:autoRedefine/>
    <w:uiPriority w:val="39"/>
    <w:semiHidden/>
    <w:unhideWhenUsed/>
    <w:rsid w:val="005C2027"/>
    <w:pPr>
      <w:ind w:left="720"/>
    </w:pPr>
    <w:rPr>
      <w:sz w:val="20"/>
      <w:szCs w:val="20"/>
    </w:rPr>
  </w:style>
  <w:style w:type="paragraph" w:styleId="TOC5">
    <w:name w:val="toc 5"/>
    <w:basedOn w:val="Normal"/>
    <w:next w:val="Normal"/>
    <w:autoRedefine/>
    <w:uiPriority w:val="39"/>
    <w:semiHidden/>
    <w:unhideWhenUsed/>
    <w:rsid w:val="005C2027"/>
    <w:pPr>
      <w:ind w:left="960"/>
    </w:pPr>
    <w:rPr>
      <w:sz w:val="20"/>
      <w:szCs w:val="20"/>
    </w:rPr>
  </w:style>
  <w:style w:type="paragraph" w:styleId="TOC6">
    <w:name w:val="toc 6"/>
    <w:basedOn w:val="Normal"/>
    <w:next w:val="Normal"/>
    <w:autoRedefine/>
    <w:uiPriority w:val="39"/>
    <w:semiHidden/>
    <w:unhideWhenUsed/>
    <w:rsid w:val="005C2027"/>
    <w:pPr>
      <w:ind w:left="1200"/>
    </w:pPr>
    <w:rPr>
      <w:sz w:val="20"/>
      <w:szCs w:val="20"/>
    </w:rPr>
  </w:style>
  <w:style w:type="paragraph" w:styleId="TOC7">
    <w:name w:val="toc 7"/>
    <w:basedOn w:val="Normal"/>
    <w:next w:val="Normal"/>
    <w:autoRedefine/>
    <w:uiPriority w:val="39"/>
    <w:semiHidden/>
    <w:unhideWhenUsed/>
    <w:rsid w:val="005C2027"/>
    <w:pPr>
      <w:ind w:left="1440"/>
    </w:pPr>
    <w:rPr>
      <w:sz w:val="20"/>
      <w:szCs w:val="20"/>
    </w:rPr>
  </w:style>
  <w:style w:type="paragraph" w:styleId="TOC8">
    <w:name w:val="toc 8"/>
    <w:basedOn w:val="Normal"/>
    <w:next w:val="Normal"/>
    <w:autoRedefine/>
    <w:uiPriority w:val="39"/>
    <w:semiHidden/>
    <w:unhideWhenUsed/>
    <w:rsid w:val="005C2027"/>
    <w:pPr>
      <w:ind w:left="1680"/>
    </w:pPr>
    <w:rPr>
      <w:sz w:val="20"/>
      <w:szCs w:val="20"/>
    </w:rPr>
  </w:style>
  <w:style w:type="paragraph" w:styleId="TOC9">
    <w:name w:val="toc 9"/>
    <w:basedOn w:val="Normal"/>
    <w:next w:val="Normal"/>
    <w:autoRedefine/>
    <w:uiPriority w:val="39"/>
    <w:semiHidden/>
    <w:unhideWhenUsed/>
    <w:rsid w:val="005C2027"/>
    <w:pPr>
      <w:ind w:left="1920"/>
    </w:pPr>
    <w:rPr>
      <w:sz w:val="20"/>
      <w:szCs w:val="20"/>
    </w:rPr>
  </w:style>
  <w:style w:type="character" w:customStyle="1" w:styleId="Heading2Char">
    <w:name w:val="Heading 2 Char"/>
    <w:basedOn w:val="DefaultParagraphFont"/>
    <w:link w:val="Heading2"/>
    <w:uiPriority w:val="9"/>
    <w:rsid w:val="005C2027"/>
    <w:rPr>
      <w:rFonts w:asciiTheme="majorHAnsi" w:eastAsiaTheme="majorEastAsia" w:hAnsiTheme="majorHAnsi" w:cstheme="majorBidi"/>
      <w:color w:val="2F5496" w:themeColor="accent1" w:themeShade="BF"/>
      <w:sz w:val="26"/>
      <w:szCs w:val="26"/>
    </w:rPr>
  </w:style>
  <w:style w:type="paragraph" w:styleId="NoSpacing">
    <w:name w:val="No Spacing"/>
    <w:uiPriority w:val="1"/>
    <w:qFormat/>
    <w:rsid w:val="00CF456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6318083">
      <w:bodyDiv w:val="1"/>
      <w:marLeft w:val="0"/>
      <w:marRight w:val="0"/>
      <w:marTop w:val="0"/>
      <w:marBottom w:val="0"/>
      <w:divBdr>
        <w:top w:val="none" w:sz="0" w:space="0" w:color="auto"/>
        <w:left w:val="none" w:sz="0" w:space="0" w:color="auto"/>
        <w:bottom w:val="none" w:sz="0" w:space="0" w:color="auto"/>
        <w:right w:val="none" w:sz="0" w:space="0" w:color="auto"/>
      </w:divBdr>
    </w:div>
    <w:div w:id="988943519">
      <w:bodyDiv w:val="1"/>
      <w:marLeft w:val="0"/>
      <w:marRight w:val="0"/>
      <w:marTop w:val="0"/>
      <w:marBottom w:val="0"/>
      <w:divBdr>
        <w:top w:val="none" w:sz="0" w:space="0" w:color="auto"/>
        <w:left w:val="none" w:sz="0" w:space="0" w:color="auto"/>
        <w:bottom w:val="none" w:sz="0" w:space="0" w:color="auto"/>
        <w:right w:val="none" w:sz="0" w:space="0" w:color="auto"/>
      </w:divBdr>
    </w:div>
    <w:div w:id="21058808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JSTOR.org" TargetMode="External"/><Relationship Id="rId18" Type="http://schemas.openxmlformats.org/officeDocument/2006/relationships/hyperlink" Target="http://www.JSTOR.org" TargetMode="External"/><Relationship Id="rId26" Type="http://schemas.openxmlformats.org/officeDocument/2006/relationships/hyperlink" Target="http://www.lexico.com" TargetMode="External"/><Relationship Id="rId3" Type="http://schemas.openxmlformats.org/officeDocument/2006/relationships/styles" Target="styles.xml"/><Relationship Id="rId21" Type="http://schemas.openxmlformats.org/officeDocument/2006/relationships/hyperlink" Target="https://search-proquest-com.ezproxy.uwtsd.ac.uk/docview/202809985?accountid=130472&amp;rfr_id=info%3Axri%2Fsid%3Aprimo" TargetMode="External"/><Relationship Id="rId7" Type="http://schemas.openxmlformats.org/officeDocument/2006/relationships/endnotes" Target="endnotes.xml"/><Relationship Id="rId12" Type="http://schemas.openxmlformats.org/officeDocument/2006/relationships/hyperlink" Target="http://www.JSTOR.org" TargetMode="External"/><Relationship Id="rId17" Type="http://schemas.openxmlformats.org/officeDocument/2006/relationships/hyperlink" Target="http://www.JSTOR.org" TargetMode="External"/><Relationship Id="rId25" Type="http://schemas.openxmlformats.org/officeDocument/2006/relationships/hyperlink" Target="https://www.metmuseum.org/toah/hd/amar/hd_amar.htm" TargetMode="External"/><Relationship Id="rId2" Type="http://schemas.openxmlformats.org/officeDocument/2006/relationships/numbering" Target="numbering.xml"/><Relationship Id="rId16" Type="http://schemas.openxmlformats.org/officeDocument/2006/relationships/hyperlink" Target="http://www.JSTOR.org" TargetMode="External"/><Relationship Id="rId20" Type="http://schemas.openxmlformats.org/officeDocument/2006/relationships/hyperlink" Target="https://web-b-ebscohost-com.ezproxy.uwtsd.ac.uk/"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JSTOR.org" TargetMode="External"/><Relationship Id="rId24" Type="http://schemas.openxmlformats.org/officeDocument/2006/relationships/hyperlink" Target="http://www.JSTOR.org" TargetMode="External"/><Relationship Id="rId5" Type="http://schemas.openxmlformats.org/officeDocument/2006/relationships/webSettings" Target="webSettings.xml"/><Relationship Id="rId15" Type="http://schemas.openxmlformats.org/officeDocument/2006/relationships/hyperlink" Target="http://www.JSTOR.org" TargetMode="External"/><Relationship Id="rId23" Type="http://schemas.openxmlformats.org/officeDocument/2006/relationships/hyperlink" Target="http://www.academia.edu" TargetMode="External"/><Relationship Id="rId28" Type="http://schemas.openxmlformats.org/officeDocument/2006/relationships/footer" Target="footer1.xml"/><Relationship Id="rId10" Type="http://schemas.openxmlformats.org/officeDocument/2006/relationships/hyperlink" Target="http://www.JSTOR.org" TargetMode="External"/><Relationship Id="rId19" Type="http://schemas.openxmlformats.org/officeDocument/2006/relationships/hyperlink" Target="http://www.JSTOR.org"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scholarship.org/uc/item/2vh551hn" TargetMode="External"/><Relationship Id="rId22" Type="http://schemas.openxmlformats.org/officeDocument/2006/relationships/hyperlink" Target="http://www.JSTOR.org" TargetMode="External"/><Relationship Id="rId27" Type="http://schemas.openxmlformats.org/officeDocument/2006/relationships/hyperlink" Target="http://www.lexico.com" TargetMode="External"/><Relationship Id="rId30" Type="http://schemas.openxmlformats.org/officeDocument/2006/relationships/fontTable" Target="fontTable.xml"/></Relationships>
</file>

<file path=word/_rels/footnotes.xml.rels><?xml version="1.0" encoding="UTF-8" standalone="yes"?>
<Relationships xmlns="http://schemas.openxmlformats.org/package/2006/relationships"><Relationship Id="rId2" Type="http://schemas.openxmlformats.org/officeDocument/2006/relationships/hyperlink" Target="https://www.lexico.com/definition/destruction" TargetMode="External"/><Relationship Id="rId1" Type="http://schemas.openxmlformats.org/officeDocument/2006/relationships/hyperlink" Target="https://www.lexico.com/definition/cre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A95324-ED55-9F41-B62D-A642555391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72</Pages>
  <Words>19767</Words>
  <Characters>104766</Characters>
  <Application>Microsoft Office Word</Application>
  <DocSecurity>0</DocSecurity>
  <Lines>1806</Lines>
  <Paragraphs>197</Paragraphs>
  <ScaleCrop>false</ScaleCrop>
  <Company/>
  <LinksUpToDate>false</LinksUpToDate>
  <CharactersWithSpaces>124336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Annaliese Freeman (1711087)</dc:creator>
  <cp:keywords/>
  <dc:description/>
  <cp:lastModifiedBy>Annaliese Freeman (1711087)</cp:lastModifiedBy>
  <cp:revision>2</cp:revision>
  <dcterms:created xsi:type="dcterms:W3CDTF">2020-02-28T23:49:00Z</dcterms:created>
  <dcterms:modified xsi:type="dcterms:W3CDTF">2020-02-28T23:49:00Z</dcterms:modified>
</cp:coreProperties>
</file>