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288875" w14:textId="77777777" w:rsidR="0017012F" w:rsidRDefault="0017012F" w:rsidP="0017012F">
      <w:pPr>
        <w:jc w:val="center"/>
        <w:rPr>
          <w:b/>
          <w:bCs/>
          <w:sz w:val="32"/>
          <w:szCs w:val="28"/>
        </w:rPr>
      </w:pPr>
    </w:p>
    <w:p w14:paraId="2BEA3822" w14:textId="77777777" w:rsidR="0017012F" w:rsidRDefault="0017012F" w:rsidP="0017012F">
      <w:pPr>
        <w:jc w:val="center"/>
        <w:rPr>
          <w:b/>
          <w:bCs/>
          <w:sz w:val="32"/>
          <w:szCs w:val="28"/>
        </w:rPr>
      </w:pPr>
    </w:p>
    <w:p w14:paraId="39B8705B" w14:textId="0A58CC59" w:rsidR="0017012F" w:rsidRDefault="0017012F" w:rsidP="0017012F">
      <w:pPr>
        <w:jc w:val="center"/>
        <w:rPr>
          <w:b/>
          <w:bCs/>
          <w:sz w:val="32"/>
          <w:szCs w:val="28"/>
        </w:rPr>
      </w:pPr>
      <w:r w:rsidRPr="0017012F">
        <w:rPr>
          <w:b/>
          <w:bCs/>
          <w:sz w:val="32"/>
          <w:szCs w:val="28"/>
        </w:rPr>
        <w:t>Coursework: Essay</w:t>
      </w:r>
    </w:p>
    <w:p w14:paraId="2734A29A" w14:textId="77777777" w:rsidR="00BD7683" w:rsidRDefault="00BD7683" w:rsidP="0017012F">
      <w:pPr>
        <w:jc w:val="center"/>
        <w:rPr>
          <w:b/>
          <w:bCs/>
          <w:sz w:val="32"/>
          <w:szCs w:val="28"/>
        </w:rPr>
      </w:pPr>
    </w:p>
    <w:p w14:paraId="48B29A92" w14:textId="0F76F4EE" w:rsidR="00BD7683" w:rsidRPr="00BD7683" w:rsidRDefault="00BD7683" w:rsidP="00BD7683">
      <w:pPr>
        <w:rPr>
          <w:b/>
          <w:bCs/>
          <w:sz w:val="22"/>
        </w:rPr>
      </w:pPr>
      <w:r w:rsidRPr="00BD7683">
        <w:rPr>
          <w:b/>
          <w:bCs/>
          <w:sz w:val="22"/>
        </w:rPr>
        <w:t>Module name: International Business Communications</w:t>
      </w:r>
    </w:p>
    <w:p w14:paraId="3D2836FA" w14:textId="77777777" w:rsidR="00BD7683" w:rsidRPr="00BD7683" w:rsidRDefault="00BD7683" w:rsidP="00BD7683">
      <w:pPr>
        <w:rPr>
          <w:b/>
          <w:bCs/>
          <w:sz w:val="22"/>
        </w:rPr>
      </w:pPr>
      <w:r w:rsidRPr="00BD7683">
        <w:rPr>
          <w:b/>
          <w:bCs/>
          <w:sz w:val="22"/>
        </w:rPr>
        <w:t>Module code:LCBB6001</w:t>
      </w:r>
    </w:p>
    <w:p w14:paraId="240B4823" w14:textId="4E9D2B53" w:rsidR="00BD7683" w:rsidRPr="00BD7683" w:rsidRDefault="00BD7683" w:rsidP="00BD7683">
      <w:pPr>
        <w:rPr>
          <w:b/>
          <w:bCs/>
          <w:sz w:val="22"/>
        </w:rPr>
      </w:pPr>
      <w:r w:rsidRPr="00BD7683">
        <w:rPr>
          <w:b/>
          <w:bCs/>
          <w:sz w:val="22"/>
        </w:rPr>
        <w:t xml:space="preserve">Tutor name: Charles </w:t>
      </w:r>
      <w:proofErr w:type="spellStart"/>
      <w:r w:rsidRPr="00BD7683">
        <w:rPr>
          <w:b/>
          <w:bCs/>
          <w:sz w:val="22"/>
        </w:rPr>
        <w:t>Nwaogwugwu</w:t>
      </w:r>
      <w:proofErr w:type="spellEnd"/>
    </w:p>
    <w:p w14:paraId="4687EC54" w14:textId="05F0AE47" w:rsidR="00BD7683" w:rsidRPr="00BD7683" w:rsidRDefault="00BD7683" w:rsidP="00BD7683">
      <w:pPr>
        <w:rPr>
          <w:b/>
          <w:bCs/>
          <w:sz w:val="22"/>
          <w:lang w:val="it-IT"/>
        </w:rPr>
      </w:pPr>
      <w:proofErr w:type="spellStart"/>
      <w:r w:rsidRPr="00BD7683">
        <w:rPr>
          <w:b/>
          <w:bCs/>
          <w:sz w:val="22"/>
          <w:lang w:val="it-IT"/>
        </w:rPr>
        <w:t>Student</w:t>
      </w:r>
      <w:proofErr w:type="spellEnd"/>
      <w:r w:rsidRPr="00BD7683">
        <w:rPr>
          <w:b/>
          <w:bCs/>
          <w:sz w:val="22"/>
          <w:lang w:val="it-IT"/>
        </w:rPr>
        <w:t xml:space="preserve"> name: Diana Gabriela Bucataru</w:t>
      </w:r>
    </w:p>
    <w:p w14:paraId="16FB7575" w14:textId="7B9EF283" w:rsidR="00BD7683" w:rsidRPr="00BD7683" w:rsidRDefault="00BD7683" w:rsidP="00BD7683">
      <w:pPr>
        <w:rPr>
          <w:b/>
          <w:bCs/>
          <w:sz w:val="22"/>
          <w:lang w:val="it-IT"/>
        </w:rPr>
      </w:pPr>
      <w:proofErr w:type="spellStart"/>
      <w:r w:rsidRPr="00BD7683">
        <w:rPr>
          <w:b/>
          <w:bCs/>
          <w:sz w:val="22"/>
          <w:lang w:val="it-IT"/>
        </w:rPr>
        <w:t>Student</w:t>
      </w:r>
      <w:proofErr w:type="spellEnd"/>
      <w:r w:rsidRPr="00BD7683">
        <w:rPr>
          <w:b/>
          <w:bCs/>
          <w:sz w:val="22"/>
          <w:lang w:val="it-IT"/>
        </w:rPr>
        <w:t xml:space="preserve"> ID: 2122807</w:t>
      </w:r>
    </w:p>
    <w:p w14:paraId="33A5B52D" w14:textId="47F1ED7D" w:rsidR="00BD7683" w:rsidRPr="00BD7683" w:rsidRDefault="0017012F" w:rsidP="00BD7683">
      <w:pPr>
        <w:jc w:val="center"/>
        <w:rPr>
          <w:b/>
          <w:bCs/>
          <w:sz w:val="32"/>
          <w:szCs w:val="28"/>
          <w:lang w:val="it-IT"/>
        </w:rPr>
      </w:pPr>
      <w:r w:rsidRPr="00BD7683">
        <w:rPr>
          <w:b/>
          <w:bCs/>
          <w:sz w:val="32"/>
          <w:szCs w:val="28"/>
          <w:lang w:val="it-IT"/>
        </w:rPr>
        <w:br w:type="page"/>
      </w:r>
    </w:p>
    <w:p w14:paraId="4578D15D" w14:textId="772443E7" w:rsidR="0017012F" w:rsidRPr="00BD7683" w:rsidRDefault="0017012F">
      <w:pPr>
        <w:jc w:val="left"/>
        <w:rPr>
          <w:b/>
          <w:bCs/>
          <w:sz w:val="32"/>
          <w:szCs w:val="28"/>
          <w:lang w:val="it-IT"/>
        </w:rPr>
      </w:pPr>
    </w:p>
    <w:p w14:paraId="628165BB" w14:textId="77777777" w:rsidR="009A1AF9" w:rsidRPr="009B6EA7" w:rsidRDefault="009A1AF9" w:rsidP="009B6EA7">
      <w:pPr>
        <w:spacing w:line="360" w:lineRule="auto"/>
        <w:jc w:val="center"/>
        <w:rPr>
          <w:b/>
          <w:bCs/>
          <w:i/>
          <w:iCs/>
          <w:u w:val="single"/>
        </w:rPr>
      </w:pPr>
      <w:r w:rsidRPr="009B6EA7">
        <w:rPr>
          <w:b/>
          <w:bCs/>
          <w:i/>
          <w:iCs/>
          <w:u w:val="single"/>
        </w:rPr>
        <w:t>An Inclusive Analysis of EU Expansion Opportunities for British Businesses</w:t>
      </w:r>
    </w:p>
    <w:p w14:paraId="2C3DE9AC" w14:textId="74EEAA99" w:rsidR="00C348D4" w:rsidRDefault="00C348D4" w:rsidP="00C348D4">
      <w:pPr>
        <w:spacing w:line="360" w:lineRule="auto"/>
      </w:pPr>
      <w:r>
        <w:t>The competence of cross-cultural communication is a key criterion for the success of the British companies dealing with the world. The British cultural patchwork, an outcome of a timepiece of Britain as a large colonial state, has influenced a lot of business norms and communication styles in the United Kingdom</w:t>
      </w:r>
      <w:r w:rsidR="00C87ADB">
        <w:t xml:space="preserve"> (Wale, 2023)</w:t>
      </w:r>
      <w:r>
        <w:t>. This multiplicity of cultures paved the way for a particular set of cultural values that are woven in the way the British communicate in business contexts. Hofstede's cultural dimensions theory gives us a clear view of the differing cultural values that make up the British society</w:t>
      </w:r>
      <w:r w:rsidR="00C87ADB">
        <w:t xml:space="preserve"> </w:t>
      </w:r>
      <w:r w:rsidR="00C87ADB" w:rsidRPr="00C87ADB">
        <w:t>(Minkov &amp; Hofstede, 2011)</w:t>
      </w:r>
      <w:r>
        <w:t xml:space="preserve">. Flat organizations, powerless hierarchies and the common ideology of equality push the development of direct and transparent communication styles. Individualism entails seeking for personal achievement, being assertive, and thus pursuing individual goals. The masculine cultural focus is on competitiveness, </w:t>
      </w:r>
      <w:r w:rsidR="005F0A48">
        <w:t>ambition,</w:t>
      </w:r>
      <w:r>
        <w:t xml:space="preserve"> and a </w:t>
      </w:r>
      <w:r w:rsidR="00760EE3">
        <w:t>result</w:t>
      </w:r>
      <w:r>
        <w:t>-oriented culture. Furthermore, high uncertainty avoidance is the reason for a wish of more precise planning, risk aversion, and adherence to the existing rules and conventions</w:t>
      </w:r>
      <w:r w:rsidR="00C87ADB">
        <w:t xml:space="preserve"> </w:t>
      </w:r>
      <w:r w:rsidR="00C87ADB" w:rsidRPr="00C87ADB">
        <w:t>(</w:t>
      </w:r>
      <w:proofErr w:type="spellStart"/>
      <w:r w:rsidR="00C87ADB" w:rsidRPr="00C87ADB">
        <w:t>Adanlawo</w:t>
      </w:r>
      <w:proofErr w:type="spellEnd"/>
      <w:r w:rsidR="00C87ADB" w:rsidRPr="00C87ADB">
        <w:t xml:space="preserve"> et al., 2021)</w:t>
      </w:r>
      <w:r>
        <w:t>. Yet, the business world is a completely different place for British businesses which are supposed to adjust their communication strategies when working with international partners and moving to new countries. Cultural sensitivity, sensitivity awareness and flexibility are essential in the overcoming of possible barriers and in the buildup of successful cross-cultural collaborations. Not paying attention to the cultural differences people represent can cause a lot of discomfort, alienation, and, in the end, make you fail as a businessman. For the British businesses to succeed in different markets they must build a deep expertise on the cultural nuances that vary in these markets, including communication styles, decision making process, power relations and societal norms. Thus, by embracing cultural diversity and fitting the communication practices in the process, British companies can manage the complexities and make the intercultural interactions productive and highly beneficial on a global level.</w:t>
      </w:r>
    </w:p>
    <w:p w14:paraId="5E3A4326" w14:textId="77777777" w:rsidR="00C348D4" w:rsidRDefault="00C348D4" w:rsidP="00C348D4"/>
    <w:p w14:paraId="7C2EF692" w14:textId="77777777" w:rsidR="00C348D4" w:rsidRDefault="00C348D4" w:rsidP="00C348D4"/>
    <w:p w14:paraId="30B64337" w14:textId="77777777" w:rsidR="00C348D4" w:rsidRDefault="00C348D4" w:rsidP="00C348D4"/>
    <w:p w14:paraId="5B3D5857" w14:textId="77777777" w:rsidR="00C348D4" w:rsidRDefault="00C348D4" w:rsidP="00C348D4"/>
    <w:p w14:paraId="69BC2979" w14:textId="77777777" w:rsidR="00C348D4" w:rsidRPr="00C348D4" w:rsidRDefault="00C348D4" w:rsidP="00C348D4"/>
    <w:p w14:paraId="2D2085BB" w14:textId="2BC4C775" w:rsidR="009B6EA7" w:rsidRDefault="009B6EA7" w:rsidP="009B6EA7">
      <w:pPr>
        <w:spacing w:line="360" w:lineRule="auto"/>
        <w:rPr>
          <w:lang w:val="en-US"/>
        </w:rPr>
      </w:pPr>
      <w:r w:rsidRPr="009B6EA7">
        <w:rPr>
          <w:lang w:val="en-US"/>
        </w:rPr>
        <w:t xml:space="preserve">This analysis will be focused on GlaxoSmithKline (GSK), a </w:t>
      </w:r>
      <w:r>
        <w:rPr>
          <w:lang w:val="en-US"/>
        </w:rPr>
        <w:t>global</w:t>
      </w:r>
      <w:r w:rsidRPr="009B6EA7">
        <w:rPr>
          <w:lang w:val="en-US"/>
        </w:rPr>
        <w:t xml:space="preserve"> healthcare company based in the UK, which is among the top global players in this sector. GSK is a science-led multinational pharmaceutical and consumer healthcare company which employs about 94,000 people in almost 150 countries across the globe. GSK invests heavily in research and development, producing and creating new medicines, vaccines, and consumer healthcare products which are world-class (</w:t>
      </w:r>
      <w:proofErr w:type="spellStart"/>
      <w:r w:rsidRPr="009B6EA7">
        <w:rPr>
          <w:lang w:val="en-US"/>
        </w:rPr>
        <w:t>chantelleharvey</w:t>
      </w:r>
      <w:proofErr w:type="spellEnd"/>
      <w:r w:rsidRPr="009B6EA7">
        <w:rPr>
          <w:lang w:val="en-US"/>
        </w:rPr>
        <w:t>, 2024).</w:t>
      </w:r>
      <w:r>
        <w:rPr>
          <w:lang w:val="en-US"/>
        </w:rPr>
        <w:t xml:space="preserve"> </w:t>
      </w:r>
      <w:r w:rsidRPr="009B6EA7">
        <w:rPr>
          <w:lang w:val="en-US"/>
        </w:rPr>
        <w:t xml:space="preserve">GSK's core business is structured into three primary segments: Pharmaceuticals, Vaccines and Consumer healthcare. The Pharmaceuticals segment focuses on the discovery and manufacture of novel medicines within various therapeutic </w:t>
      </w:r>
      <w:proofErr w:type="spellStart"/>
      <w:r w:rsidRPr="009B6EA7">
        <w:rPr>
          <w:lang w:val="en-US"/>
        </w:rPr>
        <w:t>specialities</w:t>
      </w:r>
      <w:proofErr w:type="spellEnd"/>
      <w:r w:rsidRPr="009B6EA7">
        <w:rPr>
          <w:lang w:val="en-US"/>
        </w:rPr>
        <w:t xml:space="preserve"> including respiratory, HIV, oncology, and immune inflammation (</w:t>
      </w:r>
      <w:proofErr w:type="spellStart"/>
      <w:r w:rsidRPr="009B6EA7">
        <w:rPr>
          <w:lang w:val="en-US"/>
        </w:rPr>
        <w:t>chantelleharvey</w:t>
      </w:r>
      <w:proofErr w:type="spellEnd"/>
      <w:r w:rsidRPr="009B6EA7">
        <w:rPr>
          <w:lang w:val="en-US"/>
        </w:rPr>
        <w:t>, 2024). The Vaccines segment builds a portfolio of vaccines for the diseases that are preventable. It invariably participates in public health programs at the local and global levels. The Consumer Healthcare business provides a popular non-prescription drugs line in the categories of pain relief, respiratory, digestive health, and oral care. GSK stands for scientific eminence and innovation in its R&amp;D spending which is colossal. A total of £4.8 billion of research and development budget was spent by the company on the research of new drugs and treatments in medicine and health in the fiscal year of 2022 (Bruton, 2012). This investment represents a commitment of the GSK company to fill up the gaps of unmet medical needs and to make a positive impact on the population health.</w:t>
      </w:r>
    </w:p>
    <w:p w14:paraId="24C9DD32" w14:textId="6D542EC0" w:rsidR="009B6EA7" w:rsidRDefault="009B6EA7" w:rsidP="00841CCB">
      <w:pPr>
        <w:spacing w:line="360" w:lineRule="auto"/>
        <w:rPr>
          <w:lang w:val="en-US"/>
        </w:rPr>
      </w:pPr>
      <w:r w:rsidRPr="009B6EA7">
        <w:rPr>
          <w:lang w:val="en-US"/>
        </w:rPr>
        <w:t>Moreover, GSK has been designated as the pioneer in sustainability and the ethical business operations. The company's sustainability strategy revolves around three key pillars: reducing environmental impact, promoting health and well-being, and by acting as an ethical and contemporary employee (</w:t>
      </w:r>
      <w:proofErr w:type="spellStart"/>
      <w:r w:rsidRPr="009B6EA7">
        <w:rPr>
          <w:lang w:val="en-US"/>
        </w:rPr>
        <w:t>Cronjé</w:t>
      </w:r>
      <w:proofErr w:type="spellEnd"/>
      <w:r w:rsidRPr="009B6EA7">
        <w:rPr>
          <w:lang w:val="en-US"/>
        </w:rPr>
        <w:t xml:space="preserve">, 2011). GSK has taken various measures to minimize its impact on the environment while expanding access to health care for disadvantaged communities and creating a motivational, diverse, inclusive and supportive environment at the workplace. The greatest asset of GSK in wading through complexities of cross-cultural business is the scale and reach of the company (Bruton, 2012). Through having a multilingual staff and working in various parts of the world, the company has managed to formulate strategies and practices that will help </w:t>
      </w:r>
      <w:r w:rsidRPr="009B6EA7">
        <w:rPr>
          <w:lang w:val="en-US"/>
        </w:rPr>
        <w:lastRenderedPageBreak/>
        <w:t>stimulate successful communication, cultural awareness, and inclusion in its structure of organization (</w:t>
      </w:r>
      <w:proofErr w:type="spellStart"/>
      <w:r w:rsidRPr="009B6EA7">
        <w:rPr>
          <w:lang w:val="en-US"/>
        </w:rPr>
        <w:t>Cronjé</w:t>
      </w:r>
      <w:proofErr w:type="spellEnd"/>
      <w:r w:rsidRPr="009B6EA7">
        <w:rPr>
          <w:lang w:val="en-US"/>
        </w:rPr>
        <w:t>, 2011). As a multinational health care company with a robust scientific base and a pledge to environmental steadfastness and ethics, GSK is in the position to create more market and continue to pioneer the global health development while handling the complexities of cross-cultural business.</w:t>
      </w:r>
    </w:p>
    <w:p w14:paraId="5A8C87FB" w14:textId="4E220BE1" w:rsidR="00886537" w:rsidRDefault="00886537" w:rsidP="00886537">
      <w:pPr>
        <w:spacing w:line="360" w:lineRule="auto"/>
        <w:rPr>
          <w:lang w:val="en-US"/>
        </w:rPr>
      </w:pPr>
      <w:r w:rsidRPr="00886537">
        <w:rPr>
          <w:lang w:val="en-US"/>
        </w:rPr>
        <w:t>The Netherlands will be top destination for people from UK businesses looking to grow and do business within the European Union. As a diverse and business-friendly country, this one provides the most-skilled multilingual workforce and an advantageous strategic location at the heart of Europe, making this a perfect destination for GSK's expansion efforts</w:t>
      </w:r>
      <w:r w:rsidR="00C87ADB">
        <w:rPr>
          <w:lang w:val="en-US"/>
        </w:rPr>
        <w:t xml:space="preserve"> </w:t>
      </w:r>
      <w:r w:rsidR="00C87ADB" w:rsidRPr="00C87ADB">
        <w:rPr>
          <w:lang w:val="en-US"/>
        </w:rPr>
        <w:t>(Gsk.com, 2022)</w:t>
      </w:r>
      <w:r w:rsidRPr="00886537">
        <w:rPr>
          <w:lang w:val="en-US"/>
        </w:rPr>
        <w:t>.</w:t>
      </w:r>
      <w:r w:rsidR="009B6EA7">
        <w:rPr>
          <w:lang w:val="en-US"/>
        </w:rPr>
        <w:t xml:space="preserve"> </w:t>
      </w:r>
      <w:r w:rsidRPr="00886537">
        <w:rPr>
          <w:lang w:val="en-US"/>
        </w:rPr>
        <w:t>Dutch and English are both official languages, while English is the most spoken language of all, which creates low language barriers</w:t>
      </w:r>
      <w:r w:rsidR="009B6EA7" w:rsidRPr="009B6EA7">
        <w:rPr>
          <w:lang w:val="en-US"/>
        </w:rPr>
        <w:t xml:space="preserve"> (Forbes, 2024)</w:t>
      </w:r>
      <w:r w:rsidRPr="00886537">
        <w:rPr>
          <w:lang w:val="en-US"/>
        </w:rPr>
        <w:t>. This allows smooth communication and collaboration of international partners.</w:t>
      </w:r>
      <w:r w:rsidR="009B6EA7">
        <w:rPr>
          <w:lang w:val="en-US"/>
        </w:rPr>
        <w:t xml:space="preserve"> </w:t>
      </w:r>
      <w:r w:rsidRPr="00886537">
        <w:rPr>
          <w:lang w:val="en-US"/>
        </w:rPr>
        <w:t>Browsing through Hofstede's list of cultural dimensions, the Netherlands shows many traits like the UK in terms of individualism and moderate power distance</w:t>
      </w:r>
      <w:r w:rsidR="00C87ADB">
        <w:rPr>
          <w:lang w:val="en-US"/>
        </w:rPr>
        <w:t xml:space="preserve"> </w:t>
      </w:r>
      <w:r w:rsidR="00C87ADB" w:rsidRPr="00C87ADB">
        <w:rPr>
          <w:lang w:val="en-US"/>
        </w:rPr>
        <w:t>(Minkov &amp; Hofstede, 2011)</w:t>
      </w:r>
      <w:r w:rsidRPr="00886537">
        <w:rPr>
          <w:lang w:val="en-US"/>
        </w:rPr>
        <w:t>. This cultural linkage tells that there could be fewer communication barriers for GSK to manage when it is opening operations in Netherlands because both cultures are inclined to individual achievements, direct communication styles and relatively flat team structures, which are also the values in GSK's organizational culture</w:t>
      </w:r>
      <w:r w:rsidR="00C87ADB">
        <w:rPr>
          <w:lang w:val="en-US"/>
        </w:rPr>
        <w:t xml:space="preserve"> </w:t>
      </w:r>
      <w:r w:rsidR="00C87ADB" w:rsidRPr="00C87ADB">
        <w:rPr>
          <w:lang w:val="en-US"/>
        </w:rPr>
        <w:t>(Forbes, 2024)</w:t>
      </w:r>
      <w:r w:rsidRPr="00886537">
        <w:rPr>
          <w:lang w:val="en-US"/>
        </w:rPr>
        <w:t>.</w:t>
      </w:r>
      <w:r w:rsidR="009B6EA7">
        <w:rPr>
          <w:lang w:val="en-US"/>
        </w:rPr>
        <w:t xml:space="preserve"> </w:t>
      </w:r>
      <w:r w:rsidR="005F0A48">
        <w:rPr>
          <w:lang w:val="en-US"/>
        </w:rPr>
        <w:t>Also, T</w:t>
      </w:r>
      <w:r w:rsidRPr="00886537">
        <w:rPr>
          <w:lang w:val="en-US"/>
        </w:rPr>
        <w:t>he Dutch importance of work-life balance, and its more feminine cultural orientation makes it necessary to admit the existence of the differences. The Netherlands has equal priorities for the employee welfare, work-life balance, and a solid foundation of open interactions in decision-making. Cultural differences may force GSK to opt for adjustments stretching from communication styles to management approach to integrate with the Dutch workers' values and attitudes</w:t>
      </w:r>
      <w:r w:rsidR="00C87ADB">
        <w:rPr>
          <w:lang w:val="en-US"/>
        </w:rPr>
        <w:t xml:space="preserve"> </w:t>
      </w:r>
      <w:r w:rsidR="00C87ADB" w:rsidRPr="00C87ADB">
        <w:rPr>
          <w:lang w:val="en-US"/>
        </w:rPr>
        <w:t>(Gsk.com, 2022)</w:t>
      </w:r>
      <w:r w:rsidRPr="00886537">
        <w:rPr>
          <w:lang w:val="en-US"/>
        </w:rPr>
        <w:t>.</w:t>
      </w:r>
      <w:r w:rsidR="009B6EA7">
        <w:rPr>
          <w:lang w:val="en-US"/>
        </w:rPr>
        <w:t xml:space="preserve"> </w:t>
      </w:r>
      <w:r w:rsidRPr="00886537">
        <w:rPr>
          <w:lang w:val="en-US"/>
        </w:rPr>
        <w:t xml:space="preserve">Consequently, the Netherlands' low risk aversion means they are more likely to tolerate ambiguity and be more pragmatic with rules and regulations. This way of thinking may consequently differ </w:t>
      </w:r>
      <w:r w:rsidR="00C87ADB" w:rsidRPr="00886537">
        <w:rPr>
          <w:lang w:val="en-US"/>
        </w:rPr>
        <w:t>deeply</w:t>
      </w:r>
      <w:r w:rsidRPr="00886537">
        <w:rPr>
          <w:lang w:val="en-US"/>
        </w:rPr>
        <w:t xml:space="preserve"> with the GSK's high uncertainty avoidance culture typified by a need for detailed planning and risk avoidance</w:t>
      </w:r>
      <w:r w:rsidR="00C87ADB">
        <w:rPr>
          <w:lang w:val="en-US"/>
        </w:rPr>
        <w:t xml:space="preserve"> </w:t>
      </w:r>
      <w:r w:rsidR="00C87ADB" w:rsidRPr="00C87ADB">
        <w:rPr>
          <w:lang w:val="en-US"/>
        </w:rPr>
        <w:t>(Kaul, 2014)</w:t>
      </w:r>
      <w:r w:rsidRPr="00886537">
        <w:rPr>
          <w:lang w:val="en-US"/>
        </w:rPr>
        <w:t>. Overcoming these cultural differences will probably need some open-minded conversation, adaptability, and open-to-new perspectives in GSK’s organizational culture.</w:t>
      </w:r>
      <w:r>
        <w:rPr>
          <w:lang w:val="en-US"/>
        </w:rPr>
        <w:t xml:space="preserve"> </w:t>
      </w:r>
      <w:r w:rsidR="005F0A48" w:rsidRPr="00886537">
        <w:rPr>
          <w:lang w:val="en-US"/>
        </w:rPr>
        <w:t>Despite</w:t>
      </w:r>
      <w:r w:rsidRPr="00886537">
        <w:rPr>
          <w:lang w:val="en-US"/>
        </w:rPr>
        <w:t xml:space="preserve"> these mentioned opportunities, the Netherlands is evidently an ideal environment for the international expansion of GSK, based on </w:t>
      </w:r>
      <w:r w:rsidRPr="00886537">
        <w:rPr>
          <w:lang w:val="en-US"/>
        </w:rPr>
        <w:lastRenderedPageBreak/>
        <w:t>its favorable business climate, a qualified multilingual workforce, and a strategic central European location</w:t>
      </w:r>
      <w:r w:rsidR="00C87ADB">
        <w:rPr>
          <w:lang w:val="en-US"/>
        </w:rPr>
        <w:t xml:space="preserve"> </w:t>
      </w:r>
      <w:r w:rsidR="00C87ADB" w:rsidRPr="00C87ADB">
        <w:rPr>
          <w:lang w:val="en-US"/>
        </w:rPr>
        <w:t>(Kaul, 2014)</w:t>
      </w:r>
      <w:r w:rsidRPr="00886537">
        <w:rPr>
          <w:lang w:val="en-US"/>
        </w:rPr>
        <w:t xml:space="preserve">. Through advancing cultural awareness, applying multicultural communication </w:t>
      </w:r>
      <w:r w:rsidR="005F0A48" w:rsidRPr="00886537">
        <w:rPr>
          <w:lang w:val="en-US"/>
        </w:rPr>
        <w:t>approaches,</w:t>
      </w:r>
      <w:r w:rsidRPr="00886537">
        <w:rPr>
          <w:lang w:val="en-US"/>
        </w:rPr>
        <w:t xml:space="preserve"> and following the Dutch model of work-life balance as well as teamwork GSK is able to utilize the potential of the Dutch workforce and plant sturdy roots in the local business.</w:t>
      </w:r>
    </w:p>
    <w:p w14:paraId="6503042D" w14:textId="77280241" w:rsidR="00695C4B" w:rsidRPr="009B6EA7" w:rsidRDefault="00695C4B" w:rsidP="00695C4B">
      <w:pPr>
        <w:spacing w:line="360" w:lineRule="auto"/>
        <w:rPr>
          <w:lang w:val="en-US"/>
        </w:rPr>
      </w:pPr>
      <w:r w:rsidRPr="00695C4B">
        <w:rPr>
          <w:lang w:val="en-US"/>
        </w:rPr>
        <w:t>Spain, which is well known for its cultural heritage and strategic position in the southern part of the European Union, is a good place for GSK to expand its business in the European Union zone. This is a diverse and multifaceted country where GSK gain access to a great variety of talent and consumers</w:t>
      </w:r>
      <w:r w:rsidR="00C87ADB">
        <w:rPr>
          <w:lang w:val="en-US"/>
        </w:rPr>
        <w:t xml:space="preserve"> </w:t>
      </w:r>
      <w:r w:rsidR="00C87ADB" w:rsidRPr="00C87ADB">
        <w:rPr>
          <w:lang w:val="en-US"/>
        </w:rPr>
        <w:t>(Marshall, 2014)</w:t>
      </w:r>
      <w:r w:rsidRPr="00695C4B">
        <w:rPr>
          <w:lang w:val="en-US"/>
        </w:rPr>
        <w:t>. As Spanish is the official language, it is necessary to mention the recognition of regional languages as well, including Catalan and Basque. This linguistic diversity highlights the need for the cultural sensitivity and the specific means of communication when dealing with the different stakeholders from different regions of Spain.</w:t>
      </w:r>
      <w:r w:rsidR="009B6EA7">
        <w:rPr>
          <w:lang w:val="en-US"/>
        </w:rPr>
        <w:t xml:space="preserve"> </w:t>
      </w:r>
      <w:r w:rsidRPr="00695C4B">
        <w:rPr>
          <w:lang w:val="en-US"/>
        </w:rPr>
        <w:t xml:space="preserve">One of the main cultural features of Spain is the importance that they attach to work-life balance and the family. This cultural subtlety may require GSK to accommodate its organizational processes and communication methods </w:t>
      </w:r>
      <w:r w:rsidR="000D5D53" w:rsidRPr="00695C4B">
        <w:rPr>
          <w:lang w:val="en-US"/>
        </w:rPr>
        <w:t>to</w:t>
      </w:r>
      <w:r w:rsidRPr="00695C4B">
        <w:rPr>
          <w:lang w:val="en-US"/>
        </w:rPr>
        <w:t xml:space="preserve"> match the Spanish workers' main concerns and expectations. </w:t>
      </w:r>
      <w:r w:rsidR="009B6EA7">
        <w:rPr>
          <w:lang w:val="en-US"/>
        </w:rPr>
        <w:t xml:space="preserve"> </w:t>
      </w:r>
      <w:r w:rsidRPr="00695C4B">
        <w:rPr>
          <w:lang w:val="en-US"/>
        </w:rPr>
        <w:t>Accepting this cultural aspect is going to create a healthy work environment which also contributes to employee satisfaction and retention</w:t>
      </w:r>
      <w:r w:rsidR="00C87ADB">
        <w:rPr>
          <w:lang w:val="en-US"/>
        </w:rPr>
        <w:t xml:space="preserve"> </w:t>
      </w:r>
      <w:r w:rsidR="00C87ADB" w:rsidRPr="00C87ADB">
        <w:rPr>
          <w:lang w:val="en-US"/>
        </w:rPr>
        <w:t>(Kaul, 2014)</w:t>
      </w:r>
      <w:r w:rsidRPr="00695C4B">
        <w:rPr>
          <w:lang w:val="en-US"/>
        </w:rPr>
        <w:t xml:space="preserve">. Spain's growing biotechnology and pharmaceutical sectors, with the prospect of GSK's expansion, can be really thrilling. Through partnership with local businesses, research </w:t>
      </w:r>
      <w:proofErr w:type="spellStart"/>
      <w:r w:rsidRPr="00695C4B">
        <w:rPr>
          <w:lang w:val="en-US"/>
        </w:rPr>
        <w:t>centres</w:t>
      </w:r>
      <w:proofErr w:type="spellEnd"/>
      <w:r w:rsidRPr="00695C4B">
        <w:rPr>
          <w:lang w:val="en-US"/>
        </w:rPr>
        <w:t xml:space="preserve"> and relevant authorities, knowledge sharing, innovation and regulatory compliance can be achieved.</w:t>
      </w:r>
      <w:r>
        <w:rPr>
          <w:lang w:val="en-US"/>
        </w:rPr>
        <w:t xml:space="preserve"> </w:t>
      </w:r>
      <w:r w:rsidRPr="00695C4B">
        <w:rPr>
          <w:lang w:val="en-US"/>
        </w:rPr>
        <w:t>The cultural dimensions proposed by Hofstede give us an understanding of the possible communication problems that GSK is likely to encounter when extending their operations in Spain</w:t>
      </w:r>
      <w:r w:rsidR="00C87ADB">
        <w:rPr>
          <w:lang w:val="en-US"/>
        </w:rPr>
        <w:t xml:space="preserve"> </w:t>
      </w:r>
      <w:r w:rsidR="00C87ADB" w:rsidRPr="00C87ADB">
        <w:rPr>
          <w:lang w:val="en-US"/>
        </w:rPr>
        <w:t>(Gsk.com, 2022)</w:t>
      </w:r>
      <w:r w:rsidRPr="00695C4B">
        <w:rPr>
          <w:lang w:val="en-US"/>
        </w:rPr>
        <w:t>. The high-power distance score of 57 reflects an organizational structure that places emphasis on hierarchy, authority, and status. That is in sharp contrast with the British whose culture has a lower power distance which encourages more egalitarian relationships as well as open communication across the organization.</w:t>
      </w:r>
      <w:r>
        <w:rPr>
          <w:lang w:val="en-US"/>
        </w:rPr>
        <w:t xml:space="preserve"> </w:t>
      </w:r>
      <w:r>
        <w:t>Additionally, Spain's collectivistic orientation, scoring 51, demonstrates the centrality of group cohesion, loyalty, and interdependence for teamwork</w:t>
      </w:r>
      <w:r w:rsidR="00C87ADB">
        <w:t xml:space="preserve"> </w:t>
      </w:r>
      <w:r w:rsidR="00C87ADB" w:rsidRPr="00C87ADB">
        <w:t>(Kaul, 2014)</w:t>
      </w:r>
      <w:r>
        <w:t xml:space="preserve">. Such communality may need for GSK to reemploy its communication tactics and methods of management where communities come first and collectively goals are </w:t>
      </w:r>
      <w:r>
        <w:lastRenderedPageBreak/>
        <w:t>prioritised than individual accomplishments.</w:t>
      </w:r>
      <w:r w:rsidR="009B6EA7">
        <w:rPr>
          <w:lang w:val="en-US"/>
        </w:rPr>
        <w:t xml:space="preserve"> </w:t>
      </w:r>
      <w:r>
        <w:t xml:space="preserve">The high uncertainty avoidance of 86 of Spanish culture reflects a society that </w:t>
      </w:r>
      <w:proofErr w:type="spellStart"/>
      <w:r>
        <w:t>favors</w:t>
      </w:r>
      <w:proofErr w:type="spellEnd"/>
      <w:r>
        <w:t xml:space="preserve"> clear rules, structures, and a low risk tolerance to ambiguity. This might be a conflict between GSK's strategy to reduce the risks and its culture which is high uncertainty avoidance and values precise planning and operating by agreed protocols</w:t>
      </w:r>
      <w:r w:rsidR="00C87ADB">
        <w:t xml:space="preserve"> </w:t>
      </w:r>
      <w:r w:rsidR="00C87ADB" w:rsidRPr="00C87ADB">
        <w:t>(Marshall, 2014)</w:t>
      </w:r>
      <w:r>
        <w:t>. Dealing with these cultural deviations will thus necessitate communication, adaptation, and the acceptance of new views that will be applicable in the operations of the company. Cultural awareness to be spread, fostering inclusive communication, and bringing the Spanish accented emphasis on work-life balance, family values, and collectivism shall help GSK access the strong Spanish market. Adapting communication strategies and management methods to the local cultural particularities will be vital to GSK entering Spanish market and gaining strong foothold in a long-term perspective.</w:t>
      </w:r>
    </w:p>
    <w:p w14:paraId="1281618B" w14:textId="7C776D31" w:rsidR="00695C4B" w:rsidRDefault="00695C4B" w:rsidP="004947C5">
      <w:pPr>
        <w:spacing w:line="360" w:lineRule="auto"/>
      </w:pPr>
      <w:r>
        <w:t>GSK may have difficulty communicating with people from the Netherlands and Spain because of differences in culture. These problems might make it harder to work well with people of different cultures and to merge their businesses.</w:t>
      </w:r>
      <w:r w:rsidR="009B6EA7">
        <w:t xml:space="preserve"> </w:t>
      </w:r>
      <w:r>
        <w:t>In the Netherlands, English is spoken by most people, but there may still be places or jobs where language barriers remain</w:t>
      </w:r>
      <w:r w:rsidR="00C87ADB">
        <w:t xml:space="preserve"> </w:t>
      </w:r>
      <w:r w:rsidR="00C87ADB" w:rsidRPr="00C87ADB">
        <w:t>(Marshall, 2014)</w:t>
      </w:r>
      <w:r>
        <w:t>. This could make it hard to establish strong relationships with local stakeholders and make sure that everyone in the company can understand each other. As Spanish is the main language used for business in Spain, it might be hard for GSK to build trusting relationships with local workers and partners because of language barriers</w:t>
      </w:r>
      <w:r w:rsidR="00C87ADB">
        <w:t xml:space="preserve"> </w:t>
      </w:r>
      <w:r w:rsidR="00C87ADB" w:rsidRPr="00C87ADB">
        <w:t>(Rizhamadze, 2020)</w:t>
      </w:r>
      <w:r>
        <w:t>.</w:t>
      </w:r>
      <w:r w:rsidR="009B6EA7">
        <w:t xml:space="preserve"> </w:t>
      </w:r>
      <w:r>
        <w:t>Nonverbal communication includes things like body language, gestures, and private space. The details of these things can be very different from one culture to the next. Cross-cultural contacts can prove unsuccessful as well and there is a greater chance of unintentional offense or bad goals if these differences are not recognized and handled with</w:t>
      </w:r>
      <w:r w:rsidR="00C87ADB">
        <w:t xml:space="preserve"> </w:t>
      </w:r>
      <w:r w:rsidR="00C87ADB" w:rsidRPr="00C87ADB">
        <w:t>(Rizhamadze, 2020)</w:t>
      </w:r>
      <w:r>
        <w:t>.</w:t>
      </w:r>
      <w:r w:rsidR="009B6EA7">
        <w:t xml:space="preserve"> </w:t>
      </w:r>
      <w:r>
        <w:t>Additionally, the Spanish way of communicating through implication and understanding of the situation may not match up with the direct and forceful way of doing things that is common in British culture</w:t>
      </w:r>
      <w:r w:rsidR="00C87ADB">
        <w:t xml:space="preserve"> </w:t>
      </w:r>
      <w:r w:rsidR="00C87ADB" w:rsidRPr="00C87ADB">
        <w:t>(Rizhamadze, 2020)</w:t>
      </w:r>
      <w:r>
        <w:t>. Coworkers from both countries may find it hard to share information, make choices, and understand each other because they speak different languages. Being ready to adapt and understand other cultures is very essential even though the Dutch way of doing things might be easier in this area.</w:t>
      </w:r>
      <w:r w:rsidR="009B6EA7">
        <w:t xml:space="preserve"> </w:t>
      </w:r>
      <w:r w:rsidR="00EF689C">
        <w:t xml:space="preserve">Also, the more egalitarian way of life in British may not go along with the highly </w:t>
      </w:r>
      <w:r w:rsidR="00EF689C">
        <w:lastRenderedPageBreak/>
        <w:t>hierarchical way of life in Spain, which is known for its high-power gap. It is important to alter how management works and how people talk to each other to account for these differences if you want to make the workplace a friendly place where everyone feels welcome and where various perspectives are valued</w:t>
      </w:r>
      <w:r w:rsidR="00C87ADB">
        <w:t xml:space="preserve"> </w:t>
      </w:r>
      <w:r w:rsidR="00C87ADB" w:rsidRPr="00C87ADB">
        <w:t>(Kaul, 2014)</w:t>
      </w:r>
      <w:r w:rsidR="00EF689C">
        <w:t>.</w:t>
      </w:r>
      <w:r w:rsidR="009B6EA7">
        <w:t xml:space="preserve"> </w:t>
      </w:r>
      <w:r w:rsidR="00EF689C">
        <w:t>Cultures that have rules about being on time may also affect how people work together and connect with each other. Some European countries have a more relaxed or flexible view of time, which could cause issues like misalignment, missed deadlines, and tense working relationships. This is because Britons tend to follow strict plans and think in a linear way.</w:t>
      </w:r>
      <w:r w:rsidR="009B6EA7">
        <w:t xml:space="preserve"> </w:t>
      </w:r>
      <w:r w:rsidR="00EF689C">
        <w:t>To master these cultural complexities, you need to know a lot about the subtleties involved and be determined to create an atmosphere of tolerance, honesty, and cultural awareness. By eliminating of these potential problems in advance of time, GSK can make it easier for people from different cultures to work together and make sure that its global projects will remain.</w:t>
      </w:r>
    </w:p>
    <w:p w14:paraId="31B3809F" w14:textId="77777777" w:rsidR="009B6EA7" w:rsidRDefault="009B6EA7" w:rsidP="004947C5">
      <w:pPr>
        <w:spacing w:line="360" w:lineRule="auto"/>
        <w:rPr>
          <w:lang w:val="en-US"/>
        </w:rPr>
      </w:pPr>
    </w:p>
    <w:p w14:paraId="4278BB27" w14:textId="2615E9B5" w:rsidR="004947C5" w:rsidRDefault="004947C5" w:rsidP="004947C5">
      <w:pPr>
        <w:spacing w:line="360" w:lineRule="auto"/>
        <w:rPr>
          <w:lang w:val="en-US"/>
        </w:rPr>
      </w:pPr>
      <w:r w:rsidRPr="004947C5">
        <w:rPr>
          <w:lang w:val="en-US"/>
        </w:rPr>
        <w:t>Based on the comparison of the two countries, it was determined that GSK should grow its business into the Netherlands. Due to its cultural similarities, friendly business atmosphere, and well-trained multilingual workforce, the Netherlands is a better place for people to interact and for activities to flow together more smoothly</w:t>
      </w:r>
      <w:r w:rsidR="00C87ADB">
        <w:rPr>
          <w:lang w:val="en-US"/>
        </w:rPr>
        <w:t xml:space="preserve"> </w:t>
      </w:r>
      <w:r w:rsidR="00C87ADB" w:rsidRPr="00C87ADB">
        <w:rPr>
          <w:lang w:val="en-US"/>
        </w:rPr>
        <w:t>(Marshall, 2014)</w:t>
      </w:r>
      <w:r w:rsidRPr="004947C5">
        <w:rPr>
          <w:lang w:val="en-US"/>
        </w:rPr>
        <w:t>.</w:t>
      </w:r>
      <w:r w:rsidR="009B6EA7">
        <w:rPr>
          <w:lang w:val="en-US"/>
        </w:rPr>
        <w:t xml:space="preserve"> </w:t>
      </w:r>
      <w:r w:rsidRPr="004947C5">
        <w:rPr>
          <w:lang w:val="en-US"/>
        </w:rPr>
        <w:t>A throughout plan that considers cultural nuances as well as promotes understanding between cultures will help GSK get past any communication problems that might come along and make the workplace a place where everyone feels welcome and where growth can happen. Language training programs and tools that are tailored to Dutch and English proficiency must be put in place so that everyone in the company can talk to each other easily</w:t>
      </w:r>
      <w:r w:rsidR="00C87ADB">
        <w:rPr>
          <w:lang w:val="en-US"/>
        </w:rPr>
        <w:t xml:space="preserve"> </w:t>
      </w:r>
      <w:r w:rsidR="00C87ADB" w:rsidRPr="00C87ADB">
        <w:rPr>
          <w:lang w:val="en-US"/>
        </w:rPr>
        <w:t>(Marshall, 2014)</w:t>
      </w:r>
      <w:r w:rsidRPr="004947C5">
        <w:rPr>
          <w:lang w:val="en-US"/>
        </w:rPr>
        <w:t>. Thorough cross-cultural training programs should be set in place to help staff deal with cultural issues. The subjects of these classes should include elements like cultural norms, nonverbal communication, as well as the best ways to work together with people from other cultures.</w:t>
      </w:r>
      <w:r w:rsidR="009B6EA7">
        <w:rPr>
          <w:lang w:val="en-US"/>
        </w:rPr>
        <w:t xml:space="preserve"> </w:t>
      </w:r>
      <w:r w:rsidRPr="004947C5">
        <w:rPr>
          <w:lang w:val="en-US"/>
        </w:rPr>
        <w:t xml:space="preserve">When a localized management approach is implemented, it is very important to </w:t>
      </w:r>
      <w:r w:rsidR="00C87ADB" w:rsidRPr="004947C5">
        <w:rPr>
          <w:lang w:val="en-US"/>
        </w:rPr>
        <w:t>consider</w:t>
      </w:r>
      <w:r w:rsidRPr="004947C5">
        <w:rPr>
          <w:lang w:val="en-US"/>
        </w:rPr>
        <w:t xml:space="preserve"> the cultural nuances as well as tastes of the Dutch workforce</w:t>
      </w:r>
      <w:r w:rsidR="00C87ADB">
        <w:rPr>
          <w:lang w:val="en-US"/>
        </w:rPr>
        <w:t xml:space="preserve"> </w:t>
      </w:r>
      <w:r w:rsidR="00C87ADB" w:rsidRPr="00C87ADB">
        <w:rPr>
          <w:lang w:val="en-US"/>
        </w:rPr>
        <w:t>(</w:t>
      </w:r>
      <w:proofErr w:type="spellStart"/>
      <w:r w:rsidR="00C87ADB" w:rsidRPr="00C87ADB">
        <w:rPr>
          <w:lang w:val="en-US"/>
        </w:rPr>
        <w:t>Cronjé</w:t>
      </w:r>
      <w:proofErr w:type="spellEnd"/>
      <w:r w:rsidR="00C87ADB" w:rsidRPr="00C87ADB">
        <w:rPr>
          <w:lang w:val="en-US"/>
        </w:rPr>
        <w:t>, 2011)</w:t>
      </w:r>
      <w:r w:rsidRPr="004947C5">
        <w:rPr>
          <w:lang w:val="en-US"/>
        </w:rPr>
        <w:t>. For a smoother transition and for GSK to connect with the local workforce, it is important to give local managers and teams the power to change how they communicate and make choices to fit the culture.</w:t>
      </w:r>
      <w:r w:rsidR="009B6EA7">
        <w:rPr>
          <w:lang w:val="en-US"/>
        </w:rPr>
        <w:t xml:space="preserve"> </w:t>
      </w:r>
      <w:r w:rsidRPr="004947C5">
        <w:rPr>
          <w:lang w:val="en-US"/>
        </w:rPr>
        <w:t xml:space="preserve">Also, the introduction of mentoring and </w:t>
      </w:r>
      <w:r w:rsidRPr="004947C5">
        <w:rPr>
          <w:lang w:val="en-US"/>
        </w:rPr>
        <w:lastRenderedPageBreak/>
        <w:t>coaching programs, which allow sharing of knowledge and cross-cultural understanding between British and Dutch staff, can help fill the cultural gap, as well as to improve communication and give a sense of belonging</w:t>
      </w:r>
      <w:r w:rsidR="00C87ADB">
        <w:rPr>
          <w:lang w:val="en-US"/>
        </w:rPr>
        <w:t xml:space="preserve"> </w:t>
      </w:r>
      <w:r w:rsidR="00C87ADB" w:rsidRPr="00C87ADB">
        <w:rPr>
          <w:lang w:val="en-US"/>
        </w:rPr>
        <w:t>(</w:t>
      </w:r>
      <w:proofErr w:type="spellStart"/>
      <w:r w:rsidR="00C87ADB" w:rsidRPr="00C87ADB">
        <w:rPr>
          <w:lang w:val="en-US"/>
        </w:rPr>
        <w:t>Cronjé</w:t>
      </w:r>
      <w:proofErr w:type="spellEnd"/>
      <w:r w:rsidR="00C87ADB" w:rsidRPr="00C87ADB">
        <w:rPr>
          <w:lang w:val="en-US"/>
        </w:rPr>
        <w:t>, 2011)</w:t>
      </w:r>
      <w:r w:rsidRPr="004947C5">
        <w:rPr>
          <w:lang w:val="en-US"/>
        </w:rPr>
        <w:t>. Establishment of cultural ambassadors or representatives inside a company can be the next step in effective communication and bridging the gap in culture between employees coming from the U</w:t>
      </w:r>
      <w:r>
        <w:rPr>
          <w:lang w:val="en-US"/>
        </w:rPr>
        <w:t>nited Kingdom</w:t>
      </w:r>
      <w:r w:rsidRPr="004947C5">
        <w:rPr>
          <w:lang w:val="en-US"/>
        </w:rPr>
        <w:t xml:space="preserve"> and N</w:t>
      </w:r>
      <w:r>
        <w:rPr>
          <w:lang w:val="en-US"/>
        </w:rPr>
        <w:t>etherland</w:t>
      </w:r>
      <w:r w:rsidRPr="004947C5">
        <w:rPr>
          <w:lang w:val="en-US"/>
        </w:rPr>
        <w:t>.</w:t>
      </w:r>
      <w:r w:rsidR="00C87ADB">
        <w:rPr>
          <w:lang w:val="en-US"/>
        </w:rPr>
        <w:t xml:space="preserve"> </w:t>
      </w:r>
      <w:r w:rsidRPr="004947C5">
        <w:rPr>
          <w:lang w:val="en-US"/>
        </w:rPr>
        <w:t>On the other hand, ongoing evaluation and adjustment are more importantly necessary for keeping the efficiency of communication programs. Employee feedback, suggestions creation, and taking opportunities for improvement will proactively make GSK be able to reshape its practices to better align with the prevailing cultural context</w:t>
      </w:r>
      <w:r w:rsidR="00C87ADB">
        <w:rPr>
          <w:lang w:val="en-US"/>
        </w:rPr>
        <w:t xml:space="preserve"> </w:t>
      </w:r>
      <w:r w:rsidR="00C87ADB" w:rsidRPr="00C87ADB">
        <w:rPr>
          <w:lang w:val="en-US"/>
        </w:rPr>
        <w:t>(</w:t>
      </w:r>
      <w:proofErr w:type="spellStart"/>
      <w:r w:rsidR="00C87ADB" w:rsidRPr="00C87ADB">
        <w:rPr>
          <w:lang w:val="en-US"/>
        </w:rPr>
        <w:t>Cronjé</w:t>
      </w:r>
      <w:proofErr w:type="spellEnd"/>
      <w:r w:rsidR="00C87ADB" w:rsidRPr="00C87ADB">
        <w:rPr>
          <w:lang w:val="en-US"/>
        </w:rPr>
        <w:t>, 2011)</w:t>
      </w:r>
      <w:r w:rsidRPr="004947C5">
        <w:rPr>
          <w:lang w:val="en-US"/>
        </w:rPr>
        <w:t>. Valuing of lifelong learning and adaptability as a culture will help GSK in navigating the complexities of transnational business environments and positioning it for success in the Netherlands in the long run.</w:t>
      </w:r>
    </w:p>
    <w:p w14:paraId="7B4B9F5A" w14:textId="0B9ABA32" w:rsidR="00815ADA" w:rsidRPr="004F48C3" w:rsidRDefault="004F48C3" w:rsidP="004F48C3">
      <w:pPr>
        <w:spacing w:line="360" w:lineRule="auto"/>
        <w:rPr>
          <w:lang w:val="en-US"/>
        </w:rPr>
      </w:pPr>
      <w:r w:rsidRPr="004F48C3">
        <w:rPr>
          <w:lang w:val="en-US"/>
        </w:rPr>
        <w:t>The Netherlands is suggested as the place to expand further for GSK within the European Union. The cultural familiarity, favorable business climate, and the skilled multilingual workforce constitute a strong basis for the practice of communication and for successful integration of operations. The GSK must deploy those strategies like a language training, cross-cultural communication training, inclusive communication policies, localized management approach, mentorship programs, and continuous evaluation and adaptation practices to overcome the communication barriers and create a workplace where everyone can do well.</w:t>
      </w:r>
      <w:r>
        <w:rPr>
          <w:lang w:val="en-US"/>
        </w:rPr>
        <w:t xml:space="preserve"> </w:t>
      </w:r>
      <w:r w:rsidRPr="004F48C3">
        <w:rPr>
          <w:lang w:val="en-US"/>
        </w:rPr>
        <w:t>Creating an inclusive and culturally aware organizational culture stands out as one of the fundamental factors that determine the efficiency of GSK in the Netherlands. Through diversity acceptance, free dialogue promotion and actively resolve communication issues the organization can use the power of its diverse workforce to build a solid company in the Netherlands. This sharing approach is made not only for effective cross-cultural collaboration but also for ethics and sustainability business practices, generates a place where everybody feels that they are recognized and supported.</w:t>
      </w:r>
      <w:r>
        <w:rPr>
          <w:lang w:val="en-US"/>
        </w:rPr>
        <w:t xml:space="preserve"> </w:t>
      </w:r>
      <w:r w:rsidRPr="004F48C3">
        <w:rPr>
          <w:lang w:val="en-US"/>
        </w:rPr>
        <w:t xml:space="preserve">When the world becomes more connected, the ability to deal with cultural differences and communicate </w:t>
      </w:r>
      <w:proofErr w:type="spellStart"/>
      <w:r w:rsidRPr="004F48C3">
        <w:rPr>
          <w:lang w:val="en-US"/>
        </w:rPr>
        <w:t>fooverseas</w:t>
      </w:r>
      <w:proofErr w:type="spellEnd"/>
      <w:r w:rsidRPr="004F48C3">
        <w:rPr>
          <w:lang w:val="en-US"/>
        </w:rPr>
        <w:t xml:space="preserve"> is among the competitive advantages of multinational companies like GSK. Through their focus on inclusive culture, awareness of other cultures and effective cross-cultural communication, GSK can be set up to thrive and prosper in the ever-changing global marketplace. Engaging with diversity and building up a cross-cultural foundation </w:t>
      </w:r>
      <w:r w:rsidRPr="004F48C3">
        <w:rPr>
          <w:lang w:val="en-US"/>
        </w:rPr>
        <w:lastRenderedPageBreak/>
        <w:t>will allow GSK to benefit from collective intelligence and multiple viewpoints of its diverse workforce and thus enhance innovation and competitiveness towards emerging trends of healthcare business</w:t>
      </w:r>
      <w:r>
        <w:rPr>
          <w:lang w:val="en-US"/>
        </w:rPr>
        <w:t>.</w:t>
      </w:r>
      <w:r w:rsidR="00815ADA">
        <w:br w:type="page"/>
      </w:r>
    </w:p>
    <w:p w14:paraId="5A31F29C" w14:textId="4804CD7A" w:rsidR="00815ADA" w:rsidRDefault="00815ADA" w:rsidP="00815ADA">
      <w:pPr>
        <w:pStyle w:val="Heading1"/>
      </w:pPr>
      <w:r>
        <w:lastRenderedPageBreak/>
        <w:t>References</w:t>
      </w:r>
    </w:p>
    <w:p w14:paraId="4447923C" w14:textId="77777777" w:rsidR="00815ADA" w:rsidRPr="00815ADA" w:rsidRDefault="00815ADA" w:rsidP="00815ADA"/>
    <w:p w14:paraId="08C1E4F0" w14:textId="0CC6793E" w:rsidR="00815ADA" w:rsidRPr="00815ADA" w:rsidRDefault="00815ADA" w:rsidP="00815ADA">
      <w:proofErr w:type="spellStart"/>
      <w:r w:rsidRPr="00815ADA">
        <w:t>Adanlawo</w:t>
      </w:r>
      <w:proofErr w:type="spellEnd"/>
      <w:r w:rsidRPr="00815ADA">
        <w:t xml:space="preserve">, E.F., Reddy, M.M. and </w:t>
      </w:r>
      <w:proofErr w:type="spellStart"/>
      <w:r w:rsidRPr="00815ADA">
        <w:t>Rugbeer</w:t>
      </w:r>
      <w:proofErr w:type="spellEnd"/>
      <w:r w:rsidRPr="00815ADA">
        <w:t>, H., 2021. Intercultural business communication: The implications of language barriers. Psychology and Education Journal, 58(5), pp.6281-6290.</w:t>
      </w:r>
    </w:p>
    <w:p w14:paraId="11787633" w14:textId="3525F300" w:rsidR="00815ADA" w:rsidRPr="00815ADA" w:rsidRDefault="00815ADA" w:rsidP="00815ADA">
      <w:r w:rsidRPr="00815ADA">
        <w:t>‌Bruton, K., 2012. The business culture in Spain. In Business cultures in Europe (pp. 265-320). Routledge.</w:t>
      </w:r>
    </w:p>
    <w:p w14:paraId="555B400B" w14:textId="77777777" w:rsidR="00815ADA" w:rsidRPr="00815ADA" w:rsidRDefault="00815ADA" w:rsidP="00815ADA">
      <w:proofErr w:type="spellStart"/>
      <w:r w:rsidRPr="00815ADA">
        <w:t>chantelleharvey</w:t>
      </w:r>
      <w:proofErr w:type="spellEnd"/>
      <w:r w:rsidRPr="00815ADA">
        <w:t xml:space="preserve"> (2024). The Netherlands as a hub: European business expansion and supply chain optimisation through Dutch SPVs - IQ-EQ. [online] IQ-EQ. Available at: https://iqeq.com/insights/the-netherlands-as-a-hub-european-business-expansion-and-supply-chain-optimisation-through-dutch-spvs/ [Accessed 23 Apr. 2024].</w:t>
      </w:r>
    </w:p>
    <w:p w14:paraId="28B4C4B5" w14:textId="77777777" w:rsidR="00815ADA" w:rsidRPr="00815ADA" w:rsidRDefault="00815ADA" w:rsidP="00815ADA">
      <w:proofErr w:type="spellStart"/>
      <w:r w:rsidRPr="00815ADA">
        <w:t>Cronjé</w:t>
      </w:r>
      <w:proofErr w:type="spellEnd"/>
      <w:r w:rsidRPr="00815ADA">
        <w:t>, J.C., 2011. Using Hofstede’s cultural dimensions to interpret cross-cultural blended teaching and learning. Computers &amp; Education, 56(3), pp.596-603.</w:t>
      </w:r>
    </w:p>
    <w:p w14:paraId="39EB1E02" w14:textId="77777777" w:rsidR="00815ADA" w:rsidRPr="00815ADA" w:rsidRDefault="00815ADA" w:rsidP="00815ADA">
      <w:r w:rsidRPr="00815ADA">
        <w:t xml:space="preserve">GSK | GSK Stock Price, Company Overview &amp; News. (2024). Forbes. [online] Available at: </w:t>
      </w:r>
      <w:hyperlink r:id="rId5" w:history="1">
        <w:r w:rsidRPr="00815ADA">
          <w:rPr>
            <w:rStyle w:val="Hyperlink"/>
          </w:rPr>
          <w:t>https://www.forbes.com/companies/gsk/?sh=1d093e182b6b</w:t>
        </w:r>
      </w:hyperlink>
      <w:r w:rsidRPr="00815ADA">
        <w:t xml:space="preserve">  [Accessed 23 Apr. 2024].</w:t>
      </w:r>
    </w:p>
    <w:p w14:paraId="0BEB0CCB" w14:textId="77777777" w:rsidR="00815ADA" w:rsidRPr="00815ADA" w:rsidRDefault="00815ADA" w:rsidP="00815ADA">
      <w:r w:rsidRPr="00815ADA">
        <w:t xml:space="preserve">Gsk.com. (2022). GSK at a glance | GSK. [online] Available at: </w:t>
      </w:r>
      <w:hyperlink r:id="rId6" w:anchor=":~:text=We%20are%20a%20global%20biopharma,to%20prevent%20and%20treat%20disease" w:history="1">
        <w:r w:rsidRPr="00815ADA">
          <w:rPr>
            <w:rStyle w:val="Hyperlink"/>
          </w:rPr>
          <w:t>https://www.gsk.com/en-gb/company/gsk-at-a-glance/#:~:text=We%20are%20a%20global%20biopharma,to%20prevent%20and%20treat%20disease</w:t>
        </w:r>
      </w:hyperlink>
      <w:r w:rsidRPr="00815ADA">
        <w:t>.  [Accessed 23 Apr. 2024].</w:t>
      </w:r>
    </w:p>
    <w:p w14:paraId="535687F5" w14:textId="77777777" w:rsidR="00815ADA" w:rsidRPr="00815ADA" w:rsidRDefault="00815ADA" w:rsidP="00815ADA">
      <w:r w:rsidRPr="00815ADA">
        <w:t xml:space="preserve">Kaul, A., 2014. Effective business communication. PHI Learning </w:t>
      </w:r>
      <w:proofErr w:type="spellStart"/>
      <w:r w:rsidRPr="00815ADA">
        <w:t>Pvt.</w:t>
      </w:r>
      <w:proofErr w:type="spellEnd"/>
      <w:r w:rsidRPr="00815ADA">
        <w:t xml:space="preserve"> Ltd..</w:t>
      </w:r>
    </w:p>
    <w:p w14:paraId="39AAB565" w14:textId="77777777" w:rsidR="00815ADA" w:rsidRPr="00815ADA" w:rsidRDefault="00815ADA" w:rsidP="00815ADA">
      <w:r w:rsidRPr="00815ADA">
        <w:t>Marshall, T., 2014. Infrastructure futures and spatial planning: Lessons from France, the Netherlands, Spain and the UK. Progress in Planning, 89, pp.1-38.</w:t>
      </w:r>
    </w:p>
    <w:p w14:paraId="64FDB30A" w14:textId="77777777" w:rsidR="00815ADA" w:rsidRPr="00815ADA" w:rsidRDefault="00815ADA" w:rsidP="00815ADA">
      <w:r w:rsidRPr="00815ADA">
        <w:t>Minkov, M. and Hofstede, G., 2011. The evolution of Hofstede's doctrine. Cross cultural management: An international journal, 18(1), pp.10-20.</w:t>
      </w:r>
    </w:p>
    <w:p w14:paraId="73CA6E2E" w14:textId="77777777" w:rsidR="00815ADA" w:rsidRPr="00815ADA" w:rsidRDefault="00815ADA" w:rsidP="00815ADA">
      <w:r w:rsidRPr="00815ADA">
        <w:t xml:space="preserve">Rizhamadze, K., 2020. </w:t>
      </w:r>
      <w:proofErr w:type="spellStart"/>
      <w:r w:rsidRPr="00815ADA">
        <w:t>Analyzing</w:t>
      </w:r>
      <w:proofErr w:type="spellEnd"/>
      <w:r w:rsidRPr="00815ADA">
        <w:t xml:space="preserve"> Business Model, Narrative and Numbers of GSK (</w:t>
      </w:r>
      <w:proofErr w:type="spellStart"/>
      <w:r w:rsidRPr="00815ADA">
        <w:t>Glaxosmithkline</w:t>
      </w:r>
      <w:proofErr w:type="spellEnd"/>
      <w:r w:rsidRPr="00815ADA">
        <w:t>). Eurasian Journal of Social Sciences, 8(1), pp.35-41.</w:t>
      </w:r>
    </w:p>
    <w:p w14:paraId="37F1DBF7" w14:textId="77777777" w:rsidR="00815ADA" w:rsidRPr="00815ADA" w:rsidRDefault="00815ADA" w:rsidP="00815ADA">
      <w:r w:rsidRPr="00815ADA">
        <w:t>Wale, H. (2023). Hofstede’s Cultural Dimensions Theory. [online] Corporate Finance Institute. Available at: https://corporatefinanceinstitute.com/resources/management/hofstedes-cultural-dimensions-theory/ [Accessed 23 Apr. 2024].</w:t>
      </w:r>
    </w:p>
    <w:p w14:paraId="25BCCF18" w14:textId="77777777" w:rsidR="00815ADA" w:rsidRPr="00815ADA" w:rsidRDefault="00815ADA" w:rsidP="00815ADA"/>
    <w:p w14:paraId="41747D5F" w14:textId="77777777" w:rsidR="00815ADA" w:rsidRDefault="00815ADA" w:rsidP="004947C5">
      <w:pPr>
        <w:spacing w:line="360" w:lineRule="auto"/>
      </w:pPr>
    </w:p>
    <w:p w14:paraId="5D333374" w14:textId="77777777" w:rsidR="004947C5" w:rsidRDefault="004947C5" w:rsidP="004947C5">
      <w:pPr>
        <w:spacing w:line="360" w:lineRule="auto"/>
      </w:pPr>
    </w:p>
    <w:p w14:paraId="1049DB42" w14:textId="77777777" w:rsidR="004947C5" w:rsidRDefault="004947C5" w:rsidP="004947C5">
      <w:pPr>
        <w:spacing w:line="360" w:lineRule="auto"/>
      </w:pPr>
    </w:p>
    <w:p w14:paraId="7C6D3EF3" w14:textId="77777777" w:rsidR="004947C5" w:rsidRDefault="004947C5" w:rsidP="004947C5">
      <w:pPr>
        <w:spacing w:line="360" w:lineRule="auto"/>
      </w:pPr>
    </w:p>
    <w:p w14:paraId="6109632A" w14:textId="2EB3F30B" w:rsidR="00000F31" w:rsidRPr="0017012F" w:rsidRDefault="00000F31" w:rsidP="004947C5">
      <w:pPr>
        <w:spacing w:line="360" w:lineRule="auto"/>
      </w:pPr>
    </w:p>
    <w:sectPr w:rsidR="00000F31" w:rsidRPr="0017012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BD7C8D"/>
    <w:multiLevelType w:val="hybridMultilevel"/>
    <w:tmpl w:val="EB6670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F90885"/>
    <w:multiLevelType w:val="hybridMultilevel"/>
    <w:tmpl w:val="F168C2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96E138F"/>
    <w:multiLevelType w:val="hybridMultilevel"/>
    <w:tmpl w:val="0C6E56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3792E62"/>
    <w:multiLevelType w:val="hybridMultilevel"/>
    <w:tmpl w:val="3E9C4D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8193921"/>
    <w:multiLevelType w:val="hybridMultilevel"/>
    <w:tmpl w:val="C8E22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9323485"/>
    <w:multiLevelType w:val="hybridMultilevel"/>
    <w:tmpl w:val="175C6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15615651">
    <w:abstractNumId w:val="2"/>
  </w:num>
  <w:num w:numId="2" w16cid:durableId="1750536662">
    <w:abstractNumId w:val="4"/>
  </w:num>
  <w:num w:numId="3" w16cid:durableId="1459445803">
    <w:abstractNumId w:val="0"/>
  </w:num>
  <w:num w:numId="4" w16cid:durableId="1295941032">
    <w:abstractNumId w:val="5"/>
  </w:num>
  <w:num w:numId="5" w16cid:durableId="937057790">
    <w:abstractNumId w:val="1"/>
  </w:num>
  <w:num w:numId="6" w16cid:durableId="18547629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5BA"/>
    <w:rsid w:val="00000F31"/>
    <w:rsid w:val="000D5D53"/>
    <w:rsid w:val="001422C6"/>
    <w:rsid w:val="0016775F"/>
    <w:rsid w:val="0017012F"/>
    <w:rsid w:val="002175C4"/>
    <w:rsid w:val="00287F4F"/>
    <w:rsid w:val="002D19B3"/>
    <w:rsid w:val="00326AE8"/>
    <w:rsid w:val="004947C5"/>
    <w:rsid w:val="004F48C3"/>
    <w:rsid w:val="005018C1"/>
    <w:rsid w:val="005C75BA"/>
    <w:rsid w:val="005E688C"/>
    <w:rsid w:val="005F0A48"/>
    <w:rsid w:val="00695C4B"/>
    <w:rsid w:val="00723A1D"/>
    <w:rsid w:val="00760EE3"/>
    <w:rsid w:val="007F7B59"/>
    <w:rsid w:val="00815ADA"/>
    <w:rsid w:val="00841CCB"/>
    <w:rsid w:val="00886537"/>
    <w:rsid w:val="008C7C12"/>
    <w:rsid w:val="009A1AF9"/>
    <w:rsid w:val="009B6EA7"/>
    <w:rsid w:val="00BD7683"/>
    <w:rsid w:val="00C348D4"/>
    <w:rsid w:val="00C87ADB"/>
    <w:rsid w:val="00C903F4"/>
    <w:rsid w:val="00EA530D"/>
    <w:rsid w:val="00EF689C"/>
    <w:rsid w:val="00FD187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F18BB"/>
  <w15:chartTrackingRefBased/>
  <w15:docId w15:val="{EB325BE6-394C-4B2C-9A0A-4805D1636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775F"/>
    <w:pPr>
      <w:jc w:val="both"/>
    </w:pPr>
    <w:rPr>
      <w:rFonts w:ascii="Calibri" w:hAnsi="Calibri"/>
      <w:kern w:val="0"/>
      <w:sz w:val="24"/>
      <w:lang w:val="en-GB"/>
    </w:rPr>
  </w:style>
  <w:style w:type="paragraph" w:styleId="Heading1">
    <w:name w:val="heading 1"/>
    <w:basedOn w:val="Normal"/>
    <w:next w:val="Normal"/>
    <w:link w:val="Heading1Char"/>
    <w:uiPriority w:val="9"/>
    <w:qFormat/>
    <w:rsid w:val="002175C4"/>
    <w:pPr>
      <w:keepNext/>
      <w:keepLines/>
      <w:spacing w:before="240" w:after="0"/>
      <w:outlineLvl w:val="0"/>
    </w:pPr>
    <w:rPr>
      <w:rFonts w:eastAsiaTheme="majorEastAsia" w:cstheme="majorBidi"/>
      <w:b/>
      <w:color w:val="0F4761" w:themeColor="accent1" w:themeShade="BF"/>
      <w:sz w:val="32"/>
      <w:szCs w:val="32"/>
    </w:rPr>
  </w:style>
  <w:style w:type="paragraph" w:styleId="Heading2">
    <w:name w:val="heading 2"/>
    <w:basedOn w:val="Normal"/>
    <w:next w:val="Normal"/>
    <w:link w:val="Heading2Char"/>
    <w:uiPriority w:val="9"/>
    <w:unhideWhenUsed/>
    <w:qFormat/>
    <w:rsid w:val="001422C6"/>
    <w:pPr>
      <w:keepNext/>
      <w:keepLines/>
      <w:spacing w:before="40" w:after="0"/>
      <w:outlineLvl w:val="1"/>
    </w:pPr>
    <w:rPr>
      <w:rFonts w:ascii="Arial" w:eastAsiaTheme="majorEastAsia" w:hAnsi="Arial" w:cstheme="majorBidi"/>
      <w:b/>
      <w:color w:val="0F4761" w:themeColor="accent1" w:themeShade="BF"/>
      <w:sz w:val="26"/>
      <w:szCs w:val="26"/>
    </w:rPr>
  </w:style>
  <w:style w:type="paragraph" w:styleId="Heading3">
    <w:name w:val="heading 3"/>
    <w:basedOn w:val="Normal"/>
    <w:next w:val="Normal"/>
    <w:link w:val="Heading3Char"/>
    <w:uiPriority w:val="9"/>
    <w:semiHidden/>
    <w:unhideWhenUsed/>
    <w:qFormat/>
    <w:rsid w:val="005C75BA"/>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75B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C75B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C75B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C75B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C75B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C75B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422C6"/>
    <w:rPr>
      <w:rFonts w:ascii="Arial" w:eastAsiaTheme="majorEastAsia" w:hAnsi="Arial" w:cstheme="majorBidi"/>
      <w:b/>
      <w:noProof/>
      <w:color w:val="0F4761" w:themeColor="accent1" w:themeShade="BF"/>
      <w:sz w:val="26"/>
      <w:szCs w:val="26"/>
      <w:lang w:val="en-GB"/>
    </w:rPr>
  </w:style>
  <w:style w:type="character" w:customStyle="1" w:styleId="Heading1Char">
    <w:name w:val="Heading 1 Char"/>
    <w:basedOn w:val="DefaultParagraphFont"/>
    <w:link w:val="Heading1"/>
    <w:uiPriority w:val="9"/>
    <w:rsid w:val="002175C4"/>
    <w:rPr>
      <w:rFonts w:ascii="Times New Roman" w:eastAsiaTheme="majorEastAsia" w:hAnsi="Times New Roman" w:cstheme="majorBidi"/>
      <w:b/>
      <w:color w:val="0F4761" w:themeColor="accent1" w:themeShade="BF"/>
      <w:sz w:val="32"/>
      <w:szCs w:val="32"/>
    </w:rPr>
  </w:style>
  <w:style w:type="character" w:customStyle="1" w:styleId="Heading3Char">
    <w:name w:val="Heading 3 Char"/>
    <w:basedOn w:val="DefaultParagraphFont"/>
    <w:link w:val="Heading3"/>
    <w:uiPriority w:val="9"/>
    <w:semiHidden/>
    <w:rsid w:val="005C75BA"/>
    <w:rPr>
      <w:rFonts w:eastAsiaTheme="majorEastAsia" w:cstheme="majorBidi"/>
      <w:color w:val="0F4761" w:themeColor="accent1" w:themeShade="BF"/>
      <w:kern w:val="0"/>
      <w:sz w:val="28"/>
      <w:szCs w:val="28"/>
      <w:lang w:val="en-GB"/>
    </w:rPr>
  </w:style>
  <w:style w:type="character" w:customStyle="1" w:styleId="Heading4Char">
    <w:name w:val="Heading 4 Char"/>
    <w:basedOn w:val="DefaultParagraphFont"/>
    <w:link w:val="Heading4"/>
    <w:uiPriority w:val="9"/>
    <w:semiHidden/>
    <w:rsid w:val="005C75BA"/>
    <w:rPr>
      <w:rFonts w:eastAsiaTheme="majorEastAsia" w:cstheme="majorBidi"/>
      <w:i/>
      <w:iCs/>
      <w:color w:val="0F4761" w:themeColor="accent1" w:themeShade="BF"/>
      <w:kern w:val="0"/>
      <w:sz w:val="24"/>
      <w:lang w:val="en-GB"/>
    </w:rPr>
  </w:style>
  <w:style w:type="character" w:customStyle="1" w:styleId="Heading5Char">
    <w:name w:val="Heading 5 Char"/>
    <w:basedOn w:val="DefaultParagraphFont"/>
    <w:link w:val="Heading5"/>
    <w:uiPriority w:val="9"/>
    <w:semiHidden/>
    <w:rsid w:val="005C75BA"/>
    <w:rPr>
      <w:rFonts w:eastAsiaTheme="majorEastAsia" w:cstheme="majorBidi"/>
      <w:color w:val="0F4761" w:themeColor="accent1" w:themeShade="BF"/>
      <w:kern w:val="0"/>
      <w:sz w:val="24"/>
      <w:lang w:val="en-GB"/>
    </w:rPr>
  </w:style>
  <w:style w:type="character" w:customStyle="1" w:styleId="Heading6Char">
    <w:name w:val="Heading 6 Char"/>
    <w:basedOn w:val="DefaultParagraphFont"/>
    <w:link w:val="Heading6"/>
    <w:uiPriority w:val="9"/>
    <w:semiHidden/>
    <w:rsid w:val="005C75BA"/>
    <w:rPr>
      <w:rFonts w:eastAsiaTheme="majorEastAsia" w:cstheme="majorBidi"/>
      <w:i/>
      <w:iCs/>
      <w:color w:val="595959" w:themeColor="text1" w:themeTint="A6"/>
      <w:kern w:val="0"/>
      <w:sz w:val="24"/>
      <w:lang w:val="en-GB"/>
    </w:rPr>
  </w:style>
  <w:style w:type="character" w:customStyle="1" w:styleId="Heading7Char">
    <w:name w:val="Heading 7 Char"/>
    <w:basedOn w:val="DefaultParagraphFont"/>
    <w:link w:val="Heading7"/>
    <w:uiPriority w:val="9"/>
    <w:semiHidden/>
    <w:rsid w:val="005C75BA"/>
    <w:rPr>
      <w:rFonts w:eastAsiaTheme="majorEastAsia" w:cstheme="majorBidi"/>
      <w:color w:val="595959" w:themeColor="text1" w:themeTint="A6"/>
      <w:kern w:val="0"/>
      <w:sz w:val="24"/>
      <w:lang w:val="en-GB"/>
    </w:rPr>
  </w:style>
  <w:style w:type="character" w:customStyle="1" w:styleId="Heading8Char">
    <w:name w:val="Heading 8 Char"/>
    <w:basedOn w:val="DefaultParagraphFont"/>
    <w:link w:val="Heading8"/>
    <w:uiPriority w:val="9"/>
    <w:semiHidden/>
    <w:rsid w:val="005C75BA"/>
    <w:rPr>
      <w:rFonts w:eastAsiaTheme="majorEastAsia" w:cstheme="majorBidi"/>
      <w:i/>
      <w:iCs/>
      <w:color w:val="272727" w:themeColor="text1" w:themeTint="D8"/>
      <w:kern w:val="0"/>
      <w:sz w:val="24"/>
      <w:lang w:val="en-GB"/>
    </w:rPr>
  </w:style>
  <w:style w:type="character" w:customStyle="1" w:styleId="Heading9Char">
    <w:name w:val="Heading 9 Char"/>
    <w:basedOn w:val="DefaultParagraphFont"/>
    <w:link w:val="Heading9"/>
    <w:uiPriority w:val="9"/>
    <w:semiHidden/>
    <w:rsid w:val="005C75BA"/>
    <w:rPr>
      <w:rFonts w:eastAsiaTheme="majorEastAsia" w:cstheme="majorBidi"/>
      <w:color w:val="272727" w:themeColor="text1" w:themeTint="D8"/>
      <w:kern w:val="0"/>
      <w:sz w:val="24"/>
      <w:lang w:val="en-GB"/>
    </w:rPr>
  </w:style>
  <w:style w:type="paragraph" w:styleId="Title">
    <w:name w:val="Title"/>
    <w:basedOn w:val="Normal"/>
    <w:next w:val="Normal"/>
    <w:link w:val="TitleChar"/>
    <w:uiPriority w:val="10"/>
    <w:qFormat/>
    <w:rsid w:val="005C75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75B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C75B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75BA"/>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5C75BA"/>
    <w:pPr>
      <w:spacing w:before="160"/>
      <w:jc w:val="center"/>
    </w:pPr>
    <w:rPr>
      <w:i/>
      <w:iCs/>
      <w:color w:val="404040" w:themeColor="text1" w:themeTint="BF"/>
    </w:rPr>
  </w:style>
  <w:style w:type="character" w:customStyle="1" w:styleId="QuoteChar">
    <w:name w:val="Quote Char"/>
    <w:basedOn w:val="DefaultParagraphFont"/>
    <w:link w:val="Quote"/>
    <w:uiPriority w:val="29"/>
    <w:rsid w:val="005C75BA"/>
    <w:rPr>
      <w:rFonts w:ascii="Calibri" w:hAnsi="Calibri"/>
      <w:i/>
      <w:iCs/>
      <w:color w:val="404040" w:themeColor="text1" w:themeTint="BF"/>
      <w:kern w:val="0"/>
      <w:sz w:val="24"/>
      <w:lang w:val="en-GB"/>
    </w:rPr>
  </w:style>
  <w:style w:type="paragraph" w:styleId="ListParagraph">
    <w:name w:val="List Paragraph"/>
    <w:basedOn w:val="Normal"/>
    <w:uiPriority w:val="34"/>
    <w:qFormat/>
    <w:rsid w:val="005C75BA"/>
    <w:pPr>
      <w:ind w:left="720"/>
      <w:contextualSpacing/>
    </w:pPr>
  </w:style>
  <w:style w:type="character" w:styleId="IntenseEmphasis">
    <w:name w:val="Intense Emphasis"/>
    <w:basedOn w:val="DefaultParagraphFont"/>
    <w:uiPriority w:val="21"/>
    <w:qFormat/>
    <w:rsid w:val="005C75BA"/>
    <w:rPr>
      <w:i/>
      <w:iCs/>
      <w:color w:val="0F4761" w:themeColor="accent1" w:themeShade="BF"/>
    </w:rPr>
  </w:style>
  <w:style w:type="paragraph" w:styleId="IntenseQuote">
    <w:name w:val="Intense Quote"/>
    <w:basedOn w:val="Normal"/>
    <w:next w:val="Normal"/>
    <w:link w:val="IntenseQuoteChar"/>
    <w:uiPriority w:val="30"/>
    <w:qFormat/>
    <w:rsid w:val="005C75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75BA"/>
    <w:rPr>
      <w:rFonts w:ascii="Calibri" w:hAnsi="Calibri"/>
      <w:i/>
      <w:iCs/>
      <w:color w:val="0F4761" w:themeColor="accent1" w:themeShade="BF"/>
      <w:kern w:val="0"/>
      <w:sz w:val="24"/>
      <w:lang w:val="en-GB"/>
    </w:rPr>
  </w:style>
  <w:style w:type="character" w:styleId="IntenseReference">
    <w:name w:val="Intense Reference"/>
    <w:basedOn w:val="DefaultParagraphFont"/>
    <w:uiPriority w:val="32"/>
    <w:qFormat/>
    <w:rsid w:val="005C75BA"/>
    <w:rPr>
      <w:b/>
      <w:bCs/>
      <w:smallCaps/>
      <w:color w:val="0F4761" w:themeColor="accent1" w:themeShade="BF"/>
      <w:spacing w:val="5"/>
    </w:rPr>
  </w:style>
  <w:style w:type="character" w:styleId="Hyperlink">
    <w:name w:val="Hyperlink"/>
    <w:basedOn w:val="DefaultParagraphFont"/>
    <w:uiPriority w:val="99"/>
    <w:unhideWhenUsed/>
    <w:rsid w:val="00815ADA"/>
    <w:rPr>
      <w:color w:val="467886" w:themeColor="hyperlink"/>
      <w:u w:val="single"/>
    </w:rPr>
  </w:style>
  <w:style w:type="character" w:styleId="UnresolvedMention">
    <w:name w:val="Unresolved Mention"/>
    <w:basedOn w:val="DefaultParagraphFont"/>
    <w:uiPriority w:val="99"/>
    <w:semiHidden/>
    <w:unhideWhenUsed/>
    <w:rsid w:val="00815A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485709">
      <w:bodyDiv w:val="1"/>
      <w:marLeft w:val="0"/>
      <w:marRight w:val="0"/>
      <w:marTop w:val="0"/>
      <w:marBottom w:val="0"/>
      <w:divBdr>
        <w:top w:val="none" w:sz="0" w:space="0" w:color="auto"/>
        <w:left w:val="none" w:sz="0" w:space="0" w:color="auto"/>
        <w:bottom w:val="none" w:sz="0" w:space="0" w:color="auto"/>
        <w:right w:val="none" w:sz="0" w:space="0" w:color="auto"/>
      </w:divBdr>
      <w:divsChild>
        <w:div w:id="680930562">
          <w:marLeft w:val="0"/>
          <w:marRight w:val="0"/>
          <w:marTop w:val="0"/>
          <w:marBottom w:val="0"/>
          <w:divBdr>
            <w:top w:val="single" w:sz="6" w:space="0" w:color="auto"/>
            <w:left w:val="single" w:sz="6" w:space="0" w:color="auto"/>
            <w:bottom w:val="single" w:sz="6" w:space="0" w:color="auto"/>
            <w:right w:val="single" w:sz="6" w:space="0" w:color="auto"/>
          </w:divBdr>
        </w:div>
      </w:divsChild>
    </w:div>
    <w:div w:id="560287459">
      <w:bodyDiv w:val="1"/>
      <w:marLeft w:val="0"/>
      <w:marRight w:val="0"/>
      <w:marTop w:val="0"/>
      <w:marBottom w:val="0"/>
      <w:divBdr>
        <w:top w:val="none" w:sz="0" w:space="0" w:color="auto"/>
        <w:left w:val="none" w:sz="0" w:space="0" w:color="auto"/>
        <w:bottom w:val="none" w:sz="0" w:space="0" w:color="auto"/>
        <w:right w:val="none" w:sz="0" w:space="0" w:color="auto"/>
      </w:divBdr>
    </w:div>
    <w:div w:id="605507486">
      <w:bodyDiv w:val="1"/>
      <w:marLeft w:val="0"/>
      <w:marRight w:val="0"/>
      <w:marTop w:val="0"/>
      <w:marBottom w:val="0"/>
      <w:divBdr>
        <w:top w:val="none" w:sz="0" w:space="0" w:color="auto"/>
        <w:left w:val="none" w:sz="0" w:space="0" w:color="auto"/>
        <w:bottom w:val="none" w:sz="0" w:space="0" w:color="auto"/>
        <w:right w:val="none" w:sz="0" w:space="0" w:color="auto"/>
      </w:divBdr>
      <w:divsChild>
        <w:div w:id="1318729298">
          <w:marLeft w:val="0"/>
          <w:marRight w:val="0"/>
          <w:marTop w:val="0"/>
          <w:marBottom w:val="0"/>
          <w:divBdr>
            <w:top w:val="single" w:sz="6" w:space="0" w:color="auto"/>
            <w:left w:val="single" w:sz="6" w:space="0" w:color="auto"/>
            <w:bottom w:val="single" w:sz="6" w:space="0" w:color="auto"/>
            <w:right w:val="single" w:sz="6" w:space="0" w:color="auto"/>
          </w:divBdr>
        </w:div>
      </w:divsChild>
    </w:div>
    <w:div w:id="1182820482">
      <w:bodyDiv w:val="1"/>
      <w:marLeft w:val="0"/>
      <w:marRight w:val="0"/>
      <w:marTop w:val="0"/>
      <w:marBottom w:val="0"/>
      <w:divBdr>
        <w:top w:val="none" w:sz="0" w:space="0" w:color="auto"/>
        <w:left w:val="none" w:sz="0" w:space="0" w:color="auto"/>
        <w:bottom w:val="none" w:sz="0" w:space="0" w:color="auto"/>
        <w:right w:val="none" w:sz="0" w:space="0" w:color="auto"/>
      </w:divBdr>
    </w:div>
    <w:div w:id="1249582154">
      <w:bodyDiv w:val="1"/>
      <w:marLeft w:val="0"/>
      <w:marRight w:val="0"/>
      <w:marTop w:val="0"/>
      <w:marBottom w:val="0"/>
      <w:divBdr>
        <w:top w:val="none" w:sz="0" w:space="0" w:color="auto"/>
        <w:left w:val="none" w:sz="0" w:space="0" w:color="auto"/>
        <w:bottom w:val="none" w:sz="0" w:space="0" w:color="auto"/>
        <w:right w:val="none" w:sz="0" w:space="0" w:color="auto"/>
      </w:divBdr>
    </w:div>
    <w:div w:id="1448811179">
      <w:bodyDiv w:val="1"/>
      <w:marLeft w:val="0"/>
      <w:marRight w:val="0"/>
      <w:marTop w:val="0"/>
      <w:marBottom w:val="0"/>
      <w:divBdr>
        <w:top w:val="none" w:sz="0" w:space="0" w:color="auto"/>
        <w:left w:val="none" w:sz="0" w:space="0" w:color="auto"/>
        <w:bottom w:val="none" w:sz="0" w:space="0" w:color="auto"/>
        <w:right w:val="none" w:sz="0" w:space="0" w:color="auto"/>
      </w:divBdr>
    </w:div>
    <w:div w:id="1481924604">
      <w:bodyDiv w:val="1"/>
      <w:marLeft w:val="0"/>
      <w:marRight w:val="0"/>
      <w:marTop w:val="0"/>
      <w:marBottom w:val="0"/>
      <w:divBdr>
        <w:top w:val="none" w:sz="0" w:space="0" w:color="auto"/>
        <w:left w:val="none" w:sz="0" w:space="0" w:color="auto"/>
        <w:bottom w:val="none" w:sz="0" w:space="0" w:color="auto"/>
        <w:right w:val="none" w:sz="0" w:space="0" w:color="auto"/>
      </w:divBdr>
      <w:divsChild>
        <w:div w:id="1938833173">
          <w:marLeft w:val="0"/>
          <w:marRight w:val="0"/>
          <w:marTop w:val="0"/>
          <w:marBottom w:val="0"/>
          <w:divBdr>
            <w:top w:val="single" w:sz="6" w:space="0" w:color="auto"/>
            <w:left w:val="single" w:sz="6" w:space="0" w:color="auto"/>
            <w:bottom w:val="single" w:sz="6" w:space="0" w:color="auto"/>
            <w:right w:val="single" w:sz="6" w:space="0" w:color="auto"/>
          </w:divBdr>
        </w:div>
      </w:divsChild>
    </w:div>
    <w:div w:id="1509633418">
      <w:bodyDiv w:val="1"/>
      <w:marLeft w:val="0"/>
      <w:marRight w:val="0"/>
      <w:marTop w:val="0"/>
      <w:marBottom w:val="0"/>
      <w:divBdr>
        <w:top w:val="none" w:sz="0" w:space="0" w:color="auto"/>
        <w:left w:val="none" w:sz="0" w:space="0" w:color="auto"/>
        <w:bottom w:val="none" w:sz="0" w:space="0" w:color="auto"/>
        <w:right w:val="none" w:sz="0" w:space="0" w:color="auto"/>
      </w:divBdr>
    </w:div>
    <w:div w:id="1842697348">
      <w:bodyDiv w:val="1"/>
      <w:marLeft w:val="0"/>
      <w:marRight w:val="0"/>
      <w:marTop w:val="0"/>
      <w:marBottom w:val="0"/>
      <w:divBdr>
        <w:top w:val="none" w:sz="0" w:space="0" w:color="auto"/>
        <w:left w:val="none" w:sz="0" w:space="0" w:color="auto"/>
        <w:bottom w:val="none" w:sz="0" w:space="0" w:color="auto"/>
        <w:right w:val="none" w:sz="0" w:space="0" w:color="auto"/>
      </w:divBdr>
    </w:div>
    <w:div w:id="2059551081">
      <w:bodyDiv w:val="1"/>
      <w:marLeft w:val="0"/>
      <w:marRight w:val="0"/>
      <w:marTop w:val="0"/>
      <w:marBottom w:val="0"/>
      <w:divBdr>
        <w:top w:val="none" w:sz="0" w:space="0" w:color="auto"/>
        <w:left w:val="none" w:sz="0" w:space="0" w:color="auto"/>
        <w:bottom w:val="none" w:sz="0" w:space="0" w:color="auto"/>
        <w:right w:val="none" w:sz="0" w:space="0" w:color="auto"/>
      </w:divBdr>
      <w:divsChild>
        <w:div w:id="198858750">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sk.com/en-gb/company/gsk-at-a-glance/" TargetMode="External"/><Relationship Id="rId5" Type="http://schemas.openxmlformats.org/officeDocument/2006/relationships/hyperlink" Target="https://www.forbes.com/companies/gsk/?sh=1d093e182b6b"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3037</Words>
  <Characters>17317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20314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Bucataru</cp:lastModifiedBy>
  <cp:revision>2</cp:revision>
  <dcterms:created xsi:type="dcterms:W3CDTF">2024-04-23T07:28:00Z</dcterms:created>
  <dcterms:modified xsi:type="dcterms:W3CDTF">2024-04-27T11:47:00Z</dcterms:modified>
  <cp:category/>
</cp:coreProperties>
</file>