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B79A8" w14:textId="2069B710" w:rsidR="001732AD" w:rsidRDefault="001732AD" w:rsidP="001732AD">
      <w:pPr>
        <w:spacing w:line="480" w:lineRule="auto"/>
        <w:rPr>
          <w:b/>
          <w:bCs/>
        </w:rPr>
      </w:pPr>
    </w:p>
    <w:p w14:paraId="60F5422F" w14:textId="5544A430" w:rsidR="001732AD" w:rsidRPr="00F34779" w:rsidRDefault="001732AD" w:rsidP="001732AD">
      <w:pPr>
        <w:spacing w:line="480" w:lineRule="auto"/>
        <w:jc w:val="center"/>
        <w:rPr>
          <w:b/>
          <w:bCs/>
          <w:sz w:val="28"/>
          <w:szCs w:val="28"/>
        </w:rPr>
      </w:pPr>
      <w:r w:rsidRPr="00F34779">
        <w:rPr>
          <w:b/>
          <w:bCs/>
          <w:sz w:val="28"/>
          <w:szCs w:val="28"/>
        </w:rPr>
        <w:t>An examination and analysis of how the Early Help system is signposted to UK families by local authority websites.</w:t>
      </w:r>
    </w:p>
    <w:p w14:paraId="223FFF15" w14:textId="77777777" w:rsidR="00F34779" w:rsidRPr="00F34779" w:rsidRDefault="00F34779" w:rsidP="00F34779">
      <w:pPr>
        <w:spacing w:line="360" w:lineRule="auto"/>
        <w:rPr>
          <w:rStyle w:val="Heading1Char"/>
          <w:rFonts w:ascii="Arial" w:hAnsi="Arial" w:cs="Arial"/>
          <w:b/>
          <w:bCs/>
          <w:color w:val="1D2125"/>
          <w:sz w:val="28"/>
          <w:szCs w:val="28"/>
        </w:rPr>
      </w:pPr>
    </w:p>
    <w:p w14:paraId="32C698BA" w14:textId="77777777" w:rsidR="00F34779" w:rsidRDefault="00F34779" w:rsidP="00F34779">
      <w:pPr>
        <w:spacing w:line="360" w:lineRule="auto"/>
        <w:rPr>
          <w:rStyle w:val="Heading1Char"/>
          <w:rFonts w:ascii="Arial" w:hAnsi="Arial" w:cs="Arial"/>
          <w:color w:val="1D2125"/>
          <w:sz w:val="28"/>
          <w:szCs w:val="28"/>
        </w:rPr>
      </w:pPr>
    </w:p>
    <w:p w14:paraId="54022BB6" w14:textId="5849378A" w:rsidR="00F34779" w:rsidRPr="00F34779" w:rsidRDefault="00F34779" w:rsidP="00F34779">
      <w:pPr>
        <w:spacing w:line="360" w:lineRule="auto"/>
        <w:rPr>
          <w:rStyle w:val="Strong"/>
          <w:rFonts w:ascii="Arial" w:hAnsi="Arial" w:cs="Arial"/>
          <w:b w:val="0"/>
          <w:bCs w:val="0"/>
          <w:color w:val="1D2125"/>
          <w:sz w:val="28"/>
          <w:szCs w:val="28"/>
        </w:rPr>
      </w:pPr>
      <w:r w:rsidRPr="00F34779">
        <w:rPr>
          <w:rStyle w:val="Heading1Char"/>
          <w:rFonts w:ascii="Arial" w:hAnsi="Arial" w:cs="Arial"/>
          <w:color w:val="1D2125"/>
          <w:sz w:val="28"/>
          <w:szCs w:val="28"/>
        </w:rPr>
        <w:t xml:space="preserve"> </w:t>
      </w:r>
      <w:r w:rsidRPr="00F34779">
        <w:rPr>
          <w:rStyle w:val="Strong"/>
          <w:rFonts w:ascii="Arial" w:hAnsi="Arial" w:cs="Arial"/>
          <w:b w:val="0"/>
          <w:bCs w:val="0"/>
          <w:color w:val="1D2125"/>
          <w:sz w:val="28"/>
          <w:szCs w:val="28"/>
        </w:rPr>
        <w:t xml:space="preserve">Module name: protecting and supporting families in health and social care </w:t>
      </w:r>
      <w:r>
        <w:rPr>
          <w:rStyle w:val="Strong"/>
          <w:rFonts w:ascii="Arial" w:hAnsi="Arial" w:cs="Arial"/>
          <w:b w:val="0"/>
          <w:bCs w:val="0"/>
          <w:color w:val="1D2125"/>
          <w:sz w:val="28"/>
          <w:szCs w:val="28"/>
        </w:rPr>
        <w:t>(BMHP5021)</w:t>
      </w:r>
    </w:p>
    <w:p w14:paraId="7253C8EB" w14:textId="77777777" w:rsidR="00F34779" w:rsidRPr="00F34779" w:rsidRDefault="00F34779" w:rsidP="00F34779">
      <w:pPr>
        <w:spacing w:line="360" w:lineRule="auto"/>
        <w:rPr>
          <w:rStyle w:val="Strong"/>
          <w:rFonts w:ascii="Arial" w:hAnsi="Arial" w:cs="Arial"/>
          <w:b w:val="0"/>
          <w:bCs w:val="0"/>
          <w:color w:val="1D2125"/>
          <w:sz w:val="28"/>
          <w:szCs w:val="28"/>
        </w:rPr>
      </w:pPr>
      <w:r w:rsidRPr="00F34779">
        <w:rPr>
          <w:rStyle w:val="Strong"/>
          <w:rFonts w:ascii="Arial" w:hAnsi="Arial" w:cs="Arial"/>
          <w:b w:val="0"/>
          <w:bCs w:val="0"/>
          <w:color w:val="1D2125"/>
          <w:sz w:val="28"/>
          <w:szCs w:val="28"/>
        </w:rPr>
        <w:t>Student name: Huma Zafar</w:t>
      </w:r>
    </w:p>
    <w:p w14:paraId="134FDD7A" w14:textId="77777777" w:rsidR="00F34779" w:rsidRPr="00F34779" w:rsidRDefault="00F34779" w:rsidP="00F34779">
      <w:pPr>
        <w:spacing w:line="360" w:lineRule="auto"/>
        <w:rPr>
          <w:rStyle w:val="Strong"/>
          <w:rFonts w:ascii="Arial" w:hAnsi="Arial" w:cs="Arial"/>
          <w:b w:val="0"/>
          <w:bCs w:val="0"/>
          <w:color w:val="1D2125"/>
          <w:sz w:val="28"/>
          <w:szCs w:val="28"/>
        </w:rPr>
      </w:pPr>
      <w:r w:rsidRPr="00F34779">
        <w:rPr>
          <w:rStyle w:val="Strong"/>
          <w:rFonts w:ascii="Arial" w:hAnsi="Arial" w:cs="Arial"/>
          <w:b w:val="0"/>
          <w:bCs w:val="0"/>
          <w:color w:val="1D2125"/>
          <w:sz w:val="28"/>
          <w:szCs w:val="28"/>
        </w:rPr>
        <w:t>Student number:2324433</w:t>
      </w:r>
    </w:p>
    <w:p w14:paraId="79F05FC4" w14:textId="35AC2AE6" w:rsidR="00F34779" w:rsidRPr="00F34779" w:rsidRDefault="00F34779" w:rsidP="00F34779">
      <w:pPr>
        <w:spacing w:line="360" w:lineRule="auto"/>
        <w:rPr>
          <w:rStyle w:val="Strong"/>
          <w:rFonts w:ascii="Arial" w:hAnsi="Arial" w:cs="Arial"/>
          <w:b w:val="0"/>
          <w:bCs w:val="0"/>
          <w:color w:val="1D2125"/>
          <w:sz w:val="28"/>
          <w:szCs w:val="28"/>
        </w:rPr>
      </w:pPr>
      <w:r w:rsidRPr="00F34779">
        <w:rPr>
          <w:rStyle w:val="Strong"/>
          <w:rFonts w:ascii="Arial" w:hAnsi="Arial" w:cs="Arial"/>
          <w:b w:val="0"/>
          <w:bCs w:val="0"/>
          <w:color w:val="1D2125"/>
          <w:sz w:val="28"/>
          <w:szCs w:val="28"/>
        </w:rPr>
        <w:t xml:space="preserve">Lecturer’s name: </w:t>
      </w:r>
      <w:r>
        <w:rPr>
          <w:rStyle w:val="Strong"/>
          <w:rFonts w:ascii="Arial" w:hAnsi="Arial" w:cs="Arial"/>
          <w:b w:val="0"/>
          <w:bCs w:val="0"/>
          <w:color w:val="1D2125"/>
          <w:sz w:val="28"/>
          <w:szCs w:val="28"/>
        </w:rPr>
        <w:t>Amanda Jones</w:t>
      </w:r>
    </w:p>
    <w:p w14:paraId="1596E93A" w14:textId="77777777" w:rsidR="00F34779" w:rsidRDefault="00F34779" w:rsidP="00F34779">
      <w:pPr>
        <w:spacing w:line="480" w:lineRule="auto"/>
        <w:rPr>
          <w:b/>
          <w:bCs/>
        </w:rPr>
      </w:pPr>
    </w:p>
    <w:p w14:paraId="6830AA7F" w14:textId="597E15D5" w:rsidR="001732AD" w:rsidRDefault="001732AD" w:rsidP="001732AD">
      <w:pPr>
        <w:spacing w:line="480" w:lineRule="auto"/>
        <w:jc w:val="center"/>
      </w:pPr>
    </w:p>
    <w:p w14:paraId="5FA62F49" w14:textId="69CE9448" w:rsidR="001732AD" w:rsidRPr="001732AD" w:rsidRDefault="001732AD" w:rsidP="001732AD">
      <w:pPr>
        <w:spacing w:line="480" w:lineRule="auto"/>
        <w:jc w:val="center"/>
      </w:pPr>
      <w:r>
        <w:t>Course Code</w:t>
      </w:r>
    </w:p>
    <w:p w14:paraId="5974DBAC" w14:textId="77777777" w:rsidR="001732AD" w:rsidRDefault="001732AD" w:rsidP="001732AD">
      <w:pPr>
        <w:spacing w:line="480" w:lineRule="auto"/>
        <w:rPr>
          <w:b/>
          <w:bCs/>
        </w:rPr>
      </w:pPr>
    </w:p>
    <w:p w14:paraId="1ECB6CBC" w14:textId="77777777" w:rsidR="001732AD" w:rsidRDefault="001732AD" w:rsidP="001732AD">
      <w:pPr>
        <w:spacing w:line="480" w:lineRule="auto"/>
        <w:rPr>
          <w:b/>
          <w:bCs/>
        </w:rPr>
      </w:pPr>
    </w:p>
    <w:p w14:paraId="7E851F13" w14:textId="77777777" w:rsidR="001732AD" w:rsidRDefault="001732AD" w:rsidP="001732AD">
      <w:pPr>
        <w:spacing w:line="480" w:lineRule="auto"/>
        <w:rPr>
          <w:b/>
          <w:bCs/>
        </w:rPr>
      </w:pPr>
    </w:p>
    <w:p w14:paraId="0A797DA9" w14:textId="77777777" w:rsidR="001732AD" w:rsidRDefault="001732AD" w:rsidP="001732AD">
      <w:pPr>
        <w:spacing w:line="480" w:lineRule="auto"/>
        <w:rPr>
          <w:b/>
          <w:bCs/>
        </w:rPr>
      </w:pPr>
    </w:p>
    <w:p w14:paraId="4C351CAC" w14:textId="77777777" w:rsidR="001732AD" w:rsidRDefault="001732AD" w:rsidP="001732AD">
      <w:pPr>
        <w:spacing w:line="480" w:lineRule="auto"/>
        <w:rPr>
          <w:b/>
          <w:bCs/>
        </w:rPr>
      </w:pPr>
    </w:p>
    <w:p w14:paraId="246590A3" w14:textId="77777777" w:rsidR="001732AD" w:rsidRDefault="001732AD" w:rsidP="001732AD">
      <w:pPr>
        <w:spacing w:line="480" w:lineRule="auto"/>
        <w:rPr>
          <w:b/>
          <w:bCs/>
        </w:rPr>
      </w:pPr>
    </w:p>
    <w:p w14:paraId="79A005E6" w14:textId="77777777" w:rsidR="001732AD" w:rsidRDefault="001732AD" w:rsidP="001732AD">
      <w:pPr>
        <w:spacing w:line="480" w:lineRule="auto"/>
        <w:rPr>
          <w:b/>
          <w:bCs/>
        </w:rPr>
      </w:pPr>
    </w:p>
    <w:p w14:paraId="65F3BA60" w14:textId="77777777" w:rsidR="001732AD" w:rsidRDefault="001732AD" w:rsidP="001732AD">
      <w:pPr>
        <w:spacing w:line="480" w:lineRule="auto"/>
        <w:rPr>
          <w:b/>
          <w:bCs/>
        </w:rPr>
      </w:pPr>
    </w:p>
    <w:p w14:paraId="43A0DD43" w14:textId="77777777" w:rsidR="001732AD" w:rsidRDefault="001732AD" w:rsidP="001732AD">
      <w:pPr>
        <w:spacing w:line="480" w:lineRule="auto"/>
        <w:rPr>
          <w:b/>
          <w:bCs/>
        </w:rPr>
      </w:pPr>
    </w:p>
    <w:p w14:paraId="178DB111" w14:textId="77777777" w:rsidR="001732AD" w:rsidRDefault="001732AD" w:rsidP="001732AD">
      <w:pPr>
        <w:spacing w:line="480" w:lineRule="auto"/>
        <w:rPr>
          <w:b/>
          <w:bCs/>
        </w:rPr>
      </w:pPr>
    </w:p>
    <w:p w14:paraId="5E2CFADC" w14:textId="77777777" w:rsidR="001732AD" w:rsidRDefault="001732AD" w:rsidP="001732AD">
      <w:pPr>
        <w:spacing w:line="480" w:lineRule="auto"/>
        <w:rPr>
          <w:b/>
          <w:bCs/>
        </w:rPr>
      </w:pPr>
    </w:p>
    <w:p w14:paraId="78772ACE" w14:textId="77777777" w:rsidR="001732AD" w:rsidRDefault="001732AD" w:rsidP="001732AD">
      <w:pPr>
        <w:spacing w:line="480" w:lineRule="auto"/>
        <w:rPr>
          <w:b/>
          <w:bCs/>
        </w:rPr>
      </w:pPr>
    </w:p>
    <w:p w14:paraId="60152C1F" w14:textId="77777777" w:rsidR="001732AD" w:rsidRDefault="001732AD" w:rsidP="001732AD">
      <w:pPr>
        <w:spacing w:line="480" w:lineRule="auto"/>
        <w:rPr>
          <w:b/>
          <w:bCs/>
        </w:rPr>
      </w:pPr>
    </w:p>
    <w:p w14:paraId="746C0C0C" w14:textId="77777777" w:rsidR="001732AD" w:rsidRDefault="001732AD" w:rsidP="001732AD">
      <w:pPr>
        <w:spacing w:line="480" w:lineRule="auto"/>
        <w:rPr>
          <w:b/>
          <w:bCs/>
        </w:rPr>
      </w:pPr>
    </w:p>
    <w:p w14:paraId="42149E4D" w14:textId="77777777" w:rsidR="001732AD" w:rsidRDefault="001732AD" w:rsidP="001732AD">
      <w:pPr>
        <w:spacing w:line="480" w:lineRule="auto"/>
        <w:rPr>
          <w:b/>
          <w:bCs/>
        </w:rPr>
      </w:pPr>
    </w:p>
    <w:p w14:paraId="0D4E10B9" w14:textId="77777777" w:rsidR="001732AD" w:rsidRDefault="001732AD" w:rsidP="001732AD">
      <w:pPr>
        <w:spacing w:line="480" w:lineRule="auto"/>
        <w:rPr>
          <w:b/>
          <w:bCs/>
        </w:rPr>
      </w:pPr>
    </w:p>
    <w:p w14:paraId="7D1595F3" w14:textId="77777777" w:rsidR="001732AD" w:rsidRDefault="001732AD" w:rsidP="001732AD">
      <w:pPr>
        <w:spacing w:line="480" w:lineRule="auto"/>
        <w:rPr>
          <w:b/>
          <w:bCs/>
        </w:rPr>
      </w:pPr>
    </w:p>
    <w:p w14:paraId="2143451F" w14:textId="77777777" w:rsidR="001732AD" w:rsidRDefault="001732AD" w:rsidP="001732AD">
      <w:pPr>
        <w:spacing w:line="480" w:lineRule="auto"/>
        <w:rPr>
          <w:b/>
          <w:bCs/>
        </w:rPr>
      </w:pPr>
    </w:p>
    <w:p w14:paraId="777EE7E5" w14:textId="2CBF8C22" w:rsidR="004967F4" w:rsidRDefault="004967F4" w:rsidP="001732AD">
      <w:pPr>
        <w:spacing w:line="480" w:lineRule="auto"/>
        <w:rPr>
          <w:b/>
          <w:bCs/>
        </w:rPr>
      </w:pPr>
      <w:r w:rsidRPr="001732AD">
        <w:rPr>
          <w:b/>
          <w:bCs/>
        </w:rPr>
        <w:t>Introduction</w:t>
      </w:r>
    </w:p>
    <w:p w14:paraId="5AE57703" w14:textId="77777777" w:rsidR="001732AD" w:rsidRDefault="001732AD" w:rsidP="001732AD">
      <w:pPr>
        <w:spacing w:line="480" w:lineRule="auto"/>
      </w:pPr>
      <w:r>
        <w:t>The Early Help provision is a key element in the UK safeguarding system, to intervene early to avoid progression into statutory safeguarding of the child. It lies at Level Two of the Threshold of Need framework and includes a broad array of agencies including schools and health services as well as voluntary organisations to help families before risks escalate to acute (Department for Education &amp; Department for Levelling Up, Housing and Communities, 2022). The success of such a system, though, depends not only on how well multi-agency collaboration works but also on the availability of the information shared with families. Local authority websites are the main online entry point that helps this family to get support, as they can be readily signposted to, but their clarity, inclusivity and ease of navigation vary significantly.</w:t>
      </w:r>
    </w:p>
    <w:p w14:paraId="21F642C2" w14:textId="499512C5" w:rsidR="001732AD" w:rsidRPr="001732AD" w:rsidRDefault="001732AD" w:rsidP="001732AD">
      <w:pPr>
        <w:spacing w:line="480" w:lineRule="auto"/>
      </w:pPr>
      <w:r>
        <w:t>The present report critically looks at the way in which Leicestershire County Council, Norfolk County Council and Staffordshire County Council convey the message of Early Help online. These were chosen to give a comparative balance among various models of delivery such as the Family Help Service of Leicestershire, Family Hubs of Norfolk and Families First techniques of Staffordshire. The discussion appraises strengths and weaknesses in presentation, accessibility and integration of service provision and provides comparative understanding and evidence-based suggestions on how to improve the situation. By so doing, the report strengthens the centrality of convenient digital communication in the protection and family support.</w:t>
      </w:r>
    </w:p>
    <w:p w14:paraId="0B9F738B" w14:textId="10255CD2" w:rsidR="004967F4" w:rsidRPr="004967F4" w:rsidRDefault="004967F4" w:rsidP="001732AD">
      <w:pPr>
        <w:spacing w:line="480" w:lineRule="auto"/>
        <w:rPr>
          <w:b/>
          <w:bCs/>
        </w:rPr>
      </w:pPr>
      <w:r w:rsidRPr="004967F4">
        <w:rPr>
          <w:b/>
          <w:bCs/>
        </w:rPr>
        <w:t xml:space="preserve">Explanation of the Early Help System </w:t>
      </w:r>
    </w:p>
    <w:p w14:paraId="7F205C01" w14:textId="77777777" w:rsidR="004967F4" w:rsidRDefault="004967F4" w:rsidP="001732AD">
      <w:pPr>
        <w:spacing w:line="480" w:lineRule="auto"/>
      </w:pPr>
      <w:r>
        <w:t>According to the Supporting Families: Early Help System Guide (Department for Education and Department for Levelling Up, Housing and Communities, 2022), the Early Help system is characterized by a coordinated support structure of intervention aimed at identifying and supporting evolving issues in families prior to turning into statutory child protection cases. Early Help is found at the Level Two of the Threshold of Need model that lies between universal (Level One) and statutory child protection (Level Four) services. This stance can be described as its preventative orientation: not a universal entitlement, but a crisis response, but rather a specific intervention to stabilise families and foster resilience at the formative stage (DfE &amp; DLUHC, 2022).</w:t>
      </w:r>
    </w:p>
    <w:p w14:paraId="1776A1A1" w14:textId="77777777" w:rsidR="004967F4" w:rsidRDefault="004967F4" w:rsidP="001732AD">
      <w:pPr>
        <w:spacing w:line="480" w:lineRule="auto"/>
      </w:pPr>
      <w:r>
        <w:t>The system is large and covers diverse services and organisations, which indicate the diversity of family needs. Access to hubs and children centres offer easy points of entry to parents and school and post 16 education establishments act as key agents in the early detection of need. There are health services such as GPs, maternity services and specialist public health nurses which helps in monitoring development and wellbeing issues. Socio-economic pressures that form the basis of family stress are managed through housing services, Jobcentre Plus and local businesses. Non-profit, religious, and community organisations also make the Early Help more locally linked into networks, where they will be culturally sensitive and provide locally (DfE &amp; DLUHC, 2022).</w:t>
      </w:r>
    </w:p>
    <w:p w14:paraId="3D235C5B" w14:textId="77777777" w:rsidR="004967F4" w:rsidRDefault="004967F4" w:rsidP="001732AD">
      <w:pPr>
        <w:spacing w:line="480" w:lineRule="auto"/>
      </w:pPr>
      <w:r>
        <w:t>Early Help is a strategic intervention aimed at intervening early before a child is escalated into more statutory services, like child protection interventions or youth offending interventions. Through commensurate care, that is, the parenting programmes, financial advice or emotional wellbeing services will enable the families to take care of issues before it can hurt the development of children. In that sense Early Help is preventative and enabling: it decreases demand on statutory services and encourages family independence and strength. Their success though relies on good sign-posting and ease of communication especially using websites by a local authority, which are the main point of entry point to those seeking assistance of families.</w:t>
      </w:r>
    </w:p>
    <w:p w14:paraId="1E6D5931" w14:textId="5FA676B8" w:rsidR="004967F4" w:rsidRPr="004967F4" w:rsidRDefault="004967F4" w:rsidP="001732AD">
      <w:pPr>
        <w:spacing w:line="480" w:lineRule="auto"/>
        <w:rPr>
          <w:b/>
          <w:bCs/>
        </w:rPr>
      </w:pPr>
      <w:r w:rsidRPr="004967F4">
        <w:rPr>
          <w:b/>
          <w:bCs/>
        </w:rPr>
        <w:t>The Multi-Agency Working</w:t>
      </w:r>
    </w:p>
    <w:p w14:paraId="6403673E" w14:textId="77777777" w:rsidR="004967F4" w:rsidRDefault="004967F4" w:rsidP="001732AD">
      <w:pPr>
        <w:spacing w:line="480" w:lineRule="auto"/>
      </w:pPr>
      <w:r>
        <w:t xml:space="preserve">The concept of multi-agency working, which is explained in Working Together to Safeguard Children (HM Government, 2023) and strengthened by new Department for Education guidelines (DfE, 2025), is the collective practice in which professionals in various fields can share responsibilities, information, and expertise to keep children safe and assist families. It forms the basis of the Early Help system, and acknowledges that none of the agencies alone can responsively offer enough to the </w:t>
      </w:r>
      <w:proofErr w:type="spellStart"/>
      <w:r>
        <w:t>multi faceted</w:t>
      </w:r>
      <w:proofErr w:type="spellEnd"/>
      <w:r>
        <w:t xml:space="preserve"> problems that families encounter. High-quality cooperation guarantees timeliness, wholeness, and coherence of interventions to the overall safeguarding agenda (HM Government, 2023).</w:t>
      </w:r>
    </w:p>
    <w:p w14:paraId="719CA96F" w14:textId="77777777" w:rsidR="004967F4" w:rsidRDefault="004967F4" w:rsidP="001732AD">
      <w:pPr>
        <w:spacing w:line="480" w:lineRule="auto"/>
      </w:pPr>
      <w:r>
        <w:t>The list of agencies involved helps to show the scope of expertise needed. Statutory oversight and case management is offered by social workers and early indicators of need are identified in school settings by teachers and other education professionals. Community safety officers, police, and health practitioners can be involved in the mitigation of risks associated with crime or domestic violence, or tracking developmental, physical, and psychological care. Voluntary organisations and youth workers push the support system into community settings providing informal and easy access to the youth and families. All these agencies develop distinct understandings and, when put together, their point of views form a comprehensive picture of family situations (NSPCC Learning, 2025).</w:t>
      </w:r>
    </w:p>
    <w:p w14:paraId="71D78B91" w14:textId="221D0774" w:rsidR="004967F4" w:rsidRDefault="004967F4" w:rsidP="001732AD">
      <w:pPr>
        <w:spacing w:line="480" w:lineRule="auto"/>
      </w:pPr>
      <w:r>
        <w:t>The advantages of multi-agency working are obvious, namely: the possibility of risks identification early, the uniformity of service delivery, and the possibility to pool the resources and maximise their effect. Yet challenges persist. Data protection issues might limit information sharing, a lack of resources might limit capacity, and coordination can be complicated by differing organisational cultures (UCL Institute of Education, 2025). Such obstacles demonstrate the significance of effective guidelines, common goals, and long-term investments in collaboration. Such issues notwithstanding, multi-agency working is central to the success of Early Help, keeping families in line with both short-term and long-term resilience in the context of receiving multi-agency support.</w:t>
      </w:r>
    </w:p>
    <w:p w14:paraId="5D836006" w14:textId="76FDE61B" w:rsidR="00F5496B" w:rsidRPr="001732AD" w:rsidRDefault="00F5496B" w:rsidP="001732AD">
      <w:pPr>
        <w:spacing w:line="480" w:lineRule="auto"/>
        <w:rPr>
          <w:b/>
          <w:bCs/>
        </w:rPr>
      </w:pPr>
      <w:r w:rsidRPr="001732AD">
        <w:rPr>
          <w:b/>
          <w:bCs/>
        </w:rPr>
        <w:t xml:space="preserve">1. Leicestershire County Council </w:t>
      </w:r>
    </w:p>
    <w:p w14:paraId="1407A079" w14:textId="77777777" w:rsidR="00F5496B" w:rsidRDefault="00F5496B" w:rsidP="001732AD">
      <w:pPr>
        <w:spacing w:line="480" w:lineRule="auto"/>
      </w:pPr>
      <w:r>
        <w:t xml:space="preserve">Leicestershire County Council has formed Early Help in the form of its Family Help Service which consolidates some of its former projects, including Children Centres as well as its troubled </w:t>
      </w:r>
      <w:proofErr w:type="gramStart"/>
      <w:r>
        <w:t>families</w:t>
      </w:r>
      <w:proofErr w:type="gramEnd"/>
      <w:r>
        <w:t xml:space="preserve"> programme. The site describes Early Help as highly focused support to families facing challenges on top of universal services, making it clear that it fits into the preventative safeguarding agenda (Leicestershire County Council, 2025). Navigation is easy and the Early Help information can be found at the Help for children and families. The language is </w:t>
      </w:r>
      <w:proofErr w:type="spellStart"/>
      <w:r>
        <w:t>straightforwards</w:t>
      </w:r>
      <w:proofErr w:type="spellEnd"/>
      <w:r>
        <w:t xml:space="preserve"> and does not contain jargon that is aligned to GOV.UK accessibility standards (GOV.UK, 2024).</w:t>
      </w:r>
    </w:p>
    <w:p w14:paraId="03A3F0B7" w14:textId="77777777" w:rsidR="00F5496B" w:rsidRDefault="00F5496B" w:rsidP="001732AD">
      <w:pPr>
        <w:spacing w:line="480" w:lineRule="auto"/>
      </w:pPr>
      <w:r>
        <w:t>There is a wide range of content through the antenatal courses, family learning programmes, health visitor clinics and one to one specific assistance. The referral pathways have been articulated, and the first point of contact is the First Response Children Duty team, so it has professional supervision (Leicestershire County Council, 2025). The advantages are the combination of various services that can be accessed in one umbrella minimizing the issues of fragmentation as well as giving the families the option of just one point of entry. The weak areas although are the less frequent use of interactive tools or multilingual resources. Although the information is understandable, user-centred design elements like the question-and-answer list or service indexes could be added to the presentation.</w:t>
      </w:r>
    </w:p>
    <w:p w14:paraId="43565D25" w14:textId="77777777" w:rsidR="00F5496B" w:rsidRDefault="00F5496B" w:rsidP="001732AD">
      <w:pPr>
        <w:spacing w:line="480" w:lineRule="auto"/>
      </w:pPr>
      <w:r>
        <w:t xml:space="preserve">In sum, the site in Leicestershire is comprehensive and </w:t>
      </w:r>
      <w:proofErr w:type="spellStart"/>
      <w:r>
        <w:t>well articulated</w:t>
      </w:r>
      <w:proofErr w:type="spellEnd"/>
      <w:r>
        <w:t xml:space="preserve"> but needs better accessibility aspects to empower different families. The lack of interactive sources implies that, although it is an informative site, it may become less appealing to those families who are not so digital literate. Herein lies the need to incorporate principles of accessibility when designing and not only linguistically, but also to make information about Early Help comprehensive and useful.</w:t>
      </w:r>
    </w:p>
    <w:p w14:paraId="634024EA" w14:textId="77777777" w:rsidR="00F5496B" w:rsidRDefault="00F5496B" w:rsidP="001732AD">
      <w:pPr>
        <w:spacing w:line="480" w:lineRule="auto"/>
      </w:pPr>
    </w:p>
    <w:p w14:paraId="2ED501FF" w14:textId="05719226" w:rsidR="00F5496B" w:rsidRPr="001732AD" w:rsidRDefault="00F5496B" w:rsidP="001732AD">
      <w:pPr>
        <w:spacing w:line="480" w:lineRule="auto"/>
        <w:rPr>
          <w:b/>
          <w:bCs/>
        </w:rPr>
      </w:pPr>
      <w:r w:rsidRPr="001732AD">
        <w:rPr>
          <w:b/>
          <w:bCs/>
        </w:rPr>
        <w:t xml:space="preserve">2. Norfolk County Council </w:t>
      </w:r>
    </w:p>
    <w:p w14:paraId="3CBA5713" w14:textId="77777777" w:rsidR="00F5496B" w:rsidRDefault="00F5496B" w:rsidP="001732AD">
      <w:pPr>
        <w:spacing w:line="480" w:lineRule="auto"/>
      </w:pPr>
      <w:r>
        <w:t xml:space="preserve">Norfolk County Council provides an interpretation of the Early Help in its Family Hubs model which focuses on its ease of access on its site and in person. According to the site, Early Help is the support of families whose children are 18 or better (25 with the case of children with special educational need and disability) and implies the inclusivity and alignment with the statutory guidance on safeguarding (Norfolk County Council, 2025). Navigation works well, and Early Help data are under the Children and </w:t>
      </w:r>
      <w:proofErr w:type="gramStart"/>
      <w:r>
        <w:t>families</w:t>
      </w:r>
      <w:proofErr w:type="gramEnd"/>
      <w:r>
        <w:t xml:space="preserve"> section, and the language is understandable, adhering to the GOV.UK accessibility criteria (GOV.UK, 2024).</w:t>
      </w:r>
    </w:p>
    <w:p w14:paraId="53AB39A9" w14:textId="1C7DAA83" w:rsidR="00F5496B" w:rsidRDefault="00F5496B" w:rsidP="001732AD">
      <w:pPr>
        <w:spacing w:line="480" w:lineRule="auto"/>
      </w:pPr>
      <w:r>
        <w:t xml:space="preserve">It is comprehensive in the content, including advice on parenting challenges, mental health and finances. </w:t>
      </w:r>
      <w:r w:rsidR="001732AD">
        <w:t xml:space="preserve">One </w:t>
      </w:r>
      <w:r>
        <w:t xml:space="preserve">can apply to Early Help </w:t>
      </w:r>
      <w:proofErr w:type="spellStart"/>
      <w:r>
        <w:t>help</w:t>
      </w:r>
      <w:proofErr w:type="spellEnd"/>
      <w:r>
        <w:t xml:space="preserve"> as a family through online forms, and as a professional through a stepwise guide to submissions of assessments (Norfolk County Council, 2025). The strengths will consist of the clarity of the referral pathways and inclusiveness, especially to the families with disabled children. Limitations of the interaction resources to parents, however, constitute weaknesses. Although professionals are well-supported, information provided can look formal and dull to the family.</w:t>
      </w:r>
    </w:p>
    <w:p w14:paraId="6ACFE65A" w14:textId="77777777" w:rsidR="00F5496B" w:rsidRDefault="00F5496B" w:rsidP="001732AD">
      <w:pPr>
        <w:spacing w:line="480" w:lineRule="auto"/>
      </w:pPr>
      <w:r>
        <w:t>The focus on family hubs model is also indicative of the focus on the family hubs model proposed by Norfolk, since the firm proves to adhere to the principle of integrated service delivery where the family can receive both general and specific assistance under one roof. Nonetheless, the site over-relies on the use of text-based explanations that might not be more compelling than less literate families or families that need pictorial support. The accessibility would be reinforced through the introduction of parent-friendly resources, multilingual data and feedback systems into the site. The location of Norfolk also exhibits good correspondence to the principles of safeguarding but has to be more adapted to different family audiences.</w:t>
      </w:r>
    </w:p>
    <w:p w14:paraId="54F83A0B" w14:textId="1C03345D" w:rsidR="00F5496B" w:rsidRPr="001732AD" w:rsidRDefault="00F5496B" w:rsidP="001732AD">
      <w:pPr>
        <w:spacing w:line="480" w:lineRule="auto"/>
        <w:rPr>
          <w:b/>
          <w:bCs/>
        </w:rPr>
      </w:pPr>
      <w:r w:rsidRPr="001732AD">
        <w:rPr>
          <w:b/>
          <w:bCs/>
        </w:rPr>
        <w:t xml:space="preserve">3. Staffordshire County Council </w:t>
      </w:r>
    </w:p>
    <w:p w14:paraId="51D7A1CB" w14:textId="77777777" w:rsidR="00F5496B" w:rsidRDefault="00F5496B" w:rsidP="001732AD">
      <w:pPr>
        <w:spacing w:line="480" w:lineRule="auto"/>
      </w:pPr>
      <w:r>
        <w:t>Staffordshire County Council proposes Early Help via its Families First service through which it provides its services across 19 geographical patches. The site understands Early Help as an extra support given to families that were struggling beyond informal networks and places it in Level Two of the Threshold of Need (Staffordshire County Council, 2025). Clarity of navigation is good, and the Early Help information is found under the Children, young people and families and the language is simple, and is up to the GOV.UK accessibility standards (GOV.UK, 2024).</w:t>
      </w:r>
    </w:p>
    <w:p w14:paraId="5866D4DE" w14:textId="77777777" w:rsidR="00F5496B" w:rsidRDefault="00F5496B" w:rsidP="001732AD">
      <w:pPr>
        <w:spacing w:line="480" w:lineRule="auto"/>
      </w:pPr>
      <w:r>
        <w:t>Content available is broad, with lists of services when using the Early Help Partnership. Families may use safeguarding units, disability services and interventions. There are well defined referral pathways which focus on early intervention before progression (Staffordshire County Council, 2025). The strengths are the range of services and high loyalty to locality, whereby the families get customized services. The weaknesses are low visibility of online resources by parents. Although the directory is not limited, the site can be enhanced with interactive elements, like self-assessment tools or language selection.</w:t>
      </w:r>
    </w:p>
    <w:p w14:paraId="5AE0C9B1" w14:textId="7C01269B" w:rsidR="00F5496B" w:rsidRDefault="00F5496B" w:rsidP="001732AD">
      <w:pPr>
        <w:spacing w:line="480" w:lineRule="auto"/>
      </w:pPr>
      <w:r>
        <w:t>Staffordshire has done well in focusing on locality because families get the help suitable to their community. Nonetheless, the disordered nature of information presentation on various pages might impede accessibility. Families might be unable to follow through various links to access the relevant services; hence the issue of the referral pathways being unclear. To improve usability, more interactive instruments and a set of service directories could be added to the site. Regarding the digital accessibility and user-centred design, in general, the site of Staffordshire is robust in both its scope and locality, but it needs more refinement.</w:t>
      </w:r>
    </w:p>
    <w:p w14:paraId="6C420477" w14:textId="77777777" w:rsidR="00F5496B" w:rsidRPr="001732AD" w:rsidRDefault="00F5496B" w:rsidP="001732AD">
      <w:pPr>
        <w:spacing w:line="480" w:lineRule="auto"/>
        <w:rPr>
          <w:b/>
          <w:bCs/>
        </w:rPr>
      </w:pPr>
      <w:r w:rsidRPr="001732AD">
        <w:rPr>
          <w:b/>
          <w:bCs/>
        </w:rPr>
        <w:t>Conclusion and Recommendations</w:t>
      </w:r>
    </w:p>
    <w:p w14:paraId="3BB22937" w14:textId="77777777" w:rsidR="00F5496B" w:rsidRDefault="00F5496B" w:rsidP="001732AD">
      <w:pPr>
        <w:spacing w:line="480" w:lineRule="auto"/>
      </w:pPr>
      <w:r>
        <w:t xml:space="preserve">The analysis of the County Council websites in Leicestershire, Norfolk and Staffordshire shows that there is also a significant difference in the way Early Help is disseminated to families. The Family Help Service of Leicestershire is comprehensive and clear, and it unites various services into a single umbrella, but fails to offer interactive as well as multilingual and multimedia-related resources to be more approachable (Leicestershire County Council, 2025). Family Hubs in Norfolk is a comprehensive model that conforms well with statutory protection strategies especially in cases of families having disabled kids, however, its text heavy format tends to lose interest among less literate parents (Norfolk County Council, 2025). The Families First service of Staffordshire is outstanding in offering provision by locality and inclusive directories, but the diversity of its display and the inadequate use of digital means negatively </w:t>
      </w:r>
      <w:proofErr w:type="gramStart"/>
      <w:r>
        <w:t>affects</w:t>
      </w:r>
      <w:proofErr w:type="gramEnd"/>
      <w:r>
        <w:t xml:space="preserve"> usability (Staffordshire County Council, 2025).</w:t>
      </w:r>
    </w:p>
    <w:p w14:paraId="3CE3F0AE" w14:textId="77777777" w:rsidR="00F5496B" w:rsidRDefault="00F5496B" w:rsidP="001732AD">
      <w:pPr>
        <w:spacing w:line="480" w:lineRule="auto"/>
      </w:pPr>
      <w:r>
        <w:t>Overall, Norfolk is the most useful in terms of both its accessibility and inclusivity, especially in terms of its distinct referral pathways and commitment to integrated family hubs. The common areas of improvement however exist in all the three councils. Evidence-based recommendations include:</w:t>
      </w:r>
    </w:p>
    <w:p w14:paraId="0F952AEA" w14:textId="77777777" w:rsidR="00F5496B" w:rsidRDefault="00F5496B" w:rsidP="001732AD">
      <w:pPr>
        <w:spacing w:line="480" w:lineRule="auto"/>
      </w:pPr>
      <w:r>
        <w:t xml:space="preserve">• </w:t>
      </w:r>
      <w:r>
        <w:tab/>
        <w:t>Better referral pathways displayed using interactive FAQs or flowcharts to follow step-by-step.</w:t>
      </w:r>
    </w:p>
    <w:p w14:paraId="689C1578" w14:textId="77777777" w:rsidR="00F5496B" w:rsidRDefault="00F5496B" w:rsidP="001732AD">
      <w:pPr>
        <w:spacing w:line="480" w:lineRule="auto"/>
      </w:pPr>
      <w:r>
        <w:t xml:space="preserve">• </w:t>
      </w:r>
      <w:r>
        <w:tab/>
        <w:t>Feedback systems that provide the family with the opportunity to assess services and control continuous improvement.</w:t>
      </w:r>
    </w:p>
    <w:p w14:paraId="46F07ADA" w14:textId="77777777" w:rsidR="00F5496B" w:rsidRDefault="00F5496B" w:rsidP="001732AD">
      <w:pPr>
        <w:spacing w:line="480" w:lineRule="auto"/>
      </w:pPr>
      <w:r>
        <w:t xml:space="preserve">• </w:t>
      </w:r>
      <w:r>
        <w:tab/>
        <w:t>Multilingual materials to guarantee diversity inclusion of various communities.</w:t>
      </w:r>
    </w:p>
    <w:p w14:paraId="12A5EA5E" w14:textId="77777777" w:rsidR="00F5496B" w:rsidRDefault="00F5496B" w:rsidP="001732AD">
      <w:pPr>
        <w:spacing w:line="480" w:lineRule="auto"/>
      </w:pPr>
      <w:r>
        <w:t xml:space="preserve">• Interactive options like </w:t>
      </w:r>
      <w:proofErr w:type="spellStart"/>
      <w:r>
        <w:t>self assessment</w:t>
      </w:r>
      <w:proofErr w:type="spellEnd"/>
      <w:r>
        <w:t xml:space="preserve"> form, video explainers and service directories to increase interaction.</w:t>
      </w:r>
    </w:p>
    <w:p w14:paraId="6692AA14" w14:textId="021CE494" w:rsidR="00F5496B" w:rsidRDefault="00F5496B" w:rsidP="001732AD">
      <w:pPr>
        <w:spacing w:line="480" w:lineRule="auto"/>
      </w:pPr>
      <w:r>
        <w:t>Finally, the availability of digital communication is not the marginal issue but core of protection. Local authorities can enhance the Early Help delivery and empower families to seek support before things get out of hand by designing websites that are user-centred, inclusive, and adhere to the accessibility standards (GOV.UK, 2024).</w:t>
      </w:r>
    </w:p>
    <w:p w14:paraId="1483F179" w14:textId="77777777" w:rsidR="001732AD" w:rsidRDefault="001732AD" w:rsidP="001732AD">
      <w:pPr>
        <w:spacing w:line="480" w:lineRule="auto"/>
      </w:pPr>
    </w:p>
    <w:p w14:paraId="5F6AEBDA" w14:textId="77777777" w:rsidR="001732AD" w:rsidRDefault="001732AD" w:rsidP="001732AD">
      <w:pPr>
        <w:spacing w:line="480" w:lineRule="auto"/>
      </w:pPr>
    </w:p>
    <w:p w14:paraId="6F64954C" w14:textId="77777777" w:rsidR="001732AD" w:rsidRDefault="001732AD" w:rsidP="001732AD">
      <w:pPr>
        <w:spacing w:line="480" w:lineRule="auto"/>
      </w:pPr>
    </w:p>
    <w:p w14:paraId="713E9924" w14:textId="77777777" w:rsidR="001732AD" w:rsidRDefault="001732AD" w:rsidP="001732AD">
      <w:pPr>
        <w:spacing w:line="480" w:lineRule="auto"/>
      </w:pPr>
    </w:p>
    <w:p w14:paraId="6F984AA3" w14:textId="77777777" w:rsidR="001732AD" w:rsidRDefault="001732AD" w:rsidP="001732AD">
      <w:pPr>
        <w:spacing w:line="480" w:lineRule="auto"/>
      </w:pPr>
    </w:p>
    <w:p w14:paraId="4873B510" w14:textId="77777777" w:rsidR="001732AD" w:rsidRDefault="001732AD" w:rsidP="001732AD">
      <w:pPr>
        <w:spacing w:line="480" w:lineRule="auto"/>
      </w:pPr>
    </w:p>
    <w:p w14:paraId="103E58EB" w14:textId="77777777" w:rsidR="001732AD" w:rsidRDefault="001732AD" w:rsidP="001732AD">
      <w:pPr>
        <w:spacing w:line="480" w:lineRule="auto"/>
      </w:pPr>
    </w:p>
    <w:p w14:paraId="0792D823" w14:textId="77777777" w:rsidR="001732AD" w:rsidRDefault="001732AD" w:rsidP="001732AD">
      <w:pPr>
        <w:spacing w:line="480" w:lineRule="auto"/>
      </w:pPr>
    </w:p>
    <w:p w14:paraId="2028B5E1" w14:textId="77777777" w:rsidR="001732AD" w:rsidRDefault="001732AD" w:rsidP="001732AD">
      <w:pPr>
        <w:spacing w:line="480" w:lineRule="auto"/>
      </w:pPr>
    </w:p>
    <w:p w14:paraId="37B2E86C" w14:textId="77777777" w:rsidR="001732AD" w:rsidRDefault="001732AD" w:rsidP="001732AD">
      <w:pPr>
        <w:spacing w:line="480" w:lineRule="auto"/>
      </w:pPr>
    </w:p>
    <w:p w14:paraId="28AFE5BF" w14:textId="77777777" w:rsidR="001732AD" w:rsidRDefault="001732AD" w:rsidP="001732AD">
      <w:pPr>
        <w:spacing w:line="480" w:lineRule="auto"/>
      </w:pPr>
    </w:p>
    <w:p w14:paraId="4679D095" w14:textId="77777777" w:rsidR="001732AD" w:rsidRDefault="001732AD" w:rsidP="001732AD">
      <w:pPr>
        <w:spacing w:line="480" w:lineRule="auto"/>
      </w:pPr>
    </w:p>
    <w:p w14:paraId="263189DE" w14:textId="77777777" w:rsidR="001732AD" w:rsidRDefault="001732AD" w:rsidP="001732AD">
      <w:pPr>
        <w:spacing w:line="480" w:lineRule="auto"/>
      </w:pPr>
    </w:p>
    <w:p w14:paraId="1752DB9F" w14:textId="77777777" w:rsidR="001732AD" w:rsidRDefault="001732AD" w:rsidP="001732AD">
      <w:pPr>
        <w:spacing w:line="480" w:lineRule="auto"/>
      </w:pPr>
    </w:p>
    <w:p w14:paraId="473B5023" w14:textId="77777777" w:rsidR="001732AD" w:rsidRDefault="001732AD" w:rsidP="001732AD">
      <w:pPr>
        <w:spacing w:line="480" w:lineRule="auto"/>
      </w:pPr>
    </w:p>
    <w:p w14:paraId="3EBD4B18" w14:textId="2E285080" w:rsidR="00F5496B" w:rsidRPr="001732AD" w:rsidRDefault="00F5496B" w:rsidP="001732AD">
      <w:pPr>
        <w:spacing w:line="480" w:lineRule="auto"/>
        <w:rPr>
          <w:b/>
          <w:bCs/>
        </w:rPr>
      </w:pPr>
      <w:r w:rsidRPr="001732AD">
        <w:rPr>
          <w:b/>
          <w:bCs/>
        </w:rPr>
        <w:t>References</w:t>
      </w:r>
    </w:p>
    <w:p w14:paraId="3F2C82FA" w14:textId="7608D625" w:rsidR="001732AD" w:rsidRDefault="001732AD" w:rsidP="001732AD">
      <w:pPr>
        <w:spacing w:line="480" w:lineRule="auto"/>
      </w:pPr>
      <w:r>
        <w:t>Department for Education &amp; Department for Levelling Up, Housing and Communities (2022) Supporting Families: Early Help System Guide. GOV.UK. Available at</w:t>
      </w:r>
      <w:proofErr w:type="gramStart"/>
      <w:r>
        <w:t>:  (</w:t>
      </w:r>
      <w:proofErr w:type="gramEnd"/>
      <w:r>
        <w:t>assets.publishing.service.gov.uk in Bing) (Accessed: 17 April 2026).</w:t>
      </w:r>
    </w:p>
    <w:p w14:paraId="29A98C02" w14:textId="551559FA" w:rsidR="001732AD" w:rsidRDefault="001732AD" w:rsidP="001732AD">
      <w:pPr>
        <w:spacing w:line="480" w:lineRule="auto"/>
      </w:pPr>
      <w:r>
        <w:t>HM Government (2023) Working Together to Safeguard Children 2023: Statutory Guidance. GOV.UK. Available at</w:t>
      </w:r>
      <w:proofErr w:type="gramStart"/>
      <w:r>
        <w:t>:  (</w:t>
      </w:r>
      <w:proofErr w:type="gramEnd"/>
      <w:r>
        <w:t>assets.publishing.service.gov.uk in Bing) (Accessed: 17 April 2026).</w:t>
      </w:r>
    </w:p>
    <w:p w14:paraId="686D04BD" w14:textId="2A055841" w:rsidR="001732AD" w:rsidRDefault="001732AD" w:rsidP="001732AD">
      <w:pPr>
        <w:spacing w:line="480" w:lineRule="auto"/>
      </w:pPr>
      <w:r>
        <w:t>Department for Education (2025) Working Together to Safeguard Children – Updated Guidance. GOV.UK. Available at</w:t>
      </w:r>
      <w:proofErr w:type="gramStart"/>
      <w:r>
        <w:t>:  (</w:t>
      </w:r>
      <w:proofErr w:type="gramEnd"/>
      <w:r>
        <w:t>gov.uk in Bing) (Accessed: 17 April 2026).</w:t>
      </w:r>
    </w:p>
    <w:p w14:paraId="395BA299" w14:textId="261DE9EA" w:rsidR="001732AD" w:rsidRDefault="001732AD" w:rsidP="001732AD">
      <w:pPr>
        <w:spacing w:line="480" w:lineRule="auto"/>
      </w:pPr>
      <w:r>
        <w:t>GOV.UK (2024) Accessibility requirements for public sector websites and apps. GOV.UK. Available at</w:t>
      </w:r>
      <w:proofErr w:type="gramStart"/>
      <w:r>
        <w:t>:  (</w:t>
      </w:r>
      <w:proofErr w:type="gramEnd"/>
      <w:r>
        <w:t>gov.uk in Bing) (Accessed: 17 April 2026).</w:t>
      </w:r>
    </w:p>
    <w:p w14:paraId="0B799C8E" w14:textId="223BEB93" w:rsidR="001732AD" w:rsidRDefault="001732AD" w:rsidP="001732AD">
      <w:pPr>
        <w:spacing w:line="480" w:lineRule="auto"/>
      </w:pPr>
      <w:r>
        <w:t>Leicestershire County Council (2025) Family Help Service. Leicestershire County Council. Available at</w:t>
      </w:r>
      <w:proofErr w:type="gramStart"/>
      <w:r>
        <w:t>:  (</w:t>
      </w:r>
      <w:proofErr w:type="gramEnd"/>
      <w:r>
        <w:t>leicestershire.gov.uk in Bing) (Accessed: 17 April 2026).</w:t>
      </w:r>
    </w:p>
    <w:p w14:paraId="5377A650" w14:textId="63ECEAF1" w:rsidR="001732AD" w:rsidRDefault="001732AD" w:rsidP="001732AD">
      <w:pPr>
        <w:spacing w:line="480" w:lineRule="auto"/>
      </w:pPr>
      <w:r>
        <w:t xml:space="preserve">Norfolk County Council (2025) Family Hubs and Early Help. Norfolk County Council. Available at: </w:t>
      </w:r>
      <w:hyperlink r:id="rId7" w:history="1">
        <w:r w:rsidR="003326DC" w:rsidRPr="000247D4">
          <w:rPr>
            <w:rStyle w:val="Hyperlink"/>
          </w:rPr>
          <w:t>https://www.norfolk.gov.uk</w:t>
        </w:r>
      </w:hyperlink>
      <w:r w:rsidR="003326DC">
        <w:t xml:space="preserve"> </w:t>
      </w:r>
      <w:r>
        <w:t xml:space="preserve"> (Accessed: 17 April 2026).</w:t>
      </w:r>
    </w:p>
    <w:p w14:paraId="303423C7" w14:textId="51A72B2E" w:rsidR="001732AD" w:rsidRDefault="001732AD" w:rsidP="001732AD">
      <w:pPr>
        <w:spacing w:line="480" w:lineRule="auto"/>
      </w:pPr>
      <w:r>
        <w:t>Staffordshire County Council (2025) Families First and Early Help. Staffordshire County Council. Available at</w:t>
      </w:r>
      <w:proofErr w:type="gramStart"/>
      <w:r>
        <w:t>:  (</w:t>
      </w:r>
      <w:proofErr w:type="gramEnd"/>
      <w:r>
        <w:t>staffordshire.gov.uk in Bing) (Accessed: 17 April 2026).</w:t>
      </w:r>
    </w:p>
    <w:p w14:paraId="5B4D6587" w14:textId="50F56296" w:rsidR="001732AD" w:rsidRDefault="001732AD" w:rsidP="001732AD">
      <w:pPr>
        <w:spacing w:line="480" w:lineRule="auto"/>
      </w:pPr>
      <w:r>
        <w:t>NSPCC Learning (2025) Practice Points for Multi-Agency Working and Information Sharing. NSPCC. Available at</w:t>
      </w:r>
      <w:proofErr w:type="gramStart"/>
      <w:r>
        <w:t>:  (</w:t>
      </w:r>
      <w:proofErr w:type="gramEnd"/>
      <w:r>
        <w:t>learning.nspcc.org.uk in Bing) (Accessed: 17 April 2026).</w:t>
      </w:r>
    </w:p>
    <w:p w14:paraId="0492D636" w14:textId="1110BAE0" w:rsidR="00F5496B" w:rsidRDefault="001732AD" w:rsidP="001732AD">
      <w:pPr>
        <w:spacing w:line="480" w:lineRule="auto"/>
      </w:pPr>
      <w:r>
        <w:t xml:space="preserve">UCL Institute of Education (2025) Evaluation of Multi-Agency Safeguarding Hubs (MASH). University College London. Available at: </w:t>
      </w:r>
      <w:hyperlink r:id="rId8" w:history="1">
        <w:r w:rsidRPr="000247D4">
          <w:rPr>
            <w:rStyle w:val="Hyperlink"/>
          </w:rPr>
          <w:t>https://www.ucl.ac.uk/ioe</w:t>
        </w:r>
      </w:hyperlink>
      <w:r>
        <w:t xml:space="preserve"> (Accessed: 17 April 2026).</w:t>
      </w:r>
    </w:p>
    <w:sectPr w:rsidR="00F5496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4E8B2" w14:textId="77777777" w:rsidR="00A404CC" w:rsidRDefault="00A404CC" w:rsidP="001732AD">
      <w:pPr>
        <w:spacing w:after="0" w:line="240" w:lineRule="auto"/>
      </w:pPr>
      <w:r>
        <w:separator/>
      </w:r>
    </w:p>
  </w:endnote>
  <w:endnote w:type="continuationSeparator" w:id="0">
    <w:p w14:paraId="7DE9EE1B" w14:textId="77777777" w:rsidR="00A404CC" w:rsidRDefault="00A404CC" w:rsidP="00173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7AF13" w14:textId="77777777" w:rsidR="00A404CC" w:rsidRDefault="00A404CC" w:rsidP="001732AD">
      <w:pPr>
        <w:spacing w:after="0" w:line="240" w:lineRule="auto"/>
      </w:pPr>
      <w:r>
        <w:separator/>
      </w:r>
    </w:p>
  </w:footnote>
  <w:footnote w:type="continuationSeparator" w:id="0">
    <w:p w14:paraId="691705A7" w14:textId="77777777" w:rsidR="00A404CC" w:rsidRDefault="00A404CC" w:rsidP="001732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0517255"/>
      <w:docPartObj>
        <w:docPartGallery w:val="Page Numbers (Top of Page)"/>
        <w:docPartUnique/>
      </w:docPartObj>
    </w:sdtPr>
    <w:sdtEndPr>
      <w:rPr>
        <w:noProof/>
      </w:rPr>
    </w:sdtEndPr>
    <w:sdtContent>
      <w:p w14:paraId="286569DD" w14:textId="3BB0EC7C" w:rsidR="001732AD" w:rsidRDefault="001732A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E009829" w14:textId="77777777" w:rsidR="001732AD" w:rsidRDefault="001732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C4F5A"/>
    <w:multiLevelType w:val="hybridMultilevel"/>
    <w:tmpl w:val="621AF1B2"/>
    <w:lvl w:ilvl="0" w:tplc="D1203060">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BF48B1"/>
    <w:multiLevelType w:val="hybridMultilevel"/>
    <w:tmpl w:val="E45C3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4314290">
    <w:abstractNumId w:val="1"/>
  </w:num>
  <w:num w:numId="2" w16cid:durableId="1394082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7F4"/>
    <w:rsid w:val="000F6C61"/>
    <w:rsid w:val="001732AD"/>
    <w:rsid w:val="002E5542"/>
    <w:rsid w:val="003326DC"/>
    <w:rsid w:val="003D231E"/>
    <w:rsid w:val="004967F4"/>
    <w:rsid w:val="0054731E"/>
    <w:rsid w:val="007153F2"/>
    <w:rsid w:val="00917411"/>
    <w:rsid w:val="00A404CC"/>
    <w:rsid w:val="00C7430D"/>
    <w:rsid w:val="00F34779"/>
    <w:rsid w:val="00F54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DDA34"/>
  <w15:chartTrackingRefBased/>
  <w15:docId w15:val="{39778575-9B54-47B2-BFC1-D55CDB6BE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7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967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967F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967F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967F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967F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967F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967F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967F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7F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967F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967F4"/>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967F4"/>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4967F4"/>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4967F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967F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967F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967F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967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7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7F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7F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967F4"/>
    <w:pPr>
      <w:spacing w:before="160"/>
      <w:jc w:val="center"/>
    </w:pPr>
    <w:rPr>
      <w:i/>
      <w:iCs/>
      <w:color w:val="404040" w:themeColor="text1" w:themeTint="BF"/>
    </w:rPr>
  </w:style>
  <w:style w:type="character" w:customStyle="1" w:styleId="QuoteChar">
    <w:name w:val="Quote Char"/>
    <w:basedOn w:val="DefaultParagraphFont"/>
    <w:link w:val="Quote"/>
    <w:uiPriority w:val="29"/>
    <w:rsid w:val="004967F4"/>
    <w:rPr>
      <w:i/>
      <w:iCs/>
      <w:color w:val="404040" w:themeColor="text1" w:themeTint="BF"/>
    </w:rPr>
  </w:style>
  <w:style w:type="paragraph" w:styleId="ListParagraph">
    <w:name w:val="List Paragraph"/>
    <w:basedOn w:val="Normal"/>
    <w:uiPriority w:val="34"/>
    <w:qFormat/>
    <w:rsid w:val="004967F4"/>
    <w:pPr>
      <w:ind w:left="720"/>
      <w:contextualSpacing/>
    </w:pPr>
  </w:style>
  <w:style w:type="character" w:styleId="IntenseEmphasis">
    <w:name w:val="Intense Emphasis"/>
    <w:basedOn w:val="DefaultParagraphFont"/>
    <w:uiPriority w:val="21"/>
    <w:qFormat/>
    <w:rsid w:val="004967F4"/>
    <w:rPr>
      <w:i/>
      <w:iCs/>
      <w:color w:val="2F5496" w:themeColor="accent1" w:themeShade="BF"/>
    </w:rPr>
  </w:style>
  <w:style w:type="paragraph" w:styleId="IntenseQuote">
    <w:name w:val="Intense Quote"/>
    <w:basedOn w:val="Normal"/>
    <w:next w:val="Normal"/>
    <w:link w:val="IntenseQuoteChar"/>
    <w:uiPriority w:val="30"/>
    <w:qFormat/>
    <w:rsid w:val="004967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67F4"/>
    <w:rPr>
      <w:i/>
      <w:iCs/>
      <w:color w:val="2F5496" w:themeColor="accent1" w:themeShade="BF"/>
    </w:rPr>
  </w:style>
  <w:style w:type="character" w:styleId="IntenseReference">
    <w:name w:val="Intense Reference"/>
    <w:basedOn w:val="DefaultParagraphFont"/>
    <w:uiPriority w:val="32"/>
    <w:qFormat/>
    <w:rsid w:val="004967F4"/>
    <w:rPr>
      <w:b/>
      <w:bCs/>
      <w:smallCaps/>
      <w:color w:val="2F5496" w:themeColor="accent1" w:themeShade="BF"/>
      <w:spacing w:val="5"/>
    </w:rPr>
  </w:style>
  <w:style w:type="paragraph" w:styleId="Header">
    <w:name w:val="header"/>
    <w:basedOn w:val="Normal"/>
    <w:link w:val="HeaderChar"/>
    <w:uiPriority w:val="99"/>
    <w:unhideWhenUsed/>
    <w:rsid w:val="001732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2AD"/>
  </w:style>
  <w:style w:type="paragraph" w:styleId="Footer">
    <w:name w:val="footer"/>
    <w:basedOn w:val="Normal"/>
    <w:link w:val="FooterChar"/>
    <w:uiPriority w:val="99"/>
    <w:unhideWhenUsed/>
    <w:rsid w:val="00173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2AD"/>
  </w:style>
  <w:style w:type="character" w:styleId="Hyperlink">
    <w:name w:val="Hyperlink"/>
    <w:basedOn w:val="DefaultParagraphFont"/>
    <w:uiPriority w:val="99"/>
    <w:unhideWhenUsed/>
    <w:rsid w:val="001732AD"/>
    <w:rPr>
      <w:color w:val="0563C1" w:themeColor="hyperlink"/>
      <w:u w:val="single"/>
    </w:rPr>
  </w:style>
  <w:style w:type="character" w:styleId="UnresolvedMention">
    <w:name w:val="Unresolved Mention"/>
    <w:basedOn w:val="DefaultParagraphFont"/>
    <w:uiPriority w:val="99"/>
    <w:semiHidden/>
    <w:unhideWhenUsed/>
    <w:rsid w:val="001732AD"/>
    <w:rPr>
      <w:color w:val="605E5C"/>
      <w:shd w:val="clear" w:color="auto" w:fill="E1DFDD"/>
    </w:rPr>
  </w:style>
  <w:style w:type="character" w:styleId="Strong">
    <w:name w:val="Strong"/>
    <w:uiPriority w:val="22"/>
    <w:qFormat/>
    <w:rsid w:val="00F34779"/>
    <w:rPr>
      <w:b/>
      <w:bCs/>
    </w:rPr>
  </w:style>
  <w:style w:type="paragraph" w:styleId="Revision">
    <w:name w:val="Revision"/>
    <w:hidden/>
    <w:uiPriority w:val="99"/>
    <w:semiHidden/>
    <w:rsid w:val="000F6C6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cl.ac.uk/ioe" TargetMode="External"/><Relationship Id="rId3" Type="http://schemas.openxmlformats.org/officeDocument/2006/relationships/settings" Target="settings.xml"/><Relationship Id="rId7" Type="http://schemas.openxmlformats.org/officeDocument/2006/relationships/hyperlink" Target="https://www.norfolk.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2401</Words>
  <Characters>13687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Zafar</dc:creator>
  <cp:keywords/>
  <dc:description/>
  <cp:lastModifiedBy>Umme Ibrahim</cp:lastModifiedBy>
  <cp:revision>2</cp:revision>
  <dcterms:created xsi:type="dcterms:W3CDTF">2026-04-23T10:29:00Z</dcterms:created>
  <dcterms:modified xsi:type="dcterms:W3CDTF">2026-04-23T10:29:00Z</dcterms:modified>
</cp:coreProperties>
</file>