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13002F" w14:textId="59EE91EB" w:rsidR="00403714" w:rsidRDefault="000E2E7E">
      <w:r>
        <w:t xml:space="preserve">                                     </w:t>
      </w:r>
      <w:r>
        <w:rPr>
          <w:noProof/>
        </w:rPr>
        <w:drawing>
          <wp:inline distT="0" distB="0" distL="0" distR="0" wp14:anchorId="2D3EAADE" wp14:editId="70C54734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F4352" w14:textId="77777777" w:rsidR="000E2E7E" w:rsidRDefault="000E2E7E"/>
    <w:p w14:paraId="73022E7D" w14:textId="77777777" w:rsidR="000E2E7E" w:rsidRDefault="000E2E7E">
      <w:pPr>
        <w:rPr>
          <w:sz w:val="52"/>
          <w:szCs w:val="52"/>
        </w:rPr>
      </w:pPr>
    </w:p>
    <w:p w14:paraId="0C87A799" w14:textId="217AA963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Module Code:</w:t>
      </w:r>
      <w:r>
        <w:rPr>
          <w:b/>
          <w:bCs/>
          <w:sz w:val="52"/>
          <w:szCs w:val="52"/>
        </w:rPr>
        <w:t xml:space="preserve">  </w:t>
      </w:r>
      <w:r w:rsidRPr="00FD4BE0">
        <w:rPr>
          <w:b/>
          <w:bCs/>
          <w:sz w:val="48"/>
          <w:szCs w:val="48"/>
        </w:rPr>
        <w:t>ECAD</w:t>
      </w:r>
      <w:r w:rsidR="00510D18" w:rsidRPr="00FD4BE0">
        <w:rPr>
          <w:b/>
          <w:bCs/>
          <w:sz w:val="48"/>
          <w:szCs w:val="48"/>
        </w:rPr>
        <w:t>501</w:t>
      </w:r>
      <w:r w:rsidR="00D163BC" w:rsidRPr="00FD4BE0">
        <w:rPr>
          <w:b/>
          <w:bCs/>
          <w:sz w:val="48"/>
          <w:szCs w:val="48"/>
        </w:rPr>
        <w:t>5</w:t>
      </w:r>
    </w:p>
    <w:p w14:paraId="10FFAE95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78DCE9B9" w14:textId="553AE9B7" w:rsidR="000E2E7E" w:rsidRPr="00D163BC" w:rsidRDefault="000E2E7E" w:rsidP="00D163BC">
      <w:pPr>
        <w:rPr>
          <w:b/>
          <w:bCs/>
          <w:color w:val="FF0000"/>
          <w:sz w:val="52"/>
          <w:szCs w:val="52"/>
        </w:rPr>
      </w:pPr>
      <w:r w:rsidRPr="000E2E7E">
        <w:rPr>
          <w:b/>
          <w:bCs/>
          <w:sz w:val="52"/>
          <w:szCs w:val="52"/>
        </w:rPr>
        <w:t>Assignment Title:</w:t>
      </w:r>
      <w:r>
        <w:rPr>
          <w:b/>
          <w:bCs/>
          <w:sz w:val="52"/>
          <w:szCs w:val="52"/>
        </w:rPr>
        <w:t xml:space="preserve"> </w:t>
      </w:r>
      <w:r w:rsidR="00D163BC" w:rsidRPr="00FD4BE0">
        <w:rPr>
          <w:b/>
          <w:bCs/>
          <w:sz w:val="52"/>
          <w:szCs w:val="52"/>
        </w:rPr>
        <w:t xml:space="preserve">Deepening Practice </w:t>
      </w:r>
    </w:p>
    <w:p w14:paraId="32D7A0CD" w14:textId="65B2B750" w:rsidR="00D163BC" w:rsidRPr="00FD4BE0" w:rsidRDefault="00D163BC" w:rsidP="00D163BC">
      <w:pPr>
        <w:rPr>
          <w:b/>
          <w:bCs/>
          <w:sz w:val="52"/>
          <w:szCs w:val="52"/>
        </w:rPr>
      </w:pPr>
      <w:r w:rsidRPr="00FD4BE0">
        <w:rPr>
          <w:b/>
          <w:bCs/>
          <w:sz w:val="52"/>
          <w:szCs w:val="52"/>
        </w:rPr>
        <w:t>ALN –</w:t>
      </w:r>
      <w:r w:rsidR="00FD4BE0" w:rsidRPr="00FD4BE0">
        <w:rPr>
          <w:b/>
          <w:bCs/>
          <w:sz w:val="52"/>
          <w:szCs w:val="52"/>
        </w:rPr>
        <w:t xml:space="preserve"> </w:t>
      </w:r>
      <w:r w:rsidRPr="00FD4BE0">
        <w:rPr>
          <w:b/>
          <w:bCs/>
          <w:sz w:val="52"/>
          <w:szCs w:val="52"/>
        </w:rPr>
        <w:t xml:space="preserve">Part 2 Video Reference list and link  </w:t>
      </w:r>
    </w:p>
    <w:p w14:paraId="47D65DC0" w14:textId="289DEE3C" w:rsidR="000E2E7E" w:rsidRPr="00D163BC" w:rsidRDefault="000E2E7E">
      <w:pPr>
        <w:rPr>
          <w:b/>
          <w:bCs/>
          <w:sz w:val="52"/>
          <w:szCs w:val="52"/>
        </w:rPr>
      </w:pPr>
      <w:r w:rsidRPr="00D163BC">
        <w:rPr>
          <w:b/>
          <w:bCs/>
          <w:sz w:val="52"/>
          <w:szCs w:val="52"/>
        </w:rPr>
        <w:t>Student Name:</w:t>
      </w:r>
      <w:r w:rsidR="00FD4BE0">
        <w:rPr>
          <w:b/>
          <w:bCs/>
          <w:sz w:val="52"/>
          <w:szCs w:val="52"/>
        </w:rPr>
        <w:t xml:space="preserve"> Hazel Smith</w:t>
      </w:r>
    </w:p>
    <w:p w14:paraId="1025240F" w14:textId="4584D027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Student Number:</w:t>
      </w:r>
      <w:r w:rsidR="00FD4BE0">
        <w:rPr>
          <w:b/>
          <w:bCs/>
          <w:sz w:val="52"/>
          <w:szCs w:val="52"/>
        </w:rPr>
        <w:t xml:space="preserve"> 2314788</w:t>
      </w:r>
    </w:p>
    <w:p w14:paraId="66EB3C44" w14:textId="3EA69FAC" w:rsid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BA Primary Education (QTS)</w:t>
      </w:r>
    </w:p>
    <w:p w14:paraId="097A6454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08C7E7AA" w14:textId="77777777" w:rsidR="00FD4BE0" w:rsidRDefault="00FD4BE0" w:rsidP="000E2E7E">
      <w:pPr>
        <w:rPr>
          <w:b/>
          <w:bCs/>
          <w:sz w:val="32"/>
          <w:szCs w:val="32"/>
          <w:u w:val="single"/>
        </w:rPr>
      </w:pPr>
    </w:p>
    <w:p w14:paraId="74331DB6" w14:textId="77777777" w:rsidR="00FD4BE0" w:rsidRDefault="00FD4BE0" w:rsidP="000E2E7E">
      <w:pPr>
        <w:rPr>
          <w:b/>
          <w:bCs/>
          <w:sz w:val="32"/>
          <w:szCs w:val="32"/>
          <w:u w:val="single"/>
        </w:rPr>
      </w:pPr>
    </w:p>
    <w:p w14:paraId="0B9B71B7" w14:textId="77777777" w:rsidR="00FD4BE0" w:rsidRDefault="00FD4BE0" w:rsidP="000E2E7E">
      <w:pPr>
        <w:rPr>
          <w:b/>
          <w:bCs/>
          <w:sz w:val="32"/>
          <w:szCs w:val="32"/>
          <w:u w:val="single"/>
        </w:rPr>
      </w:pPr>
    </w:p>
    <w:p w14:paraId="1E138AF1" w14:textId="77777777" w:rsidR="00FD4BE0" w:rsidRDefault="00FD4BE0" w:rsidP="000E2E7E">
      <w:pPr>
        <w:rPr>
          <w:b/>
          <w:bCs/>
          <w:sz w:val="32"/>
          <w:szCs w:val="32"/>
          <w:u w:val="single"/>
        </w:rPr>
      </w:pPr>
    </w:p>
    <w:p w14:paraId="0BE6D22C" w14:textId="65663BDD" w:rsidR="000E2E7E" w:rsidRPr="00E243A8" w:rsidRDefault="000E2E7E" w:rsidP="000E2E7E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311990D1" w14:textId="77777777" w:rsidR="000E2E7E" w:rsidRDefault="000E2E7E" w:rsidP="000E2E7E"/>
    <w:p w14:paraId="3CD5698F" w14:textId="77777777" w:rsidR="000E2E7E" w:rsidRDefault="000E2E7E" w:rsidP="000E2E7E">
      <w:r w:rsidRPr="00E243A8">
        <w:t xml:space="preserve">I confirm that I have not used any AI tools in the research and creation of this assignment. </w:t>
      </w:r>
    </w:p>
    <w:p w14:paraId="623F5F4D" w14:textId="77777777" w:rsidR="000E2E7E" w:rsidRDefault="000E2E7E" w:rsidP="000E2E7E">
      <w:r w:rsidRPr="00E243A8">
        <w:t xml:space="preserve">I confirm that I have not presented any AI generated materials as my own work. </w:t>
      </w:r>
    </w:p>
    <w:p w14:paraId="3437EA56" w14:textId="77777777" w:rsidR="000E2E7E" w:rsidRPr="00E243A8" w:rsidRDefault="000E2E7E" w:rsidP="000E2E7E">
      <w:r w:rsidRPr="00E243A8">
        <w:t xml:space="preserve">I confirm </w:t>
      </w:r>
      <w:r>
        <w:t xml:space="preserve">that </w:t>
      </w:r>
      <w:r w:rsidRPr="00E243A8">
        <w:t>I have copies of my drafts, notes, and other resources I used, which I may be asked to provide in evidence.</w:t>
      </w:r>
    </w:p>
    <w:p w14:paraId="6025A528" w14:textId="77777777" w:rsidR="000E2E7E" w:rsidRDefault="000E2E7E" w:rsidP="000E2E7E"/>
    <w:p w14:paraId="576F22A4" w14:textId="77777777" w:rsidR="000E2E7E" w:rsidRDefault="000E2E7E" w:rsidP="000E2E7E">
      <w:pPr>
        <w:rPr>
          <w:sz w:val="16"/>
          <w:szCs w:val="16"/>
        </w:rPr>
      </w:pPr>
    </w:p>
    <w:tbl>
      <w:tblPr>
        <w:tblStyle w:val="TableGrid"/>
        <w:tblW w:w="9282" w:type="dxa"/>
        <w:tblLook w:val="04A0" w:firstRow="1" w:lastRow="0" w:firstColumn="1" w:lastColumn="0" w:noHBand="0" w:noVBand="1"/>
      </w:tblPr>
      <w:tblGrid>
        <w:gridCol w:w="3256"/>
        <w:gridCol w:w="3118"/>
        <w:gridCol w:w="2908"/>
      </w:tblGrid>
      <w:tr w:rsidR="000E2E7E" w:rsidRPr="001B4AB4" w14:paraId="0ADB3F25" w14:textId="77777777" w:rsidTr="000E2E7E">
        <w:trPr>
          <w:trHeight w:val="360"/>
        </w:trPr>
        <w:tc>
          <w:tcPr>
            <w:tcW w:w="3256" w:type="dxa"/>
          </w:tcPr>
          <w:p w14:paraId="2110C93E" w14:textId="45B7432A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Targets from previous module</w:t>
            </w:r>
          </w:p>
        </w:tc>
        <w:tc>
          <w:tcPr>
            <w:tcW w:w="3118" w:type="dxa"/>
          </w:tcPr>
          <w:p w14:paraId="1C0504E0" w14:textId="648CF4FC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How I have worked on these?</w:t>
            </w:r>
          </w:p>
        </w:tc>
        <w:tc>
          <w:tcPr>
            <w:tcW w:w="2908" w:type="dxa"/>
          </w:tcPr>
          <w:p w14:paraId="0ED8A1ED" w14:textId="77777777" w:rsidR="000E2E7E" w:rsidRPr="00121BB2" w:rsidRDefault="000E2E7E" w:rsidP="00AE36BB">
            <w:pPr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</w:pPr>
            <w:r w:rsidRPr="00121BB2"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  <w:t>An example can be seen on…</w:t>
            </w:r>
          </w:p>
          <w:p w14:paraId="0798C571" w14:textId="146BBBF0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</w:p>
        </w:tc>
      </w:tr>
      <w:tr w:rsidR="000E2E7E" w:rsidRPr="001B4AB4" w14:paraId="0EC7171C" w14:textId="77777777" w:rsidTr="000E2E7E">
        <w:trPr>
          <w:trHeight w:val="338"/>
        </w:trPr>
        <w:tc>
          <w:tcPr>
            <w:tcW w:w="3256" w:type="dxa"/>
          </w:tcPr>
          <w:p w14:paraId="18121FAC" w14:textId="2B6A2D6F" w:rsidR="000E2E7E" w:rsidRPr="001B4AB4" w:rsidRDefault="002B394C" w:rsidP="00AE36BB">
            <w:pPr>
              <w:rPr>
                <w:lang w:val="cy-GB"/>
              </w:rPr>
            </w:pPr>
            <w:r w:rsidRPr="002B394C">
              <w:rPr>
                <w:sz w:val="24"/>
                <w:szCs w:val="24"/>
              </w:rPr>
              <w:t>Ensure that your slides are not used as a script and do not contain too much text. </w:t>
            </w:r>
          </w:p>
        </w:tc>
        <w:tc>
          <w:tcPr>
            <w:tcW w:w="3118" w:type="dxa"/>
          </w:tcPr>
          <w:p w14:paraId="0A55C9ED" w14:textId="498EAC68" w:rsidR="000E2E7E" w:rsidRPr="0011299B" w:rsidRDefault="0011299B" w:rsidP="00AE36BB">
            <w:pPr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I have</w:t>
            </w:r>
            <w:r w:rsidR="00152238">
              <w:rPr>
                <w:sz w:val="24"/>
                <w:szCs w:val="24"/>
                <w:lang w:val="cy-GB"/>
              </w:rPr>
              <w:t xml:space="preserve"> not used my slides as script within my presentation and have elaborated on my slides.</w:t>
            </w:r>
          </w:p>
        </w:tc>
        <w:tc>
          <w:tcPr>
            <w:tcW w:w="2908" w:type="dxa"/>
          </w:tcPr>
          <w:p w14:paraId="183044AB" w14:textId="56E0A274" w:rsidR="000E2E7E" w:rsidRPr="001B4AB4" w:rsidRDefault="00FD13B3" w:rsidP="00AE36BB">
            <w:pPr>
              <w:rPr>
                <w:lang w:val="cy-GB"/>
              </w:rPr>
            </w:pPr>
            <w:r w:rsidRPr="00FD13B3">
              <w:rPr>
                <w:sz w:val="24"/>
                <w:szCs w:val="24"/>
                <w:lang w:val="cy-GB"/>
              </w:rPr>
              <w:t>Within the video I elaborat</w:t>
            </w:r>
            <w:r w:rsidR="001A0DA7">
              <w:rPr>
                <w:sz w:val="24"/>
                <w:szCs w:val="24"/>
                <w:lang w:val="cy-GB"/>
              </w:rPr>
              <w:t>e</w:t>
            </w:r>
            <w:r w:rsidRPr="00FD13B3">
              <w:rPr>
                <w:sz w:val="24"/>
                <w:szCs w:val="24"/>
                <w:lang w:val="cy-GB"/>
              </w:rPr>
              <w:t xml:space="preserve"> on my slides </w:t>
            </w:r>
            <w:r w:rsidR="001A0DA7">
              <w:rPr>
                <w:sz w:val="24"/>
                <w:szCs w:val="24"/>
                <w:lang w:val="cy-GB"/>
              </w:rPr>
              <w:t xml:space="preserve">without </w:t>
            </w:r>
            <w:r w:rsidRPr="00FD13B3">
              <w:rPr>
                <w:sz w:val="24"/>
                <w:szCs w:val="24"/>
                <w:lang w:val="cy-GB"/>
              </w:rPr>
              <w:t>using them as a script.</w:t>
            </w:r>
          </w:p>
        </w:tc>
      </w:tr>
      <w:tr w:rsidR="000E2E7E" w:rsidRPr="001B4AB4" w14:paraId="388E36FE" w14:textId="77777777" w:rsidTr="000E2E7E">
        <w:trPr>
          <w:trHeight w:val="338"/>
        </w:trPr>
        <w:tc>
          <w:tcPr>
            <w:tcW w:w="3256" w:type="dxa"/>
          </w:tcPr>
          <w:p w14:paraId="2740262D" w14:textId="41F78C38" w:rsidR="000E2E7E" w:rsidRPr="00FD13B3" w:rsidRDefault="002B394C" w:rsidP="002B394C">
            <w:pPr>
              <w:rPr>
                <w:sz w:val="24"/>
                <w:szCs w:val="24"/>
                <w:lang w:val="cy-GB"/>
              </w:rPr>
            </w:pPr>
            <w:r w:rsidRPr="00FD13B3">
              <w:rPr>
                <w:sz w:val="24"/>
                <w:szCs w:val="24"/>
              </w:rPr>
              <w:t xml:space="preserve">Focus on 2 or 3 strategies, </w:t>
            </w:r>
            <w:r w:rsidR="00B46E1F" w:rsidRPr="00FD13B3">
              <w:rPr>
                <w:sz w:val="24"/>
                <w:szCs w:val="24"/>
              </w:rPr>
              <w:t>because</w:t>
            </w:r>
            <w:r w:rsidRPr="00FD13B3">
              <w:rPr>
                <w:sz w:val="24"/>
                <w:szCs w:val="24"/>
              </w:rPr>
              <w:t xml:space="preserve"> you focused on 8 and therefore struggled with depth. </w:t>
            </w:r>
          </w:p>
          <w:p w14:paraId="06CE4F7D" w14:textId="77777777" w:rsidR="000E2E7E" w:rsidRPr="00FD13B3" w:rsidRDefault="000E2E7E" w:rsidP="00AE36BB">
            <w:pPr>
              <w:rPr>
                <w:sz w:val="24"/>
                <w:szCs w:val="24"/>
                <w:lang w:val="cy-GB"/>
              </w:rPr>
            </w:pPr>
          </w:p>
        </w:tc>
        <w:tc>
          <w:tcPr>
            <w:tcW w:w="3118" w:type="dxa"/>
          </w:tcPr>
          <w:p w14:paraId="33CC185F" w14:textId="563EFBD9" w:rsidR="000E2E7E" w:rsidRPr="00FD13B3" w:rsidRDefault="00FD13B3" w:rsidP="00AE36BB">
            <w:pPr>
              <w:rPr>
                <w:sz w:val="24"/>
                <w:szCs w:val="24"/>
                <w:lang w:val="cy-GB"/>
              </w:rPr>
            </w:pPr>
            <w:r w:rsidRPr="00FD13B3">
              <w:rPr>
                <w:sz w:val="24"/>
                <w:szCs w:val="24"/>
                <w:lang w:val="cy-GB"/>
              </w:rPr>
              <w:t>I focused on fewer strategies to allow me to talk in more depth.</w:t>
            </w:r>
          </w:p>
        </w:tc>
        <w:tc>
          <w:tcPr>
            <w:tcW w:w="2908" w:type="dxa"/>
          </w:tcPr>
          <w:p w14:paraId="37CFC390" w14:textId="221BC1E4" w:rsidR="000E2E7E" w:rsidRPr="001B4AB4" w:rsidRDefault="002C222F" w:rsidP="00AE36BB">
            <w:pPr>
              <w:rPr>
                <w:lang w:val="cy-GB"/>
              </w:rPr>
            </w:pPr>
            <w:r w:rsidRPr="002C222F">
              <w:rPr>
                <w:sz w:val="24"/>
                <w:szCs w:val="24"/>
                <w:lang w:val="cy-GB"/>
              </w:rPr>
              <w:t xml:space="preserve">When looking at </w:t>
            </w:r>
            <w:r w:rsidR="004D5566">
              <w:rPr>
                <w:sz w:val="24"/>
                <w:szCs w:val="24"/>
                <w:lang w:val="cy-GB"/>
              </w:rPr>
              <w:t xml:space="preserve">inclusive </w:t>
            </w:r>
            <w:r w:rsidRPr="002C222F">
              <w:rPr>
                <w:sz w:val="24"/>
                <w:szCs w:val="24"/>
                <w:lang w:val="cy-GB"/>
              </w:rPr>
              <w:t>strategies of teaching techniques</w:t>
            </w:r>
            <w:r>
              <w:rPr>
                <w:sz w:val="24"/>
                <w:szCs w:val="24"/>
                <w:lang w:val="cy-GB"/>
              </w:rPr>
              <w:t>,</w:t>
            </w:r>
            <w:r w:rsidRPr="002C222F">
              <w:rPr>
                <w:sz w:val="24"/>
                <w:szCs w:val="24"/>
                <w:lang w:val="cy-GB"/>
              </w:rPr>
              <w:t xml:space="preserve"> I focused on multi-sensory teaching.</w:t>
            </w:r>
            <w:r w:rsidR="004D5566">
              <w:rPr>
                <w:sz w:val="24"/>
                <w:szCs w:val="24"/>
                <w:lang w:val="cy-GB"/>
              </w:rPr>
              <w:t xml:space="preserve"> When looking at </w:t>
            </w:r>
            <w:r w:rsidR="00B72929">
              <w:rPr>
                <w:sz w:val="24"/>
                <w:szCs w:val="24"/>
                <w:lang w:val="cy-GB"/>
              </w:rPr>
              <w:t>the inclusive classroom, I focused on assistive technology.</w:t>
            </w:r>
          </w:p>
        </w:tc>
      </w:tr>
      <w:tr w:rsidR="0011299B" w:rsidRPr="001B4AB4" w14:paraId="05EE73CD" w14:textId="77777777" w:rsidTr="000E2E7E">
        <w:trPr>
          <w:trHeight w:val="338"/>
        </w:trPr>
        <w:tc>
          <w:tcPr>
            <w:tcW w:w="3256" w:type="dxa"/>
          </w:tcPr>
          <w:p w14:paraId="42E07348" w14:textId="547EE90D" w:rsidR="0011299B" w:rsidRPr="0011299B" w:rsidRDefault="0011299B" w:rsidP="0011299B">
            <w:pPr>
              <w:rPr>
                <w:sz w:val="24"/>
                <w:szCs w:val="24"/>
                <w:lang w:val="cy-GB"/>
              </w:rPr>
            </w:pPr>
            <w:r w:rsidRPr="0011299B">
              <w:rPr>
                <w:sz w:val="24"/>
                <w:szCs w:val="24"/>
              </w:rPr>
              <w:t>Ensure your proof-read for clarity of expression.</w:t>
            </w:r>
          </w:p>
        </w:tc>
        <w:tc>
          <w:tcPr>
            <w:tcW w:w="3118" w:type="dxa"/>
          </w:tcPr>
          <w:p w14:paraId="37B37629" w14:textId="5DFF73CB" w:rsidR="0011299B" w:rsidRPr="0011299B" w:rsidRDefault="0011299B" w:rsidP="0011299B">
            <w:pPr>
              <w:rPr>
                <w:sz w:val="24"/>
                <w:szCs w:val="24"/>
                <w:lang w:val="cy-GB"/>
              </w:rPr>
            </w:pPr>
            <w:r w:rsidRPr="0011299B">
              <w:rPr>
                <w:sz w:val="24"/>
                <w:szCs w:val="24"/>
                <w:lang w:val="cy-GB"/>
              </w:rPr>
              <w:t xml:space="preserve">I have proof-read my work </w:t>
            </w:r>
            <w:r w:rsidR="009F2E1D">
              <w:rPr>
                <w:sz w:val="24"/>
                <w:szCs w:val="24"/>
                <w:lang w:val="cy-GB"/>
              </w:rPr>
              <w:t>many</w:t>
            </w:r>
            <w:r w:rsidRPr="0011299B">
              <w:rPr>
                <w:sz w:val="24"/>
                <w:szCs w:val="24"/>
                <w:lang w:val="cy-GB"/>
              </w:rPr>
              <w:t xml:space="preserve"> times.</w:t>
            </w:r>
          </w:p>
        </w:tc>
        <w:tc>
          <w:tcPr>
            <w:tcW w:w="2908" w:type="dxa"/>
          </w:tcPr>
          <w:p w14:paraId="7AC8D709" w14:textId="5451F562" w:rsidR="0011299B" w:rsidRPr="0011299B" w:rsidRDefault="0011299B" w:rsidP="0011299B">
            <w:pPr>
              <w:rPr>
                <w:sz w:val="24"/>
                <w:szCs w:val="24"/>
                <w:lang w:val="cy-GB"/>
              </w:rPr>
            </w:pPr>
            <w:r w:rsidRPr="0011299B">
              <w:rPr>
                <w:sz w:val="24"/>
                <w:szCs w:val="24"/>
                <w:lang w:val="cy-GB"/>
              </w:rPr>
              <w:t>I have improved the fluency of my writing.</w:t>
            </w:r>
          </w:p>
        </w:tc>
      </w:tr>
    </w:tbl>
    <w:p w14:paraId="1CD1FA79" w14:textId="1E826845" w:rsidR="000E2E7E" w:rsidRDefault="000E2E7E" w:rsidP="00D163BC">
      <w:pPr>
        <w:rPr>
          <w:sz w:val="52"/>
          <w:szCs w:val="52"/>
        </w:rPr>
      </w:pPr>
    </w:p>
    <w:p w14:paraId="6373A213" w14:textId="77777777" w:rsidR="002B394C" w:rsidRPr="002B394C" w:rsidRDefault="002B394C" w:rsidP="002B394C">
      <w:pPr>
        <w:rPr>
          <w:sz w:val="52"/>
          <w:szCs w:val="52"/>
        </w:rPr>
      </w:pPr>
      <w:r w:rsidRPr="002B394C">
        <w:rPr>
          <w:sz w:val="52"/>
          <w:szCs w:val="52"/>
        </w:rPr>
        <w:t> </w:t>
      </w:r>
    </w:p>
    <w:p w14:paraId="16BA9352" w14:textId="77777777" w:rsidR="004855F6" w:rsidRPr="004855F6" w:rsidRDefault="004855F6" w:rsidP="004855F6">
      <w:pPr>
        <w:spacing w:after="0" w:line="240" w:lineRule="auto"/>
        <w:rPr>
          <w:rFonts w:ascii="Times New Roman" w:eastAsia="Times New Roman" w:hAnsi="Times New Roman" w:cs="Times New Roman"/>
          <w:kern w:val="0"/>
          <w:sz w:val="56"/>
          <w:szCs w:val="56"/>
          <w:lang w:eastAsia="en-GB"/>
          <w14:ligatures w14:val="none"/>
        </w:rPr>
      </w:pPr>
      <w:hyperlink r:id="rId8" w:history="1">
        <w:r w:rsidRPr="004855F6">
          <w:rPr>
            <w:rFonts w:ascii="Times New Roman" w:eastAsia="Times New Roman" w:hAnsi="Times New Roman" w:cs="Times New Roman"/>
            <w:color w:val="0000FF"/>
            <w:kern w:val="0"/>
            <w:sz w:val="56"/>
            <w:szCs w:val="56"/>
            <w:u w:val="single"/>
            <w:lang w:eastAsia="en-GB"/>
            <w14:ligatures w14:val="none"/>
          </w:rPr>
          <w:t>Hazel Smith EC</w:t>
        </w:r>
        <w:r w:rsidRPr="004855F6">
          <w:rPr>
            <w:rFonts w:ascii="Times New Roman" w:eastAsia="Times New Roman" w:hAnsi="Times New Roman" w:cs="Times New Roman"/>
            <w:color w:val="0000FF"/>
            <w:kern w:val="0"/>
            <w:sz w:val="56"/>
            <w:szCs w:val="56"/>
            <w:u w:val="single"/>
            <w:lang w:eastAsia="en-GB"/>
            <w14:ligatures w14:val="none"/>
          </w:rPr>
          <w:t>A</w:t>
        </w:r>
        <w:r w:rsidRPr="004855F6">
          <w:rPr>
            <w:rFonts w:ascii="Times New Roman" w:eastAsia="Times New Roman" w:hAnsi="Times New Roman" w:cs="Times New Roman"/>
            <w:color w:val="0000FF"/>
            <w:kern w:val="0"/>
            <w:sz w:val="56"/>
            <w:szCs w:val="56"/>
            <w:u w:val="single"/>
            <w:lang w:eastAsia="en-GB"/>
            <w14:ligatures w14:val="none"/>
          </w:rPr>
          <w:t>D5015 D</w:t>
        </w:r>
        <w:r w:rsidRPr="004855F6">
          <w:rPr>
            <w:rFonts w:ascii="Times New Roman" w:eastAsia="Times New Roman" w:hAnsi="Times New Roman" w:cs="Times New Roman"/>
            <w:color w:val="0000FF"/>
            <w:kern w:val="0"/>
            <w:sz w:val="56"/>
            <w:szCs w:val="56"/>
            <w:u w:val="single"/>
            <w:lang w:eastAsia="en-GB"/>
            <w14:ligatures w14:val="none"/>
          </w:rPr>
          <w:t>y</w:t>
        </w:r>
        <w:r w:rsidRPr="004855F6">
          <w:rPr>
            <w:rFonts w:ascii="Times New Roman" w:eastAsia="Times New Roman" w:hAnsi="Times New Roman" w:cs="Times New Roman"/>
            <w:color w:val="0000FF"/>
            <w:kern w:val="0"/>
            <w:sz w:val="56"/>
            <w:szCs w:val="56"/>
            <w:u w:val="single"/>
            <w:lang w:eastAsia="en-GB"/>
            <w14:ligatures w14:val="none"/>
          </w:rPr>
          <w:t>slexia video presentation.mp4</w:t>
        </w:r>
      </w:hyperlink>
    </w:p>
    <w:p w14:paraId="423EDBE5" w14:textId="77777777" w:rsidR="009F2E1D" w:rsidRDefault="009F2E1D" w:rsidP="000D23E7">
      <w:pPr>
        <w:rPr>
          <w:sz w:val="52"/>
          <w:szCs w:val="52"/>
        </w:rPr>
      </w:pPr>
    </w:p>
    <w:p w14:paraId="73F2C937" w14:textId="0E88F071" w:rsidR="000D23E7" w:rsidRPr="000D23E7" w:rsidRDefault="009F2E1D" w:rsidP="000D23E7">
      <w:pPr>
        <w:rPr>
          <w:rFonts w:ascii="Aptos" w:hAnsi="Aptos"/>
          <w:b/>
          <w:bCs/>
        </w:rPr>
      </w:pPr>
      <w:r>
        <w:rPr>
          <w:sz w:val="52"/>
          <w:szCs w:val="52"/>
        </w:rPr>
        <w:lastRenderedPageBreak/>
        <w:br/>
      </w:r>
      <w:r w:rsidR="000D23E7" w:rsidRPr="000D23E7">
        <w:rPr>
          <w:rFonts w:ascii="Aptos" w:hAnsi="Aptos"/>
          <w:b/>
          <w:bCs/>
        </w:rPr>
        <w:t>References</w:t>
      </w:r>
    </w:p>
    <w:p w14:paraId="7D86D048" w14:textId="372A7C64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>Blue, J. (2021). </w:t>
      </w:r>
      <w:r w:rsidRPr="009E4617">
        <w:rPr>
          <w:rFonts w:ascii="Aptos" w:hAnsi="Aptos"/>
          <w:i/>
          <w:iCs/>
        </w:rPr>
        <w:t>Ten ways to support learners with dyslexia</w:t>
      </w:r>
      <w:r w:rsidRPr="009E4617">
        <w:rPr>
          <w:rFonts w:ascii="Aptos" w:hAnsi="Aptos"/>
        </w:rPr>
        <w:t xml:space="preserve">. Available at: </w:t>
      </w:r>
      <w:hyperlink r:id="rId9" w:history="1">
        <w:r w:rsidRPr="009E4617">
          <w:rPr>
            <w:rStyle w:val="Hyperlink"/>
            <w:rFonts w:ascii="Aptos" w:hAnsi="Aptos"/>
            <w:color w:val="auto"/>
          </w:rPr>
          <w:t>https://www.cambridgeenglish.org/blog/ten-ways-to-support-learners-with-dyslexia/</w:t>
        </w:r>
      </w:hyperlink>
      <w:r w:rsidRPr="009E4617">
        <w:rPr>
          <w:rFonts w:ascii="Aptos" w:hAnsi="Aptos"/>
        </w:rPr>
        <w:t>.</w:t>
      </w:r>
      <w:r>
        <w:rPr>
          <w:rFonts w:ascii="Aptos" w:hAnsi="Aptos"/>
        </w:rPr>
        <w:t xml:space="preserve"> (Accessed 12 May 2025).</w:t>
      </w:r>
    </w:p>
    <w:p w14:paraId="37F1435B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>British Dyslexia Association (2010) </w:t>
      </w:r>
      <w:r w:rsidRPr="00C615EE">
        <w:rPr>
          <w:rFonts w:ascii="Aptos" w:hAnsi="Aptos"/>
          <w:i/>
          <w:iCs/>
        </w:rPr>
        <w:t>About dyslexia - British Dyslexia Association. </w:t>
      </w:r>
      <w:r w:rsidRPr="009E4617">
        <w:rPr>
          <w:rFonts w:ascii="Aptos" w:hAnsi="Aptos"/>
        </w:rPr>
        <w:t xml:space="preserve">Available at: </w:t>
      </w:r>
      <w:hyperlink r:id="rId10" w:history="1">
        <w:r w:rsidRPr="009E4617">
          <w:rPr>
            <w:rStyle w:val="Hyperlink"/>
            <w:rFonts w:ascii="Aptos" w:hAnsi="Aptos"/>
            <w:color w:val="auto"/>
          </w:rPr>
          <w:t>https://www.bdadyslexia.org.uk/dyslexia/about-dyslexia</w:t>
        </w:r>
      </w:hyperlink>
      <w:r w:rsidRPr="009E4617">
        <w:rPr>
          <w:rFonts w:ascii="Aptos" w:hAnsi="Aptos"/>
        </w:rPr>
        <w:t>.</w:t>
      </w:r>
      <w:r>
        <w:rPr>
          <w:rFonts w:ascii="Aptos" w:hAnsi="Aptos"/>
        </w:rPr>
        <w:t xml:space="preserve"> (Accessed 11 May 2025).</w:t>
      </w:r>
    </w:p>
    <w:p w14:paraId="3DB1D4CC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>British Dyslexia Association (2018). </w:t>
      </w:r>
      <w:r w:rsidRPr="00C615EE">
        <w:rPr>
          <w:rFonts w:ascii="Aptos" w:hAnsi="Aptos"/>
          <w:i/>
          <w:iCs/>
        </w:rPr>
        <w:t xml:space="preserve">Signs of dyslexia (primary school age). </w:t>
      </w:r>
      <w:r w:rsidRPr="009E4617">
        <w:rPr>
          <w:rFonts w:ascii="Aptos" w:hAnsi="Aptos"/>
        </w:rPr>
        <w:t xml:space="preserve">British Dyslexia Association. Available at: </w:t>
      </w:r>
      <w:hyperlink r:id="rId11" w:history="1">
        <w:r w:rsidRPr="009E4617">
          <w:rPr>
            <w:rStyle w:val="Hyperlink"/>
            <w:rFonts w:ascii="Aptos" w:hAnsi="Aptos"/>
            <w:color w:val="auto"/>
          </w:rPr>
          <w:t>https://www.bdadyslexia.org.uk/advice/children/is-my-child-dyslexic/signs-of-dyslexia-primary-age</w:t>
        </w:r>
      </w:hyperlink>
      <w:r w:rsidRPr="009E4617">
        <w:rPr>
          <w:rFonts w:ascii="Aptos" w:hAnsi="Aptos"/>
        </w:rPr>
        <w:t>. (Accessed 12 May 2025)</w:t>
      </w:r>
      <w:r>
        <w:rPr>
          <w:rFonts w:ascii="Aptos" w:hAnsi="Aptos"/>
        </w:rPr>
        <w:t>.</w:t>
      </w:r>
    </w:p>
    <w:p w14:paraId="6A3D6EAC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>British Dyslexia Association (2023). </w:t>
      </w:r>
      <w:r w:rsidRPr="009E4617">
        <w:rPr>
          <w:rFonts w:ascii="Arial" w:hAnsi="Arial" w:cs="Arial"/>
        </w:rPr>
        <w:t>​</w:t>
      </w:r>
      <w:r w:rsidRPr="00C615EE">
        <w:rPr>
          <w:rFonts w:ascii="Aptos" w:hAnsi="Aptos"/>
          <w:i/>
          <w:iCs/>
        </w:rPr>
        <w:t>Visual Difficulties</w:t>
      </w:r>
      <w:r w:rsidRPr="009E4617">
        <w:rPr>
          <w:rFonts w:ascii="Aptos" w:hAnsi="Aptos"/>
        </w:rPr>
        <w:t xml:space="preserve">. Available at: </w:t>
      </w:r>
      <w:hyperlink r:id="rId12" w:history="1">
        <w:r w:rsidRPr="009E4617">
          <w:rPr>
            <w:rStyle w:val="Hyperlink"/>
            <w:rFonts w:ascii="Aptos" w:hAnsi="Aptos"/>
            <w:color w:val="auto"/>
          </w:rPr>
          <w:t>https://www.bdadyslexia.org.uk/dyslexia/neurodiversity-and-co-occurring-differences/visual-difficulties</w:t>
        </w:r>
      </w:hyperlink>
      <w:r w:rsidRPr="009E4617">
        <w:rPr>
          <w:rFonts w:ascii="Aptos" w:hAnsi="Aptos"/>
        </w:rPr>
        <w:t>. (Accessed 15 May 2025).</w:t>
      </w:r>
    </w:p>
    <w:p w14:paraId="51CBB126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>Carmichael, K. (2024). </w:t>
      </w:r>
      <w:r w:rsidRPr="00C615EE">
        <w:rPr>
          <w:rFonts w:ascii="Aptos" w:hAnsi="Aptos"/>
          <w:i/>
          <w:iCs/>
        </w:rPr>
        <w:t>Dyslexia and assistive technology</w:t>
      </w:r>
      <w:r w:rsidRPr="009E4617">
        <w:rPr>
          <w:rFonts w:ascii="Aptos" w:hAnsi="Aptos"/>
        </w:rPr>
        <w:t xml:space="preserve">. Dyslexia Scotland. Available at: </w:t>
      </w:r>
      <w:hyperlink r:id="rId13" w:history="1">
        <w:r w:rsidRPr="009E4617">
          <w:rPr>
            <w:rStyle w:val="Hyperlink"/>
            <w:rFonts w:ascii="Aptos" w:hAnsi="Aptos"/>
            <w:color w:val="auto"/>
          </w:rPr>
          <w:t>https://dyslexiascotland.org.uk/assistive-technology</w:t>
        </w:r>
      </w:hyperlink>
      <w:r w:rsidRPr="009E4617">
        <w:rPr>
          <w:rFonts w:ascii="Aptos" w:hAnsi="Aptos"/>
        </w:rPr>
        <w:t>/ (Accessed 15 May 2025).</w:t>
      </w:r>
    </w:p>
    <w:p w14:paraId="0E57D187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>Carroll, J., et al. (2024) </w:t>
      </w:r>
      <w:r w:rsidRPr="00C615EE">
        <w:rPr>
          <w:rFonts w:ascii="Aptos" w:hAnsi="Aptos"/>
          <w:i/>
          <w:iCs/>
        </w:rPr>
        <w:t>SASC and the Delphi Dyslexia Study 2024</w:t>
      </w:r>
      <w:r w:rsidRPr="009E4617">
        <w:rPr>
          <w:rFonts w:ascii="Aptos" w:hAnsi="Aptos"/>
        </w:rPr>
        <w:t xml:space="preserve">. Available at: </w:t>
      </w:r>
      <w:hyperlink r:id="rId14" w:history="1">
        <w:r w:rsidRPr="009E4617">
          <w:rPr>
            <w:rStyle w:val="Hyperlink"/>
            <w:rFonts w:ascii="Aptos" w:hAnsi="Aptos"/>
            <w:color w:val="auto"/>
          </w:rPr>
          <w:t>https://www.sasc.org.uk/media/3imfgx54/sasc-briefing-paper-delphi-dyslexia-study-may-2024-final.pdf</w:t>
        </w:r>
      </w:hyperlink>
      <w:r w:rsidRPr="009E4617">
        <w:rPr>
          <w:rFonts w:ascii="Aptos" w:hAnsi="Aptos"/>
        </w:rPr>
        <w:t>. (Accessed 12 May 2025)</w:t>
      </w:r>
      <w:r>
        <w:rPr>
          <w:rFonts w:ascii="Aptos" w:hAnsi="Aptos"/>
        </w:rPr>
        <w:t>.</w:t>
      </w:r>
    </w:p>
    <w:p w14:paraId="5A0DEFE6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>Estyn (2024). </w:t>
      </w:r>
      <w:r w:rsidRPr="00605341">
        <w:rPr>
          <w:rFonts w:ascii="Aptos" w:hAnsi="Aptos"/>
          <w:i/>
          <w:iCs/>
        </w:rPr>
        <w:t>Supporting pupils’ individual learning needs</w:t>
      </w:r>
      <w:r w:rsidRPr="009E4617">
        <w:rPr>
          <w:rFonts w:ascii="Aptos" w:hAnsi="Aptos"/>
        </w:rPr>
        <w:t>. Available at: https://estyn.gov.wales/improvement-resources/supporting-pupils-individual-learning-needs/ (Accessed 15 May 2025).</w:t>
      </w:r>
    </w:p>
    <w:p w14:paraId="63B92BCF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 xml:space="preserve">Harding, S., Sims-Chauhan, M., Oxley, E. and Nash, H. (2023). </w:t>
      </w:r>
      <w:r w:rsidRPr="00D52B69">
        <w:rPr>
          <w:rFonts w:ascii="Aptos" w:hAnsi="Aptos"/>
          <w:i/>
          <w:iCs/>
        </w:rPr>
        <w:t>A Delphi Study exploring the barriers to Dyslexia diagnosis and support: A parent’s perspective - White Rose Research Online</w:t>
      </w:r>
      <w:r w:rsidRPr="009E4617">
        <w:rPr>
          <w:rFonts w:ascii="Aptos" w:hAnsi="Aptos"/>
        </w:rPr>
        <w:t>. Available at: https://eprints.whiterose.ac.uk/id/eprint/200452/ (Accessed 16 May 2025).</w:t>
      </w:r>
    </w:p>
    <w:p w14:paraId="51D29B8F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 xml:space="preserve">Inclusion Europe (2020) </w:t>
      </w:r>
      <w:r w:rsidRPr="00720296">
        <w:rPr>
          <w:rFonts w:ascii="Aptos" w:hAnsi="Aptos"/>
          <w:i/>
          <w:iCs/>
        </w:rPr>
        <w:t>Illustration of UN CRPD</w:t>
      </w:r>
      <w:r w:rsidRPr="009E4617">
        <w:rPr>
          <w:rFonts w:ascii="Aptos" w:hAnsi="Aptos"/>
        </w:rPr>
        <w:t xml:space="preserve">. Available at: </w:t>
      </w:r>
      <w:hyperlink r:id="rId15" w:history="1">
        <w:r w:rsidRPr="009E4617">
          <w:rPr>
            <w:rStyle w:val="Hyperlink"/>
            <w:rFonts w:ascii="Aptos" w:hAnsi="Aptos"/>
            <w:color w:val="auto"/>
          </w:rPr>
          <w:t>https://www.inclusion-europe.eu/what-is-the-un-crpd-watch-our-new-easy-to-understand-video-to-find-out/</w:t>
        </w:r>
      </w:hyperlink>
      <w:r w:rsidRPr="009E4617">
        <w:rPr>
          <w:rFonts w:ascii="Aptos" w:hAnsi="Aptos"/>
        </w:rPr>
        <w:t xml:space="preserve"> (Accessed 11 May 2025).</w:t>
      </w:r>
    </w:p>
    <w:p w14:paraId="17A6A45A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>Kent Dyslexia (2021). </w:t>
      </w:r>
      <w:r w:rsidRPr="00720296">
        <w:rPr>
          <w:rFonts w:ascii="Aptos" w:hAnsi="Aptos"/>
          <w:i/>
          <w:iCs/>
        </w:rPr>
        <w:t>Assistive Technology</w:t>
      </w:r>
      <w:r w:rsidRPr="009E4617">
        <w:rPr>
          <w:rFonts w:ascii="Aptos" w:hAnsi="Aptos"/>
        </w:rPr>
        <w:t>.</w:t>
      </w:r>
      <w:r>
        <w:rPr>
          <w:rFonts w:ascii="Aptos" w:hAnsi="Aptos"/>
        </w:rPr>
        <w:t xml:space="preserve"> </w:t>
      </w:r>
      <w:r w:rsidRPr="009E4617">
        <w:rPr>
          <w:rFonts w:ascii="Aptos" w:hAnsi="Aptos"/>
        </w:rPr>
        <w:t>Available at: https://kentdyslexia.co.uk/blog/f/assistive-technology-%E2%80%93-text-to-speech-in-exams (Accessed 15 May 2025).</w:t>
      </w:r>
    </w:p>
    <w:p w14:paraId="6EFBDDA5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>Miller, F.A. and Katz, J.H. (2002). </w:t>
      </w:r>
      <w:r w:rsidRPr="00720296">
        <w:rPr>
          <w:rFonts w:ascii="Aptos" w:hAnsi="Aptos"/>
          <w:i/>
          <w:iCs/>
        </w:rPr>
        <w:t>Inclusion Breakthrough</w:t>
      </w:r>
      <w:r w:rsidRPr="009E4617">
        <w:rPr>
          <w:rFonts w:ascii="Aptos" w:hAnsi="Aptos"/>
        </w:rPr>
        <w:t>. Berrett-Koehler Publishers.</w:t>
      </w:r>
    </w:p>
    <w:p w14:paraId="4F72F1AF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lastRenderedPageBreak/>
        <w:t xml:space="preserve">Morin (2022). </w:t>
      </w:r>
      <w:r w:rsidRPr="00CE56AE">
        <w:rPr>
          <w:rFonts w:ascii="Aptos" w:hAnsi="Aptos"/>
          <w:i/>
          <w:iCs/>
        </w:rPr>
        <w:t>Sandpaper letters</w:t>
      </w:r>
      <w:r w:rsidRPr="009E4617">
        <w:rPr>
          <w:rFonts w:ascii="Aptos" w:hAnsi="Aptos"/>
        </w:rPr>
        <w:t xml:space="preserve">. Available at: </w:t>
      </w:r>
      <w:hyperlink r:id="rId16" w:history="1">
        <w:r w:rsidRPr="009E4617">
          <w:rPr>
            <w:rStyle w:val="Hyperlink"/>
            <w:rFonts w:ascii="Aptos" w:hAnsi="Aptos"/>
            <w:color w:val="auto"/>
          </w:rPr>
          <w:t>https://www.understood.org/en/articles/8-multisensory-techniques-for-teaching-reading</w:t>
        </w:r>
      </w:hyperlink>
      <w:r w:rsidRPr="009E4617">
        <w:rPr>
          <w:rFonts w:ascii="Aptos" w:hAnsi="Aptos"/>
        </w:rPr>
        <w:t xml:space="preserve"> (Accessed 15 May 2025).</w:t>
      </w:r>
    </w:p>
    <w:p w14:paraId="07AEB266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 xml:space="preserve">Morin (2022). </w:t>
      </w:r>
      <w:r w:rsidRPr="00CE56AE">
        <w:rPr>
          <w:rFonts w:ascii="Aptos" w:hAnsi="Aptos"/>
          <w:i/>
          <w:iCs/>
        </w:rPr>
        <w:t>Writing in sand</w:t>
      </w:r>
      <w:r w:rsidRPr="009E4617">
        <w:rPr>
          <w:rFonts w:ascii="Aptos" w:hAnsi="Aptos"/>
        </w:rPr>
        <w:t xml:space="preserve">. Available at: </w:t>
      </w:r>
      <w:hyperlink r:id="rId17" w:history="1">
        <w:r w:rsidRPr="009E4617">
          <w:rPr>
            <w:rStyle w:val="Hyperlink"/>
            <w:rFonts w:ascii="Aptos" w:hAnsi="Aptos"/>
            <w:color w:val="auto"/>
          </w:rPr>
          <w:t>https://www.understood.org/en/articles/8-multisensory-techniques-for-teaching-reading</w:t>
        </w:r>
      </w:hyperlink>
      <w:r w:rsidRPr="009E4617">
        <w:rPr>
          <w:rFonts w:ascii="Aptos" w:hAnsi="Aptos"/>
        </w:rPr>
        <w:t xml:space="preserve"> (Accessed 15 May 2025).</w:t>
      </w:r>
    </w:p>
    <w:p w14:paraId="53FEB524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 xml:space="preserve">Morin, A (2024) </w:t>
      </w:r>
      <w:r w:rsidRPr="00CE56AE">
        <w:rPr>
          <w:rFonts w:ascii="Aptos" w:hAnsi="Aptos"/>
          <w:i/>
          <w:iCs/>
        </w:rPr>
        <w:t>Classroom accommodations for dyslexia.</w:t>
      </w:r>
      <w:r w:rsidRPr="009E4617">
        <w:rPr>
          <w:rFonts w:ascii="Aptos" w:hAnsi="Aptos"/>
        </w:rPr>
        <w:t xml:space="preserve"> Available at: </w:t>
      </w:r>
      <w:hyperlink r:id="rId18" w:history="1">
        <w:r w:rsidRPr="009E4617">
          <w:rPr>
            <w:rStyle w:val="Hyperlink"/>
            <w:rFonts w:ascii="Aptos" w:hAnsi="Aptos"/>
            <w:color w:val="auto"/>
          </w:rPr>
          <w:t>https://www.understood.org/en/articles/classroom-accommodations-for-dyslexia</w:t>
        </w:r>
      </w:hyperlink>
      <w:r w:rsidRPr="009E4617">
        <w:rPr>
          <w:rFonts w:ascii="Aptos" w:hAnsi="Aptos"/>
        </w:rPr>
        <w:t xml:space="preserve"> (Accessed 15 May 2025).</w:t>
      </w:r>
    </w:p>
    <w:p w14:paraId="6D7807DB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>Morin, A. (2022). </w:t>
      </w:r>
      <w:r w:rsidRPr="00CE56AE">
        <w:rPr>
          <w:rFonts w:ascii="Aptos" w:hAnsi="Aptos"/>
          <w:i/>
          <w:iCs/>
        </w:rPr>
        <w:t>8 multisensory techniques for teaching reading</w:t>
      </w:r>
      <w:r w:rsidRPr="009E4617">
        <w:rPr>
          <w:rFonts w:ascii="Aptos" w:hAnsi="Aptos"/>
        </w:rPr>
        <w:t xml:space="preserve">. Available at: </w:t>
      </w:r>
      <w:hyperlink r:id="rId19" w:history="1">
        <w:r w:rsidRPr="009E4617">
          <w:rPr>
            <w:rStyle w:val="Hyperlink"/>
            <w:rFonts w:ascii="Aptos" w:hAnsi="Aptos"/>
            <w:color w:val="auto"/>
          </w:rPr>
          <w:t>https://www.understood.org/en/articles/8-multisensory-techniques-for-teaching-reading</w:t>
        </w:r>
      </w:hyperlink>
      <w:r w:rsidRPr="009E4617">
        <w:rPr>
          <w:rFonts w:ascii="Aptos" w:hAnsi="Aptos"/>
        </w:rPr>
        <w:t>. (Accessed 15 May 2025).</w:t>
      </w:r>
    </w:p>
    <w:p w14:paraId="30D25E56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>UNICEF (2017</w:t>
      </w:r>
      <w:r w:rsidRPr="00CE56AE">
        <w:rPr>
          <w:rFonts w:ascii="Aptos" w:hAnsi="Aptos"/>
          <w:i/>
          <w:iCs/>
        </w:rPr>
        <w:t>). Understanding Article 24 of the Convention on the Rights of Persons with Disabilities</w:t>
      </w:r>
      <w:r w:rsidRPr="009E4617">
        <w:rPr>
          <w:rFonts w:ascii="Aptos" w:hAnsi="Aptos"/>
        </w:rPr>
        <w:t xml:space="preserve">. Available at: </w:t>
      </w:r>
      <w:hyperlink r:id="rId20" w:history="1">
        <w:r w:rsidRPr="009E4617">
          <w:rPr>
            <w:rStyle w:val="Hyperlink"/>
            <w:rFonts w:ascii="Aptos" w:hAnsi="Aptos"/>
            <w:color w:val="auto"/>
          </w:rPr>
          <w:t>https://www.unicef.org/eca/sites/unicef.org.eca/files/IE_summary_accessible_220917_0.pdf</w:t>
        </w:r>
      </w:hyperlink>
      <w:r w:rsidRPr="009E4617">
        <w:rPr>
          <w:rFonts w:ascii="Aptos" w:hAnsi="Aptos"/>
        </w:rPr>
        <w:t>. (Accessed 11 May 2025).</w:t>
      </w:r>
    </w:p>
    <w:p w14:paraId="1179D3CD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 xml:space="preserve">UNICEF (2019) </w:t>
      </w:r>
      <w:r w:rsidRPr="00F74943">
        <w:rPr>
          <w:rFonts w:ascii="Aptos" w:hAnsi="Aptos"/>
          <w:i/>
          <w:iCs/>
        </w:rPr>
        <w:t>A summary of the UN Convention on the Rights of the Child.</w:t>
      </w:r>
      <w:r w:rsidRPr="009E4617">
        <w:rPr>
          <w:rFonts w:ascii="Aptos" w:hAnsi="Aptos"/>
        </w:rPr>
        <w:t xml:space="preserve"> Available at: </w:t>
      </w:r>
      <w:hyperlink r:id="rId21" w:history="1">
        <w:r w:rsidRPr="009E4617">
          <w:rPr>
            <w:rStyle w:val="Hyperlink"/>
            <w:rFonts w:ascii="Aptos" w:hAnsi="Aptos"/>
            <w:color w:val="auto"/>
          </w:rPr>
          <w:t>https://www.unicef.org.uk/wp-content/uploads/2019/10/UNCRC_summary-1_1.pdf</w:t>
        </w:r>
      </w:hyperlink>
      <w:r w:rsidRPr="009E4617">
        <w:rPr>
          <w:rFonts w:ascii="Aptos" w:hAnsi="Aptos"/>
        </w:rPr>
        <w:t xml:space="preserve"> (Accessed 10 May 2025).</w:t>
      </w:r>
    </w:p>
    <w:p w14:paraId="09BF08B0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 xml:space="preserve">UNICEF (2022). </w:t>
      </w:r>
      <w:r w:rsidRPr="00F74943">
        <w:rPr>
          <w:rFonts w:ascii="Aptos" w:hAnsi="Aptos"/>
          <w:i/>
          <w:iCs/>
        </w:rPr>
        <w:t>How we protect children’s rights with the UN convention on the rights of the child</w:t>
      </w:r>
      <w:r w:rsidRPr="009E4617">
        <w:rPr>
          <w:rFonts w:ascii="Aptos" w:hAnsi="Aptos"/>
        </w:rPr>
        <w:t xml:space="preserve">. Available at: </w:t>
      </w:r>
      <w:hyperlink r:id="rId22" w:history="1">
        <w:r w:rsidRPr="009E4617">
          <w:rPr>
            <w:rStyle w:val="Hyperlink"/>
            <w:rFonts w:ascii="Aptos" w:hAnsi="Aptos"/>
            <w:color w:val="auto"/>
          </w:rPr>
          <w:t>https://www.unicef.org.uk/what-we-do/un-convention-child-rights/</w:t>
        </w:r>
      </w:hyperlink>
      <w:r w:rsidRPr="009E4617">
        <w:rPr>
          <w:rFonts w:ascii="Aptos" w:hAnsi="Aptos"/>
        </w:rPr>
        <w:t xml:space="preserve"> (Accessed 10 May 2025). </w:t>
      </w:r>
    </w:p>
    <w:p w14:paraId="00BCF7AC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 xml:space="preserve">Wales Dyslexia (2018) </w:t>
      </w:r>
      <w:r w:rsidRPr="00F74943">
        <w:rPr>
          <w:rFonts w:ascii="Aptos" w:hAnsi="Aptos"/>
          <w:i/>
          <w:iCs/>
        </w:rPr>
        <w:t>What is Dyslexia</w:t>
      </w:r>
      <w:r w:rsidRPr="009E4617">
        <w:rPr>
          <w:rFonts w:ascii="Aptos" w:hAnsi="Aptos"/>
        </w:rPr>
        <w:t xml:space="preserve">. Available at: </w:t>
      </w:r>
      <w:hyperlink r:id="rId23" w:history="1">
        <w:r w:rsidRPr="009E4617">
          <w:rPr>
            <w:rStyle w:val="Hyperlink"/>
            <w:rFonts w:ascii="Aptos" w:hAnsi="Aptos"/>
            <w:color w:val="auto"/>
          </w:rPr>
          <w:t>https://www.walesdyslexia.org.uk/</w:t>
        </w:r>
      </w:hyperlink>
      <w:r w:rsidRPr="009E4617">
        <w:rPr>
          <w:rFonts w:ascii="Aptos" w:hAnsi="Aptos"/>
        </w:rPr>
        <w:t xml:space="preserve"> (Accessed 12 May 2025).</w:t>
      </w:r>
    </w:p>
    <w:p w14:paraId="6C7629A5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 xml:space="preserve">Welsh Government (2017) </w:t>
      </w:r>
      <w:r w:rsidRPr="0079368B">
        <w:rPr>
          <w:rFonts w:ascii="Aptos" w:hAnsi="Aptos"/>
          <w:i/>
          <w:iCs/>
        </w:rPr>
        <w:t>Illustration of ALNET and the ALN code.</w:t>
      </w:r>
      <w:r w:rsidRPr="009E4617">
        <w:rPr>
          <w:rFonts w:ascii="Aptos" w:hAnsi="Aptos"/>
        </w:rPr>
        <w:t xml:space="preserve"> Available at: https://media.npt.gov.uk/media/qxebkaad/aln-reform-easy-read-guide.pdf?v=20250120105718 (Accessed 1 May 2025).</w:t>
      </w:r>
    </w:p>
    <w:p w14:paraId="0C288692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>Welsh Government (2017). </w:t>
      </w:r>
      <w:r w:rsidRPr="0079368B">
        <w:rPr>
          <w:rFonts w:ascii="Aptos" w:hAnsi="Aptos"/>
          <w:i/>
          <w:iCs/>
        </w:rPr>
        <w:t xml:space="preserve">Professional Standards for Teaching and Leadership. </w:t>
      </w:r>
      <w:r w:rsidRPr="009E4617">
        <w:rPr>
          <w:rFonts w:ascii="Aptos" w:hAnsi="Aptos"/>
        </w:rPr>
        <w:t xml:space="preserve">Available at: </w:t>
      </w:r>
      <w:hyperlink r:id="rId24" w:history="1">
        <w:r w:rsidRPr="009E4617">
          <w:rPr>
            <w:rStyle w:val="Hyperlink"/>
            <w:rFonts w:ascii="Aptos" w:hAnsi="Aptos"/>
            <w:color w:val="auto"/>
          </w:rPr>
          <w:t>https://hwb.gov.wales/api/storage/19bc948b-8a3f-41e0-944a-7bf2cadf7d18/professional-standards-for-teaching-and-leadership-interactive-pdf-for-pc.pdf</w:t>
        </w:r>
      </w:hyperlink>
      <w:r w:rsidRPr="009E4617">
        <w:rPr>
          <w:rFonts w:ascii="Aptos" w:hAnsi="Aptos"/>
        </w:rPr>
        <w:t>. (Accessed 16 May 2025).</w:t>
      </w:r>
    </w:p>
    <w:p w14:paraId="09BF5626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 xml:space="preserve">Welsh Government (2018). </w:t>
      </w:r>
      <w:r w:rsidRPr="0079368B">
        <w:rPr>
          <w:rFonts w:ascii="Aptos" w:hAnsi="Aptos"/>
          <w:i/>
          <w:iCs/>
        </w:rPr>
        <w:t>Additional learning needs (ALN) transformation programme.</w:t>
      </w:r>
      <w:r w:rsidRPr="009E4617">
        <w:rPr>
          <w:rFonts w:ascii="Aptos" w:hAnsi="Aptos"/>
        </w:rPr>
        <w:t xml:space="preserve"> Available at: </w:t>
      </w:r>
      <w:hyperlink r:id="rId25" w:history="1">
        <w:r w:rsidRPr="009E4617">
          <w:rPr>
            <w:rStyle w:val="Hyperlink"/>
            <w:rFonts w:ascii="Aptos" w:hAnsi="Aptos"/>
            <w:color w:val="auto"/>
          </w:rPr>
          <w:t>https://www.gov.wales/sites/default/files/publications/2018-09/additional-learning-needs-aln-transformation-programme-v2.pdf</w:t>
        </w:r>
      </w:hyperlink>
      <w:r w:rsidRPr="009E4617">
        <w:rPr>
          <w:rFonts w:ascii="Aptos" w:hAnsi="Aptos"/>
        </w:rPr>
        <w:t>. (Accessed 11 May 2025).</w:t>
      </w:r>
    </w:p>
    <w:p w14:paraId="0C58B1BF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 xml:space="preserve">Welsh Government (2018). </w:t>
      </w:r>
      <w:r w:rsidRPr="0079368B">
        <w:rPr>
          <w:rFonts w:ascii="Aptos" w:hAnsi="Aptos"/>
          <w:i/>
          <w:iCs/>
        </w:rPr>
        <w:t>Additional Learning Needs and Education Tribunal (Wales) Act 2018</w:t>
      </w:r>
      <w:r w:rsidRPr="009E4617">
        <w:rPr>
          <w:rFonts w:ascii="Aptos" w:hAnsi="Aptos"/>
        </w:rPr>
        <w:t xml:space="preserve">.  Available at: </w:t>
      </w:r>
      <w:hyperlink r:id="rId26" w:history="1">
        <w:r w:rsidRPr="009E4617">
          <w:rPr>
            <w:rStyle w:val="Hyperlink"/>
            <w:rFonts w:ascii="Aptos" w:hAnsi="Aptos"/>
            <w:color w:val="auto"/>
          </w:rPr>
          <w:t>https://www.legislation.gov.uk/anaw/2018/2/contents</w:t>
        </w:r>
      </w:hyperlink>
      <w:r w:rsidRPr="009E4617">
        <w:rPr>
          <w:rFonts w:ascii="Aptos" w:hAnsi="Aptos"/>
        </w:rPr>
        <w:t>. Accessed 1 May 2025).</w:t>
      </w:r>
    </w:p>
    <w:p w14:paraId="41A799DE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lastRenderedPageBreak/>
        <w:t xml:space="preserve">Welsh Government (2019). </w:t>
      </w:r>
      <w:r w:rsidRPr="0079368B">
        <w:rPr>
          <w:rFonts w:ascii="Aptos" w:hAnsi="Aptos"/>
          <w:i/>
          <w:iCs/>
        </w:rPr>
        <w:t>Professional Standards for Teaching and Leadership</w:t>
      </w:r>
      <w:r w:rsidRPr="009E4617">
        <w:rPr>
          <w:rFonts w:ascii="Aptos" w:hAnsi="Aptos"/>
        </w:rPr>
        <w:t>.</w:t>
      </w:r>
      <w:r>
        <w:rPr>
          <w:rFonts w:ascii="Aptos" w:hAnsi="Aptos"/>
        </w:rPr>
        <w:t xml:space="preserve"> </w:t>
      </w:r>
      <w:r w:rsidRPr="009E4617">
        <w:rPr>
          <w:rFonts w:ascii="Aptos" w:hAnsi="Aptos"/>
        </w:rPr>
        <w:t xml:space="preserve">Available at: </w:t>
      </w:r>
      <w:hyperlink r:id="rId27" w:history="1">
        <w:r w:rsidRPr="009E4617">
          <w:rPr>
            <w:rStyle w:val="Hyperlink"/>
            <w:rFonts w:ascii="Aptos" w:hAnsi="Aptos"/>
            <w:color w:val="auto"/>
          </w:rPr>
          <w:t>https://hwb.gov.wales/api/storage/19bc948b-8a3f-41e0-944a-7bf2cadf7d18/professional-standards-for-teaching-and-leadership-interactive-pdf-for-pc.pdf</w:t>
        </w:r>
      </w:hyperlink>
      <w:r w:rsidRPr="009E4617">
        <w:rPr>
          <w:rFonts w:ascii="Aptos" w:hAnsi="Aptos"/>
        </w:rPr>
        <w:t>. (Accessed 4 May 2025).</w:t>
      </w:r>
    </w:p>
    <w:p w14:paraId="55C6BD4D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 xml:space="preserve">Welsh Government (2022). </w:t>
      </w:r>
      <w:r w:rsidRPr="0079368B">
        <w:rPr>
          <w:rFonts w:ascii="Aptos" w:hAnsi="Aptos"/>
          <w:i/>
          <w:iCs/>
        </w:rPr>
        <w:t>Developing a vision for curriculum design</w:t>
      </w:r>
      <w:r w:rsidRPr="009E4617">
        <w:rPr>
          <w:rFonts w:ascii="Aptos" w:hAnsi="Aptos"/>
        </w:rPr>
        <w:t xml:space="preserve">. Available at: </w:t>
      </w:r>
      <w:hyperlink r:id="rId28" w:history="1">
        <w:r w:rsidRPr="009E4617">
          <w:rPr>
            <w:rStyle w:val="Hyperlink"/>
            <w:rFonts w:ascii="Aptos" w:hAnsi="Aptos"/>
            <w:color w:val="auto"/>
          </w:rPr>
          <w:t>https://hwb.gov.wales/curriculum-for-wales/designing-your-curriculum/developing-a-vision-for-curriculum-design#:~:text=A%20curriculum%20accessible%20to%20all,-A%20school's%20curriculum&amp;text=It%20should%20consider%20how%20all,in%20an%20increasingly%20complex%20world</w:t>
        </w:r>
      </w:hyperlink>
      <w:r w:rsidRPr="009E4617">
        <w:rPr>
          <w:rFonts w:ascii="Aptos" w:hAnsi="Aptos"/>
        </w:rPr>
        <w:t xml:space="preserve">. (Accessed 11 May 2025). </w:t>
      </w:r>
    </w:p>
    <w:p w14:paraId="44592324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>Welsh Government (2023). </w:t>
      </w:r>
      <w:r w:rsidRPr="0079368B">
        <w:rPr>
          <w:rFonts w:ascii="Aptos" w:hAnsi="Aptos"/>
          <w:i/>
          <w:iCs/>
        </w:rPr>
        <w:t>Enabling learning</w:t>
      </w:r>
      <w:r>
        <w:rPr>
          <w:rFonts w:ascii="Aptos" w:hAnsi="Aptos"/>
        </w:rPr>
        <w:t xml:space="preserve">. </w:t>
      </w:r>
      <w:r w:rsidRPr="009E4617">
        <w:rPr>
          <w:rFonts w:ascii="Aptos" w:hAnsi="Aptos"/>
        </w:rPr>
        <w:t xml:space="preserve">Available at: </w:t>
      </w:r>
      <w:hyperlink r:id="rId29" w:history="1">
        <w:r w:rsidRPr="009E4617">
          <w:rPr>
            <w:rStyle w:val="Hyperlink"/>
            <w:rFonts w:ascii="Aptos" w:hAnsi="Aptos"/>
            <w:color w:val="auto"/>
          </w:rPr>
          <w:t>https://hwb.gov.wales/curriculum-for-wales/designing-your-curriculum/enabling-learning</w:t>
        </w:r>
      </w:hyperlink>
      <w:r w:rsidRPr="009E4617">
        <w:rPr>
          <w:rFonts w:ascii="Aptos" w:hAnsi="Aptos"/>
        </w:rPr>
        <w:t>. (Accessed 28 April 2025).</w:t>
      </w:r>
    </w:p>
    <w:p w14:paraId="2AA5F2B2" w14:textId="77777777" w:rsidR="000D23E7" w:rsidRPr="009E4617" w:rsidRDefault="000D23E7" w:rsidP="000D23E7">
      <w:pPr>
        <w:rPr>
          <w:rFonts w:ascii="Aptos" w:hAnsi="Aptos"/>
        </w:rPr>
      </w:pPr>
      <w:r w:rsidRPr="009E4617">
        <w:rPr>
          <w:rFonts w:ascii="Aptos" w:hAnsi="Aptos"/>
        </w:rPr>
        <w:t>Williams, K. (2025). </w:t>
      </w:r>
      <w:r w:rsidRPr="00B41AB5">
        <w:rPr>
          <w:rFonts w:ascii="Aptos" w:hAnsi="Aptos"/>
          <w:i/>
          <w:iCs/>
        </w:rPr>
        <w:t>The Importance of Early Identification and Tailored Interventions for Dyslexia.</w:t>
      </w:r>
      <w:r w:rsidRPr="009E4617">
        <w:rPr>
          <w:rFonts w:ascii="Aptos" w:hAnsi="Aptos"/>
        </w:rPr>
        <w:t xml:space="preserve"> Available at: </w:t>
      </w:r>
      <w:hyperlink r:id="rId30" w:history="1">
        <w:r w:rsidRPr="009E4617">
          <w:rPr>
            <w:rStyle w:val="Hyperlink"/>
            <w:rFonts w:ascii="Aptos" w:hAnsi="Aptos"/>
            <w:color w:val="auto"/>
          </w:rPr>
          <w:t>https://www.dyslexiauk.co.uk/the-importance-of-early-identification-and-tailored-interventions-for-dyslexia/</w:t>
        </w:r>
      </w:hyperlink>
      <w:r w:rsidRPr="009E4617">
        <w:rPr>
          <w:rFonts w:ascii="Aptos" w:hAnsi="Aptos"/>
        </w:rPr>
        <w:t>. (Accessed 15 May 2025).</w:t>
      </w:r>
    </w:p>
    <w:p w14:paraId="795A8CAF" w14:textId="77777777" w:rsidR="00180D60" w:rsidRDefault="00180D60" w:rsidP="00D163BC">
      <w:pPr>
        <w:rPr>
          <w:sz w:val="52"/>
          <w:szCs w:val="52"/>
        </w:rPr>
      </w:pPr>
    </w:p>
    <w:p w14:paraId="6180A77C" w14:textId="77777777" w:rsidR="00180D60" w:rsidRDefault="00180D60" w:rsidP="00D163BC">
      <w:pPr>
        <w:rPr>
          <w:sz w:val="52"/>
          <w:szCs w:val="52"/>
        </w:rPr>
      </w:pPr>
    </w:p>
    <w:p w14:paraId="4724129F" w14:textId="77777777" w:rsidR="00180D60" w:rsidRDefault="00180D60" w:rsidP="00D163BC">
      <w:pPr>
        <w:rPr>
          <w:sz w:val="52"/>
          <w:szCs w:val="52"/>
        </w:rPr>
      </w:pPr>
    </w:p>
    <w:p w14:paraId="5402FDA4" w14:textId="77777777" w:rsidR="00180D60" w:rsidRDefault="00180D60" w:rsidP="00D163BC">
      <w:pPr>
        <w:rPr>
          <w:sz w:val="52"/>
          <w:szCs w:val="52"/>
        </w:rPr>
      </w:pPr>
    </w:p>
    <w:p w14:paraId="76FED645" w14:textId="77777777" w:rsidR="00180D60" w:rsidRPr="000E2E7E" w:rsidRDefault="00180D60" w:rsidP="00D163BC">
      <w:pPr>
        <w:rPr>
          <w:sz w:val="52"/>
          <w:szCs w:val="52"/>
        </w:rPr>
      </w:pPr>
    </w:p>
    <w:sectPr w:rsidR="00180D60" w:rsidRPr="000E2E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E7E"/>
    <w:rsid w:val="000D23E7"/>
    <w:rsid w:val="000E2E7E"/>
    <w:rsid w:val="0011299B"/>
    <w:rsid w:val="00121BB2"/>
    <w:rsid w:val="00152238"/>
    <w:rsid w:val="001675AC"/>
    <w:rsid w:val="00180D60"/>
    <w:rsid w:val="00191CFB"/>
    <w:rsid w:val="001A0DA7"/>
    <w:rsid w:val="001E698E"/>
    <w:rsid w:val="001F1157"/>
    <w:rsid w:val="002B394C"/>
    <w:rsid w:val="002C222F"/>
    <w:rsid w:val="00315C6B"/>
    <w:rsid w:val="00371AC6"/>
    <w:rsid w:val="00372668"/>
    <w:rsid w:val="003A7750"/>
    <w:rsid w:val="00403714"/>
    <w:rsid w:val="004855F6"/>
    <w:rsid w:val="004D1EF9"/>
    <w:rsid w:val="004D5566"/>
    <w:rsid w:val="00504994"/>
    <w:rsid w:val="00510D18"/>
    <w:rsid w:val="00604703"/>
    <w:rsid w:val="006D0A23"/>
    <w:rsid w:val="008F0B48"/>
    <w:rsid w:val="00965B69"/>
    <w:rsid w:val="009D31A8"/>
    <w:rsid w:val="009F2E1D"/>
    <w:rsid w:val="00A72054"/>
    <w:rsid w:val="00AB5565"/>
    <w:rsid w:val="00B46E1F"/>
    <w:rsid w:val="00B72929"/>
    <w:rsid w:val="00BE22FC"/>
    <w:rsid w:val="00C0493E"/>
    <w:rsid w:val="00C97AF4"/>
    <w:rsid w:val="00D163BC"/>
    <w:rsid w:val="00DF09B3"/>
    <w:rsid w:val="00E5184C"/>
    <w:rsid w:val="00F66413"/>
    <w:rsid w:val="00F73EA5"/>
    <w:rsid w:val="00FD13B3"/>
    <w:rsid w:val="00FD4B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B9060"/>
  <w15:chartTrackingRefBased/>
  <w15:docId w15:val="{1B585F4F-5F9A-4953-9D79-C7D04A850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E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2E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2E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2E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E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E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E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E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E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E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2E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2E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2E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2E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2E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2E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2E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2E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E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2E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E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2E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E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2E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E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E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E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2E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E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80D6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0D6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15C6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09482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92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99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81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7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2314788_student_uwtsd_ac_uk/EZnj0aaoL0lHrzyJPGGqBuYBXTlv9rtbaoo7-UFtB63_Ww?e=ktdlyi&amp;nav=eyJwbGF5YmFja09wdGlvbnMiOnt9LCJyZWZlcnJhbEluZm8iOnsicmVmZXJyYWxBcHAiOiJTdHJlYW1XZWJBcHAiLCJyZWZlcnJhbE1vZGUiOiJtaXMiLCJyZWZlcnJhbFZpZXciOiJwb3N0cm9sbC1jb3B5bGluayIsInJlZmVycmFsUGxheWJhY2tTZXNzaW9uSWQiOiJiMWNiZGZiMS04YTk0LTQyOWYtODI5YS0wNzY3NzVlODI1NDYifX0%3D" TargetMode="External"/><Relationship Id="rId13" Type="http://schemas.openxmlformats.org/officeDocument/2006/relationships/hyperlink" Target="https://dyslexiascotland.org.uk/assistive-technology/" TargetMode="External"/><Relationship Id="rId18" Type="http://schemas.openxmlformats.org/officeDocument/2006/relationships/hyperlink" Target="https://www.understood.org/en/articles/classroom-accommodations-for-dyslexia" TargetMode="External"/><Relationship Id="rId26" Type="http://schemas.openxmlformats.org/officeDocument/2006/relationships/hyperlink" Target="https://www.legislation.gov.uk/anaw/2018/2/contents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unicef.org.uk/wp-content/uploads/2019/10/UNCRC_summary-1_1.pdf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bdadyslexia.org.uk/dyslexia/neurodiversity-and-co-occurring-differences/visual-difficulties" TargetMode="External"/><Relationship Id="rId17" Type="http://schemas.openxmlformats.org/officeDocument/2006/relationships/hyperlink" Target="https://www.understood.org/en/articles/8-multisensory-techniques-for-teaching-reading" TargetMode="External"/><Relationship Id="rId25" Type="http://schemas.openxmlformats.org/officeDocument/2006/relationships/hyperlink" Target="https://www.gov.wales/sites/default/files/publications/2018-09/additional-learning-needs-aln-transformation-programme-v2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understood.org/en/articles/8-multisensory-techniques-for-teaching-reading" TargetMode="External"/><Relationship Id="rId20" Type="http://schemas.openxmlformats.org/officeDocument/2006/relationships/hyperlink" Target="https://www.unicef.org/eca/sites/unicef.org.eca/files/IE_summary_accessible_220917_0.pdf" TargetMode="External"/><Relationship Id="rId29" Type="http://schemas.openxmlformats.org/officeDocument/2006/relationships/hyperlink" Target="https://hwb.gov.wales/curriculum-for-wales/designing-your-curriculum/enabling-learning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bdadyslexia.org.uk/advice/children/is-my-child-dyslexic/signs-of-dyslexia-primary-age" TargetMode="External"/><Relationship Id="rId24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32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www.inclusion-europe.eu/what-is-the-un-crpd-watch-our-new-easy-to-understand-video-to-find-out/" TargetMode="External"/><Relationship Id="rId23" Type="http://schemas.openxmlformats.org/officeDocument/2006/relationships/hyperlink" Target="https://www.walesdyslexia.org.uk/" TargetMode="External"/><Relationship Id="rId28" Type="http://schemas.openxmlformats.org/officeDocument/2006/relationships/hyperlink" Target="https://hwb.gov.wales/curriculum-for-wales/designing-your-curriculum/developing-a-vision-for-curriculum-design" TargetMode="External"/><Relationship Id="rId10" Type="http://schemas.openxmlformats.org/officeDocument/2006/relationships/hyperlink" Target="https://www.bdadyslexia.org.uk/dyslexia/about-dyslexia" TargetMode="External"/><Relationship Id="rId19" Type="http://schemas.openxmlformats.org/officeDocument/2006/relationships/hyperlink" Target="https://www.understood.org/en/articles/8-multisensory-techniques-for-teaching-reading" TargetMode="External"/><Relationship Id="rId31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www.cambridgeenglish.org/blog/ten-ways-to-support-learners-with-dyslexia/" TargetMode="External"/><Relationship Id="rId14" Type="http://schemas.openxmlformats.org/officeDocument/2006/relationships/hyperlink" Target="https://www.sasc.org.uk/media/3imfgx54/sasc-briefing-paper-delphi-dyslexia-study-may-2024-final.pdf" TargetMode="External"/><Relationship Id="rId22" Type="http://schemas.openxmlformats.org/officeDocument/2006/relationships/hyperlink" Target="https://www.unicef.org.uk/what-we-do/un-convention-child-rights/" TargetMode="External"/><Relationship Id="rId27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30" Type="http://schemas.openxmlformats.org/officeDocument/2006/relationships/hyperlink" Target="https://www.dyslexiauk.co.uk/the-importance-of-early-identification-and-tailored-interventions-for-dyslexi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2" ma:contentTypeDescription="Create a new document." ma:contentTypeScope="" ma:versionID="efb5fe05e6b9f1663799a7929810c10a">
  <xsd:schema xmlns:xsd="http://www.w3.org/2001/XMLSchema" xmlns:xs="http://www.w3.org/2001/XMLSchema" xmlns:p="http://schemas.microsoft.com/office/2006/metadata/properties" xmlns:ns3="0ebdf10f-b5a3-45b6-acdb-7dc1eb398785" targetNamespace="http://schemas.microsoft.com/office/2006/metadata/properties" ma:root="true" ma:fieldsID="3419fdf043d425d3a21ba6e68fa35a15" ns3:_="">
    <xsd:import namespace="0ebdf10f-b5a3-45b6-acdb-7dc1eb398785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15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8D22664-12FB-4181-B305-CA358FD53A4D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customXml/itemProps2.xml><?xml version="1.0" encoding="utf-8"?>
<ds:datastoreItem xmlns:ds="http://schemas.openxmlformats.org/officeDocument/2006/customXml" ds:itemID="{F261364C-DFA8-429E-B0C0-825750A054D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B3DAC73-EDF0-442E-9852-A5CF5A94DD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5</Pages>
  <Words>1430</Words>
  <Characters>8153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Hazel Smith</cp:lastModifiedBy>
  <cp:revision>20</cp:revision>
  <dcterms:created xsi:type="dcterms:W3CDTF">2025-05-17T20:29:00Z</dcterms:created>
  <dcterms:modified xsi:type="dcterms:W3CDTF">2025-05-18T14:25:00Z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