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50F4E" w14:textId="77777777" w:rsidR="001F4115" w:rsidRDefault="001F4115" w:rsidP="001F4115">
      <w:pPr>
        <w:spacing w:line="278" w:lineRule="auto"/>
        <w:rPr>
          <w:rFonts w:ascii="Arial" w:hAnsi="Arial" w:cs="Arial"/>
          <w:b/>
          <w:bCs/>
          <w:lang w:val="en-US"/>
        </w:rPr>
      </w:pPr>
    </w:p>
    <w:p w14:paraId="590885B1" w14:textId="77777777" w:rsidR="001F4115" w:rsidRDefault="001F4115" w:rsidP="001F4115">
      <w:pPr>
        <w:spacing w:line="278" w:lineRule="auto"/>
        <w:rPr>
          <w:rFonts w:ascii="Arial" w:hAnsi="Arial" w:cs="Arial"/>
          <w:b/>
          <w:bCs/>
          <w:lang w:val="en-US"/>
        </w:rPr>
      </w:pPr>
    </w:p>
    <w:p w14:paraId="3D1448AA" w14:textId="77777777" w:rsidR="001F4115" w:rsidRPr="004109E6" w:rsidRDefault="001F4115" w:rsidP="001F4115">
      <w:pPr>
        <w:spacing w:line="278" w:lineRule="auto"/>
        <w:rPr>
          <w:rFonts w:ascii="Arial" w:hAnsi="Arial" w:cs="Arial"/>
          <w:b/>
          <w:bCs/>
          <w:lang w:val="en-US"/>
        </w:rPr>
      </w:pPr>
    </w:p>
    <w:p w14:paraId="4BB8F0A9" w14:textId="77777777" w:rsidR="001F4115" w:rsidRPr="004109E6" w:rsidRDefault="001F4115" w:rsidP="001F4115">
      <w:pPr>
        <w:spacing w:line="278" w:lineRule="auto"/>
        <w:jc w:val="center"/>
        <w:rPr>
          <w:rFonts w:ascii="Arial" w:hAnsi="Arial" w:cs="Arial"/>
          <w:b/>
          <w:bCs/>
          <w:lang w:val="en-US"/>
        </w:rPr>
      </w:pPr>
      <w:r w:rsidRPr="002C20AE">
        <w:rPr>
          <w:b/>
          <w:noProof/>
          <w:sz w:val="32"/>
          <w:szCs w:val="32"/>
        </w:rPr>
        <w:drawing>
          <wp:inline distT="0" distB="0" distL="0" distR="0" wp14:anchorId="2B992B36" wp14:editId="2E1B7269">
            <wp:extent cx="3077004" cy="1200318"/>
            <wp:effectExtent l="0" t="0" r="0" b="0"/>
            <wp:docPr id="1490448713" name="Picture 149044871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48713" name="Picture 1490448713" descr="A close-up of a sign&#10;&#10;AI-generated content may be incorrect."/>
                    <pic:cNvPicPr/>
                  </pic:nvPicPr>
                  <pic:blipFill>
                    <a:blip r:embed="rId8"/>
                    <a:stretch>
                      <a:fillRect/>
                    </a:stretch>
                  </pic:blipFill>
                  <pic:spPr>
                    <a:xfrm>
                      <a:off x="0" y="0"/>
                      <a:ext cx="3077004" cy="1200318"/>
                    </a:xfrm>
                    <a:prstGeom prst="rect">
                      <a:avLst/>
                    </a:prstGeom>
                  </pic:spPr>
                </pic:pic>
              </a:graphicData>
            </a:graphic>
          </wp:inline>
        </w:drawing>
      </w:r>
    </w:p>
    <w:p w14:paraId="10F56E9F" w14:textId="77777777" w:rsidR="001F4115" w:rsidRDefault="001F4115" w:rsidP="001F4115">
      <w:pPr>
        <w:spacing w:line="278" w:lineRule="auto"/>
        <w:jc w:val="center"/>
        <w:rPr>
          <w:rFonts w:ascii="Arial" w:hAnsi="Arial" w:cs="Arial"/>
          <w:b/>
          <w:bCs/>
          <w:sz w:val="32"/>
          <w:szCs w:val="32"/>
          <w:lang w:val="en-US"/>
        </w:rPr>
      </w:pPr>
      <w:r>
        <w:rPr>
          <w:rFonts w:ascii="Arial" w:hAnsi="Arial" w:cs="Arial"/>
          <w:b/>
          <w:bCs/>
          <w:sz w:val="32"/>
          <w:szCs w:val="32"/>
          <w:lang w:val="en-US"/>
        </w:rPr>
        <w:t xml:space="preserve">Student Name </w:t>
      </w:r>
      <w:r w:rsidRPr="004109E6">
        <w:rPr>
          <w:rFonts w:ascii="Arial" w:hAnsi="Arial" w:cs="Arial"/>
          <w:b/>
          <w:bCs/>
          <w:sz w:val="32"/>
          <w:szCs w:val="32"/>
          <w:lang w:val="en-US"/>
        </w:rPr>
        <w:t xml:space="preserve">: </w:t>
      </w:r>
      <w:r>
        <w:rPr>
          <w:rFonts w:ascii="Arial" w:hAnsi="Arial" w:cs="Arial"/>
          <w:b/>
          <w:bCs/>
          <w:sz w:val="32"/>
          <w:szCs w:val="32"/>
          <w:lang w:val="en-US"/>
        </w:rPr>
        <w:t>Viraj Manishbhai Buha</w:t>
      </w:r>
    </w:p>
    <w:p w14:paraId="32A17A77" w14:textId="77777777" w:rsidR="001F4115" w:rsidRDefault="001F4115" w:rsidP="001F4115">
      <w:pPr>
        <w:spacing w:line="278" w:lineRule="auto"/>
        <w:jc w:val="center"/>
        <w:rPr>
          <w:rFonts w:ascii="Arial" w:hAnsi="Arial" w:cs="Arial"/>
          <w:b/>
          <w:bCs/>
          <w:sz w:val="32"/>
          <w:szCs w:val="32"/>
          <w:lang w:val="en-US"/>
        </w:rPr>
      </w:pPr>
    </w:p>
    <w:p w14:paraId="77E4039D" w14:textId="77777777" w:rsidR="001F4115" w:rsidRDefault="001F4115" w:rsidP="001F4115">
      <w:pPr>
        <w:spacing w:line="278" w:lineRule="auto"/>
        <w:jc w:val="center"/>
        <w:rPr>
          <w:rFonts w:ascii="Arial" w:hAnsi="Arial" w:cs="Arial"/>
          <w:b/>
          <w:bCs/>
          <w:sz w:val="32"/>
          <w:szCs w:val="32"/>
          <w:lang w:val="en-US"/>
        </w:rPr>
      </w:pPr>
      <w:r>
        <w:rPr>
          <w:rFonts w:ascii="Arial" w:hAnsi="Arial" w:cs="Arial"/>
          <w:b/>
          <w:bCs/>
          <w:sz w:val="32"/>
          <w:szCs w:val="32"/>
          <w:lang w:val="en-US"/>
        </w:rPr>
        <w:t>Student ID : 2506581</w:t>
      </w:r>
    </w:p>
    <w:p w14:paraId="016B9CD1" w14:textId="77777777" w:rsidR="001F4115" w:rsidRPr="004109E6" w:rsidRDefault="001F4115" w:rsidP="001F4115">
      <w:pPr>
        <w:spacing w:line="278" w:lineRule="auto"/>
        <w:jc w:val="center"/>
        <w:rPr>
          <w:rFonts w:ascii="Arial" w:hAnsi="Arial" w:cs="Arial"/>
          <w:b/>
          <w:bCs/>
          <w:sz w:val="32"/>
          <w:szCs w:val="32"/>
          <w:lang w:val="en-US"/>
        </w:rPr>
      </w:pPr>
    </w:p>
    <w:p w14:paraId="186BBE4B" w14:textId="50AE6297" w:rsidR="001F4115" w:rsidRDefault="001F4115" w:rsidP="001F4115">
      <w:pPr>
        <w:spacing w:line="278" w:lineRule="auto"/>
        <w:jc w:val="center"/>
        <w:rPr>
          <w:rFonts w:ascii="Arial" w:hAnsi="Arial" w:cs="Arial"/>
          <w:b/>
          <w:bCs/>
          <w:sz w:val="32"/>
          <w:szCs w:val="32"/>
          <w:lang w:val="en-US"/>
        </w:rPr>
      </w:pPr>
      <w:r w:rsidRPr="004109E6">
        <w:rPr>
          <w:rFonts w:ascii="Arial" w:hAnsi="Arial" w:cs="Arial"/>
          <w:b/>
          <w:bCs/>
          <w:sz w:val="32"/>
          <w:szCs w:val="32"/>
          <w:lang w:val="en-US"/>
        </w:rPr>
        <w:t>Module</w:t>
      </w:r>
      <w:r>
        <w:rPr>
          <w:rFonts w:ascii="Arial" w:hAnsi="Arial" w:cs="Arial"/>
          <w:b/>
          <w:bCs/>
          <w:sz w:val="32"/>
          <w:szCs w:val="32"/>
          <w:lang w:val="en-US"/>
        </w:rPr>
        <w:t>: Strategic Management</w:t>
      </w:r>
    </w:p>
    <w:p w14:paraId="731223D0" w14:textId="77777777" w:rsidR="001F4115" w:rsidRPr="004109E6" w:rsidRDefault="001F4115" w:rsidP="001F4115">
      <w:pPr>
        <w:spacing w:line="278" w:lineRule="auto"/>
        <w:jc w:val="center"/>
        <w:rPr>
          <w:rFonts w:ascii="Arial" w:hAnsi="Arial" w:cs="Arial"/>
          <w:b/>
          <w:bCs/>
          <w:sz w:val="32"/>
          <w:szCs w:val="32"/>
          <w:lang w:val="en-US"/>
        </w:rPr>
      </w:pPr>
    </w:p>
    <w:p w14:paraId="786FF7D8" w14:textId="5F9974E3" w:rsidR="001F4115" w:rsidRDefault="001F4115" w:rsidP="001F4115">
      <w:pPr>
        <w:spacing w:line="278" w:lineRule="auto"/>
        <w:jc w:val="center"/>
        <w:rPr>
          <w:rFonts w:ascii="Arial" w:hAnsi="Arial" w:cs="Arial"/>
          <w:b/>
          <w:bCs/>
          <w:sz w:val="32"/>
          <w:szCs w:val="32"/>
          <w:lang w:val="en-US"/>
        </w:rPr>
      </w:pPr>
      <w:r w:rsidRPr="004109E6">
        <w:rPr>
          <w:rFonts w:ascii="Arial" w:hAnsi="Arial" w:cs="Arial"/>
          <w:b/>
          <w:bCs/>
          <w:sz w:val="32"/>
          <w:szCs w:val="32"/>
          <w:lang w:val="en-US"/>
        </w:rPr>
        <w:t>Module Code: LCMB70</w:t>
      </w:r>
      <w:r>
        <w:rPr>
          <w:rFonts w:ascii="Arial" w:hAnsi="Arial" w:cs="Arial"/>
          <w:b/>
          <w:bCs/>
          <w:sz w:val="32"/>
          <w:szCs w:val="32"/>
          <w:lang w:val="en-US"/>
        </w:rPr>
        <w:t>03</w:t>
      </w:r>
    </w:p>
    <w:p w14:paraId="7A841270" w14:textId="77777777" w:rsidR="001F4115" w:rsidRDefault="001F4115" w:rsidP="001F4115">
      <w:pPr>
        <w:spacing w:line="278" w:lineRule="auto"/>
        <w:jc w:val="center"/>
        <w:rPr>
          <w:rFonts w:ascii="Arial" w:hAnsi="Arial" w:cs="Arial"/>
          <w:b/>
          <w:bCs/>
          <w:sz w:val="32"/>
          <w:szCs w:val="32"/>
          <w:lang w:val="en-US"/>
        </w:rPr>
      </w:pPr>
    </w:p>
    <w:p w14:paraId="37C449C0" w14:textId="50F29DEB" w:rsidR="001F4115" w:rsidRPr="004109E6" w:rsidRDefault="001F4115" w:rsidP="001F4115">
      <w:pPr>
        <w:spacing w:line="278" w:lineRule="auto"/>
        <w:jc w:val="center"/>
        <w:rPr>
          <w:rFonts w:ascii="Arial" w:hAnsi="Arial" w:cs="Arial"/>
          <w:b/>
          <w:bCs/>
          <w:sz w:val="32"/>
          <w:szCs w:val="32"/>
          <w:lang w:val="en-US"/>
        </w:rPr>
      </w:pPr>
      <w:r>
        <w:rPr>
          <w:rFonts w:ascii="Arial" w:hAnsi="Arial" w:cs="Arial"/>
          <w:b/>
          <w:bCs/>
          <w:sz w:val="32"/>
          <w:szCs w:val="32"/>
          <w:lang w:val="en-US"/>
        </w:rPr>
        <w:t>Lecturer’s Name : Balendran</w:t>
      </w:r>
      <w:r>
        <w:rPr>
          <w:rFonts w:ascii="Arial" w:hAnsi="Arial" w:cs="Arial"/>
          <w:b/>
          <w:bCs/>
          <w:sz w:val="32"/>
          <w:szCs w:val="32"/>
          <w:lang w:val="en-US"/>
        </w:rPr>
        <w:t xml:space="preserve"> Kandasamy</w:t>
      </w:r>
    </w:p>
    <w:p w14:paraId="004E165B" w14:textId="77777777" w:rsidR="001F4115" w:rsidRPr="004109E6" w:rsidRDefault="001F4115" w:rsidP="001F4115">
      <w:pPr>
        <w:spacing w:line="278" w:lineRule="auto"/>
        <w:jc w:val="center"/>
        <w:rPr>
          <w:rFonts w:ascii="Arial" w:hAnsi="Arial" w:cs="Arial"/>
          <w:b/>
          <w:bCs/>
          <w:sz w:val="32"/>
          <w:szCs w:val="32"/>
          <w:lang w:val="en-US"/>
        </w:rPr>
      </w:pPr>
    </w:p>
    <w:p w14:paraId="4EBC5F19" w14:textId="3FC00863" w:rsidR="001F4115" w:rsidRPr="004109E6" w:rsidRDefault="001F4115" w:rsidP="001F4115">
      <w:pPr>
        <w:spacing w:line="278" w:lineRule="auto"/>
        <w:jc w:val="center"/>
        <w:rPr>
          <w:rFonts w:ascii="Arial" w:hAnsi="Arial" w:cs="Arial"/>
          <w:b/>
          <w:bCs/>
          <w:sz w:val="32"/>
          <w:szCs w:val="32"/>
          <w:lang w:val="en-US"/>
        </w:rPr>
      </w:pPr>
      <w:r w:rsidRPr="004109E6">
        <w:rPr>
          <w:rFonts w:ascii="Arial" w:hAnsi="Arial" w:cs="Arial"/>
          <w:b/>
          <w:bCs/>
          <w:sz w:val="32"/>
          <w:szCs w:val="32"/>
          <w:lang w:val="en-US"/>
        </w:rPr>
        <w:t xml:space="preserve">Word count: </w:t>
      </w:r>
      <w:r>
        <w:rPr>
          <w:rFonts w:ascii="Arial" w:hAnsi="Arial" w:cs="Arial"/>
          <w:b/>
          <w:bCs/>
          <w:sz w:val="32"/>
          <w:szCs w:val="32"/>
          <w:lang w:val="en-US"/>
        </w:rPr>
        <w:t>4999</w:t>
      </w:r>
    </w:p>
    <w:p w14:paraId="29530818" w14:textId="77777777" w:rsidR="00107480" w:rsidRDefault="00107480">
      <w:pPr>
        <w:spacing w:line="259" w:lineRule="auto"/>
        <w:jc w:val="left"/>
      </w:pPr>
    </w:p>
    <w:p w14:paraId="366D4A9B" w14:textId="77777777" w:rsidR="001F4115" w:rsidRDefault="001F4115">
      <w:pPr>
        <w:spacing w:line="259" w:lineRule="auto"/>
        <w:jc w:val="left"/>
      </w:pPr>
    </w:p>
    <w:p w14:paraId="714F5BBA" w14:textId="77777777" w:rsidR="001F4115" w:rsidRDefault="001F4115">
      <w:pPr>
        <w:spacing w:line="259" w:lineRule="auto"/>
        <w:jc w:val="left"/>
      </w:pPr>
    </w:p>
    <w:p w14:paraId="7B6D2154" w14:textId="77777777" w:rsidR="001F4115" w:rsidRDefault="001F4115">
      <w:pPr>
        <w:spacing w:line="259" w:lineRule="auto"/>
        <w:jc w:val="left"/>
      </w:pPr>
    </w:p>
    <w:p w14:paraId="56A4841B" w14:textId="77777777" w:rsidR="001F4115" w:rsidRDefault="001F4115">
      <w:pPr>
        <w:spacing w:line="259" w:lineRule="auto"/>
        <w:jc w:val="left"/>
      </w:pPr>
    </w:p>
    <w:p w14:paraId="6EA97BA6" w14:textId="77777777" w:rsidR="001F4115" w:rsidRDefault="001F4115">
      <w:pPr>
        <w:spacing w:line="259" w:lineRule="auto"/>
        <w:jc w:val="left"/>
      </w:pPr>
    </w:p>
    <w:p w14:paraId="5F062B4E" w14:textId="77777777" w:rsidR="001F4115" w:rsidRDefault="001F4115">
      <w:pPr>
        <w:spacing w:line="259" w:lineRule="auto"/>
        <w:jc w:val="left"/>
      </w:pPr>
    </w:p>
    <w:p w14:paraId="5AFB7C60" w14:textId="77777777" w:rsidR="001F4115" w:rsidRDefault="001F4115">
      <w:pPr>
        <w:spacing w:line="259" w:lineRule="auto"/>
        <w:jc w:val="left"/>
      </w:pPr>
    </w:p>
    <w:p w14:paraId="1C996A4B" w14:textId="77777777" w:rsidR="001F4115" w:rsidRDefault="001F4115">
      <w:pPr>
        <w:spacing w:line="259" w:lineRule="auto"/>
        <w:jc w:val="left"/>
      </w:pPr>
    </w:p>
    <w:p w14:paraId="4EAAEDD2" w14:textId="77777777" w:rsidR="001F4115" w:rsidRPr="00471EDC" w:rsidRDefault="001F4115">
      <w:pPr>
        <w:spacing w:line="259" w:lineRule="auto"/>
        <w:jc w:val="left"/>
      </w:pPr>
    </w:p>
    <w:sdt>
      <w:sdtPr>
        <w:rPr>
          <w:rFonts w:ascii="Times New Roman" w:eastAsiaTheme="minorHAnsi" w:hAnsi="Times New Roman" w:cstheme="minorBidi"/>
          <w:color w:val="auto"/>
          <w:sz w:val="24"/>
          <w:szCs w:val="22"/>
          <w:lang w:val="en-GB"/>
        </w:rPr>
        <w:id w:val="-1424865412"/>
        <w:docPartObj>
          <w:docPartGallery w:val="Table of Contents"/>
          <w:docPartUnique/>
        </w:docPartObj>
      </w:sdtPr>
      <w:sdtEndPr>
        <w:rPr>
          <w:b/>
          <w:bCs/>
          <w:noProof/>
        </w:rPr>
      </w:sdtEndPr>
      <w:sdtContent>
        <w:p w14:paraId="716A38FD" w14:textId="77777777" w:rsidR="00BF2844" w:rsidRPr="00471EDC" w:rsidRDefault="00BF2844" w:rsidP="00E9324F">
          <w:pPr>
            <w:pStyle w:val="TOCHeading"/>
            <w:rPr>
              <w:rFonts w:ascii="Times New Roman" w:hAnsi="Times New Roman" w:cs="Times New Roman"/>
              <w:color w:val="0D0D0D" w:themeColor="text1" w:themeTint="F2"/>
              <w:lang w:val="en-GB"/>
            </w:rPr>
          </w:pPr>
          <w:r w:rsidRPr="00471EDC">
            <w:rPr>
              <w:rFonts w:ascii="Times New Roman" w:hAnsi="Times New Roman" w:cs="Times New Roman"/>
              <w:color w:val="0D0D0D" w:themeColor="text1" w:themeTint="F2"/>
              <w:lang w:val="en-GB"/>
            </w:rPr>
            <w:t>Table of Contents</w:t>
          </w:r>
        </w:p>
        <w:p w14:paraId="13192B90" w14:textId="77777777" w:rsidR="00A56093" w:rsidRDefault="00BF2844">
          <w:pPr>
            <w:pStyle w:val="TOC1"/>
            <w:tabs>
              <w:tab w:val="right" w:leader="dot" w:pos="9350"/>
            </w:tabs>
            <w:rPr>
              <w:rFonts w:asciiTheme="minorHAnsi" w:eastAsiaTheme="minorEastAsia" w:hAnsiTheme="minorHAnsi"/>
              <w:noProof/>
              <w:sz w:val="22"/>
              <w:lang w:val="en-US"/>
            </w:rPr>
          </w:pPr>
          <w:r w:rsidRPr="00471EDC">
            <w:fldChar w:fldCharType="begin"/>
          </w:r>
          <w:r w:rsidRPr="00471EDC">
            <w:instrText xml:space="preserve"> TOC \o "1-3" \h \z \u </w:instrText>
          </w:r>
          <w:r w:rsidRPr="00471EDC">
            <w:fldChar w:fldCharType="separate"/>
          </w:r>
          <w:hyperlink w:anchor="_Toc224060343" w:history="1">
            <w:r w:rsidR="00A56093" w:rsidRPr="00632F6E">
              <w:rPr>
                <w:rStyle w:val="Hyperlink"/>
                <w:noProof/>
              </w:rPr>
              <w:t>Section 1</w:t>
            </w:r>
            <w:r w:rsidR="00A56093">
              <w:rPr>
                <w:noProof/>
                <w:webHidden/>
              </w:rPr>
              <w:tab/>
            </w:r>
            <w:r w:rsidR="00A56093">
              <w:rPr>
                <w:noProof/>
                <w:webHidden/>
              </w:rPr>
              <w:fldChar w:fldCharType="begin"/>
            </w:r>
            <w:r w:rsidR="00A56093">
              <w:rPr>
                <w:noProof/>
                <w:webHidden/>
              </w:rPr>
              <w:instrText xml:space="preserve"> PAGEREF _Toc224060343 \h </w:instrText>
            </w:r>
            <w:r w:rsidR="00A56093">
              <w:rPr>
                <w:noProof/>
                <w:webHidden/>
              </w:rPr>
            </w:r>
            <w:r w:rsidR="00A56093">
              <w:rPr>
                <w:noProof/>
                <w:webHidden/>
              </w:rPr>
              <w:fldChar w:fldCharType="separate"/>
            </w:r>
            <w:r w:rsidR="00A56093">
              <w:rPr>
                <w:noProof/>
                <w:webHidden/>
              </w:rPr>
              <w:t>3</w:t>
            </w:r>
            <w:r w:rsidR="00A56093">
              <w:rPr>
                <w:noProof/>
                <w:webHidden/>
              </w:rPr>
              <w:fldChar w:fldCharType="end"/>
            </w:r>
          </w:hyperlink>
        </w:p>
        <w:p w14:paraId="47A8EB49" w14:textId="77777777" w:rsidR="00A56093" w:rsidRDefault="00A56093">
          <w:pPr>
            <w:pStyle w:val="TOC2"/>
            <w:tabs>
              <w:tab w:val="right" w:leader="dot" w:pos="9350"/>
            </w:tabs>
            <w:rPr>
              <w:rFonts w:asciiTheme="minorHAnsi" w:eastAsiaTheme="minorEastAsia" w:hAnsiTheme="minorHAnsi"/>
              <w:noProof/>
              <w:sz w:val="22"/>
              <w:lang w:val="en-US"/>
            </w:rPr>
          </w:pPr>
          <w:hyperlink w:anchor="_Toc224060344" w:history="1">
            <w:r w:rsidRPr="00632F6E">
              <w:rPr>
                <w:rStyle w:val="Hyperlink"/>
                <w:rFonts w:eastAsia="Times New Roman"/>
                <w:noProof/>
              </w:rPr>
              <w:t>1. Organisational Context and Overview</w:t>
            </w:r>
            <w:r>
              <w:rPr>
                <w:noProof/>
                <w:webHidden/>
              </w:rPr>
              <w:tab/>
            </w:r>
            <w:r>
              <w:rPr>
                <w:noProof/>
                <w:webHidden/>
              </w:rPr>
              <w:fldChar w:fldCharType="begin"/>
            </w:r>
            <w:r>
              <w:rPr>
                <w:noProof/>
                <w:webHidden/>
              </w:rPr>
              <w:instrText xml:space="preserve"> PAGEREF _Toc224060344 \h </w:instrText>
            </w:r>
            <w:r>
              <w:rPr>
                <w:noProof/>
                <w:webHidden/>
              </w:rPr>
            </w:r>
            <w:r>
              <w:rPr>
                <w:noProof/>
                <w:webHidden/>
              </w:rPr>
              <w:fldChar w:fldCharType="separate"/>
            </w:r>
            <w:r>
              <w:rPr>
                <w:noProof/>
                <w:webHidden/>
              </w:rPr>
              <w:t>3</w:t>
            </w:r>
            <w:r>
              <w:rPr>
                <w:noProof/>
                <w:webHidden/>
              </w:rPr>
              <w:fldChar w:fldCharType="end"/>
            </w:r>
          </w:hyperlink>
        </w:p>
        <w:p w14:paraId="36571D4C" w14:textId="77777777" w:rsidR="00A56093" w:rsidRDefault="00A56093">
          <w:pPr>
            <w:pStyle w:val="TOC2"/>
            <w:tabs>
              <w:tab w:val="right" w:leader="dot" w:pos="9350"/>
            </w:tabs>
            <w:rPr>
              <w:rFonts w:asciiTheme="minorHAnsi" w:eastAsiaTheme="minorEastAsia" w:hAnsiTheme="minorHAnsi"/>
              <w:noProof/>
              <w:sz w:val="22"/>
              <w:lang w:val="en-US"/>
            </w:rPr>
          </w:pPr>
          <w:hyperlink w:anchor="_Toc224060345" w:history="1">
            <w:r w:rsidRPr="00632F6E">
              <w:rPr>
                <w:rStyle w:val="Hyperlink"/>
                <w:rFonts w:eastAsia="Times New Roman"/>
                <w:noProof/>
              </w:rPr>
              <w:t>2. External and Internal Environment Analysis</w:t>
            </w:r>
            <w:r>
              <w:rPr>
                <w:noProof/>
                <w:webHidden/>
              </w:rPr>
              <w:tab/>
            </w:r>
            <w:r>
              <w:rPr>
                <w:noProof/>
                <w:webHidden/>
              </w:rPr>
              <w:fldChar w:fldCharType="begin"/>
            </w:r>
            <w:r>
              <w:rPr>
                <w:noProof/>
                <w:webHidden/>
              </w:rPr>
              <w:instrText xml:space="preserve"> PAGEREF _Toc224060345 \h </w:instrText>
            </w:r>
            <w:r>
              <w:rPr>
                <w:noProof/>
                <w:webHidden/>
              </w:rPr>
            </w:r>
            <w:r>
              <w:rPr>
                <w:noProof/>
                <w:webHidden/>
              </w:rPr>
              <w:fldChar w:fldCharType="separate"/>
            </w:r>
            <w:r>
              <w:rPr>
                <w:noProof/>
                <w:webHidden/>
              </w:rPr>
              <w:t>4</w:t>
            </w:r>
            <w:r>
              <w:rPr>
                <w:noProof/>
                <w:webHidden/>
              </w:rPr>
              <w:fldChar w:fldCharType="end"/>
            </w:r>
          </w:hyperlink>
        </w:p>
        <w:p w14:paraId="470BB4EA" w14:textId="77777777" w:rsidR="00A56093" w:rsidRDefault="00A56093">
          <w:pPr>
            <w:pStyle w:val="TOC3"/>
            <w:tabs>
              <w:tab w:val="right" w:leader="dot" w:pos="9350"/>
            </w:tabs>
            <w:rPr>
              <w:rFonts w:asciiTheme="minorHAnsi" w:eastAsiaTheme="minorEastAsia" w:hAnsiTheme="minorHAnsi"/>
              <w:noProof/>
              <w:sz w:val="22"/>
              <w:lang w:val="en-US"/>
            </w:rPr>
          </w:pPr>
          <w:hyperlink w:anchor="_Toc224060346" w:history="1">
            <w:r w:rsidRPr="00632F6E">
              <w:rPr>
                <w:rStyle w:val="Hyperlink"/>
                <w:rFonts w:eastAsia="Times New Roman"/>
                <w:noProof/>
              </w:rPr>
              <w:t>2.1 Pestel Analysis</w:t>
            </w:r>
            <w:r>
              <w:rPr>
                <w:noProof/>
                <w:webHidden/>
              </w:rPr>
              <w:tab/>
            </w:r>
            <w:r>
              <w:rPr>
                <w:noProof/>
                <w:webHidden/>
              </w:rPr>
              <w:fldChar w:fldCharType="begin"/>
            </w:r>
            <w:r>
              <w:rPr>
                <w:noProof/>
                <w:webHidden/>
              </w:rPr>
              <w:instrText xml:space="preserve"> PAGEREF _Toc224060346 \h </w:instrText>
            </w:r>
            <w:r>
              <w:rPr>
                <w:noProof/>
                <w:webHidden/>
              </w:rPr>
            </w:r>
            <w:r>
              <w:rPr>
                <w:noProof/>
                <w:webHidden/>
              </w:rPr>
              <w:fldChar w:fldCharType="separate"/>
            </w:r>
            <w:r>
              <w:rPr>
                <w:noProof/>
                <w:webHidden/>
              </w:rPr>
              <w:t>5</w:t>
            </w:r>
            <w:r>
              <w:rPr>
                <w:noProof/>
                <w:webHidden/>
              </w:rPr>
              <w:fldChar w:fldCharType="end"/>
            </w:r>
          </w:hyperlink>
        </w:p>
        <w:p w14:paraId="272859B7" w14:textId="77777777" w:rsidR="00A56093" w:rsidRDefault="00A56093">
          <w:pPr>
            <w:pStyle w:val="TOC3"/>
            <w:tabs>
              <w:tab w:val="right" w:leader="dot" w:pos="9350"/>
            </w:tabs>
            <w:rPr>
              <w:rFonts w:asciiTheme="minorHAnsi" w:eastAsiaTheme="minorEastAsia" w:hAnsiTheme="minorHAnsi"/>
              <w:noProof/>
              <w:sz w:val="22"/>
              <w:lang w:val="en-US"/>
            </w:rPr>
          </w:pPr>
          <w:hyperlink w:anchor="_Toc224060347" w:history="1">
            <w:r w:rsidRPr="00632F6E">
              <w:rPr>
                <w:rStyle w:val="Hyperlink"/>
                <w:noProof/>
              </w:rPr>
              <w:t>2.2 Strategic Challenges and Critical Success Factors</w:t>
            </w:r>
            <w:r>
              <w:rPr>
                <w:noProof/>
                <w:webHidden/>
              </w:rPr>
              <w:tab/>
            </w:r>
            <w:r>
              <w:rPr>
                <w:noProof/>
                <w:webHidden/>
              </w:rPr>
              <w:fldChar w:fldCharType="begin"/>
            </w:r>
            <w:r>
              <w:rPr>
                <w:noProof/>
                <w:webHidden/>
              </w:rPr>
              <w:instrText xml:space="preserve"> PAGEREF _Toc224060347 \h </w:instrText>
            </w:r>
            <w:r>
              <w:rPr>
                <w:noProof/>
                <w:webHidden/>
              </w:rPr>
            </w:r>
            <w:r>
              <w:rPr>
                <w:noProof/>
                <w:webHidden/>
              </w:rPr>
              <w:fldChar w:fldCharType="separate"/>
            </w:r>
            <w:r>
              <w:rPr>
                <w:noProof/>
                <w:webHidden/>
              </w:rPr>
              <w:t>7</w:t>
            </w:r>
            <w:r>
              <w:rPr>
                <w:noProof/>
                <w:webHidden/>
              </w:rPr>
              <w:fldChar w:fldCharType="end"/>
            </w:r>
          </w:hyperlink>
        </w:p>
        <w:p w14:paraId="520679C0" w14:textId="77777777" w:rsidR="00A56093" w:rsidRDefault="00A56093">
          <w:pPr>
            <w:pStyle w:val="TOC3"/>
            <w:tabs>
              <w:tab w:val="right" w:leader="dot" w:pos="9350"/>
            </w:tabs>
            <w:rPr>
              <w:rFonts w:asciiTheme="minorHAnsi" w:eastAsiaTheme="minorEastAsia" w:hAnsiTheme="minorHAnsi"/>
              <w:noProof/>
              <w:sz w:val="22"/>
              <w:lang w:val="en-US"/>
            </w:rPr>
          </w:pPr>
          <w:hyperlink w:anchor="_Toc224060348" w:history="1">
            <w:r w:rsidRPr="00632F6E">
              <w:rPr>
                <w:rStyle w:val="Hyperlink"/>
                <w:rFonts w:eastAsia="Times New Roman"/>
                <w:noProof/>
              </w:rPr>
              <w:t>2.3 Internal Environment: Capabilities, Resources, and Core Competencies</w:t>
            </w:r>
            <w:r>
              <w:rPr>
                <w:noProof/>
                <w:webHidden/>
              </w:rPr>
              <w:tab/>
            </w:r>
            <w:r>
              <w:rPr>
                <w:noProof/>
                <w:webHidden/>
              </w:rPr>
              <w:fldChar w:fldCharType="begin"/>
            </w:r>
            <w:r>
              <w:rPr>
                <w:noProof/>
                <w:webHidden/>
              </w:rPr>
              <w:instrText xml:space="preserve"> PAGEREF _Toc224060348 \h </w:instrText>
            </w:r>
            <w:r>
              <w:rPr>
                <w:noProof/>
                <w:webHidden/>
              </w:rPr>
            </w:r>
            <w:r>
              <w:rPr>
                <w:noProof/>
                <w:webHidden/>
              </w:rPr>
              <w:fldChar w:fldCharType="separate"/>
            </w:r>
            <w:r>
              <w:rPr>
                <w:noProof/>
                <w:webHidden/>
              </w:rPr>
              <w:t>7</w:t>
            </w:r>
            <w:r>
              <w:rPr>
                <w:noProof/>
                <w:webHidden/>
              </w:rPr>
              <w:fldChar w:fldCharType="end"/>
            </w:r>
          </w:hyperlink>
        </w:p>
        <w:p w14:paraId="5D79A466" w14:textId="77777777" w:rsidR="00A56093" w:rsidRDefault="00A56093">
          <w:pPr>
            <w:pStyle w:val="TOC3"/>
            <w:tabs>
              <w:tab w:val="right" w:leader="dot" w:pos="9350"/>
            </w:tabs>
            <w:rPr>
              <w:rFonts w:asciiTheme="minorHAnsi" w:eastAsiaTheme="minorEastAsia" w:hAnsiTheme="minorHAnsi"/>
              <w:noProof/>
              <w:sz w:val="22"/>
              <w:lang w:val="en-US"/>
            </w:rPr>
          </w:pPr>
          <w:hyperlink w:anchor="_Toc224060349" w:history="1">
            <w:r w:rsidRPr="00632F6E">
              <w:rPr>
                <w:rStyle w:val="Hyperlink"/>
                <w:rFonts w:eastAsia="Times New Roman"/>
                <w:noProof/>
              </w:rPr>
              <w:t>2.4 VRIO Framework</w:t>
            </w:r>
            <w:r>
              <w:rPr>
                <w:noProof/>
                <w:webHidden/>
              </w:rPr>
              <w:tab/>
            </w:r>
            <w:r>
              <w:rPr>
                <w:noProof/>
                <w:webHidden/>
              </w:rPr>
              <w:fldChar w:fldCharType="begin"/>
            </w:r>
            <w:r>
              <w:rPr>
                <w:noProof/>
                <w:webHidden/>
              </w:rPr>
              <w:instrText xml:space="preserve"> PAGEREF _Toc224060349 \h </w:instrText>
            </w:r>
            <w:r>
              <w:rPr>
                <w:noProof/>
                <w:webHidden/>
              </w:rPr>
            </w:r>
            <w:r>
              <w:rPr>
                <w:noProof/>
                <w:webHidden/>
              </w:rPr>
              <w:fldChar w:fldCharType="separate"/>
            </w:r>
            <w:r>
              <w:rPr>
                <w:noProof/>
                <w:webHidden/>
              </w:rPr>
              <w:t>8</w:t>
            </w:r>
            <w:r>
              <w:rPr>
                <w:noProof/>
                <w:webHidden/>
              </w:rPr>
              <w:fldChar w:fldCharType="end"/>
            </w:r>
          </w:hyperlink>
        </w:p>
        <w:p w14:paraId="1EA4BB3E" w14:textId="77777777" w:rsidR="00A56093" w:rsidRDefault="00A56093">
          <w:pPr>
            <w:pStyle w:val="TOC3"/>
            <w:tabs>
              <w:tab w:val="right" w:leader="dot" w:pos="9350"/>
            </w:tabs>
            <w:rPr>
              <w:rFonts w:asciiTheme="minorHAnsi" w:eastAsiaTheme="minorEastAsia" w:hAnsiTheme="minorHAnsi"/>
              <w:noProof/>
              <w:sz w:val="22"/>
              <w:lang w:val="en-US"/>
            </w:rPr>
          </w:pPr>
          <w:hyperlink w:anchor="_Toc224060350" w:history="1">
            <w:r w:rsidRPr="00632F6E">
              <w:rPr>
                <w:rStyle w:val="Hyperlink"/>
                <w:rFonts w:eastAsia="Times New Roman"/>
                <w:noProof/>
              </w:rPr>
              <w:t>2.5 Competitive Advantage and Internal Strengths</w:t>
            </w:r>
            <w:r>
              <w:rPr>
                <w:noProof/>
                <w:webHidden/>
              </w:rPr>
              <w:tab/>
            </w:r>
            <w:r>
              <w:rPr>
                <w:noProof/>
                <w:webHidden/>
              </w:rPr>
              <w:fldChar w:fldCharType="begin"/>
            </w:r>
            <w:r>
              <w:rPr>
                <w:noProof/>
                <w:webHidden/>
              </w:rPr>
              <w:instrText xml:space="preserve"> PAGEREF _Toc224060350 \h </w:instrText>
            </w:r>
            <w:r>
              <w:rPr>
                <w:noProof/>
                <w:webHidden/>
              </w:rPr>
            </w:r>
            <w:r>
              <w:rPr>
                <w:noProof/>
                <w:webHidden/>
              </w:rPr>
              <w:fldChar w:fldCharType="separate"/>
            </w:r>
            <w:r>
              <w:rPr>
                <w:noProof/>
                <w:webHidden/>
              </w:rPr>
              <w:t>10</w:t>
            </w:r>
            <w:r>
              <w:rPr>
                <w:noProof/>
                <w:webHidden/>
              </w:rPr>
              <w:fldChar w:fldCharType="end"/>
            </w:r>
          </w:hyperlink>
        </w:p>
        <w:p w14:paraId="30AFF95D" w14:textId="77777777" w:rsidR="00A56093" w:rsidRDefault="00A56093">
          <w:pPr>
            <w:pStyle w:val="TOC2"/>
            <w:tabs>
              <w:tab w:val="right" w:leader="dot" w:pos="9350"/>
            </w:tabs>
            <w:rPr>
              <w:rFonts w:asciiTheme="minorHAnsi" w:eastAsiaTheme="minorEastAsia" w:hAnsiTheme="minorHAnsi"/>
              <w:noProof/>
              <w:sz w:val="22"/>
              <w:lang w:val="en-US"/>
            </w:rPr>
          </w:pPr>
          <w:hyperlink w:anchor="_Toc224060351" w:history="1">
            <w:r w:rsidRPr="00632F6E">
              <w:rPr>
                <w:rStyle w:val="Hyperlink"/>
                <w:noProof/>
              </w:rPr>
              <w:t>3. CSR and Sustainability Objectives</w:t>
            </w:r>
            <w:r>
              <w:rPr>
                <w:noProof/>
                <w:webHidden/>
              </w:rPr>
              <w:tab/>
            </w:r>
            <w:r>
              <w:rPr>
                <w:noProof/>
                <w:webHidden/>
              </w:rPr>
              <w:fldChar w:fldCharType="begin"/>
            </w:r>
            <w:r>
              <w:rPr>
                <w:noProof/>
                <w:webHidden/>
              </w:rPr>
              <w:instrText xml:space="preserve"> PAGEREF _Toc224060351 \h </w:instrText>
            </w:r>
            <w:r>
              <w:rPr>
                <w:noProof/>
                <w:webHidden/>
              </w:rPr>
            </w:r>
            <w:r>
              <w:rPr>
                <w:noProof/>
                <w:webHidden/>
              </w:rPr>
              <w:fldChar w:fldCharType="separate"/>
            </w:r>
            <w:r>
              <w:rPr>
                <w:noProof/>
                <w:webHidden/>
              </w:rPr>
              <w:t>11</w:t>
            </w:r>
            <w:r>
              <w:rPr>
                <w:noProof/>
                <w:webHidden/>
              </w:rPr>
              <w:fldChar w:fldCharType="end"/>
            </w:r>
          </w:hyperlink>
        </w:p>
        <w:p w14:paraId="69FE3555" w14:textId="77777777" w:rsidR="00A56093" w:rsidRDefault="00A56093">
          <w:pPr>
            <w:pStyle w:val="TOC2"/>
            <w:tabs>
              <w:tab w:val="right" w:leader="dot" w:pos="9350"/>
            </w:tabs>
            <w:rPr>
              <w:rFonts w:asciiTheme="minorHAnsi" w:eastAsiaTheme="minorEastAsia" w:hAnsiTheme="minorHAnsi"/>
              <w:noProof/>
              <w:sz w:val="22"/>
              <w:lang w:val="en-US"/>
            </w:rPr>
          </w:pPr>
          <w:hyperlink w:anchor="_Toc224060352" w:history="1">
            <w:r w:rsidRPr="00632F6E">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_Toc224060352 \h </w:instrText>
            </w:r>
            <w:r>
              <w:rPr>
                <w:noProof/>
                <w:webHidden/>
              </w:rPr>
            </w:r>
            <w:r>
              <w:rPr>
                <w:noProof/>
                <w:webHidden/>
              </w:rPr>
              <w:fldChar w:fldCharType="separate"/>
            </w:r>
            <w:r>
              <w:rPr>
                <w:noProof/>
                <w:webHidden/>
              </w:rPr>
              <w:t>12</w:t>
            </w:r>
            <w:r>
              <w:rPr>
                <w:noProof/>
                <w:webHidden/>
              </w:rPr>
              <w:fldChar w:fldCharType="end"/>
            </w:r>
          </w:hyperlink>
        </w:p>
        <w:p w14:paraId="5850E1D5" w14:textId="77777777" w:rsidR="00A56093" w:rsidRDefault="00A56093">
          <w:pPr>
            <w:pStyle w:val="TOC2"/>
            <w:tabs>
              <w:tab w:val="right" w:leader="dot" w:pos="9350"/>
            </w:tabs>
            <w:rPr>
              <w:rFonts w:asciiTheme="minorHAnsi" w:eastAsiaTheme="minorEastAsia" w:hAnsiTheme="minorHAnsi"/>
              <w:noProof/>
              <w:sz w:val="22"/>
              <w:lang w:val="en-US"/>
            </w:rPr>
          </w:pPr>
          <w:hyperlink w:anchor="_Toc224060353" w:history="1">
            <w:r w:rsidRPr="00632F6E">
              <w:rPr>
                <w:rStyle w:val="Hyperlink"/>
                <w:noProof/>
              </w:rPr>
              <w:t>5. Strategic Choices and Implementation</w:t>
            </w:r>
            <w:r>
              <w:rPr>
                <w:noProof/>
                <w:webHidden/>
              </w:rPr>
              <w:tab/>
            </w:r>
            <w:r>
              <w:rPr>
                <w:noProof/>
                <w:webHidden/>
              </w:rPr>
              <w:fldChar w:fldCharType="begin"/>
            </w:r>
            <w:r>
              <w:rPr>
                <w:noProof/>
                <w:webHidden/>
              </w:rPr>
              <w:instrText xml:space="preserve"> PAGEREF _Toc224060353 \h </w:instrText>
            </w:r>
            <w:r>
              <w:rPr>
                <w:noProof/>
                <w:webHidden/>
              </w:rPr>
            </w:r>
            <w:r>
              <w:rPr>
                <w:noProof/>
                <w:webHidden/>
              </w:rPr>
              <w:fldChar w:fldCharType="separate"/>
            </w:r>
            <w:r>
              <w:rPr>
                <w:noProof/>
                <w:webHidden/>
              </w:rPr>
              <w:t>15</w:t>
            </w:r>
            <w:r>
              <w:rPr>
                <w:noProof/>
                <w:webHidden/>
              </w:rPr>
              <w:fldChar w:fldCharType="end"/>
            </w:r>
          </w:hyperlink>
        </w:p>
        <w:p w14:paraId="31F48E0F" w14:textId="77777777" w:rsidR="00A56093" w:rsidRDefault="00A56093">
          <w:pPr>
            <w:pStyle w:val="TOC2"/>
            <w:tabs>
              <w:tab w:val="right" w:leader="dot" w:pos="9350"/>
            </w:tabs>
            <w:rPr>
              <w:rFonts w:asciiTheme="minorHAnsi" w:eastAsiaTheme="minorEastAsia" w:hAnsiTheme="minorHAnsi"/>
              <w:noProof/>
              <w:sz w:val="22"/>
              <w:lang w:val="en-US"/>
            </w:rPr>
          </w:pPr>
          <w:hyperlink w:anchor="_Toc224060354" w:history="1">
            <w:r w:rsidRPr="00632F6E">
              <w:rPr>
                <w:rStyle w:val="Hyperlink"/>
                <w:noProof/>
              </w:rPr>
              <w:t>6. Strategic Evaluation and Recommendation</w:t>
            </w:r>
            <w:r>
              <w:rPr>
                <w:noProof/>
                <w:webHidden/>
              </w:rPr>
              <w:tab/>
            </w:r>
            <w:r>
              <w:rPr>
                <w:noProof/>
                <w:webHidden/>
              </w:rPr>
              <w:fldChar w:fldCharType="begin"/>
            </w:r>
            <w:r>
              <w:rPr>
                <w:noProof/>
                <w:webHidden/>
              </w:rPr>
              <w:instrText xml:space="preserve"> PAGEREF _Toc224060354 \h </w:instrText>
            </w:r>
            <w:r>
              <w:rPr>
                <w:noProof/>
                <w:webHidden/>
              </w:rPr>
            </w:r>
            <w:r>
              <w:rPr>
                <w:noProof/>
                <w:webHidden/>
              </w:rPr>
              <w:fldChar w:fldCharType="separate"/>
            </w:r>
            <w:r>
              <w:rPr>
                <w:noProof/>
                <w:webHidden/>
              </w:rPr>
              <w:t>17</w:t>
            </w:r>
            <w:r>
              <w:rPr>
                <w:noProof/>
                <w:webHidden/>
              </w:rPr>
              <w:fldChar w:fldCharType="end"/>
            </w:r>
          </w:hyperlink>
        </w:p>
        <w:p w14:paraId="0DFA9B96" w14:textId="77777777" w:rsidR="00A56093" w:rsidRDefault="00A56093">
          <w:pPr>
            <w:pStyle w:val="TOC3"/>
            <w:tabs>
              <w:tab w:val="right" w:leader="dot" w:pos="9350"/>
            </w:tabs>
            <w:rPr>
              <w:rFonts w:asciiTheme="minorHAnsi" w:eastAsiaTheme="minorEastAsia" w:hAnsiTheme="minorHAnsi"/>
              <w:noProof/>
              <w:sz w:val="22"/>
              <w:lang w:val="en-US"/>
            </w:rPr>
          </w:pPr>
          <w:hyperlink w:anchor="_Toc224060355" w:history="1">
            <w:r w:rsidRPr="00632F6E">
              <w:rPr>
                <w:rStyle w:val="Hyperlink"/>
                <w:noProof/>
              </w:rPr>
              <w:t>6.1 SWOT Analysis</w:t>
            </w:r>
            <w:r>
              <w:rPr>
                <w:noProof/>
                <w:webHidden/>
              </w:rPr>
              <w:tab/>
            </w:r>
            <w:r>
              <w:rPr>
                <w:noProof/>
                <w:webHidden/>
              </w:rPr>
              <w:fldChar w:fldCharType="begin"/>
            </w:r>
            <w:r>
              <w:rPr>
                <w:noProof/>
                <w:webHidden/>
              </w:rPr>
              <w:instrText xml:space="preserve"> PAGEREF _Toc224060355 \h </w:instrText>
            </w:r>
            <w:r>
              <w:rPr>
                <w:noProof/>
                <w:webHidden/>
              </w:rPr>
            </w:r>
            <w:r>
              <w:rPr>
                <w:noProof/>
                <w:webHidden/>
              </w:rPr>
              <w:fldChar w:fldCharType="separate"/>
            </w:r>
            <w:r>
              <w:rPr>
                <w:noProof/>
                <w:webHidden/>
              </w:rPr>
              <w:t>17</w:t>
            </w:r>
            <w:r>
              <w:rPr>
                <w:noProof/>
                <w:webHidden/>
              </w:rPr>
              <w:fldChar w:fldCharType="end"/>
            </w:r>
          </w:hyperlink>
        </w:p>
        <w:p w14:paraId="622F7D91" w14:textId="77777777" w:rsidR="00A56093" w:rsidRDefault="00A56093">
          <w:pPr>
            <w:pStyle w:val="TOC3"/>
            <w:tabs>
              <w:tab w:val="right" w:leader="dot" w:pos="9350"/>
            </w:tabs>
            <w:rPr>
              <w:rFonts w:asciiTheme="minorHAnsi" w:eastAsiaTheme="minorEastAsia" w:hAnsiTheme="minorHAnsi"/>
              <w:noProof/>
              <w:sz w:val="22"/>
              <w:lang w:val="en-US"/>
            </w:rPr>
          </w:pPr>
          <w:hyperlink w:anchor="_Toc224060356" w:history="1">
            <w:r w:rsidRPr="00632F6E">
              <w:rPr>
                <w:rStyle w:val="Hyperlink"/>
                <w:noProof/>
              </w:rPr>
              <w:t>6.2 Ansoff's Matrix</w:t>
            </w:r>
            <w:r>
              <w:rPr>
                <w:noProof/>
                <w:webHidden/>
              </w:rPr>
              <w:tab/>
            </w:r>
            <w:r>
              <w:rPr>
                <w:noProof/>
                <w:webHidden/>
              </w:rPr>
              <w:fldChar w:fldCharType="begin"/>
            </w:r>
            <w:r>
              <w:rPr>
                <w:noProof/>
                <w:webHidden/>
              </w:rPr>
              <w:instrText xml:space="preserve"> PAGEREF _Toc224060356 \h </w:instrText>
            </w:r>
            <w:r>
              <w:rPr>
                <w:noProof/>
                <w:webHidden/>
              </w:rPr>
            </w:r>
            <w:r>
              <w:rPr>
                <w:noProof/>
                <w:webHidden/>
              </w:rPr>
              <w:fldChar w:fldCharType="separate"/>
            </w:r>
            <w:r>
              <w:rPr>
                <w:noProof/>
                <w:webHidden/>
              </w:rPr>
              <w:t>18</w:t>
            </w:r>
            <w:r>
              <w:rPr>
                <w:noProof/>
                <w:webHidden/>
              </w:rPr>
              <w:fldChar w:fldCharType="end"/>
            </w:r>
          </w:hyperlink>
        </w:p>
        <w:p w14:paraId="52F106BB" w14:textId="77777777" w:rsidR="00A56093" w:rsidRDefault="00A56093">
          <w:pPr>
            <w:pStyle w:val="TOC1"/>
            <w:tabs>
              <w:tab w:val="right" w:leader="dot" w:pos="9350"/>
            </w:tabs>
            <w:rPr>
              <w:rFonts w:asciiTheme="minorHAnsi" w:eastAsiaTheme="minorEastAsia" w:hAnsiTheme="minorHAnsi"/>
              <w:noProof/>
              <w:sz w:val="22"/>
              <w:lang w:val="en-US"/>
            </w:rPr>
          </w:pPr>
          <w:hyperlink w:anchor="_Toc224060357" w:history="1">
            <w:r w:rsidRPr="00632F6E">
              <w:rPr>
                <w:rStyle w:val="Hyperlink"/>
                <w:noProof/>
              </w:rPr>
              <w:t>Section 2</w:t>
            </w:r>
            <w:r>
              <w:rPr>
                <w:noProof/>
                <w:webHidden/>
              </w:rPr>
              <w:tab/>
            </w:r>
            <w:r>
              <w:rPr>
                <w:noProof/>
                <w:webHidden/>
              </w:rPr>
              <w:fldChar w:fldCharType="begin"/>
            </w:r>
            <w:r>
              <w:rPr>
                <w:noProof/>
                <w:webHidden/>
              </w:rPr>
              <w:instrText xml:space="preserve"> PAGEREF _Toc224060357 \h </w:instrText>
            </w:r>
            <w:r>
              <w:rPr>
                <w:noProof/>
                <w:webHidden/>
              </w:rPr>
            </w:r>
            <w:r>
              <w:rPr>
                <w:noProof/>
                <w:webHidden/>
              </w:rPr>
              <w:fldChar w:fldCharType="separate"/>
            </w:r>
            <w:r>
              <w:rPr>
                <w:noProof/>
                <w:webHidden/>
              </w:rPr>
              <w:t>21</w:t>
            </w:r>
            <w:r>
              <w:rPr>
                <w:noProof/>
                <w:webHidden/>
              </w:rPr>
              <w:fldChar w:fldCharType="end"/>
            </w:r>
          </w:hyperlink>
        </w:p>
        <w:p w14:paraId="039C12B9" w14:textId="77777777" w:rsidR="00A56093" w:rsidRDefault="00A56093">
          <w:pPr>
            <w:pStyle w:val="TOC1"/>
            <w:tabs>
              <w:tab w:val="right" w:leader="dot" w:pos="9350"/>
            </w:tabs>
            <w:rPr>
              <w:rFonts w:asciiTheme="minorHAnsi" w:eastAsiaTheme="minorEastAsia" w:hAnsiTheme="minorHAnsi"/>
              <w:noProof/>
              <w:sz w:val="22"/>
              <w:lang w:val="en-US"/>
            </w:rPr>
          </w:pPr>
          <w:hyperlink w:anchor="_Toc224060358" w:history="1">
            <w:r w:rsidRPr="00632F6E">
              <w:rPr>
                <w:rStyle w:val="Hyperlink"/>
                <w:noProof/>
              </w:rPr>
              <w:t>Reference</w:t>
            </w:r>
            <w:r>
              <w:rPr>
                <w:noProof/>
                <w:webHidden/>
              </w:rPr>
              <w:tab/>
            </w:r>
            <w:r>
              <w:rPr>
                <w:noProof/>
                <w:webHidden/>
              </w:rPr>
              <w:fldChar w:fldCharType="begin"/>
            </w:r>
            <w:r>
              <w:rPr>
                <w:noProof/>
                <w:webHidden/>
              </w:rPr>
              <w:instrText xml:space="preserve"> PAGEREF _Toc224060358 \h </w:instrText>
            </w:r>
            <w:r>
              <w:rPr>
                <w:noProof/>
                <w:webHidden/>
              </w:rPr>
            </w:r>
            <w:r>
              <w:rPr>
                <w:noProof/>
                <w:webHidden/>
              </w:rPr>
              <w:fldChar w:fldCharType="separate"/>
            </w:r>
            <w:r>
              <w:rPr>
                <w:noProof/>
                <w:webHidden/>
              </w:rPr>
              <w:t>25</w:t>
            </w:r>
            <w:r>
              <w:rPr>
                <w:noProof/>
                <w:webHidden/>
              </w:rPr>
              <w:fldChar w:fldCharType="end"/>
            </w:r>
          </w:hyperlink>
        </w:p>
        <w:p w14:paraId="1586EE12" w14:textId="77777777" w:rsidR="00BF2844" w:rsidRPr="00471EDC" w:rsidRDefault="00BF2844">
          <w:r w:rsidRPr="00471EDC">
            <w:rPr>
              <w:b/>
              <w:bCs/>
              <w:noProof/>
            </w:rPr>
            <w:fldChar w:fldCharType="end"/>
          </w:r>
        </w:p>
      </w:sdtContent>
    </w:sdt>
    <w:p w14:paraId="7467D81E" w14:textId="77777777" w:rsidR="00BF2844" w:rsidRPr="00471EDC" w:rsidRDefault="00BF2844" w:rsidP="00B81216">
      <w:pPr>
        <w:pStyle w:val="Heading1"/>
      </w:pPr>
    </w:p>
    <w:p w14:paraId="4EDADDD9" w14:textId="77777777" w:rsidR="00BF2844" w:rsidRPr="00471EDC" w:rsidRDefault="00BF2844" w:rsidP="00B81216">
      <w:pPr>
        <w:pStyle w:val="Heading1"/>
      </w:pPr>
    </w:p>
    <w:p w14:paraId="1BE91CE1" w14:textId="70237C82" w:rsidR="00AE5A2F" w:rsidRDefault="00AE5A2F" w:rsidP="00B10A31">
      <w:pPr>
        <w:pStyle w:val="Heading1"/>
      </w:pPr>
      <w:bookmarkStart w:id="0" w:name="_Toc224060343"/>
      <w:r w:rsidRPr="00471EDC">
        <w:t>Section 1</w:t>
      </w:r>
      <w:bookmarkEnd w:id="0"/>
      <w:r w:rsidRPr="00471EDC">
        <w:t xml:space="preserve"> </w:t>
      </w:r>
    </w:p>
    <w:p w14:paraId="59059E8E" w14:textId="77777777" w:rsidR="000824CA" w:rsidRPr="000824CA" w:rsidRDefault="000824CA" w:rsidP="00754D66">
      <w:pPr>
        <w:pStyle w:val="Heading2"/>
        <w:rPr>
          <w:rFonts w:eastAsia="Times New Roman"/>
        </w:rPr>
      </w:pPr>
      <w:bookmarkStart w:id="1" w:name="_Toc224060344"/>
      <w:r w:rsidRPr="000824CA">
        <w:rPr>
          <w:rFonts w:eastAsia="Times New Roman"/>
        </w:rPr>
        <w:t>1. Organisational Context and Overview</w:t>
      </w:r>
      <w:bookmarkEnd w:id="1"/>
    </w:p>
    <w:p w14:paraId="47A09DFA"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BP Petroleum is a global oil and gas company, conducting business in oil, gas, and renewable energy. The Anglo-Persian oil company was established in 1909 developing the discovery of oil in Iran, and it was renamed to the Anglo-Persian oil company. The organisation overtook and became known as British Petroleum in 1954, and later it reduced its name to BP plc in 2001 as a modern corporate name (bp global, 2025)</w:t>
      </w:r>
      <w:r w:rsidR="00044272">
        <w:rPr>
          <w:rFonts w:eastAsia="Calibri" w:cs="Times New Roman"/>
          <w:kern w:val="2"/>
          <w14:ligatures w14:val="standardContextual"/>
        </w:rPr>
        <w:t xml:space="preserve">. </w:t>
      </w:r>
    </w:p>
    <w:p w14:paraId="77D96B57" w14:textId="77777777" w:rsidR="000824CA" w:rsidRPr="000824CA" w:rsidRDefault="000824CA" w:rsidP="000824CA">
      <w:pPr>
        <w:keepNext/>
        <w:spacing w:after="200"/>
        <w:jc w:val="center"/>
        <w:rPr>
          <w:rFonts w:eastAsia="Calibri" w:cs="Times New Roman"/>
          <w:kern w:val="2"/>
          <w14:ligatures w14:val="standardContextual"/>
        </w:rPr>
      </w:pPr>
      <w:r w:rsidRPr="000824CA">
        <w:rPr>
          <w:rFonts w:eastAsia="Calibri" w:cs="Times New Roman"/>
          <w:noProof/>
          <w:kern w:val="2"/>
          <w:lang w:val="en-US"/>
          <w14:ligatures w14:val="standardContextual"/>
        </w:rPr>
        <w:drawing>
          <wp:inline distT="0" distB="0" distL="0" distR="0" wp14:anchorId="1F891043" wp14:editId="68418A84">
            <wp:extent cx="1371791" cy="1638529"/>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44996" name=""/>
                    <pic:cNvPicPr/>
                  </pic:nvPicPr>
                  <pic:blipFill>
                    <a:blip r:embed="rId9"/>
                    <a:stretch>
                      <a:fillRect/>
                    </a:stretch>
                  </pic:blipFill>
                  <pic:spPr>
                    <a:xfrm>
                      <a:off x="0" y="0"/>
                      <a:ext cx="1371791" cy="1638529"/>
                    </a:xfrm>
                    <a:prstGeom prst="rect">
                      <a:avLst/>
                    </a:prstGeom>
                  </pic:spPr>
                </pic:pic>
              </a:graphicData>
            </a:graphic>
          </wp:inline>
        </w:drawing>
      </w:r>
    </w:p>
    <w:p w14:paraId="6AF7DB8B" w14:textId="77777777" w:rsidR="000824CA" w:rsidRPr="000824CA" w:rsidRDefault="000824CA" w:rsidP="000824CA">
      <w:pPr>
        <w:spacing w:after="200"/>
        <w:jc w:val="center"/>
        <w:rPr>
          <w:rFonts w:eastAsia="Calibri" w:cs="Times New Roman"/>
          <w:b/>
          <w:i/>
          <w:iCs/>
          <w:kern w:val="2"/>
          <w:szCs w:val="18"/>
          <w14:ligatures w14:val="standardContextual"/>
        </w:rPr>
      </w:pPr>
      <w:r w:rsidRPr="000824CA">
        <w:rPr>
          <w:rFonts w:eastAsia="Calibri" w:cs="Times New Roman"/>
          <w:b/>
          <w:i/>
          <w:iCs/>
          <w:kern w:val="2"/>
          <w:szCs w:val="18"/>
          <w14:ligatures w14:val="standardContextual"/>
        </w:rPr>
        <w:t xml:space="preserve">Figure </w:t>
      </w:r>
      <w:r w:rsidRPr="000824CA">
        <w:rPr>
          <w:rFonts w:eastAsia="Calibri" w:cs="Times New Roman"/>
          <w:b/>
          <w:i/>
          <w:iCs/>
          <w:kern w:val="2"/>
          <w:szCs w:val="18"/>
          <w14:ligatures w14:val="standardContextual"/>
        </w:rPr>
        <w:fldChar w:fldCharType="begin"/>
      </w:r>
      <w:r w:rsidRPr="000824CA">
        <w:rPr>
          <w:rFonts w:eastAsia="Calibri" w:cs="Times New Roman"/>
          <w:b/>
          <w:i/>
          <w:iCs/>
          <w:kern w:val="2"/>
          <w:szCs w:val="18"/>
          <w14:ligatures w14:val="standardContextual"/>
        </w:rPr>
        <w:instrText xml:space="preserve"> SEQ Figure \* ARABIC </w:instrText>
      </w:r>
      <w:r w:rsidRPr="000824CA">
        <w:rPr>
          <w:rFonts w:eastAsia="Calibri" w:cs="Times New Roman"/>
          <w:b/>
          <w:i/>
          <w:iCs/>
          <w:kern w:val="2"/>
          <w:szCs w:val="18"/>
          <w14:ligatures w14:val="standardContextual"/>
        </w:rPr>
        <w:fldChar w:fldCharType="separate"/>
      </w:r>
      <w:r w:rsidRPr="000824CA">
        <w:rPr>
          <w:rFonts w:eastAsia="Calibri" w:cs="Times New Roman"/>
          <w:b/>
          <w:i/>
          <w:iCs/>
          <w:noProof/>
          <w:kern w:val="2"/>
          <w:szCs w:val="18"/>
          <w14:ligatures w14:val="standardContextual"/>
        </w:rPr>
        <w:t>1</w:t>
      </w:r>
      <w:r w:rsidRPr="000824CA">
        <w:rPr>
          <w:rFonts w:eastAsia="Calibri" w:cs="Times New Roman"/>
          <w:b/>
          <w:i/>
          <w:iCs/>
          <w:kern w:val="2"/>
          <w:szCs w:val="18"/>
          <w14:ligatures w14:val="standardContextual"/>
        </w:rPr>
        <w:fldChar w:fldCharType="end"/>
      </w:r>
      <w:r w:rsidRPr="000824CA">
        <w:rPr>
          <w:rFonts w:eastAsia="Calibri" w:cs="Times New Roman"/>
          <w:b/>
          <w:i/>
          <w:iCs/>
          <w:kern w:val="2"/>
          <w:szCs w:val="18"/>
          <w14:ligatures w14:val="standardContextual"/>
        </w:rPr>
        <w:t>: bp logo</w:t>
      </w:r>
    </w:p>
    <w:p w14:paraId="41AE55E9" w14:textId="77777777" w:rsidR="000824CA" w:rsidRPr="000824CA" w:rsidRDefault="000824CA" w:rsidP="000824CA">
      <w:pPr>
        <w:spacing w:after="200"/>
        <w:jc w:val="center"/>
        <w:rPr>
          <w:rFonts w:eastAsia="Calibri" w:cs="Times New Roman"/>
          <w:kern w:val="2"/>
          <w14:ligatures w14:val="standardContextual"/>
        </w:rPr>
      </w:pPr>
      <w:r w:rsidRPr="000824CA">
        <w:rPr>
          <w:rFonts w:eastAsia="Calibri" w:cs="Times New Roman"/>
          <w:kern w:val="2"/>
          <w14:ligatures w14:val="standardContextual"/>
        </w:rPr>
        <w:t>(Source: bp global, 2025)</w:t>
      </w:r>
    </w:p>
    <w:p w14:paraId="5822B392"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mission of BP is to provide energy that helps the economic development and move to a lower-carbon future. The vision of the company is to transform into a net-zero emissions energy company in 2050 or earlier, with the global climate targets and sustainability promises. The business model of BP is established on an energy value chain of exploration and production of oil and gas, refining, distribution of fuels, and investment in renewable energy sources like wind, solar, and hydrogen. In 2025, the average carbon intensity of our sold energy products was 79gCO</w:t>
      </w:r>
      <w:r w:rsidRPr="000824CA">
        <w:rPr>
          <w:rFonts w:eastAsia="Calibri" w:cs="Times New Roman"/>
          <w:kern w:val="2"/>
          <w:vertAlign w:val="subscript"/>
          <w14:ligatures w14:val="standardContextual"/>
        </w:rPr>
        <w:t>2</w:t>
      </w:r>
      <w:r w:rsidRPr="000824CA">
        <w:rPr>
          <w:rFonts w:eastAsia="Calibri" w:cs="Times New Roman"/>
          <w:kern w:val="2"/>
          <w14:ligatures w14:val="standardContextual"/>
        </w:rPr>
        <w:t>e/MJ. This represents a 7%</w:t>
      </w:r>
      <w:r w:rsidRPr="000824CA">
        <w:rPr>
          <w:rFonts w:eastAsia="Calibri" w:cs="Times New Roman"/>
          <w:kern w:val="2"/>
          <w:vertAlign w:val="superscript"/>
          <w14:ligatures w14:val="standardContextual"/>
        </w:rPr>
        <w:t>h</w:t>
      </w:r>
      <w:r w:rsidRPr="000824CA">
        <w:rPr>
          <w:rFonts w:eastAsia="Calibri" w:cs="Times New Roman"/>
          <w:kern w:val="2"/>
          <w14:ligatures w14:val="standardContextual"/>
        </w:rPr>
        <w:t> reduction from our 2019 model (bp global, 2025). </w:t>
      </w:r>
    </w:p>
    <w:p w14:paraId="464FBF68" w14:textId="77777777" w:rsidR="000824CA" w:rsidRPr="000824CA" w:rsidRDefault="000824CA" w:rsidP="000824CA">
      <w:pPr>
        <w:keepNext/>
        <w:spacing w:after="200"/>
        <w:jc w:val="center"/>
        <w:rPr>
          <w:rFonts w:eastAsia="Calibri" w:cs="Times New Roman"/>
          <w:kern w:val="2"/>
          <w14:ligatures w14:val="standardContextual"/>
        </w:rPr>
      </w:pPr>
      <w:r w:rsidRPr="000824CA">
        <w:rPr>
          <w:rFonts w:eastAsia="Calibri" w:cs="Times New Roman"/>
          <w:noProof/>
          <w:kern w:val="2"/>
          <w:lang w:val="en-US"/>
          <w14:ligatures w14:val="standardContextual"/>
        </w:rPr>
        <w:lastRenderedPageBreak/>
        <w:drawing>
          <wp:inline distT="0" distB="0" distL="0" distR="0" wp14:anchorId="356BE24A" wp14:editId="06D4FFC9">
            <wp:extent cx="3710940" cy="2743200"/>
            <wp:effectExtent l="0" t="0" r="381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334216" name=""/>
                    <pic:cNvPicPr/>
                  </pic:nvPicPr>
                  <pic:blipFill>
                    <a:blip r:embed="rId10"/>
                    <a:stretch>
                      <a:fillRect/>
                    </a:stretch>
                  </pic:blipFill>
                  <pic:spPr>
                    <a:xfrm>
                      <a:off x="0" y="0"/>
                      <a:ext cx="3710940" cy="2743200"/>
                    </a:xfrm>
                    <a:prstGeom prst="rect">
                      <a:avLst/>
                    </a:prstGeom>
                  </pic:spPr>
                </pic:pic>
              </a:graphicData>
            </a:graphic>
          </wp:inline>
        </w:drawing>
      </w:r>
    </w:p>
    <w:p w14:paraId="7C6ECAAD" w14:textId="77777777" w:rsidR="000824CA" w:rsidRPr="000824CA" w:rsidRDefault="000824CA" w:rsidP="000824CA">
      <w:pPr>
        <w:spacing w:after="200"/>
        <w:jc w:val="center"/>
        <w:rPr>
          <w:rFonts w:eastAsia="Calibri" w:cs="Times New Roman"/>
          <w:b/>
          <w:i/>
          <w:iCs/>
          <w:kern w:val="2"/>
          <w:szCs w:val="18"/>
          <w14:ligatures w14:val="standardContextual"/>
        </w:rPr>
      </w:pPr>
      <w:r w:rsidRPr="000824CA">
        <w:rPr>
          <w:rFonts w:eastAsia="Calibri" w:cs="Times New Roman"/>
          <w:b/>
          <w:i/>
          <w:iCs/>
          <w:kern w:val="2"/>
          <w:szCs w:val="18"/>
          <w14:ligatures w14:val="standardContextual"/>
        </w:rPr>
        <w:t xml:space="preserve">Figure </w:t>
      </w:r>
      <w:r w:rsidRPr="000824CA">
        <w:rPr>
          <w:rFonts w:eastAsia="Calibri" w:cs="Times New Roman"/>
          <w:b/>
          <w:i/>
          <w:iCs/>
          <w:kern w:val="2"/>
          <w:szCs w:val="18"/>
          <w14:ligatures w14:val="standardContextual"/>
        </w:rPr>
        <w:fldChar w:fldCharType="begin"/>
      </w:r>
      <w:r w:rsidRPr="000824CA">
        <w:rPr>
          <w:rFonts w:eastAsia="Calibri" w:cs="Times New Roman"/>
          <w:b/>
          <w:i/>
          <w:iCs/>
          <w:kern w:val="2"/>
          <w:szCs w:val="18"/>
          <w14:ligatures w14:val="standardContextual"/>
        </w:rPr>
        <w:instrText xml:space="preserve"> SEQ Figure \* ARABIC </w:instrText>
      </w:r>
      <w:r w:rsidRPr="000824CA">
        <w:rPr>
          <w:rFonts w:eastAsia="Calibri" w:cs="Times New Roman"/>
          <w:b/>
          <w:i/>
          <w:iCs/>
          <w:kern w:val="2"/>
          <w:szCs w:val="18"/>
          <w14:ligatures w14:val="standardContextual"/>
        </w:rPr>
        <w:fldChar w:fldCharType="separate"/>
      </w:r>
      <w:r w:rsidRPr="000824CA">
        <w:rPr>
          <w:rFonts w:eastAsia="Calibri" w:cs="Times New Roman"/>
          <w:b/>
          <w:i/>
          <w:iCs/>
          <w:noProof/>
          <w:kern w:val="2"/>
          <w:szCs w:val="18"/>
          <w14:ligatures w14:val="standardContextual"/>
        </w:rPr>
        <w:t>2</w:t>
      </w:r>
      <w:r w:rsidRPr="000824CA">
        <w:rPr>
          <w:rFonts w:eastAsia="Calibri" w:cs="Times New Roman"/>
          <w:b/>
          <w:i/>
          <w:iCs/>
          <w:kern w:val="2"/>
          <w:szCs w:val="18"/>
          <w14:ligatures w14:val="standardContextual"/>
        </w:rPr>
        <w:fldChar w:fldCharType="end"/>
      </w:r>
      <w:r w:rsidRPr="000824CA">
        <w:rPr>
          <w:rFonts w:eastAsia="Calibri" w:cs="Times New Roman"/>
          <w:b/>
          <w:i/>
          <w:iCs/>
          <w:kern w:val="2"/>
          <w:szCs w:val="18"/>
          <w14:ligatures w14:val="standardContextual"/>
        </w:rPr>
        <w:t>: Average Carbon Intensity of Sold energy products</w:t>
      </w:r>
    </w:p>
    <w:p w14:paraId="41623D24" w14:textId="77777777" w:rsidR="000824CA" w:rsidRPr="000824CA" w:rsidRDefault="000824CA" w:rsidP="000824CA">
      <w:pPr>
        <w:spacing w:after="200"/>
        <w:jc w:val="center"/>
        <w:rPr>
          <w:rFonts w:eastAsia="Calibri" w:cs="Times New Roman"/>
          <w:kern w:val="2"/>
          <w14:ligatures w14:val="standardContextual"/>
        </w:rPr>
      </w:pPr>
      <w:r w:rsidRPr="000824CA">
        <w:rPr>
          <w:rFonts w:eastAsia="Calibri" w:cs="Times New Roman"/>
          <w:kern w:val="2"/>
          <w14:ligatures w14:val="standardContextual"/>
        </w:rPr>
        <w:t xml:space="preserve">(Source: </w:t>
      </w:r>
      <w:r w:rsidR="007B2421">
        <w:rPr>
          <w:rFonts w:eastAsia="Calibri" w:cs="Times New Roman"/>
          <w:kern w:val="2"/>
          <w14:ligatures w14:val="standardContextual"/>
        </w:rPr>
        <w:t>bp</w:t>
      </w:r>
      <w:r w:rsidRPr="000824CA">
        <w:rPr>
          <w:rFonts w:eastAsia="Calibri" w:cs="Times New Roman"/>
          <w:kern w:val="2"/>
          <w14:ligatures w14:val="standardContextual"/>
        </w:rPr>
        <w:t>, 2025)</w:t>
      </w:r>
    </w:p>
    <w:p w14:paraId="70D0764D"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Other multinational oil and gas companies such as ExxonMobil, Shell, Chevron, and TotalEnergies are competing highly with the company. Such companies also compete in several fields that include efficiency in exploration, technological innovation, production capacity, and sustainability strategies. Also, some of the other companies that BP must compete with are emerging renewable energy companies, as the world moves towards the new energy transition.</w:t>
      </w:r>
    </w:p>
    <w:p w14:paraId="08575B37"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BP, based on its operations, global presence, and integrated supply chain, is ranked the largest global energy company in terms of market position in the category of supermajor energy companies in the world. Even with its ability to survive the difficulties faced by the company, particularly in 2010. The Deepwater Horison oil spill that affected its image and financial results immensely, BP has been able to regain its market position over time ((McGuire, Holtmaat and Prakash, 2022). The company has now positioned itself as a major player in the global energy transition and is putting investments into renewable energy solutions, electric vehicle charg</w:t>
      </w:r>
      <w:r w:rsidR="00F846CB">
        <w:rPr>
          <w:rFonts w:eastAsia="Calibri" w:cs="Times New Roman"/>
          <w:kern w:val="2"/>
          <w14:ligatures w14:val="standardContextual"/>
        </w:rPr>
        <w:t xml:space="preserve">ing, and low-carbon solutions. </w:t>
      </w:r>
    </w:p>
    <w:p w14:paraId="1A530E8C" w14:textId="77777777" w:rsidR="000824CA" w:rsidRPr="000824CA" w:rsidRDefault="000824CA" w:rsidP="00624AF4">
      <w:pPr>
        <w:pStyle w:val="Heading2"/>
        <w:rPr>
          <w:rFonts w:eastAsia="Times New Roman"/>
        </w:rPr>
      </w:pPr>
      <w:bookmarkStart w:id="2" w:name="_Toc224060345"/>
      <w:r w:rsidRPr="000824CA">
        <w:rPr>
          <w:rFonts w:eastAsia="Times New Roman"/>
        </w:rPr>
        <w:t>2. External and Internal Environment Analysis</w:t>
      </w:r>
      <w:bookmarkEnd w:id="2"/>
    </w:p>
    <w:p w14:paraId="7F61C1DC" w14:textId="77777777" w:rsidR="000824CA" w:rsidRPr="000824CA" w:rsidRDefault="00B513EE" w:rsidP="000824CA">
      <w:pPr>
        <w:spacing w:after="200"/>
        <w:rPr>
          <w:rFonts w:eastAsia="Calibri" w:cs="Times New Roman"/>
          <w:kern w:val="2"/>
          <w14:ligatures w14:val="standardContextual"/>
        </w:rPr>
      </w:pPr>
      <w:r>
        <w:rPr>
          <w:rFonts w:eastAsia="Calibri" w:cs="Times New Roman"/>
          <w:kern w:val="2"/>
          <w14:ligatures w14:val="standardContextual"/>
        </w:rPr>
        <w:t>This part</w:t>
      </w:r>
      <w:r w:rsidR="000824CA" w:rsidRPr="000824CA">
        <w:rPr>
          <w:rFonts w:eastAsia="Calibri" w:cs="Times New Roman"/>
          <w:kern w:val="2"/>
          <w14:ligatures w14:val="standardContextual"/>
        </w:rPr>
        <w:t xml:space="preserve"> examines the external and internal environment of BP to know how the organisation keeps its competitive status in the market. The strategic management models, including PESTEL </w:t>
      </w:r>
      <w:r w:rsidR="000824CA" w:rsidRPr="000824CA">
        <w:rPr>
          <w:rFonts w:eastAsia="Calibri" w:cs="Times New Roman"/>
          <w:kern w:val="2"/>
          <w14:ligatures w14:val="standardContextual"/>
        </w:rPr>
        <w:lastRenderedPageBreak/>
        <w:t>and VRIO, are implemented to analyse the macro-environmental factors and the internal strengths that determine the BP strategy and long-term performance.</w:t>
      </w:r>
    </w:p>
    <w:p w14:paraId="64570D2E" w14:textId="77777777" w:rsidR="000824CA" w:rsidRPr="000824CA" w:rsidRDefault="000824CA" w:rsidP="00A96F78">
      <w:pPr>
        <w:pStyle w:val="Heading3"/>
        <w:rPr>
          <w:rFonts w:eastAsia="Times New Roman"/>
        </w:rPr>
      </w:pPr>
      <w:bookmarkStart w:id="3" w:name="_Toc224060346"/>
      <w:r w:rsidRPr="000824CA">
        <w:rPr>
          <w:rFonts w:eastAsia="Times New Roman"/>
        </w:rPr>
        <w:t>2.1 Pestel Analysis</w:t>
      </w:r>
      <w:bookmarkEnd w:id="3"/>
    </w:p>
    <w:p w14:paraId="7AA18C14"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political, economic, social, technological, environmental, and legal factors are analysed through the PESTEL framework, which offers a systematic way of understanding how macro-environmental factors influence the organisational strategy (Espínola, et al., 2025). In the case of BP, these external factors will affect the priorities of investment and operational processes for long-term strategic direction.</w:t>
      </w:r>
    </w:p>
    <w:p w14:paraId="2287CA76" w14:textId="77777777" w:rsidR="000824CA" w:rsidRPr="000824CA" w:rsidRDefault="000824CA" w:rsidP="000824CA">
      <w:pPr>
        <w:keepNext/>
        <w:spacing w:after="200"/>
        <w:jc w:val="center"/>
        <w:rPr>
          <w:rFonts w:eastAsia="Calibri" w:cs="Times New Roman"/>
          <w:kern w:val="2"/>
          <w14:ligatures w14:val="standardContextual"/>
        </w:rPr>
      </w:pPr>
      <w:r w:rsidRPr="000824CA">
        <w:rPr>
          <w:rFonts w:eastAsia="Calibri" w:cs="Times New Roman"/>
          <w:noProof/>
          <w:kern w:val="2"/>
          <w:lang w:val="en-US"/>
          <w14:ligatures w14:val="standardContextual"/>
        </w:rPr>
        <w:drawing>
          <wp:inline distT="0" distB="0" distL="0" distR="0" wp14:anchorId="34657FC3" wp14:editId="450EA07F">
            <wp:extent cx="3140766" cy="1643537"/>
            <wp:effectExtent l="0" t="0" r="254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62750" cy="1655041"/>
                    </a:xfrm>
                    <a:prstGeom prst="rect">
                      <a:avLst/>
                    </a:prstGeom>
                    <a:noFill/>
                    <a:ln>
                      <a:noFill/>
                    </a:ln>
                  </pic:spPr>
                </pic:pic>
              </a:graphicData>
            </a:graphic>
          </wp:inline>
        </w:drawing>
      </w:r>
    </w:p>
    <w:p w14:paraId="4E6ED99F" w14:textId="77777777" w:rsidR="000824CA" w:rsidRPr="000824CA" w:rsidRDefault="000824CA" w:rsidP="000824CA">
      <w:pPr>
        <w:spacing w:after="200"/>
        <w:jc w:val="center"/>
        <w:rPr>
          <w:rFonts w:eastAsia="Calibri" w:cs="Times New Roman"/>
          <w:b/>
          <w:i/>
          <w:iCs/>
          <w:kern w:val="2"/>
          <w:szCs w:val="18"/>
          <w14:ligatures w14:val="standardContextual"/>
        </w:rPr>
      </w:pPr>
      <w:r w:rsidRPr="000824CA">
        <w:rPr>
          <w:rFonts w:eastAsia="Calibri" w:cs="Times New Roman"/>
          <w:b/>
          <w:i/>
          <w:iCs/>
          <w:kern w:val="2"/>
          <w:szCs w:val="18"/>
          <w14:ligatures w14:val="standardContextual"/>
        </w:rPr>
        <w:t xml:space="preserve">Figure </w:t>
      </w:r>
      <w:r w:rsidRPr="000824CA">
        <w:rPr>
          <w:rFonts w:eastAsia="Calibri" w:cs="Times New Roman"/>
          <w:b/>
          <w:i/>
          <w:iCs/>
          <w:kern w:val="2"/>
          <w:szCs w:val="18"/>
          <w14:ligatures w14:val="standardContextual"/>
        </w:rPr>
        <w:fldChar w:fldCharType="begin"/>
      </w:r>
      <w:r w:rsidRPr="000824CA">
        <w:rPr>
          <w:rFonts w:eastAsia="Calibri" w:cs="Times New Roman"/>
          <w:b/>
          <w:i/>
          <w:iCs/>
          <w:kern w:val="2"/>
          <w:szCs w:val="18"/>
          <w14:ligatures w14:val="standardContextual"/>
        </w:rPr>
        <w:instrText xml:space="preserve"> SEQ Figure \* ARABIC </w:instrText>
      </w:r>
      <w:r w:rsidRPr="000824CA">
        <w:rPr>
          <w:rFonts w:eastAsia="Calibri" w:cs="Times New Roman"/>
          <w:b/>
          <w:i/>
          <w:iCs/>
          <w:kern w:val="2"/>
          <w:szCs w:val="18"/>
          <w14:ligatures w14:val="standardContextual"/>
        </w:rPr>
        <w:fldChar w:fldCharType="separate"/>
      </w:r>
      <w:r w:rsidRPr="000824CA">
        <w:rPr>
          <w:rFonts w:eastAsia="Calibri" w:cs="Times New Roman"/>
          <w:b/>
          <w:i/>
          <w:iCs/>
          <w:noProof/>
          <w:kern w:val="2"/>
          <w:szCs w:val="18"/>
          <w14:ligatures w14:val="standardContextual"/>
        </w:rPr>
        <w:t>3</w:t>
      </w:r>
      <w:r w:rsidRPr="000824CA">
        <w:rPr>
          <w:rFonts w:eastAsia="Calibri" w:cs="Times New Roman"/>
          <w:b/>
          <w:i/>
          <w:iCs/>
          <w:kern w:val="2"/>
          <w:szCs w:val="18"/>
          <w14:ligatures w14:val="standardContextual"/>
        </w:rPr>
        <w:fldChar w:fldCharType="end"/>
      </w:r>
      <w:r w:rsidRPr="000824CA">
        <w:rPr>
          <w:rFonts w:eastAsia="Calibri" w:cs="Times New Roman"/>
          <w:b/>
          <w:i/>
          <w:iCs/>
          <w:kern w:val="2"/>
          <w:szCs w:val="18"/>
          <w14:ligatures w14:val="standardContextual"/>
        </w:rPr>
        <w:t>: Pestel Analysis</w:t>
      </w:r>
    </w:p>
    <w:p w14:paraId="0D9F90EA" w14:textId="77777777" w:rsidR="000824CA" w:rsidRPr="000824CA" w:rsidRDefault="000824CA" w:rsidP="000824CA">
      <w:pPr>
        <w:spacing w:after="200"/>
        <w:jc w:val="center"/>
        <w:rPr>
          <w:rFonts w:eastAsia="Calibri" w:cs="Times New Roman"/>
          <w:kern w:val="2"/>
          <w14:ligatures w14:val="standardContextual"/>
        </w:rPr>
      </w:pPr>
      <w:r w:rsidRPr="000824CA">
        <w:rPr>
          <w:rFonts w:eastAsia="Calibri" w:cs="Times New Roman"/>
          <w:kern w:val="2"/>
          <w14:ligatures w14:val="standardContextual"/>
        </w:rPr>
        <w:t>(Source: Model, 2025)</w:t>
      </w:r>
    </w:p>
    <w:p w14:paraId="3D8726EB" w14:textId="77777777" w:rsidR="000824CA" w:rsidRPr="000824CA" w:rsidRDefault="000824CA" w:rsidP="000824CA">
      <w:pPr>
        <w:spacing w:after="200"/>
        <w:rPr>
          <w:rFonts w:eastAsia="Calibri" w:cs="Times New Roman"/>
          <w:b/>
          <w:kern w:val="2"/>
          <w14:ligatures w14:val="standardContextual"/>
        </w:rPr>
      </w:pPr>
      <w:r w:rsidRPr="000824CA">
        <w:rPr>
          <w:rFonts w:eastAsia="Calibri" w:cs="Times New Roman"/>
          <w:b/>
          <w:kern w:val="2"/>
          <w14:ligatures w14:val="standardContextual"/>
        </w:rPr>
        <w:t>Political factors</w:t>
      </w:r>
    </w:p>
    <w:p w14:paraId="04ECCAE9"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political factor in the energy sector is also very important in the global energy industry, as governments have been significant in the regulation of oil and gas operations. BP has operations in various regions where politics, government policies, and international relations have direct influence on its operations. The government laws about the security of energy, taxation, and environmental provisions affect the investment decisions made by BP, and its production plans.</w:t>
      </w:r>
    </w:p>
    <w:p w14:paraId="0B30EF57"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world oil-producing regions, like the Middle East and Eastern Europe, have been affected by political tensions, which have disrupted the supply chains and caused uncertainties in the global energy markets (</w:t>
      </w:r>
      <w:r w:rsidRPr="000824CA">
        <w:rPr>
          <w:rFonts w:eastAsia="Calibri" w:cs="Times New Roman"/>
          <w:kern w:val="2"/>
          <w:lang w:val="en-US"/>
          <w14:ligatures w14:val="standardContextual"/>
        </w:rPr>
        <w:t>Dokas, et al., 2023)</w:t>
      </w:r>
      <w:r w:rsidRPr="000824CA">
        <w:rPr>
          <w:rFonts w:eastAsia="Calibri" w:cs="Times New Roman"/>
          <w:kern w:val="2"/>
          <w14:ligatures w14:val="standardContextual"/>
        </w:rPr>
        <w:t xml:space="preserve">. Recently, the ongoing war between the Us-Israel war on Iran has caused the price and supply of oil and gas to sharply increasing that affect the market (Jones and Almeida, 2026). </w:t>
      </w:r>
    </w:p>
    <w:p w14:paraId="6F5A93E6" w14:textId="77777777" w:rsidR="000824CA" w:rsidRPr="000824CA" w:rsidRDefault="000824CA" w:rsidP="000824CA">
      <w:pPr>
        <w:spacing w:after="200"/>
        <w:rPr>
          <w:rFonts w:eastAsia="Calibri" w:cs="Times New Roman"/>
          <w:b/>
          <w:kern w:val="2"/>
          <w14:ligatures w14:val="standardContextual"/>
        </w:rPr>
      </w:pPr>
      <w:r w:rsidRPr="000824CA">
        <w:rPr>
          <w:rFonts w:eastAsia="Calibri" w:cs="Times New Roman"/>
          <w:b/>
          <w:kern w:val="2"/>
          <w14:ligatures w14:val="standardContextual"/>
        </w:rPr>
        <w:lastRenderedPageBreak/>
        <w:t>Economic factors</w:t>
      </w:r>
    </w:p>
    <w:p w14:paraId="00E8E0B6"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oil and gas demand is closely connected to the economic development of the world, the industrial production, activity, and transport. Energy demand also grows during economic rises, and this results in increased revenues to the energy companies. But, price crashes may have a massive impact on the demand and result in oil price instability. This vulnerability was demonstrated during the COVID-19 pandemic when global energy consumption was significantly decreased by travel restrictions and low economic activity (</w:t>
      </w:r>
      <w:r w:rsidRPr="000824CA">
        <w:rPr>
          <w:rFonts w:eastAsia="Calibri" w:cs="Times New Roman"/>
          <w:kern w:val="2"/>
          <w:lang w:val="en-US"/>
          <w14:ligatures w14:val="standardContextual"/>
        </w:rPr>
        <w:t>Zakeri, et al.,2022)</w:t>
      </w:r>
      <w:r w:rsidRPr="000824CA">
        <w:rPr>
          <w:rFonts w:eastAsia="Calibri" w:cs="Times New Roman"/>
          <w:kern w:val="2"/>
          <w14:ligatures w14:val="standardContextual"/>
        </w:rPr>
        <w:t>. So, BP has become more cost-efficient and diversified in its operations and business activities to reduce economic risks and sustain financial stability in the long term.</w:t>
      </w:r>
    </w:p>
    <w:p w14:paraId="010146DD" w14:textId="77777777" w:rsidR="000824CA" w:rsidRPr="000824CA" w:rsidRDefault="000824CA" w:rsidP="000824CA">
      <w:pPr>
        <w:spacing w:after="200"/>
        <w:rPr>
          <w:rFonts w:eastAsia="Calibri" w:cs="Times New Roman"/>
          <w:b/>
          <w:kern w:val="2"/>
          <w14:ligatures w14:val="standardContextual"/>
        </w:rPr>
      </w:pPr>
      <w:r w:rsidRPr="000824CA">
        <w:rPr>
          <w:rFonts w:eastAsia="Calibri" w:cs="Times New Roman"/>
          <w:b/>
          <w:kern w:val="2"/>
          <w14:ligatures w14:val="standardContextual"/>
        </w:rPr>
        <w:t>Social factors</w:t>
      </w:r>
    </w:p>
    <w:p w14:paraId="29084E3A"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social awareness that is generated by climate change and environmental sustainability has been growing at a significant rate. This is putting pressure on oil and gas companies to lower the amount of carbon released into the atmosphere and to implement cleaner energy sources (</w:t>
      </w:r>
      <w:r w:rsidRPr="000824CA">
        <w:rPr>
          <w:rFonts w:eastAsia="Calibri" w:cs="Times New Roman"/>
          <w:kern w:val="2"/>
          <w:lang w:val="en-US"/>
          <w14:ligatures w14:val="standardContextual"/>
        </w:rPr>
        <w:t>Yasemi et al., 2023)</w:t>
      </w:r>
      <w:r w:rsidRPr="000824CA">
        <w:rPr>
          <w:rFonts w:eastAsia="Calibri" w:cs="Times New Roman"/>
          <w:kern w:val="2"/>
          <w14:ligatures w14:val="standardContextual"/>
        </w:rPr>
        <w:t>. Consumers, investors, and governments are now demanding that energy companies act in a responsible way in relation to the environment, and they must also contribute to sustainable development. BP has declared its commitment to be a net-zero emissions energy company by 2050, as it has intensified its commitment to renewable sources of energy, including wind, solar, and bioenergy ((bp global, 2025).</w:t>
      </w:r>
    </w:p>
    <w:p w14:paraId="3EADC00D" w14:textId="77777777" w:rsidR="000824CA" w:rsidRPr="000824CA" w:rsidRDefault="000824CA" w:rsidP="000824CA">
      <w:pPr>
        <w:spacing w:after="200"/>
        <w:rPr>
          <w:rFonts w:eastAsia="Calibri" w:cs="Times New Roman"/>
          <w:b/>
          <w:kern w:val="2"/>
          <w14:ligatures w14:val="standardContextual"/>
        </w:rPr>
      </w:pPr>
      <w:r w:rsidRPr="000824CA">
        <w:rPr>
          <w:rFonts w:eastAsia="Calibri" w:cs="Times New Roman"/>
          <w:b/>
          <w:kern w:val="2"/>
          <w14:ligatures w14:val="standardContextual"/>
        </w:rPr>
        <w:t>Technological factors</w:t>
      </w:r>
    </w:p>
    <w:p w14:paraId="2AAD8E06"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development of exploration technologies, digitalisation, and storage of energy resources has made operations more efficient and cheaper to produce. The digital oilfield systems, artificial intelligence, and advanced data analytics are technologies that have been adopted by BP to improve its exploration and production capacity (bp, 2025). Alongside renewable energy, electric cars and battery storage are changing the world's energy environment due to technological advances. BP has increased investments in renewable energy infrastructure and electric vehicle charging networks to stay competitive.</w:t>
      </w:r>
    </w:p>
    <w:p w14:paraId="5F2E4F80" w14:textId="77777777" w:rsidR="000824CA" w:rsidRPr="000824CA" w:rsidRDefault="000824CA" w:rsidP="000824CA">
      <w:pPr>
        <w:spacing w:after="200"/>
        <w:rPr>
          <w:rFonts w:eastAsia="Calibri" w:cs="Times New Roman"/>
          <w:b/>
          <w:kern w:val="2"/>
          <w14:ligatures w14:val="standardContextual"/>
        </w:rPr>
      </w:pPr>
      <w:r w:rsidRPr="000824CA">
        <w:rPr>
          <w:rFonts w:eastAsia="Calibri" w:cs="Times New Roman"/>
          <w:b/>
          <w:kern w:val="2"/>
          <w14:ligatures w14:val="standardContextual"/>
        </w:rPr>
        <w:t>Environmental factors</w:t>
      </w:r>
    </w:p>
    <w:p w14:paraId="0EACBABE"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lastRenderedPageBreak/>
        <w:t xml:space="preserve">The strategic decision-making in BP is also largely affected by environmental factors. The growing fears over climate change have made governments impose tougher environmental policies and strict carbon reduction policies. These factors make BP enhance environmental management control and invest in low-carbon technologies. </w:t>
      </w:r>
    </w:p>
    <w:p w14:paraId="1384CB51" w14:textId="77777777" w:rsidR="000824CA" w:rsidRPr="000824CA" w:rsidRDefault="000824CA" w:rsidP="000824CA">
      <w:pPr>
        <w:spacing w:after="200"/>
        <w:rPr>
          <w:rFonts w:eastAsia="Calibri" w:cs="Times New Roman"/>
          <w:b/>
          <w:kern w:val="2"/>
          <w14:ligatures w14:val="standardContextual"/>
        </w:rPr>
      </w:pPr>
      <w:r w:rsidRPr="000824CA">
        <w:rPr>
          <w:rFonts w:eastAsia="Calibri" w:cs="Times New Roman"/>
          <w:b/>
          <w:kern w:val="2"/>
          <w14:ligatures w14:val="standardContextual"/>
        </w:rPr>
        <w:t>Legal factors</w:t>
      </w:r>
    </w:p>
    <w:p w14:paraId="6878900E"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legal exposure to environmental occurrences may lead to significant financial and reputation losses. The Deepwater Horizon oil spill of 2010 emphasised the legal and financial issues of energy companies after environmental disasters. As a result, BP has advanced its safety protocols, environmental control, and sustainability efforts to mitigate operational risks.</w:t>
      </w:r>
    </w:p>
    <w:p w14:paraId="743B5AAD" w14:textId="77777777" w:rsidR="000824CA" w:rsidRPr="000716FA" w:rsidRDefault="000824CA" w:rsidP="000716FA">
      <w:pPr>
        <w:pStyle w:val="Heading3"/>
      </w:pPr>
      <w:bookmarkStart w:id="4" w:name="_Toc224060347"/>
      <w:r w:rsidRPr="000716FA">
        <w:t>2.2 Strategic Challeng</w:t>
      </w:r>
      <w:r w:rsidR="000716FA" w:rsidRPr="000716FA">
        <w:t>es and Critical Success Factors</w:t>
      </w:r>
      <w:bookmarkEnd w:id="4"/>
    </w:p>
    <w:p w14:paraId="241286C6"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Several critical success factors affect the competitiveness of BP in the global energy industry. Technological capability is one of the key factors since innovative technologies in exploration, drilling, and energy production can help BP to enhance its efficiency and minimise operational costs (Sharma, et al., 2024). The financial resources enable the company to invest in mass energy projects and renewable energy development. So, the presence in the global market and access to the energy resources are necessary to sustain the level of production and to achieve supply chains in a competitive industry.</w:t>
      </w:r>
    </w:p>
    <w:p w14:paraId="75C9315E"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 xml:space="preserve">On the other hand, BP has several strategic issues in its external environment. The biggest problem is the worldwide move to renewable energy and </w:t>
      </w:r>
      <w:r w:rsidR="00772090" w:rsidRPr="000824CA">
        <w:rPr>
          <w:rFonts w:eastAsia="Calibri" w:cs="Times New Roman"/>
          <w:kern w:val="2"/>
          <w14:ligatures w14:val="standardContextual"/>
        </w:rPr>
        <w:t>stricter</w:t>
      </w:r>
      <w:r w:rsidRPr="000824CA">
        <w:rPr>
          <w:rFonts w:eastAsia="Calibri" w:cs="Times New Roman"/>
          <w:kern w:val="2"/>
          <w14:ligatures w14:val="standardContextual"/>
        </w:rPr>
        <w:t xml:space="preserve"> environmental laws, which are decreasing the long-term demand for fossil fuels (</w:t>
      </w:r>
      <w:r w:rsidRPr="000824CA">
        <w:rPr>
          <w:rFonts w:eastAsia="Calibri" w:cs="Times New Roman"/>
          <w:kern w:val="2"/>
          <w:lang w:val="en-US"/>
          <w14:ligatures w14:val="standardContextual"/>
        </w:rPr>
        <w:t>Falcone, 2023)</w:t>
      </w:r>
      <w:r w:rsidRPr="000824CA">
        <w:rPr>
          <w:rFonts w:eastAsia="Calibri" w:cs="Times New Roman"/>
          <w:kern w:val="2"/>
          <w14:ligatures w14:val="standardContextual"/>
        </w:rPr>
        <w:t>. Also, price fluctuations in the world oil market cause ambiguity in the budget planning of revenues and investments. The growing competition from traditional energy firms and the emerging renewable energy firms adds more pressure on BP to be innovative and change its business approach.</w:t>
      </w:r>
    </w:p>
    <w:p w14:paraId="4277E260" w14:textId="77777777" w:rsidR="000824CA" w:rsidRPr="000824CA" w:rsidRDefault="000824CA" w:rsidP="00FB7675">
      <w:pPr>
        <w:pStyle w:val="Heading3"/>
        <w:rPr>
          <w:rFonts w:eastAsia="Times New Roman"/>
        </w:rPr>
      </w:pPr>
      <w:bookmarkStart w:id="5" w:name="_Toc224060348"/>
      <w:r w:rsidRPr="000824CA">
        <w:rPr>
          <w:rFonts w:eastAsia="Times New Roman"/>
        </w:rPr>
        <w:t>2.3 Internal Environment: Capabilities, R</w:t>
      </w:r>
      <w:r w:rsidR="00FB7675">
        <w:rPr>
          <w:rFonts w:eastAsia="Times New Roman"/>
        </w:rPr>
        <w:t>esources, and Core Competencies</w:t>
      </w:r>
      <w:bookmarkEnd w:id="5"/>
    </w:p>
    <w:p w14:paraId="0C346734"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 xml:space="preserve">The key resources in BP influence its internal environment and enable the organisation to compete successfully in the energy market on an international level. The large physical infrastructure owned by BP that consists of oil and gas fields, refineries, pipelines, and international distribution channels is one of the main resources of this organisation (Mahmood, et al., 2023). These resources </w:t>
      </w:r>
      <w:r w:rsidRPr="000824CA">
        <w:rPr>
          <w:rFonts w:eastAsia="Calibri" w:cs="Times New Roman"/>
          <w:kern w:val="2"/>
          <w14:ligatures w14:val="standardContextual"/>
        </w:rPr>
        <w:lastRenderedPageBreak/>
        <w:t>enable the company to operate in the whole energy value chain, through exploration and production, refining, and retail distribution. Also, BP has good financial capacity that has helped the company to invest in big projects and renewable energy projects.</w:t>
      </w:r>
    </w:p>
    <w:p w14:paraId="5167DFB3"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Another asset of the company is human capital because BP has highly qualified engineers, scientists, and experts in the field of energy who are valuable in terms of innovation and efficiency in the work process (Branca, et al., 2022). Regarding the capabilities, BP has gained great experience in energy trading, supply chain management, and large-sca</w:t>
      </w:r>
      <w:r w:rsidR="00620734">
        <w:rPr>
          <w:rFonts w:eastAsia="Calibri" w:cs="Times New Roman"/>
          <w:kern w:val="2"/>
          <w14:ligatures w14:val="standardContextual"/>
        </w:rPr>
        <w:t>le project management</w:t>
      </w:r>
      <w:r w:rsidRPr="000824CA">
        <w:rPr>
          <w:rFonts w:eastAsia="Calibri" w:cs="Times New Roman"/>
          <w:kern w:val="2"/>
          <w14:ligatures w14:val="standardContextual"/>
        </w:rPr>
        <w:t>.</w:t>
      </w:r>
    </w:p>
    <w:p w14:paraId="18FDBD82" w14:textId="77777777" w:rsidR="000824CA" w:rsidRPr="000824CA" w:rsidRDefault="000824CA" w:rsidP="00E05452">
      <w:pPr>
        <w:pStyle w:val="Heading3"/>
        <w:rPr>
          <w:rFonts w:eastAsia="Times New Roman"/>
        </w:rPr>
      </w:pPr>
      <w:bookmarkStart w:id="6" w:name="_Toc224060349"/>
      <w:r w:rsidRPr="000824CA">
        <w:rPr>
          <w:rFonts w:eastAsia="Times New Roman"/>
        </w:rPr>
        <w:t>2.4 VRIO Framework</w:t>
      </w:r>
      <w:bookmarkEnd w:id="6"/>
    </w:p>
    <w:p w14:paraId="595BD1C8" w14:textId="77777777" w:rsidR="000824CA" w:rsidRPr="000824CA" w:rsidRDefault="000824CA" w:rsidP="000824CA">
      <w:pPr>
        <w:keepNext/>
        <w:spacing w:after="200"/>
        <w:rPr>
          <w:rFonts w:eastAsia="Calibri" w:cs="Times New Roman"/>
          <w:kern w:val="2"/>
          <w14:ligatures w14:val="standardContextual"/>
        </w:rPr>
      </w:pPr>
      <w:r w:rsidRPr="000824CA">
        <w:rPr>
          <w:rFonts w:eastAsia="Calibri" w:cs="Times New Roman"/>
          <w:kern w:val="2"/>
          <w14:ligatures w14:val="standardContextual"/>
        </w:rPr>
        <w:t>The VRIO model is a strategic tool to determine the ability of the resources and capabilities of an organisation to generate sustainable competitive advantage. The model evaluates four strategic dimensions, namely Value, Rarity, Imitability, and Organisation. The use of this model in the case</w:t>
      </w:r>
      <w:r w:rsidR="00682598">
        <w:rPr>
          <w:rFonts w:eastAsia="Calibri" w:cs="Times New Roman"/>
          <w:kern w:val="2"/>
          <w14:ligatures w14:val="standardContextual"/>
        </w:rPr>
        <w:t xml:space="preserve"> </w:t>
      </w:r>
      <w:r w:rsidRPr="000824CA">
        <w:rPr>
          <w:rFonts w:eastAsia="Calibri" w:cs="Times New Roman"/>
          <w:kern w:val="2"/>
          <w14:ligatures w14:val="standardContextual"/>
        </w:rPr>
        <w:t>of BP assists in understanding how it has been able to compete in the global energy sector using its internal capabilities.</w:t>
      </w:r>
    </w:p>
    <w:p w14:paraId="328BD048" w14:textId="77777777" w:rsidR="000824CA" w:rsidRPr="000824CA" w:rsidRDefault="000824CA" w:rsidP="000824CA">
      <w:pPr>
        <w:keepNext/>
        <w:spacing w:after="200"/>
        <w:rPr>
          <w:rFonts w:eastAsia="Calibri" w:cs="Times New Roman"/>
          <w:kern w:val="2"/>
          <w14:ligatures w14:val="standardContextual"/>
        </w:rPr>
      </w:pPr>
      <w:r w:rsidRPr="000824CA">
        <w:rPr>
          <w:rFonts w:eastAsia="Calibri" w:cs="Times New Roman"/>
          <w:noProof/>
          <w:kern w:val="2"/>
          <w:lang w:val="en-US"/>
          <w14:ligatures w14:val="standardContextual"/>
        </w:rPr>
        <w:drawing>
          <wp:inline distT="0" distB="0" distL="0" distR="0" wp14:anchorId="09AC3B9D" wp14:editId="2F77AADC">
            <wp:extent cx="5613906" cy="1805940"/>
            <wp:effectExtent l="0" t="0" r="0" b="381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7777" cy="1807185"/>
                    </a:xfrm>
                    <a:prstGeom prst="rect">
                      <a:avLst/>
                    </a:prstGeom>
                    <a:noFill/>
                  </pic:spPr>
                </pic:pic>
              </a:graphicData>
            </a:graphic>
          </wp:inline>
        </w:drawing>
      </w:r>
    </w:p>
    <w:p w14:paraId="38C21FD7" w14:textId="77777777" w:rsidR="000824CA" w:rsidRPr="000824CA" w:rsidRDefault="000824CA" w:rsidP="000824CA">
      <w:pPr>
        <w:spacing w:after="200"/>
        <w:jc w:val="center"/>
        <w:rPr>
          <w:rFonts w:eastAsia="Calibri" w:cs="Times New Roman"/>
          <w:b/>
          <w:i/>
          <w:iCs/>
          <w:kern w:val="2"/>
          <w:szCs w:val="18"/>
          <w14:ligatures w14:val="standardContextual"/>
        </w:rPr>
      </w:pPr>
      <w:r w:rsidRPr="000824CA">
        <w:rPr>
          <w:rFonts w:eastAsia="Calibri" w:cs="Times New Roman"/>
          <w:b/>
          <w:i/>
          <w:iCs/>
          <w:kern w:val="2"/>
          <w:szCs w:val="18"/>
          <w14:ligatures w14:val="standardContextual"/>
        </w:rPr>
        <w:t xml:space="preserve">Figure </w:t>
      </w:r>
      <w:r w:rsidRPr="000824CA">
        <w:rPr>
          <w:rFonts w:eastAsia="Calibri" w:cs="Times New Roman"/>
          <w:b/>
          <w:i/>
          <w:iCs/>
          <w:kern w:val="2"/>
          <w:szCs w:val="18"/>
          <w14:ligatures w14:val="standardContextual"/>
        </w:rPr>
        <w:fldChar w:fldCharType="begin"/>
      </w:r>
      <w:r w:rsidRPr="000824CA">
        <w:rPr>
          <w:rFonts w:eastAsia="Calibri" w:cs="Times New Roman"/>
          <w:b/>
          <w:i/>
          <w:iCs/>
          <w:kern w:val="2"/>
          <w:szCs w:val="18"/>
          <w14:ligatures w14:val="standardContextual"/>
        </w:rPr>
        <w:instrText xml:space="preserve"> SEQ Figure \* ARABIC </w:instrText>
      </w:r>
      <w:r w:rsidRPr="000824CA">
        <w:rPr>
          <w:rFonts w:eastAsia="Calibri" w:cs="Times New Roman"/>
          <w:b/>
          <w:i/>
          <w:iCs/>
          <w:kern w:val="2"/>
          <w:szCs w:val="18"/>
          <w14:ligatures w14:val="standardContextual"/>
        </w:rPr>
        <w:fldChar w:fldCharType="separate"/>
      </w:r>
      <w:r w:rsidRPr="000824CA">
        <w:rPr>
          <w:rFonts w:eastAsia="Calibri" w:cs="Times New Roman"/>
          <w:b/>
          <w:i/>
          <w:iCs/>
          <w:noProof/>
          <w:kern w:val="2"/>
          <w:szCs w:val="18"/>
          <w14:ligatures w14:val="standardContextual"/>
        </w:rPr>
        <w:t>4</w:t>
      </w:r>
      <w:r w:rsidRPr="000824CA">
        <w:rPr>
          <w:rFonts w:eastAsia="Calibri" w:cs="Times New Roman"/>
          <w:b/>
          <w:i/>
          <w:iCs/>
          <w:kern w:val="2"/>
          <w:szCs w:val="18"/>
          <w14:ligatures w14:val="standardContextual"/>
        </w:rPr>
        <w:fldChar w:fldCharType="end"/>
      </w:r>
      <w:r w:rsidRPr="000824CA">
        <w:rPr>
          <w:rFonts w:eastAsia="Calibri" w:cs="Times New Roman"/>
          <w:b/>
          <w:i/>
          <w:iCs/>
          <w:kern w:val="2"/>
          <w:szCs w:val="18"/>
          <w14:ligatures w14:val="standardContextual"/>
        </w:rPr>
        <w:t>: VRIO Framework</w:t>
      </w:r>
    </w:p>
    <w:p w14:paraId="0A4C521A" w14:textId="77777777" w:rsidR="000824CA" w:rsidRPr="000824CA" w:rsidRDefault="000824CA" w:rsidP="000824CA">
      <w:pPr>
        <w:spacing w:after="200"/>
        <w:jc w:val="center"/>
        <w:rPr>
          <w:rFonts w:eastAsia="Calibri" w:cs="Times New Roman"/>
          <w:kern w:val="2"/>
          <w14:ligatures w14:val="standardContextual"/>
        </w:rPr>
      </w:pPr>
      <w:r w:rsidRPr="000824CA">
        <w:rPr>
          <w:rFonts w:eastAsia="Calibri" w:cs="Times New Roman"/>
          <w:kern w:val="2"/>
          <w14:ligatures w14:val="standardContextual"/>
        </w:rPr>
        <w:t>(Source: By Author)</w:t>
      </w:r>
    </w:p>
    <w:p w14:paraId="2CF65E80" w14:textId="77777777" w:rsidR="000824CA" w:rsidRPr="000824CA" w:rsidRDefault="000824CA" w:rsidP="000824CA">
      <w:pPr>
        <w:spacing w:after="200"/>
        <w:rPr>
          <w:rFonts w:eastAsia="Calibri" w:cs="Times New Roman"/>
          <w:kern w:val="2"/>
          <w:lang w:val="en-US"/>
          <w14:ligatures w14:val="standardContextual"/>
        </w:rPr>
      </w:pPr>
    </w:p>
    <w:tbl>
      <w:tblPr>
        <w:tblStyle w:val="TableGrid1"/>
        <w:tblW w:w="0" w:type="auto"/>
        <w:tblLook w:val="04A0" w:firstRow="1" w:lastRow="0" w:firstColumn="1" w:lastColumn="0" w:noHBand="0" w:noVBand="1"/>
      </w:tblPr>
      <w:tblGrid>
        <w:gridCol w:w="1452"/>
        <w:gridCol w:w="7898"/>
      </w:tblGrid>
      <w:tr w:rsidR="000824CA" w:rsidRPr="000824CA" w14:paraId="63B67997" w14:textId="77777777" w:rsidTr="001C0BBA">
        <w:trPr>
          <w:trHeight w:val="5472"/>
        </w:trPr>
        <w:tc>
          <w:tcPr>
            <w:tcW w:w="0" w:type="auto"/>
            <w:hideMark/>
          </w:tcPr>
          <w:p w14:paraId="0294310A" w14:textId="77777777" w:rsidR="000824CA" w:rsidRPr="000824CA" w:rsidRDefault="000824CA" w:rsidP="000824CA">
            <w:pPr>
              <w:spacing w:after="200"/>
              <w:rPr>
                <w:rFonts w:eastAsia="Calibri" w:cs="Times New Roman"/>
                <w:lang w:val="en-US"/>
              </w:rPr>
            </w:pPr>
            <w:r w:rsidRPr="000824CA">
              <w:rPr>
                <w:rFonts w:eastAsia="Calibri" w:cs="Times New Roman"/>
              </w:rPr>
              <w:lastRenderedPageBreak/>
              <w:t>Value</w:t>
            </w:r>
          </w:p>
        </w:tc>
        <w:tc>
          <w:tcPr>
            <w:tcW w:w="0" w:type="auto"/>
            <w:hideMark/>
          </w:tcPr>
          <w:p w14:paraId="0A2A0CA0" w14:textId="77777777" w:rsidR="000824CA" w:rsidRPr="000824CA" w:rsidRDefault="000824CA" w:rsidP="000824CA">
            <w:pPr>
              <w:spacing w:after="200"/>
              <w:rPr>
                <w:rFonts w:eastAsia="Calibri" w:cs="Times New Roman"/>
              </w:rPr>
            </w:pPr>
            <w:r w:rsidRPr="000824CA">
              <w:rPr>
                <w:rFonts w:eastAsia="Calibri" w:cs="Times New Roman"/>
              </w:rPr>
              <w:t>Value is the capacity of a company to take advantage of the opportunities or to counter threats in the external environment due to its resources (Setiawati et al., 2022). BP has its resources that include numerous oil and gas reserves, a refinery network, and technological expertise across the globe.</w:t>
            </w:r>
          </w:p>
          <w:p w14:paraId="0A330E41" w14:textId="77777777" w:rsidR="000824CA" w:rsidRPr="000824CA" w:rsidRDefault="000824CA" w:rsidP="000824CA">
            <w:pPr>
              <w:spacing w:after="200"/>
              <w:rPr>
                <w:rFonts w:eastAsia="Calibri" w:cs="Times New Roman"/>
              </w:rPr>
            </w:pPr>
            <w:r w:rsidRPr="000824CA">
              <w:rPr>
                <w:rFonts w:eastAsia="Calibri" w:cs="Times New Roman"/>
              </w:rPr>
              <w:t>These resources will enable the company to be efficient through the energy value chain, which includes exploration and production to distribution and retail. Also, the investments that BP makes in renewable energy technologies and low-carbon solutions contribute to the company being more responsive to the growing need for sustainable energy.</w:t>
            </w:r>
          </w:p>
        </w:tc>
      </w:tr>
      <w:tr w:rsidR="000824CA" w:rsidRPr="000824CA" w14:paraId="2C2B4483" w14:textId="77777777" w:rsidTr="001C0BBA">
        <w:trPr>
          <w:trHeight w:val="4032"/>
        </w:trPr>
        <w:tc>
          <w:tcPr>
            <w:tcW w:w="0" w:type="auto"/>
            <w:hideMark/>
          </w:tcPr>
          <w:p w14:paraId="6A638A52" w14:textId="77777777" w:rsidR="000824CA" w:rsidRPr="000824CA" w:rsidRDefault="000824CA" w:rsidP="000824CA">
            <w:pPr>
              <w:spacing w:after="200"/>
              <w:rPr>
                <w:rFonts w:eastAsia="Calibri" w:cs="Times New Roman"/>
              </w:rPr>
            </w:pPr>
            <w:r w:rsidRPr="000824CA">
              <w:rPr>
                <w:rFonts w:eastAsia="Calibri" w:cs="Times New Roman"/>
              </w:rPr>
              <w:t>Rarity</w:t>
            </w:r>
          </w:p>
        </w:tc>
        <w:tc>
          <w:tcPr>
            <w:tcW w:w="0" w:type="auto"/>
            <w:hideMark/>
          </w:tcPr>
          <w:p w14:paraId="07BE5764" w14:textId="77777777" w:rsidR="000824CA" w:rsidRPr="000824CA" w:rsidRDefault="000824CA" w:rsidP="000824CA">
            <w:pPr>
              <w:spacing w:after="200"/>
              <w:rPr>
                <w:rFonts w:eastAsia="Calibri" w:cs="Times New Roman"/>
              </w:rPr>
            </w:pPr>
            <w:r w:rsidRPr="000824CA">
              <w:rPr>
                <w:rFonts w:eastAsia="Calibri" w:cs="Times New Roman"/>
              </w:rPr>
              <w:t>The integrated supply chain management creates a strategic edge in BP that is relatively uncommon. Although the large energy firms like Shell, ExxonMobil, and Chevron possess the same abilities, the integration of the global business with energy trading skills. The competitiveness also gets enhanced in its long-standing image in the global energy markets.</w:t>
            </w:r>
          </w:p>
        </w:tc>
      </w:tr>
      <w:tr w:rsidR="000824CA" w:rsidRPr="000824CA" w14:paraId="40365097" w14:textId="77777777" w:rsidTr="001C0BBA">
        <w:trPr>
          <w:trHeight w:val="3168"/>
        </w:trPr>
        <w:tc>
          <w:tcPr>
            <w:tcW w:w="0" w:type="auto"/>
            <w:hideMark/>
          </w:tcPr>
          <w:p w14:paraId="12F01D60" w14:textId="77777777" w:rsidR="000824CA" w:rsidRPr="000824CA" w:rsidRDefault="000824CA" w:rsidP="000824CA">
            <w:pPr>
              <w:spacing w:after="200"/>
              <w:rPr>
                <w:rFonts w:eastAsia="Calibri" w:cs="Times New Roman"/>
              </w:rPr>
            </w:pPr>
            <w:r w:rsidRPr="000824CA">
              <w:rPr>
                <w:rFonts w:eastAsia="Calibri" w:cs="Times New Roman"/>
              </w:rPr>
              <w:t>Imitability</w:t>
            </w:r>
          </w:p>
        </w:tc>
        <w:tc>
          <w:tcPr>
            <w:tcW w:w="0" w:type="auto"/>
            <w:hideMark/>
          </w:tcPr>
          <w:p w14:paraId="20A39FCD" w14:textId="77777777" w:rsidR="000824CA" w:rsidRPr="000824CA" w:rsidRDefault="000824CA" w:rsidP="000824CA">
            <w:pPr>
              <w:spacing w:after="200"/>
              <w:rPr>
                <w:rFonts w:eastAsia="Calibri" w:cs="Times New Roman"/>
              </w:rPr>
            </w:pPr>
            <w:r w:rsidRPr="000824CA">
              <w:rPr>
                <w:rFonts w:eastAsia="Calibri" w:cs="Times New Roman"/>
              </w:rPr>
              <w:t>The capabilities are hard to replicate, as they require a lot of financial investment, knowledge of the technologies, and years of experience in the given field that BP retains. The fact that it is capital-intensive and time-consuming to develop large-scale energy infrastructure and international relations puts potential competitors at a disadvantage (</w:t>
            </w:r>
            <w:r w:rsidRPr="000824CA">
              <w:rPr>
                <w:rFonts w:eastAsia="Calibri" w:cs="Times New Roman"/>
                <w:lang w:val="en-US"/>
              </w:rPr>
              <w:t>Kyriakarakos et al., 2022)</w:t>
            </w:r>
            <w:r w:rsidRPr="000824CA">
              <w:rPr>
                <w:rFonts w:eastAsia="Calibri" w:cs="Times New Roman"/>
              </w:rPr>
              <w:t>.</w:t>
            </w:r>
          </w:p>
        </w:tc>
      </w:tr>
      <w:tr w:rsidR="000824CA" w:rsidRPr="000824CA" w14:paraId="4B0BA98A" w14:textId="77777777" w:rsidTr="001C0BBA">
        <w:trPr>
          <w:trHeight w:val="4320"/>
        </w:trPr>
        <w:tc>
          <w:tcPr>
            <w:tcW w:w="0" w:type="auto"/>
            <w:hideMark/>
          </w:tcPr>
          <w:p w14:paraId="7EBE97E1" w14:textId="77777777" w:rsidR="000824CA" w:rsidRPr="000824CA" w:rsidRDefault="000824CA" w:rsidP="000824CA">
            <w:pPr>
              <w:spacing w:after="200"/>
              <w:rPr>
                <w:rFonts w:eastAsia="Calibri" w:cs="Times New Roman"/>
              </w:rPr>
            </w:pPr>
            <w:r w:rsidRPr="000824CA">
              <w:rPr>
                <w:rFonts w:eastAsia="Calibri" w:cs="Times New Roman"/>
              </w:rPr>
              <w:lastRenderedPageBreak/>
              <w:t>Organisation</w:t>
            </w:r>
          </w:p>
        </w:tc>
        <w:tc>
          <w:tcPr>
            <w:tcW w:w="0" w:type="auto"/>
            <w:hideMark/>
          </w:tcPr>
          <w:p w14:paraId="70D58992" w14:textId="77777777" w:rsidR="000824CA" w:rsidRPr="000824CA" w:rsidRDefault="000824CA" w:rsidP="000824CA">
            <w:pPr>
              <w:spacing w:after="200"/>
              <w:rPr>
                <w:rFonts w:eastAsia="Calibri" w:cs="Times New Roman"/>
              </w:rPr>
            </w:pPr>
            <w:r w:rsidRPr="000824CA">
              <w:rPr>
                <w:rFonts w:eastAsia="Calibri" w:cs="Times New Roman"/>
              </w:rPr>
              <w:t>BP has also developed powerful organisational systems that include strategic leadership, high levels of risk management practices, and effective operations processes, which help it to maximise the value of its resources (Shabani, et al., 2024). Also, the capabilities of the firm are matched to the future trends in the market due to the strategic direction of the company towards sustainability and energy transition.</w:t>
            </w:r>
          </w:p>
        </w:tc>
      </w:tr>
    </w:tbl>
    <w:p w14:paraId="1973E495" w14:textId="77777777" w:rsidR="000824CA" w:rsidRPr="000824CA" w:rsidRDefault="000824CA" w:rsidP="000824CA">
      <w:pPr>
        <w:spacing w:after="200"/>
        <w:rPr>
          <w:rFonts w:eastAsia="Calibri" w:cs="Times New Roman"/>
          <w:kern w:val="2"/>
          <w14:ligatures w14:val="standardContextual"/>
        </w:rPr>
      </w:pPr>
    </w:p>
    <w:p w14:paraId="0E14EC9E" w14:textId="77777777" w:rsidR="000824CA" w:rsidRPr="000824CA" w:rsidRDefault="000824CA" w:rsidP="00842CF1">
      <w:pPr>
        <w:pStyle w:val="Heading3"/>
        <w:rPr>
          <w:rFonts w:eastAsia="Times New Roman"/>
        </w:rPr>
      </w:pPr>
      <w:bookmarkStart w:id="7" w:name="_Toc224060350"/>
      <w:r w:rsidRPr="000824CA">
        <w:rPr>
          <w:rFonts w:eastAsia="Times New Roman"/>
        </w:rPr>
        <w:t>2.5 Competitive Advantage and Internal Strengths</w:t>
      </w:r>
      <w:bookmarkEnd w:id="7"/>
    </w:p>
    <w:p w14:paraId="53C61D9F"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integrated global operations are one of the biggest strengths of the company, as this enables BP to control the entire energy value chain, starting with exploration and production up to refining, distribution, and retail. The integration enhances the efficiency in operations, and it assists the company in cutting down on the costs while still having</w:t>
      </w:r>
      <w:r w:rsidR="000F6045">
        <w:rPr>
          <w:rFonts w:eastAsia="Calibri" w:cs="Times New Roman"/>
          <w:kern w:val="2"/>
          <w14:ligatures w14:val="standardContextual"/>
        </w:rPr>
        <w:t xml:space="preserve"> reliable energy supplies.</w:t>
      </w:r>
      <w:r w:rsidRPr="000824CA">
        <w:rPr>
          <w:rFonts w:eastAsia="Calibri" w:cs="Times New Roman"/>
          <w:kern w:val="2"/>
          <w14:ligatures w14:val="standardContextual"/>
        </w:rPr>
        <w:t xml:space="preserve"> BP has good financial resources, and the organisation can afford to invest in massive energy projects, new technologies, and renewable energy projects.</w:t>
      </w:r>
    </w:p>
    <w:p w14:paraId="726B4DC0" w14:textId="77777777" w:rsidR="000824CA" w:rsidRPr="000824CA" w:rsidRDefault="000824CA" w:rsidP="000824CA">
      <w:pPr>
        <w:spacing w:after="200"/>
        <w:rPr>
          <w:rFonts w:eastAsia="Calibri" w:cs="Times New Roman"/>
          <w:kern w:val="2"/>
          <w14:ligatures w14:val="standardContextual"/>
        </w:rPr>
      </w:pPr>
      <w:r w:rsidRPr="000824CA">
        <w:rPr>
          <w:rFonts w:eastAsia="Calibri" w:cs="Times New Roman"/>
          <w:kern w:val="2"/>
          <w14:ligatures w14:val="standardContextual"/>
        </w:rPr>
        <w:t>The other key internal strength is the technological expertise and innovation ability of BP. The sustained research and development help in the enhanced exploration methods with the use of digital energy systems and the use of low carbon technologies. These innovations make the company more productive and enable it to adapt to the global change towards sustainable energy. Also, the skilled human resources and the international relations that are in place at BP enhance its operation. These internal strengths can help BP become more efficient and enter new energy markets and maintain long-term competitive advantage.</w:t>
      </w:r>
    </w:p>
    <w:p w14:paraId="1992BBA8" w14:textId="77777777" w:rsidR="000824CA" w:rsidRPr="000824CA" w:rsidRDefault="000824CA" w:rsidP="000824CA"/>
    <w:p w14:paraId="2D35EE14" w14:textId="77777777" w:rsidR="00C6693B" w:rsidRDefault="00C6693B">
      <w:pPr>
        <w:spacing w:line="259" w:lineRule="auto"/>
        <w:jc w:val="left"/>
        <w:rPr>
          <w:rFonts w:eastAsiaTheme="majorEastAsia" w:cstheme="majorBidi"/>
          <w:b/>
          <w:color w:val="000000" w:themeColor="text1"/>
          <w:szCs w:val="26"/>
        </w:rPr>
      </w:pPr>
      <w:r>
        <w:br w:type="page"/>
      </w:r>
    </w:p>
    <w:p w14:paraId="08FB4B23" w14:textId="77777777" w:rsidR="00107480" w:rsidRPr="00471EDC" w:rsidRDefault="00B81216" w:rsidP="00B10A31">
      <w:pPr>
        <w:pStyle w:val="Heading2"/>
      </w:pPr>
      <w:bookmarkStart w:id="8" w:name="_Toc224060351"/>
      <w:r w:rsidRPr="00471EDC">
        <w:lastRenderedPageBreak/>
        <w:t xml:space="preserve">3. </w:t>
      </w:r>
      <w:r w:rsidR="00107480" w:rsidRPr="00471EDC">
        <w:t>CS</w:t>
      </w:r>
      <w:r w:rsidRPr="00471EDC">
        <w:t>R and Sustainability Objectives</w:t>
      </w:r>
      <w:bookmarkEnd w:id="8"/>
      <w:r w:rsidR="00107480" w:rsidRPr="00471EDC">
        <w:t xml:space="preserve"> </w:t>
      </w:r>
    </w:p>
    <w:p w14:paraId="2B7E3756" w14:textId="77777777" w:rsidR="00107480" w:rsidRPr="00471EDC" w:rsidRDefault="00107480" w:rsidP="00F47917">
      <w:r w:rsidRPr="00471EDC">
        <w:t xml:space="preserve">The issue of corporate social responsibility (CSR) has become one of the key factors of the company strategy of BP plc, especially with the growing pressure on the global energy industry to be environmentally friendly and sustainable in terms of climate change management. Being a large multinational energy corporation, BP has acknowledged the need to ensure that its CSR activities are aligned </w:t>
      </w:r>
      <w:r w:rsidR="00B76BF6" w:rsidRPr="00471EDC">
        <w:t>with</w:t>
      </w:r>
      <w:r w:rsidRPr="00471EDC">
        <w:t xml:space="preserve"> its long-term business goals and the </w:t>
      </w:r>
      <w:r w:rsidR="008A4BA8" w:rsidRPr="00471EDC">
        <w:t>world's</w:t>
      </w:r>
      <w:r w:rsidRPr="00471EDC">
        <w:t xml:space="preserve"> </w:t>
      </w:r>
      <w:r w:rsidR="00ED557A" w:rsidRPr="00471EDC">
        <w:t xml:space="preserve">transition </w:t>
      </w:r>
      <w:r w:rsidRPr="00471EDC">
        <w:t>towards cleaner energy systems</w:t>
      </w:r>
      <w:r w:rsidR="004229C1" w:rsidRPr="00471EDC">
        <w:t xml:space="preserve"> (</w:t>
      </w:r>
      <w:r w:rsidR="004229C1" w:rsidRPr="00471EDC">
        <w:rPr>
          <w:rFonts w:cs="Times New Roman"/>
          <w:color w:val="222222"/>
          <w:szCs w:val="24"/>
          <w:shd w:val="clear" w:color="auto" w:fill="FFFFFF"/>
        </w:rPr>
        <w:t>Gi</w:t>
      </w:r>
      <w:r w:rsidR="004229C1" w:rsidRPr="00471EDC">
        <w:rPr>
          <w:color w:val="222222"/>
          <w:shd w:val="clear" w:color="auto" w:fill="FFFFFF"/>
        </w:rPr>
        <w:t>gauri and Vasilev, 2022)</w:t>
      </w:r>
      <w:r w:rsidRPr="00471EDC">
        <w:t xml:space="preserve">. </w:t>
      </w:r>
    </w:p>
    <w:p w14:paraId="241DABDF" w14:textId="77777777" w:rsidR="00107480" w:rsidRPr="00471EDC" w:rsidRDefault="00107480" w:rsidP="00F47917">
      <w:r w:rsidRPr="00471EDC">
        <w:t xml:space="preserve">This is an aim that captures the increasing societal and regulatory requirements of businesses to play a lesser role in the harm they </w:t>
      </w:r>
      <w:r w:rsidR="000969AD" w:rsidRPr="00471EDC">
        <w:t>cause to</w:t>
      </w:r>
      <w:r w:rsidRPr="00471EDC">
        <w:t xml:space="preserve"> the environment and to play their role in global climate objectives</w:t>
      </w:r>
      <w:r w:rsidR="00E82488" w:rsidRPr="00471EDC">
        <w:t xml:space="preserve">. </w:t>
      </w:r>
      <w:r w:rsidR="00E82488" w:rsidRPr="003578D5">
        <w:t>The environmental</w:t>
      </w:r>
      <w:r w:rsidRPr="003578D5">
        <w:t xml:space="preserve"> </w:t>
      </w:r>
      <w:r w:rsidR="008E7909" w:rsidRPr="003578D5">
        <w:t>contribution</w:t>
      </w:r>
      <w:r w:rsidR="00761B4E" w:rsidRPr="003578D5">
        <w:t xml:space="preserve"> </w:t>
      </w:r>
      <w:r w:rsidR="00C3645E" w:rsidRPr="003578D5">
        <w:t>includes</w:t>
      </w:r>
      <w:r w:rsidRPr="003578D5">
        <w:t xml:space="preserve"> the Deepwater Horizon oil spill</w:t>
      </w:r>
      <w:r w:rsidR="007F64CD" w:rsidRPr="003578D5">
        <w:t>, which</w:t>
      </w:r>
      <w:r w:rsidR="00EE66D7" w:rsidRPr="003578D5">
        <w:t xml:space="preserve"> </w:t>
      </w:r>
      <w:r w:rsidRPr="003578D5">
        <w:t>damaged the reputation of the</w:t>
      </w:r>
      <w:r w:rsidR="005D52E8" w:rsidRPr="003578D5">
        <w:t xml:space="preserve"> company and showed </w:t>
      </w:r>
      <w:r w:rsidRPr="003578D5">
        <w:t>the need to be more environmentally responsible</w:t>
      </w:r>
      <w:r w:rsidR="005F72CD" w:rsidRPr="003578D5">
        <w:t xml:space="preserve"> (</w:t>
      </w:r>
      <w:r w:rsidR="005F72CD" w:rsidRPr="003578D5">
        <w:rPr>
          <w:rFonts w:cs="Times New Roman"/>
          <w:color w:val="222222"/>
          <w:szCs w:val="24"/>
          <w:shd w:val="clear" w:color="auto" w:fill="FFFFFF"/>
        </w:rPr>
        <w:t>Ogbuka, et al., 2022)</w:t>
      </w:r>
      <w:r w:rsidRPr="003578D5">
        <w:t>.</w:t>
      </w:r>
      <w:r w:rsidRPr="00471EDC">
        <w:t xml:space="preserve"> This has made BP invest more in renewable energy sources like</w:t>
      </w:r>
      <w:r w:rsidR="00C9726D" w:rsidRPr="00471EDC">
        <w:t xml:space="preserve"> solar, wind and bioenergy</w:t>
      </w:r>
      <w:r w:rsidR="000B0D99" w:rsidRPr="00471EDC">
        <w:t>,</w:t>
      </w:r>
      <w:r w:rsidRPr="00471EDC">
        <w:t xml:space="preserve"> decreasing its dependence on fossil fuel production.</w:t>
      </w:r>
    </w:p>
    <w:p w14:paraId="21574462" w14:textId="77777777" w:rsidR="00107480" w:rsidRPr="00471EDC" w:rsidRDefault="00366B9B" w:rsidP="00F47917">
      <w:r w:rsidRPr="00471EDC">
        <w:t>The s</w:t>
      </w:r>
      <w:r w:rsidR="00107480" w:rsidRPr="00471EDC">
        <w:t>ocial and community development, the CSR strategy of BP</w:t>
      </w:r>
      <w:r w:rsidR="00B94807" w:rsidRPr="00471EDC">
        <w:t>,</w:t>
      </w:r>
      <w:r w:rsidR="00107480" w:rsidRPr="00471EDC">
        <w:t xml:space="preserve"> is also associated with environmental sust</w:t>
      </w:r>
      <w:r w:rsidR="00996714" w:rsidRPr="00471EDC">
        <w:t xml:space="preserve">ainability. The company </w:t>
      </w:r>
      <w:r w:rsidR="00C32B49" w:rsidRPr="00471EDC">
        <w:t>invests</w:t>
      </w:r>
      <w:r w:rsidR="00996714" w:rsidRPr="00471EDC">
        <w:t xml:space="preserve"> </w:t>
      </w:r>
      <w:r w:rsidR="00107480" w:rsidRPr="00471EDC">
        <w:t>in local communities by way of education programmes, skills development and employment opportunities in the regions where it wor</w:t>
      </w:r>
      <w:r w:rsidR="0089680D" w:rsidRPr="00471EDC">
        <w:t>ks. T</w:t>
      </w:r>
      <w:r w:rsidR="00107480" w:rsidRPr="00471EDC">
        <w:t>he stakeholders hope to increase their relati</w:t>
      </w:r>
      <w:r w:rsidR="00B34CDF" w:rsidRPr="00471EDC">
        <w:t>ons and contribute to</w:t>
      </w:r>
      <w:r w:rsidR="00107480" w:rsidRPr="00471EDC">
        <w:t xml:space="preserve"> soc</w:t>
      </w:r>
      <w:r w:rsidR="00236CFD" w:rsidRPr="00471EDC">
        <w:t xml:space="preserve">io-economic growth. </w:t>
      </w:r>
    </w:p>
    <w:p w14:paraId="2BE72A30" w14:textId="77777777" w:rsidR="00107480" w:rsidRPr="00471EDC" w:rsidRDefault="001F565F" w:rsidP="00F47917">
      <w:r w:rsidRPr="00471EDC">
        <w:t>T</w:t>
      </w:r>
      <w:r w:rsidR="00107480" w:rsidRPr="00471EDC">
        <w:t>he CSR strategy of BP is closely interconnected with the rest of its strategic goals of energy transition, innovation and long-term competitiveness. Sustainability allows the company to strike a balance between economic performance and environmental protection and social responsibility by applying the concept to its business model</w:t>
      </w:r>
      <w:r w:rsidR="006B0550" w:rsidRPr="00471EDC">
        <w:t>,</w:t>
      </w:r>
      <w:r w:rsidR="00107480" w:rsidRPr="00471EDC">
        <w:t xml:space="preserve"> securing its relevance in a global energy market that is increasingly focused on sustainability</w:t>
      </w:r>
      <w:r w:rsidR="00CA6F1E" w:rsidRPr="00471EDC">
        <w:t xml:space="preserve"> (</w:t>
      </w:r>
      <w:r w:rsidR="00CA6F1E" w:rsidRPr="00471EDC">
        <w:rPr>
          <w:rFonts w:cs="Times New Roman"/>
          <w:color w:val="222222"/>
          <w:szCs w:val="24"/>
          <w:shd w:val="clear" w:color="auto" w:fill="FFFFFF"/>
        </w:rPr>
        <w:t>Franco, et al., 2024)</w:t>
      </w:r>
      <w:r w:rsidR="00107480" w:rsidRPr="00471EDC">
        <w:t>.</w:t>
      </w:r>
    </w:p>
    <w:p w14:paraId="5E4A2AF5" w14:textId="77777777" w:rsidR="00681372" w:rsidRPr="00471EDC" w:rsidRDefault="00681372">
      <w:pPr>
        <w:spacing w:line="259" w:lineRule="auto"/>
        <w:jc w:val="left"/>
      </w:pPr>
      <w:r w:rsidRPr="00471EDC">
        <w:br w:type="page"/>
      </w:r>
    </w:p>
    <w:p w14:paraId="5E5EE9B2" w14:textId="77777777" w:rsidR="00107480" w:rsidRDefault="0076052E" w:rsidP="00A7550D">
      <w:pPr>
        <w:pStyle w:val="Heading2"/>
      </w:pPr>
      <w:bookmarkStart w:id="9" w:name="_Toc224060352"/>
      <w:r w:rsidRPr="00471EDC">
        <w:lastRenderedPageBreak/>
        <w:t xml:space="preserve">4. Comprehensive and </w:t>
      </w:r>
      <w:r w:rsidR="006C3A78" w:rsidRPr="00471EDC">
        <w:t>Holistic</w:t>
      </w:r>
      <w:r w:rsidRPr="00471EDC">
        <w:t xml:space="preserve"> View of the </w:t>
      </w:r>
      <w:r w:rsidR="006C3A78" w:rsidRPr="00471EDC">
        <w:t>Organisation</w:t>
      </w:r>
      <w:bookmarkEnd w:id="9"/>
      <w:r w:rsidRPr="00471EDC">
        <w:t xml:space="preserve"> </w:t>
      </w:r>
    </w:p>
    <w:p w14:paraId="7A3832B1" w14:textId="77777777" w:rsidR="003A671C" w:rsidRDefault="00471EDC" w:rsidP="003A671C">
      <w:pPr>
        <w:keepNext/>
        <w:jc w:val="center"/>
      </w:pPr>
      <w:r w:rsidRPr="00471EDC">
        <w:rPr>
          <w:noProof/>
        </w:rPr>
        <w:drawing>
          <wp:inline distT="0" distB="0" distL="0" distR="0" wp14:anchorId="1CE295F0" wp14:editId="3B9ECDC3">
            <wp:extent cx="3196425" cy="1675234"/>
            <wp:effectExtent l="19050" t="19050" r="23495" b="203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17384" cy="1686219"/>
                    </a:xfrm>
                    <a:prstGeom prst="rect">
                      <a:avLst/>
                    </a:prstGeom>
                    <a:ln>
                      <a:solidFill>
                        <a:schemeClr val="tx1"/>
                      </a:solidFill>
                    </a:ln>
                  </pic:spPr>
                </pic:pic>
              </a:graphicData>
            </a:graphic>
          </wp:inline>
        </w:drawing>
      </w:r>
    </w:p>
    <w:p w14:paraId="58FDB91E" w14:textId="77777777" w:rsidR="00471EDC" w:rsidRDefault="003A671C" w:rsidP="0053606C">
      <w:pPr>
        <w:pStyle w:val="Caption"/>
      </w:pPr>
      <w:r>
        <w:t xml:space="preserve">Figure </w:t>
      </w:r>
      <w:r>
        <w:fldChar w:fldCharType="begin"/>
      </w:r>
      <w:r>
        <w:instrText xml:space="preserve"> SEQ Figure \* ARABIC </w:instrText>
      </w:r>
      <w:r>
        <w:fldChar w:fldCharType="separate"/>
      </w:r>
      <w:r w:rsidR="0070251E">
        <w:rPr>
          <w:noProof/>
        </w:rPr>
        <w:t>1</w:t>
      </w:r>
      <w:r>
        <w:fldChar w:fldCharType="end"/>
      </w:r>
      <w:r w:rsidR="00816A89">
        <w:t xml:space="preserve">: </w:t>
      </w:r>
      <w:r w:rsidR="00816A89" w:rsidRPr="00471EDC">
        <w:t>Balanced Scorecard</w:t>
      </w:r>
      <w:r w:rsidR="00816A89">
        <w:t xml:space="preserve"> Model</w:t>
      </w:r>
    </w:p>
    <w:p w14:paraId="18B3A7D1" w14:textId="77777777" w:rsidR="00B47030" w:rsidRPr="0053606C" w:rsidRDefault="005949A2" w:rsidP="0053606C">
      <w:pPr>
        <w:jc w:val="center"/>
        <w:rPr>
          <w:b/>
          <w:i/>
          <w:iCs/>
          <w:szCs w:val="18"/>
        </w:rPr>
      </w:pPr>
      <w:r w:rsidRPr="0053606C">
        <w:rPr>
          <w:b/>
          <w:i/>
          <w:iCs/>
          <w:szCs w:val="18"/>
        </w:rPr>
        <w:t>Source</w:t>
      </w:r>
      <w:r w:rsidR="00B47030" w:rsidRPr="0053606C">
        <w:rPr>
          <w:b/>
          <w:i/>
          <w:iCs/>
          <w:szCs w:val="18"/>
        </w:rPr>
        <w:t>:</w:t>
      </w:r>
      <w:r w:rsidRPr="0053606C">
        <w:rPr>
          <w:b/>
          <w:i/>
          <w:iCs/>
          <w:szCs w:val="18"/>
        </w:rPr>
        <w:t xml:space="preserve"> </w:t>
      </w:r>
      <w:r w:rsidR="00112211" w:rsidRPr="0053606C">
        <w:rPr>
          <w:b/>
          <w:i/>
          <w:iCs/>
          <w:szCs w:val="18"/>
        </w:rPr>
        <w:t>(Madsen, 2025)</w:t>
      </w:r>
    </w:p>
    <w:p w14:paraId="3F39B054" w14:textId="77777777" w:rsidR="00107480" w:rsidRPr="00471EDC" w:rsidRDefault="00107480" w:rsidP="00F47917">
      <w:r w:rsidRPr="00471EDC">
        <w:t>The Balanced Scorecard is a strategy management tool created by Kaplan and Norton (1992)</w:t>
      </w:r>
      <w:r w:rsidR="00432646" w:rsidRPr="00471EDC">
        <w:t>,</w:t>
      </w:r>
      <w:r w:rsidRPr="00471EDC">
        <w:t xml:space="preserve"> which is very common in assessing the organisational performance in four perspectives namely financial, customer, internal business processes and learning and growth</w:t>
      </w:r>
      <w:r w:rsidR="00505B66" w:rsidRPr="00471EDC">
        <w:t xml:space="preserve"> (</w:t>
      </w:r>
      <w:r w:rsidR="00505B66" w:rsidRPr="00471EDC">
        <w:rPr>
          <w:color w:val="222222"/>
          <w:shd w:val="clear" w:color="auto" w:fill="FFFFFF"/>
        </w:rPr>
        <w:t>Silalahi, 2023)</w:t>
      </w:r>
      <w:r w:rsidRPr="00471EDC">
        <w:t xml:space="preserve">. This model enables organisations to support operational activities with their strategic objectives, as well as to track both financial and </w:t>
      </w:r>
      <w:r w:rsidR="00C9598D" w:rsidRPr="00471EDC">
        <w:t>non-financial</w:t>
      </w:r>
      <w:r w:rsidRPr="00471EDC">
        <w:t xml:space="preserve"> performance indicators. In the case of BP p</w:t>
      </w:r>
      <w:r w:rsidR="00036853">
        <w:t>lc, the Balanced Scorecard can</w:t>
      </w:r>
      <w:r w:rsidR="00E114ED">
        <w:t xml:space="preserve"> </w:t>
      </w:r>
      <w:r w:rsidRPr="00471EDC">
        <w:t>play a significant role in examining how the firm was executing its strategic shift to an integrated energy company where sustainability and innovation were the key aspects.</w:t>
      </w:r>
    </w:p>
    <w:p w14:paraId="232E5139" w14:textId="77777777" w:rsidR="00107480" w:rsidRPr="00471EDC" w:rsidRDefault="00107480" w:rsidP="00F47917">
      <w:pPr>
        <w:rPr>
          <w:b/>
          <w:i/>
        </w:rPr>
      </w:pPr>
      <w:r w:rsidRPr="00471EDC">
        <w:rPr>
          <w:b/>
          <w:i/>
        </w:rPr>
        <w:t xml:space="preserve">Financial </w:t>
      </w:r>
      <w:r w:rsidR="00C72299" w:rsidRPr="00471EDC">
        <w:rPr>
          <w:b/>
          <w:i/>
        </w:rPr>
        <w:t xml:space="preserve">Perspective </w:t>
      </w:r>
    </w:p>
    <w:p w14:paraId="42EEAEDB" w14:textId="77777777" w:rsidR="00107480" w:rsidRPr="00471EDC" w:rsidRDefault="00107480" w:rsidP="00F47917">
      <w:r w:rsidRPr="00471EDC">
        <w:t>The financial view is geared towards enhancing profitability, shareholder value</w:t>
      </w:r>
      <w:r w:rsidR="00432646" w:rsidRPr="00471EDC">
        <w:t>,</w:t>
      </w:r>
      <w:r w:rsidRPr="00471EDC">
        <w:t xml:space="preserve"> and f</w:t>
      </w:r>
      <w:r w:rsidR="00433BC5" w:rsidRPr="00471EDC">
        <w:t>inancial stability. The</w:t>
      </w:r>
      <w:r w:rsidR="00C652E7" w:rsidRPr="00471EDC">
        <w:t xml:space="preserve"> company invested over $274m</w:t>
      </w:r>
      <w:r w:rsidR="000E3FC6" w:rsidRPr="00471EDC">
        <w:t xml:space="preserve"> in</w:t>
      </w:r>
      <w:r w:rsidR="00C652E7" w:rsidRPr="00471EDC">
        <w:t xml:space="preserve"> research and development and had experience </w:t>
      </w:r>
      <w:r w:rsidR="0056232F" w:rsidRPr="00471EDC">
        <w:t xml:space="preserve">of </w:t>
      </w:r>
      <w:r w:rsidR="00C652E7" w:rsidRPr="00471EDC">
        <w:t xml:space="preserve">over 110 years in </w:t>
      </w:r>
      <w:r w:rsidR="005757A3" w:rsidRPr="00471EDC">
        <w:t xml:space="preserve">the </w:t>
      </w:r>
      <w:r w:rsidR="00757689" w:rsidRPr="00471EDC">
        <w:t>energy</w:t>
      </w:r>
      <w:r w:rsidR="00C652E7" w:rsidRPr="00471EDC">
        <w:t xml:space="preserve"> sector</w:t>
      </w:r>
      <w:r w:rsidR="003E4D9A" w:rsidRPr="00471EDC">
        <w:rPr>
          <w:color w:val="000000"/>
          <w:shd w:val="clear" w:color="auto" w:fill="FFFFFF"/>
        </w:rPr>
        <w:t xml:space="preserve"> (bp, 2025)</w:t>
      </w:r>
      <w:r w:rsidR="00C652E7" w:rsidRPr="00471EDC">
        <w:t xml:space="preserve">. </w:t>
      </w:r>
      <w:r w:rsidRPr="00471EDC">
        <w:t xml:space="preserve"> BP noted that it had a cash flow of around </w:t>
      </w:r>
      <w:r w:rsidR="005D3F1E" w:rsidRPr="00471EDC">
        <w:t>$6.5bn</w:t>
      </w:r>
      <w:r w:rsidR="00CF5D27" w:rsidRPr="00471EDC">
        <w:t xml:space="preserve"> </w:t>
      </w:r>
      <w:r w:rsidRPr="00471EDC">
        <w:t>which allows the firm to further invest in traditional energy business as well as in low-c</w:t>
      </w:r>
      <w:r w:rsidR="00C3358D" w:rsidRPr="00471EDC">
        <w:t xml:space="preserve">arbon energy projects </w:t>
      </w:r>
      <w:r w:rsidR="00C3358D" w:rsidRPr="00471EDC">
        <w:rPr>
          <w:color w:val="000000"/>
          <w:shd w:val="clear" w:color="auto" w:fill="FFFFFF"/>
        </w:rPr>
        <w:t>(Annualreports, 2024)</w:t>
      </w:r>
      <w:r w:rsidRPr="00471EDC">
        <w:t>.</w:t>
      </w:r>
    </w:p>
    <w:p w14:paraId="59B6D568" w14:textId="77777777" w:rsidR="00107480" w:rsidRPr="00471EDC" w:rsidRDefault="00C7563B" w:rsidP="00F47917">
      <w:r w:rsidRPr="00471EDC">
        <w:t xml:space="preserve">The </w:t>
      </w:r>
      <w:r w:rsidR="00107480" w:rsidRPr="00471EDC">
        <w:t xml:space="preserve">financial goal of BP is to make certain that </w:t>
      </w:r>
      <w:r w:rsidR="0055591C" w:rsidRPr="00471EDC">
        <w:t>it has</w:t>
      </w:r>
      <w:r w:rsidR="00107480" w:rsidRPr="00471EDC">
        <w:t xml:space="preserve"> sustainable profitability </w:t>
      </w:r>
      <w:r w:rsidR="00432646" w:rsidRPr="00471EDC">
        <w:t>and is</w:t>
      </w:r>
      <w:r w:rsidR="00107480" w:rsidRPr="00471EDC">
        <w:t xml:space="preserve"> able to invest in energy transition initiatives on a long-term basis. Among the key performance indicators (KPIs)</w:t>
      </w:r>
      <w:r w:rsidR="00432646" w:rsidRPr="00471EDC">
        <w:t>,</w:t>
      </w:r>
      <w:r w:rsidR="00107480" w:rsidRPr="00471EDC">
        <w:t xml:space="preserve"> there are the return on </w:t>
      </w:r>
      <w:r w:rsidR="00813952" w:rsidRPr="00471EDC">
        <w:t>average capital employed</w:t>
      </w:r>
      <w:r w:rsidR="00107480" w:rsidRPr="00471EDC">
        <w:t>, the growth of profit</w:t>
      </w:r>
      <w:r w:rsidR="00432646" w:rsidRPr="00471EDC">
        <w:t>,</w:t>
      </w:r>
      <w:r w:rsidR="00107480" w:rsidRPr="00471EDC">
        <w:t xml:space="preserve"> and the </w:t>
      </w:r>
      <w:r w:rsidR="00922FF4" w:rsidRPr="00471EDC">
        <w:t>free cash flow. By the year</w:t>
      </w:r>
      <w:r w:rsidR="00107480" w:rsidRPr="00471EDC">
        <w:t xml:space="preserve">, the company plans to have </w:t>
      </w:r>
      <w:r w:rsidR="006978DC" w:rsidRPr="00471EDC">
        <w:t>a target</w:t>
      </w:r>
      <w:r w:rsidR="00B6264B" w:rsidRPr="00471EDC">
        <w:t xml:space="preserve"> and</w:t>
      </w:r>
      <w:r w:rsidR="006F7AEC" w:rsidRPr="00471EDC">
        <w:t xml:space="preserve"> $10-15</w:t>
      </w:r>
      <w:r w:rsidR="00B6264B" w:rsidRPr="00471EDC">
        <w:t xml:space="preserve"> invested</w:t>
      </w:r>
      <w:r w:rsidR="00107480" w:rsidRPr="00471EDC">
        <w:t xml:space="preserve"> in renewable energy developments and efficiencies in operations (</w:t>
      </w:r>
      <w:r w:rsidR="00EC42E2" w:rsidRPr="00471EDC">
        <w:rPr>
          <w:rFonts w:cs="Times New Roman"/>
          <w:color w:val="222222"/>
          <w:szCs w:val="24"/>
          <w:shd w:val="clear" w:color="auto" w:fill="FFFFFF"/>
        </w:rPr>
        <w:t>Chrysikopoulos, et al., 2024</w:t>
      </w:r>
      <w:r w:rsidR="00107480" w:rsidRPr="00471EDC">
        <w:t xml:space="preserve">). Strategic plans that </w:t>
      </w:r>
      <w:r w:rsidR="00107480" w:rsidRPr="00471EDC">
        <w:lastRenderedPageBreak/>
        <w:t>contribute to these financial goals are disciplined capital management, portfolio management and expansion to renewable energy markets.</w:t>
      </w:r>
    </w:p>
    <w:p w14:paraId="5625EC6B" w14:textId="77777777" w:rsidR="00107480" w:rsidRPr="00471EDC" w:rsidRDefault="00107480" w:rsidP="00932286">
      <w:pPr>
        <w:rPr>
          <w:b/>
          <w:i/>
        </w:rPr>
      </w:pPr>
      <w:r w:rsidRPr="00471EDC">
        <w:rPr>
          <w:b/>
          <w:i/>
        </w:rPr>
        <w:t xml:space="preserve">Customer </w:t>
      </w:r>
      <w:r w:rsidR="00932286" w:rsidRPr="00471EDC">
        <w:rPr>
          <w:b/>
          <w:i/>
        </w:rPr>
        <w:t>Perspective</w:t>
      </w:r>
    </w:p>
    <w:p w14:paraId="07EBA575" w14:textId="77777777" w:rsidR="00107480" w:rsidRPr="00471EDC" w:rsidRDefault="00107480" w:rsidP="00F47917">
      <w:r w:rsidRPr="00471EDC">
        <w:t xml:space="preserve">Customer perspective looks at the way organisations generate value </w:t>
      </w:r>
      <w:r w:rsidR="00432646" w:rsidRPr="00471EDC">
        <w:t>for</w:t>
      </w:r>
      <w:r w:rsidRPr="00471EDC">
        <w:t xml:space="preserve"> their customers and how they are able to keep on the competitive edge in the market. BP plc has a very large number of customers in different parts of the world due to the large number of fuel retail outlets and energy services. </w:t>
      </w:r>
      <w:r w:rsidR="00432646" w:rsidRPr="00471EDC">
        <w:t>Enhancing</w:t>
      </w:r>
      <w:r w:rsidRPr="00471EDC">
        <w:t xml:space="preserve"> customer experience and contributing to the transition to cleaner energy solutions is one of the key strategic objectives </w:t>
      </w:r>
      <w:r w:rsidR="00432646" w:rsidRPr="00471EDC">
        <w:t>from</w:t>
      </w:r>
      <w:r w:rsidRPr="00471EDC">
        <w:t xml:space="preserve"> this perspective. </w:t>
      </w:r>
      <w:r w:rsidR="00444C24">
        <w:t>The</w:t>
      </w:r>
      <w:r w:rsidRPr="00471EDC">
        <w:t xml:space="preserve"> KPIs are customer satisfaction, retail market </w:t>
      </w:r>
      <w:r w:rsidR="00D07B58" w:rsidRPr="00471EDC">
        <w:t>shares</w:t>
      </w:r>
      <w:r w:rsidR="00432646" w:rsidRPr="00471EDC">
        <w:t>,</w:t>
      </w:r>
      <w:r w:rsidRPr="00471EDC">
        <w:t xml:space="preserve"> and expansion of new mobili</w:t>
      </w:r>
      <w:r w:rsidR="00D227D8">
        <w:t xml:space="preserve">ty services. In the </w:t>
      </w:r>
      <w:r w:rsidRPr="00471EDC">
        <w:t xml:space="preserve">charging network of electric vehicles called </w:t>
      </w:r>
      <w:r w:rsidR="00511569" w:rsidRPr="00471EDC">
        <w:t>BP Pulse</w:t>
      </w:r>
      <w:r w:rsidRPr="00471EDC">
        <w:t xml:space="preserve"> has over 27,000 charging po</w:t>
      </w:r>
      <w:r w:rsidR="000F4763" w:rsidRPr="00471EDC">
        <w:t xml:space="preserve">ints across the world </w:t>
      </w:r>
      <w:r w:rsidR="002B4B09" w:rsidRPr="00471EDC">
        <w:rPr>
          <w:color w:val="000000"/>
          <w:shd w:val="clear" w:color="auto" w:fill="FFFFFF"/>
        </w:rPr>
        <w:t>(bp</w:t>
      </w:r>
      <w:r w:rsidR="000F4763" w:rsidRPr="00471EDC">
        <w:rPr>
          <w:color w:val="000000"/>
          <w:shd w:val="clear" w:color="auto" w:fill="FFFFFF"/>
        </w:rPr>
        <w:t>, 2025)</w:t>
      </w:r>
      <w:r w:rsidRPr="00471EDC">
        <w:t>. This project is a sign of the company to ensure that it keeps up with the increasing demand of electric mobility and enhances its relationship with eco-sensitive customers.</w:t>
      </w:r>
    </w:p>
    <w:p w14:paraId="76373226" w14:textId="77777777" w:rsidR="00107480" w:rsidRPr="00471EDC" w:rsidRDefault="00107480" w:rsidP="002472A0">
      <w:pPr>
        <w:rPr>
          <w:b/>
          <w:i/>
        </w:rPr>
      </w:pPr>
      <w:r w:rsidRPr="00471EDC">
        <w:rPr>
          <w:b/>
          <w:i/>
        </w:rPr>
        <w:t xml:space="preserve">Internal Business Process </w:t>
      </w:r>
      <w:r w:rsidR="002472A0" w:rsidRPr="00471EDC">
        <w:rPr>
          <w:b/>
          <w:i/>
        </w:rPr>
        <w:t>Perspective</w:t>
      </w:r>
    </w:p>
    <w:p w14:paraId="3E8BC1EF" w14:textId="77777777" w:rsidR="00107480" w:rsidRPr="00471EDC" w:rsidRDefault="00107480" w:rsidP="00F47917">
      <w:r w:rsidRPr="00471EDC">
        <w:t>The internal business process approach has concentrated on operational effectiveness, safety</w:t>
      </w:r>
      <w:r w:rsidR="00432646" w:rsidRPr="00471EDC">
        <w:t>,</w:t>
      </w:r>
      <w:r w:rsidRPr="00471EDC">
        <w:t xml:space="preserve"> and environmental performance. Unsafe and unproductive operations are not tolerated in an energy company like BP plc because of the risk involved in oil and gas production</w:t>
      </w:r>
      <w:r w:rsidR="00CD13D6" w:rsidRPr="00471EDC">
        <w:t xml:space="preserve"> </w:t>
      </w:r>
      <w:r w:rsidR="00B8025A" w:rsidRPr="00471EDC">
        <w:t>(</w:t>
      </w:r>
      <w:r w:rsidR="00033900" w:rsidRPr="00471EDC">
        <w:rPr>
          <w:rFonts w:cs="Times New Roman"/>
          <w:color w:val="222222"/>
          <w:szCs w:val="24"/>
          <w:shd w:val="clear" w:color="auto" w:fill="FFFFFF"/>
        </w:rPr>
        <w:t>Mardanov, et al., 2026)</w:t>
      </w:r>
      <w:r w:rsidR="00542659" w:rsidRPr="00471EDC">
        <w:t xml:space="preserve">. The company has </w:t>
      </w:r>
      <w:r w:rsidR="00A22FED" w:rsidRPr="00471EDC">
        <w:t>invested</w:t>
      </w:r>
      <w:r w:rsidRPr="00471EDC">
        <w:t xml:space="preserve"> in online technologies and operational monitoring systems to enhance the level of sa</w:t>
      </w:r>
      <w:r w:rsidR="001A24F5" w:rsidRPr="00471EDC">
        <w:t>fety and production efficiency.</w:t>
      </w:r>
      <w:r w:rsidR="00FD35C0" w:rsidRPr="00471EDC">
        <w:t xml:space="preserve"> </w:t>
      </w:r>
      <w:r w:rsidR="00AD0B1C" w:rsidRPr="00471EDC">
        <w:t>The</w:t>
      </w:r>
      <w:r w:rsidRPr="00471EDC">
        <w:t xml:space="preserve"> company has been determined to lower </w:t>
      </w:r>
      <w:r w:rsidR="00432646" w:rsidRPr="00471EDC">
        <w:t>its</w:t>
      </w:r>
      <w:r w:rsidRPr="00471EDC">
        <w:t xml:space="preserve"> </w:t>
      </w:r>
      <w:r w:rsidR="005F2114" w:rsidRPr="00471EDC">
        <w:t>operational</w:t>
      </w:r>
      <w:r w:rsidR="00A63B8F" w:rsidRPr="00471EDC">
        <w:t xml:space="preserve"> emissions</w:t>
      </w:r>
      <w:r w:rsidRPr="00471EDC">
        <w:t xml:space="preserve"> and enhance its </w:t>
      </w:r>
      <w:r w:rsidR="00472124" w:rsidRPr="00471EDC">
        <w:t>environmental</w:t>
      </w:r>
      <w:r w:rsidRPr="00471EDC">
        <w:t xml:space="preserve"> performance in all its operations. The supporting strategic initiatives in these goals comprise digital transformation programmes, better safety standards and streamlining of the supply chain procedures.</w:t>
      </w:r>
    </w:p>
    <w:p w14:paraId="129BB77B" w14:textId="77777777" w:rsidR="00107480" w:rsidRPr="00471EDC" w:rsidRDefault="00DE2328" w:rsidP="00F47917">
      <w:pPr>
        <w:rPr>
          <w:b/>
          <w:i/>
        </w:rPr>
      </w:pPr>
      <w:r w:rsidRPr="00471EDC">
        <w:rPr>
          <w:b/>
          <w:i/>
        </w:rPr>
        <w:t>Growth and Learning Perspective</w:t>
      </w:r>
    </w:p>
    <w:p w14:paraId="7ADAB25C" w14:textId="77777777" w:rsidR="00107480" w:rsidRPr="00471EDC" w:rsidRDefault="00107480" w:rsidP="00F47917">
      <w:r w:rsidRPr="00471EDC">
        <w:t>The learning and growth perspective is centred on innovation, development and organisational competency of the employees</w:t>
      </w:r>
      <w:r w:rsidR="007174FE" w:rsidRPr="00471EDC">
        <w:t xml:space="preserve"> </w:t>
      </w:r>
      <w:r w:rsidRPr="00471EDC">
        <w:t>The company has around 90000</w:t>
      </w:r>
      <w:r w:rsidR="00272863" w:rsidRPr="00471EDC">
        <w:t>+</w:t>
      </w:r>
      <w:r w:rsidRPr="00471EDC">
        <w:t xml:space="preserve"> staff globally and heavily invests in employee development, r</w:t>
      </w:r>
      <w:r w:rsidR="00272863" w:rsidRPr="00471EDC">
        <w:t>esearch and innovation (bp, 2025</w:t>
      </w:r>
      <w:r w:rsidR="007A162A" w:rsidRPr="00471EDC">
        <w:t xml:space="preserve">). </w:t>
      </w:r>
      <w:r w:rsidR="00B92866" w:rsidRPr="00471EDC">
        <w:t>T</w:t>
      </w:r>
      <w:r w:rsidRPr="00471EDC">
        <w:t xml:space="preserve">he key strategic goals of BP </w:t>
      </w:r>
      <w:r w:rsidR="00472124" w:rsidRPr="00471EDC">
        <w:t>include</w:t>
      </w:r>
      <w:r w:rsidRPr="00471EDC">
        <w:t xml:space="preserve"> the need to enhance innovation capacities and increase experience in the technologies of renewable energy. </w:t>
      </w:r>
    </w:p>
    <w:p w14:paraId="32F97AF8" w14:textId="77777777" w:rsidR="00324FDC" w:rsidRPr="00471EDC" w:rsidRDefault="00C5011E" w:rsidP="00F47917">
      <w:r w:rsidRPr="00471EDC">
        <w:lastRenderedPageBreak/>
        <w:t>T</w:t>
      </w:r>
      <w:r w:rsidR="00107480" w:rsidRPr="00471EDC">
        <w:t>he Balanced Scorecard is used to show how BP plc is reshaping its financial objectives, customer value-generation, operational efficiency and organisational learning to its long-term strategy of becoming a more sustainable and diversified energy company. Combining these four perspectives, BP can successfully track its performance in the strategy and react to the changing environment, technology, and market.</w:t>
      </w:r>
    </w:p>
    <w:p w14:paraId="27EF4633" w14:textId="77777777" w:rsidR="00120898" w:rsidRDefault="00120898">
      <w:pPr>
        <w:spacing w:line="259" w:lineRule="auto"/>
        <w:jc w:val="left"/>
        <w:rPr>
          <w:rFonts w:eastAsiaTheme="majorEastAsia" w:cstheme="majorBidi"/>
          <w:b/>
          <w:color w:val="000000" w:themeColor="text1"/>
          <w:szCs w:val="26"/>
        </w:rPr>
      </w:pPr>
      <w:r>
        <w:br w:type="page"/>
      </w:r>
    </w:p>
    <w:p w14:paraId="2164DEA8" w14:textId="77777777" w:rsidR="006A4B74" w:rsidRPr="00471EDC" w:rsidRDefault="00617C00" w:rsidP="00A7550D">
      <w:pPr>
        <w:pStyle w:val="Heading2"/>
      </w:pPr>
      <w:bookmarkStart w:id="10" w:name="_Toc224060353"/>
      <w:r w:rsidRPr="00471EDC">
        <w:lastRenderedPageBreak/>
        <w:t xml:space="preserve">5. </w:t>
      </w:r>
      <w:r w:rsidR="006A4B74" w:rsidRPr="00471EDC">
        <w:t>Strategic Choices and Implementation</w:t>
      </w:r>
      <w:bookmarkEnd w:id="10"/>
      <w:r w:rsidR="006A4B74" w:rsidRPr="00471EDC">
        <w:t xml:space="preserve"> </w:t>
      </w:r>
    </w:p>
    <w:p w14:paraId="35BE9B7D" w14:textId="77777777" w:rsidR="006A4B74" w:rsidRPr="00471EDC" w:rsidRDefault="006A4B74" w:rsidP="006A4B74">
      <w:r w:rsidRPr="00471EDC">
        <w:t>Stra</w:t>
      </w:r>
      <w:r w:rsidR="003F686C" w:rsidRPr="00471EDC">
        <w:t xml:space="preserve">tegic decisions </w:t>
      </w:r>
      <w:r w:rsidR="00FA049F" w:rsidRPr="00471EDC">
        <w:t>have</w:t>
      </w:r>
      <w:r w:rsidR="003F686C" w:rsidRPr="00471EDC">
        <w:t xml:space="preserve"> the</w:t>
      </w:r>
      <w:r w:rsidRPr="00471EDC">
        <w:t xml:space="preserve"> way an organisation competes in the industry in which it operates, and where it will position itself in the long run. Strategic decisions are especially important in the case of BP plc, which has to undergo </w:t>
      </w:r>
      <w:r w:rsidR="005A2C9E" w:rsidRPr="00471EDC">
        <w:t>a</w:t>
      </w:r>
      <w:r w:rsidRPr="00471EDC">
        <w:t xml:space="preserve"> fast transformation in the global energy industry</w:t>
      </w:r>
      <w:r w:rsidR="007D1ADA" w:rsidRPr="00471EDC">
        <w:t xml:space="preserve"> (</w:t>
      </w:r>
      <w:r w:rsidR="007D1ADA" w:rsidRPr="00471EDC">
        <w:rPr>
          <w:rFonts w:cs="Times New Roman"/>
          <w:color w:val="222222"/>
          <w:szCs w:val="24"/>
          <w:shd w:val="clear" w:color="auto" w:fill="FFFFFF"/>
        </w:rPr>
        <w:t>Dimitriou, et al., 2025)</w:t>
      </w:r>
      <w:r w:rsidRPr="00471EDC">
        <w:t xml:space="preserve">. The growing environmental regulation, technological shift and demand </w:t>
      </w:r>
      <w:r w:rsidR="00FA45FC" w:rsidRPr="00471EDC">
        <w:t>for</w:t>
      </w:r>
      <w:r w:rsidRPr="00471EDC">
        <w:t xml:space="preserve"> clean energy have compelled the key oil and gas firms to place renewed thinking </w:t>
      </w:r>
      <w:r w:rsidR="00D12C9E" w:rsidRPr="00471EDC">
        <w:t>into</w:t>
      </w:r>
      <w:r w:rsidRPr="00471EDC">
        <w:t xml:space="preserve"> the old business model</w:t>
      </w:r>
      <w:r w:rsidR="00775B34" w:rsidRPr="00471EDC">
        <w:t xml:space="preserve"> </w:t>
      </w:r>
      <w:r w:rsidR="006B58BF" w:rsidRPr="00471EDC">
        <w:t>(</w:t>
      </w:r>
      <w:r w:rsidR="00775B34" w:rsidRPr="00471EDC">
        <w:rPr>
          <w:rFonts w:cs="Times New Roman"/>
          <w:color w:val="222222"/>
          <w:szCs w:val="24"/>
          <w:shd w:val="clear" w:color="auto" w:fill="FFFFFF"/>
        </w:rPr>
        <w:t>Alagoz,</w:t>
      </w:r>
      <w:r w:rsidR="006B58BF" w:rsidRPr="00471EDC">
        <w:rPr>
          <w:rFonts w:cs="Times New Roman"/>
          <w:color w:val="222222"/>
          <w:szCs w:val="24"/>
          <w:shd w:val="clear" w:color="auto" w:fill="FFFFFF"/>
        </w:rPr>
        <w:t xml:space="preserve"> et al., 2023)</w:t>
      </w:r>
      <w:r w:rsidRPr="00471EDC">
        <w:rPr>
          <w:rFonts w:cs="Times New Roman"/>
          <w:szCs w:val="24"/>
        </w:rPr>
        <w:t>. This</w:t>
      </w:r>
      <w:r w:rsidRPr="00471EDC">
        <w:t xml:space="preserve"> has seen BP implement a number of </w:t>
      </w:r>
      <w:r w:rsidR="008D1284" w:rsidRPr="00471EDC">
        <w:t>business-level</w:t>
      </w:r>
      <w:r w:rsidRPr="00471EDC">
        <w:t xml:space="preserve"> and </w:t>
      </w:r>
      <w:r w:rsidR="00D10043" w:rsidRPr="00471EDC">
        <w:t>corporate-level</w:t>
      </w:r>
      <w:r w:rsidRPr="00471EDC">
        <w:t xml:space="preserve"> strategies in order to stay competitive as it works towards a more sustainable energy future.</w:t>
      </w:r>
    </w:p>
    <w:p w14:paraId="6C5FD6AF" w14:textId="77777777" w:rsidR="006A4B74" w:rsidRPr="00471EDC" w:rsidRDefault="006A4B74" w:rsidP="006A4B74">
      <w:pPr>
        <w:rPr>
          <w:b/>
        </w:rPr>
      </w:pPr>
      <w:r w:rsidRPr="00471EDC">
        <w:rPr>
          <w:b/>
        </w:rPr>
        <w:t>Business-Level Strategy</w:t>
      </w:r>
    </w:p>
    <w:p w14:paraId="33BBF455" w14:textId="77777777" w:rsidR="006A4B74" w:rsidRPr="00471EDC" w:rsidRDefault="006A4B74" w:rsidP="006A4B74">
      <w:r w:rsidRPr="00471EDC">
        <w:t>Cost leadership strategies, differentiation or focus are some of the strategies used by organisations at the business</w:t>
      </w:r>
      <w:r w:rsidR="004C4CD2" w:rsidRPr="00471EDC">
        <w:t xml:space="preserve"> level to compete</w:t>
      </w:r>
      <w:r w:rsidR="00D13005" w:rsidRPr="00471EDC">
        <w:t xml:space="preserve"> (</w:t>
      </w:r>
      <w:r w:rsidR="00D13005" w:rsidRPr="00471EDC">
        <w:rPr>
          <w:color w:val="222222"/>
          <w:shd w:val="clear" w:color="auto" w:fill="FFFFFF"/>
        </w:rPr>
        <w:t>Jerab and Mabrouk, 2023)</w:t>
      </w:r>
      <w:r w:rsidRPr="00471EDC">
        <w:t>. Another strategy that BP plc has been embracing is the differentiation strategy, whereby the company is no longer selling conventional fuels but the company is heavily investing i</w:t>
      </w:r>
      <w:r w:rsidR="0070181F" w:rsidRPr="00471EDC">
        <w:t xml:space="preserve">n low-carbon energy solutions. </w:t>
      </w:r>
      <w:r w:rsidR="00C30B81" w:rsidRPr="00471EDC">
        <w:t xml:space="preserve">An </w:t>
      </w:r>
      <w:r w:rsidRPr="00471EDC">
        <w:t xml:space="preserve">electric vehicle charging business of BP, </w:t>
      </w:r>
      <w:r w:rsidR="00C86183" w:rsidRPr="00471EDC">
        <w:t>which</w:t>
      </w:r>
      <w:r w:rsidRPr="00471EDC">
        <w:t xml:space="preserve"> has over 27,000 charging points across the globe and is expected to see a sharp increase</w:t>
      </w:r>
      <w:r w:rsidR="0032556C" w:rsidRPr="00471EDC">
        <w:t xml:space="preserve"> in the next few years</w:t>
      </w:r>
      <w:r w:rsidR="00EB3DF3" w:rsidRPr="00471EDC">
        <w:t xml:space="preserve"> </w:t>
      </w:r>
      <w:r w:rsidR="00564898" w:rsidRPr="00471EDC">
        <w:rPr>
          <w:color w:val="000000"/>
          <w:shd w:val="clear" w:color="auto" w:fill="FFFFFF"/>
        </w:rPr>
        <w:t>(bp</w:t>
      </w:r>
      <w:r w:rsidR="00EB3DF3" w:rsidRPr="00471EDC">
        <w:rPr>
          <w:color w:val="000000"/>
          <w:shd w:val="clear" w:color="auto" w:fill="FFFFFF"/>
        </w:rPr>
        <w:t>, 2025</w:t>
      </w:r>
      <w:r w:rsidR="008D789B" w:rsidRPr="00471EDC">
        <w:rPr>
          <w:color w:val="000000"/>
          <w:shd w:val="clear" w:color="auto" w:fill="FFFFFF"/>
        </w:rPr>
        <w:t>).</w:t>
      </w:r>
    </w:p>
    <w:p w14:paraId="4C9924FD" w14:textId="77777777" w:rsidR="006A4B74" w:rsidRPr="00471EDC" w:rsidRDefault="006A4B74" w:rsidP="006A4B74">
      <w:pPr>
        <w:rPr>
          <w:b/>
        </w:rPr>
      </w:pPr>
      <w:r w:rsidRPr="00471EDC">
        <w:rPr>
          <w:b/>
        </w:rPr>
        <w:t>Corporate-Level Strategy</w:t>
      </w:r>
    </w:p>
    <w:p w14:paraId="2A2CDC06" w14:textId="77777777" w:rsidR="006A4B74" w:rsidRPr="00471EDC" w:rsidRDefault="006A4B74" w:rsidP="006A4B74">
      <w:r w:rsidRPr="00471EDC">
        <w:t xml:space="preserve">At the corporate level, organisations are concerned with the decisions that pertain to diversification, expansion and </w:t>
      </w:r>
      <w:r w:rsidR="00A429C1" w:rsidRPr="00471EDC">
        <w:t>long-term</w:t>
      </w:r>
      <w:r w:rsidRPr="00471EDC">
        <w:t xml:space="preserve"> portfolio management. BP plc in recent years</w:t>
      </w:r>
      <w:r w:rsidR="004F3D07" w:rsidRPr="00471EDC">
        <w:t>,</w:t>
      </w:r>
      <w:r w:rsidRPr="00471EDC">
        <w:t xml:space="preserve"> has been undertaking </w:t>
      </w:r>
      <w:r w:rsidR="004F3D07" w:rsidRPr="00471EDC">
        <w:t xml:space="preserve">a </w:t>
      </w:r>
      <w:r w:rsidRPr="00471EDC">
        <w:t>st</w:t>
      </w:r>
      <w:r w:rsidR="00C24062" w:rsidRPr="00471EDC">
        <w:t>rategy and investing with</w:t>
      </w:r>
      <w:r w:rsidRPr="00471EDC">
        <w:t xml:space="preserve"> branching out of fossil fuel production into renewable energy and low-carbon technologies</w:t>
      </w:r>
      <w:r w:rsidR="00C24062" w:rsidRPr="00471EDC">
        <w:t xml:space="preserve"> </w:t>
      </w:r>
      <w:r w:rsidR="008F5B7C" w:rsidRPr="00471EDC">
        <w:rPr>
          <w:color w:val="000000"/>
          <w:shd w:val="clear" w:color="auto" w:fill="FFFFFF"/>
        </w:rPr>
        <w:t>(Jack, 2025)</w:t>
      </w:r>
      <w:r w:rsidR="008F5B7C" w:rsidRPr="00471EDC">
        <w:rPr>
          <w:rFonts w:cs="Times New Roman"/>
          <w:color w:val="222222"/>
          <w:szCs w:val="24"/>
          <w:shd w:val="clear" w:color="auto" w:fill="FFFFFF"/>
        </w:rPr>
        <w:t>.</w:t>
      </w:r>
      <w:r w:rsidR="00772088" w:rsidRPr="00471EDC">
        <w:rPr>
          <w:rFonts w:cs="Times New Roman"/>
          <w:color w:val="222222"/>
          <w:szCs w:val="24"/>
          <w:shd w:val="clear" w:color="auto" w:fill="FFFFFF"/>
        </w:rPr>
        <w:t xml:space="preserve"> </w:t>
      </w:r>
      <w:r w:rsidRPr="00471EDC">
        <w:t xml:space="preserve">This is a strategic shift </w:t>
      </w:r>
      <w:r w:rsidR="00DF2D5D" w:rsidRPr="00471EDC">
        <w:t>that</w:t>
      </w:r>
      <w:r w:rsidRPr="00471EDC">
        <w:t xml:space="preserve"> indicates the </w:t>
      </w:r>
      <w:r w:rsidR="005409F2" w:rsidRPr="00471EDC">
        <w:t>company's</w:t>
      </w:r>
      <w:r w:rsidRPr="00471EDC">
        <w:t xml:space="preserve"> desire to be a </w:t>
      </w:r>
      <w:r w:rsidR="005409F2" w:rsidRPr="00471EDC">
        <w:t>multi-purpose</w:t>
      </w:r>
      <w:r w:rsidRPr="00471EDC">
        <w:t xml:space="preserve"> energy company as opposed to being </w:t>
      </w:r>
      <w:r w:rsidR="005409F2" w:rsidRPr="00471EDC">
        <w:t xml:space="preserve">an </w:t>
      </w:r>
      <w:r w:rsidRPr="00471EDC">
        <w:t xml:space="preserve">oil and gas </w:t>
      </w:r>
      <w:r w:rsidR="005409F2" w:rsidRPr="00471EDC">
        <w:t>producer</w:t>
      </w:r>
      <w:r w:rsidR="00917B38" w:rsidRPr="00471EDC">
        <w:t xml:space="preserve"> only</w:t>
      </w:r>
      <w:r w:rsidR="006619F9" w:rsidRPr="00471EDC">
        <w:t>.</w:t>
      </w:r>
      <w:r w:rsidRPr="00471EDC">
        <w:t xml:space="preserve"> The company has business operations in ove</w:t>
      </w:r>
      <w:r w:rsidR="00B86AC0" w:rsidRPr="00471EDC">
        <w:t>r 70 countries across the world</w:t>
      </w:r>
      <w:r w:rsidR="00581BFF" w:rsidRPr="00471EDC">
        <w:t>,</w:t>
      </w:r>
      <w:r w:rsidRPr="00471EDC">
        <w:t xml:space="preserve"> this has facilitated it to tap various markets and energy resources</w:t>
      </w:r>
      <w:r w:rsidR="00D0535F" w:rsidRPr="00471EDC">
        <w:t xml:space="preserve"> </w:t>
      </w:r>
      <w:r w:rsidR="00D0535F" w:rsidRPr="00471EDC">
        <w:rPr>
          <w:color w:val="000000"/>
          <w:shd w:val="clear" w:color="auto" w:fill="FFFFFF"/>
        </w:rPr>
        <w:t>(bp, 2018)</w:t>
      </w:r>
      <w:r w:rsidRPr="00471EDC">
        <w:t>. BP has also been able to expand its portfolio of global energy and technology through strategic alliances and joint ventures and acquisitions.</w:t>
      </w:r>
    </w:p>
    <w:p w14:paraId="16018B0E" w14:textId="77777777" w:rsidR="006A4B74" w:rsidRPr="00471EDC" w:rsidRDefault="008B49D1" w:rsidP="006A4B74">
      <w:r w:rsidRPr="00471EDC">
        <w:t>The</w:t>
      </w:r>
      <w:r w:rsidR="006A4B74" w:rsidRPr="00471EDC">
        <w:t xml:space="preserve"> transformation can only be imposed by restructuring operations as well as investing in new technologies and creating new organisat</w:t>
      </w:r>
      <w:r w:rsidR="00184A0F">
        <w:t xml:space="preserve">ional capabilities. BP </w:t>
      </w:r>
      <w:r w:rsidR="006A4B74" w:rsidRPr="00471EDC">
        <w:t>also formulated significant strategic programmes that seek to minimise carbon emission, enhance operational sustainability and in</w:t>
      </w:r>
      <w:r w:rsidR="00500D05" w:rsidRPr="00471EDC">
        <w:t xml:space="preserve">crease renewable energy supply. </w:t>
      </w:r>
      <w:r w:rsidR="006A4B74" w:rsidRPr="00471EDC">
        <w:t xml:space="preserve">But there are problems in managing strategic change as well. </w:t>
      </w:r>
      <w:r w:rsidR="006A4B74" w:rsidRPr="00471EDC">
        <w:lastRenderedPageBreak/>
        <w:t xml:space="preserve">The company has to strike a balance between investment in renewable energy and the profitability of its conventional oil and gas business activity. </w:t>
      </w:r>
    </w:p>
    <w:p w14:paraId="54404664" w14:textId="77777777" w:rsidR="00C21D22" w:rsidRDefault="00C21D22">
      <w:pPr>
        <w:spacing w:line="259" w:lineRule="auto"/>
        <w:jc w:val="left"/>
        <w:rPr>
          <w:rFonts w:eastAsiaTheme="majorEastAsia" w:cstheme="majorBidi"/>
          <w:b/>
          <w:color w:val="000000" w:themeColor="text1"/>
          <w:szCs w:val="26"/>
        </w:rPr>
      </w:pPr>
      <w:r>
        <w:br w:type="page"/>
      </w:r>
    </w:p>
    <w:p w14:paraId="40D94DE8" w14:textId="77777777" w:rsidR="006A4B74" w:rsidRPr="00471EDC" w:rsidRDefault="000052E2" w:rsidP="0021755A">
      <w:pPr>
        <w:pStyle w:val="Heading2"/>
      </w:pPr>
      <w:bookmarkStart w:id="11" w:name="_Toc224060354"/>
      <w:r w:rsidRPr="00471EDC">
        <w:lastRenderedPageBreak/>
        <w:t xml:space="preserve">6. </w:t>
      </w:r>
      <w:r w:rsidR="006A4B74" w:rsidRPr="00471EDC">
        <w:t>Strategic Evaluation</w:t>
      </w:r>
      <w:r w:rsidR="00CC5D41" w:rsidRPr="00471EDC">
        <w:t xml:space="preserve"> and Reco</w:t>
      </w:r>
      <w:r w:rsidR="006F4234" w:rsidRPr="00471EDC">
        <w:t>mmendation</w:t>
      </w:r>
      <w:bookmarkEnd w:id="11"/>
      <w:r w:rsidR="006F4234" w:rsidRPr="00471EDC">
        <w:t xml:space="preserve"> </w:t>
      </w:r>
    </w:p>
    <w:p w14:paraId="6B8EA67A" w14:textId="77777777" w:rsidR="006A4B74" w:rsidRPr="00471EDC" w:rsidRDefault="00517439" w:rsidP="002343AC">
      <w:pPr>
        <w:pStyle w:val="Heading3"/>
      </w:pPr>
      <w:bookmarkStart w:id="12" w:name="_Toc224060355"/>
      <w:r>
        <w:t xml:space="preserve">6.1 </w:t>
      </w:r>
      <w:r w:rsidR="006A4B74" w:rsidRPr="00471EDC">
        <w:t>SWOT Analysis</w:t>
      </w:r>
      <w:bookmarkEnd w:id="12"/>
    </w:p>
    <w:p w14:paraId="5A95976C" w14:textId="77777777" w:rsidR="006738F5" w:rsidRPr="00471EDC" w:rsidRDefault="000029BC" w:rsidP="00D83C68">
      <w:pPr>
        <w:keepNext/>
        <w:jc w:val="center"/>
      </w:pPr>
      <w:r w:rsidRPr="00471EDC">
        <w:rPr>
          <w:noProof/>
        </w:rPr>
        <w:drawing>
          <wp:inline distT="0" distB="0" distL="0" distR="0" wp14:anchorId="564886CF" wp14:editId="37688C4A">
            <wp:extent cx="3859480" cy="1934886"/>
            <wp:effectExtent l="0" t="57150" r="0" b="4635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7DEE2E0" w14:textId="77777777" w:rsidR="00D31881" w:rsidRPr="00471EDC" w:rsidRDefault="006738F5" w:rsidP="00451F7F">
      <w:pPr>
        <w:pStyle w:val="Caption"/>
      </w:pPr>
      <w:r w:rsidRPr="00471EDC">
        <w:t xml:space="preserve">Figure </w:t>
      </w:r>
      <w:r w:rsidRPr="00471EDC">
        <w:fldChar w:fldCharType="begin"/>
      </w:r>
      <w:r w:rsidRPr="00471EDC">
        <w:instrText xml:space="preserve"> SEQ Figure \* ARABIC </w:instrText>
      </w:r>
      <w:r w:rsidRPr="00471EDC">
        <w:fldChar w:fldCharType="separate"/>
      </w:r>
      <w:r w:rsidR="0070251E">
        <w:rPr>
          <w:noProof/>
        </w:rPr>
        <w:t>2</w:t>
      </w:r>
      <w:r w:rsidRPr="00471EDC">
        <w:fldChar w:fldCharType="end"/>
      </w:r>
      <w:r w:rsidR="00D31881" w:rsidRPr="00471EDC">
        <w:t>: SWOT Analysis</w:t>
      </w:r>
    </w:p>
    <w:p w14:paraId="7CB280A4" w14:textId="77777777" w:rsidR="000029BC" w:rsidRPr="00471EDC" w:rsidRDefault="00EE3BC5" w:rsidP="00D83C68">
      <w:pPr>
        <w:pStyle w:val="Caption"/>
      </w:pPr>
      <w:r w:rsidRPr="00471EDC">
        <w:t>Source</w:t>
      </w:r>
      <w:r w:rsidR="006F20F6" w:rsidRPr="00471EDC">
        <w:t>: By Author</w:t>
      </w:r>
    </w:p>
    <w:p w14:paraId="66FE088A" w14:textId="77777777" w:rsidR="006A4B74" w:rsidRPr="00471EDC" w:rsidRDefault="006A4B74" w:rsidP="006A4B74">
      <w:pPr>
        <w:rPr>
          <w:b/>
          <w:i/>
        </w:rPr>
      </w:pPr>
      <w:r w:rsidRPr="00471EDC">
        <w:rPr>
          <w:b/>
          <w:i/>
        </w:rPr>
        <w:t>Strengths</w:t>
      </w:r>
    </w:p>
    <w:p w14:paraId="3A9A84CD" w14:textId="77777777" w:rsidR="006A4B74" w:rsidRPr="00471EDC" w:rsidRDefault="006A4B74" w:rsidP="006A4B74">
      <w:r w:rsidRPr="00471EDC">
        <w:t>The fact that BP plc has an excellent global presence and extensive experience in the energy industry is one of its main strengths. The firm has operations in many countries and has gained some high capacities in exploration, production, refining and distribution of oil and gas</w:t>
      </w:r>
      <w:r w:rsidR="00C2107F" w:rsidRPr="00471EDC">
        <w:t xml:space="preserve"> </w:t>
      </w:r>
      <w:r w:rsidR="00C2107F" w:rsidRPr="00471EDC">
        <w:rPr>
          <w:color w:val="000000"/>
          <w:shd w:val="clear" w:color="auto" w:fill="FFFFFF"/>
        </w:rPr>
        <w:t>(bp, 2025)</w:t>
      </w:r>
      <w:r w:rsidRPr="00471EDC">
        <w:t xml:space="preserve">. Another factor is that BP has a long network of retail as well as </w:t>
      </w:r>
      <w:r w:rsidR="00FB0264" w:rsidRPr="00471EDC">
        <w:t xml:space="preserve">a </w:t>
      </w:r>
      <w:r w:rsidRPr="00471EDC">
        <w:t xml:space="preserve">well-established infrastructure that facilitates its energy activities across the globe. </w:t>
      </w:r>
    </w:p>
    <w:p w14:paraId="54E5912D" w14:textId="77777777" w:rsidR="006A4B74" w:rsidRPr="00471EDC" w:rsidRDefault="00394BF9" w:rsidP="006A4B74">
      <w:pPr>
        <w:rPr>
          <w:b/>
          <w:i/>
        </w:rPr>
      </w:pPr>
      <w:r w:rsidRPr="00471EDC">
        <w:rPr>
          <w:b/>
          <w:i/>
        </w:rPr>
        <w:t>Weaknesses</w:t>
      </w:r>
    </w:p>
    <w:p w14:paraId="05FF49FC" w14:textId="77777777" w:rsidR="006A4B74" w:rsidRPr="00471EDC" w:rsidRDefault="006A4B74" w:rsidP="006A4B74">
      <w:r w:rsidRPr="00471EDC">
        <w:t xml:space="preserve">BP has a very robust market presence, </w:t>
      </w:r>
      <w:r w:rsidR="00C46CB8" w:rsidRPr="00471EDC">
        <w:t xml:space="preserve">but </w:t>
      </w:r>
      <w:r w:rsidR="00426955" w:rsidRPr="00471EDC">
        <w:t>the company has not</w:t>
      </w:r>
      <w:r w:rsidRPr="00471EDC">
        <w:t xml:space="preserve"> lost </w:t>
      </w:r>
      <w:r w:rsidR="004E43CE" w:rsidRPr="00471EDC">
        <w:t>its</w:t>
      </w:r>
      <w:r w:rsidRPr="00471EDC">
        <w:t xml:space="preserve"> dependency on fossil fuel production</w:t>
      </w:r>
      <w:r w:rsidR="008E40DD" w:rsidRPr="00471EDC">
        <w:t xml:space="preserve"> (</w:t>
      </w:r>
      <w:r w:rsidR="008E40DD" w:rsidRPr="00471EDC">
        <w:rPr>
          <w:rFonts w:cs="Times New Roman"/>
          <w:color w:val="222222"/>
          <w:szCs w:val="24"/>
          <w:shd w:val="clear" w:color="auto" w:fill="FFFFFF"/>
        </w:rPr>
        <w:t>Trencher, et al., 2023)</w:t>
      </w:r>
      <w:r w:rsidRPr="00471EDC">
        <w:t xml:space="preserve">. The percentage of its income is derived through the conventional oil and gas operations which </w:t>
      </w:r>
      <w:r w:rsidR="0060220C" w:rsidRPr="00471EDC">
        <w:t>pose</w:t>
      </w:r>
      <w:r w:rsidRPr="00471EDC">
        <w:t xml:space="preserve"> a long-term risk since the policies of globalisation are shifting towards decarbonisation. </w:t>
      </w:r>
    </w:p>
    <w:p w14:paraId="2DC60BD5" w14:textId="77777777" w:rsidR="006A4B74" w:rsidRPr="00471EDC" w:rsidRDefault="006A4B74" w:rsidP="006A4B74">
      <w:pPr>
        <w:rPr>
          <w:b/>
          <w:i/>
        </w:rPr>
      </w:pPr>
      <w:r w:rsidRPr="00471EDC">
        <w:rPr>
          <w:b/>
          <w:i/>
        </w:rPr>
        <w:t>Opportunities</w:t>
      </w:r>
    </w:p>
    <w:p w14:paraId="21C0C891" w14:textId="77777777" w:rsidR="006A4B74" w:rsidRPr="00471EDC" w:rsidRDefault="006A4B74" w:rsidP="006A4B74">
      <w:r w:rsidRPr="00471EDC">
        <w:t xml:space="preserve">The shift towards cleaner energy in the world offers great opportunities to BP. The rise in demand </w:t>
      </w:r>
      <w:r w:rsidR="0023746D" w:rsidRPr="00471EDC">
        <w:t>for</w:t>
      </w:r>
      <w:r w:rsidRPr="00471EDC">
        <w:t xml:space="preserve"> renewable power, electric vehicles and low-carbon technologies </w:t>
      </w:r>
      <w:r w:rsidR="00B24867" w:rsidRPr="00471EDC">
        <w:t>presents</w:t>
      </w:r>
      <w:r w:rsidRPr="00471EDC">
        <w:t xml:space="preserve"> new markets that can be accessed by energy co</w:t>
      </w:r>
      <w:r w:rsidR="00A76B79" w:rsidRPr="00471EDC">
        <w:t xml:space="preserve">mpanies. </w:t>
      </w:r>
      <w:r w:rsidR="008A3A89" w:rsidRPr="00471EDC">
        <w:t>With</w:t>
      </w:r>
      <w:r w:rsidR="00A76B79" w:rsidRPr="00471EDC">
        <w:t xml:space="preserve"> </w:t>
      </w:r>
      <w:r w:rsidRPr="00471EDC">
        <w:t>investments in renewable energy and sustainabl</w:t>
      </w:r>
      <w:r w:rsidR="000C64B0" w:rsidRPr="00471EDC">
        <w:t xml:space="preserve">e energy </w:t>
      </w:r>
      <w:r w:rsidR="000C64B0" w:rsidRPr="00471EDC">
        <w:lastRenderedPageBreak/>
        <w:t>infrastructure, BP can</w:t>
      </w:r>
      <w:r w:rsidRPr="00471EDC">
        <w:t xml:space="preserve"> be able to mitigate its competitive standing in the long-term and diversify its energy base.</w:t>
      </w:r>
    </w:p>
    <w:p w14:paraId="7BDB2283" w14:textId="77777777" w:rsidR="006A4B74" w:rsidRPr="00471EDC" w:rsidRDefault="006A4B74" w:rsidP="006A4B74">
      <w:pPr>
        <w:rPr>
          <w:b/>
          <w:i/>
        </w:rPr>
      </w:pPr>
      <w:r w:rsidRPr="00471EDC">
        <w:rPr>
          <w:b/>
          <w:i/>
        </w:rPr>
        <w:t>Threats</w:t>
      </w:r>
    </w:p>
    <w:p w14:paraId="20C7F281" w14:textId="77777777" w:rsidR="006A4B74" w:rsidRPr="00471EDC" w:rsidRDefault="006A4B74" w:rsidP="006A4B74">
      <w:r w:rsidRPr="00471EDC">
        <w:t>BP is a firm in a very competitive industry</w:t>
      </w:r>
      <w:r w:rsidR="002C3B22" w:rsidRPr="00471EDC">
        <w:t>,</w:t>
      </w:r>
      <w:r w:rsidRPr="00471EDC">
        <w:t xml:space="preserve"> other multinational energy firms in the industry like Shell plc and ExxonMobil</w:t>
      </w:r>
      <w:r w:rsidR="00F902D3" w:rsidRPr="00471EDC">
        <w:t>,</w:t>
      </w:r>
      <w:r w:rsidRPr="00471EDC">
        <w:t xml:space="preserve"> are similarly investing in energy transition strategies</w:t>
      </w:r>
      <w:r w:rsidR="00917B03" w:rsidRPr="00471EDC">
        <w:t xml:space="preserve"> (</w:t>
      </w:r>
      <w:r w:rsidR="00917B03" w:rsidRPr="00471EDC">
        <w:rPr>
          <w:rFonts w:cs="Times New Roman"/>
          <w:color w:val="222222"/>
          <w:szCs w:val="24"/>
          <w:shd w:val="clear" w:color="auto" w:fill="FFFFFF"/>
        </w:rPr>
        <w:t>Li, et al., 2022)</w:t>
      </w:r>
      <w:r w:rsidR="00716530" w:rsidRPr="00471EDC">
        <w:t>. The</w:t>
      </w:r>
      <w:r w:rsidRPr="00471EDC">
        <w:t xml:space="preserve"> oil prices</w:t>
      </w:r>
      <w:r w:rsidR="00FF6C9D" w:rsidRPr="00471EDC">
        <w:t xml:space="preserve">, geopolitical risk and </w:t>
      </w:r>
      <w:r w:rsidRPr="00471EDC">
        <w:t>environmental regulations may bring uncertainty in the operations and profitability of BP.</w:t>
      </w:r>
    </w:p>
    <w:p w14:paraId="31AEFC88" w14:textId="77777777" w:rsidR="006A4B74" w:rsidRPr="00471EDC" w:rsidRDefault="00A373C9" w:rsidP="002343AC">
      <w:pPr>
        <w:pStyle w:val="Heading3"/>
      </w:pPr>
      <w:bookmarkStart w:id="13" w:name="_Toc224060356"/>
      <w:r>
        <w:t xml:space="preserve">6.2 </w:t>
      </w:r>
      <w:r w:rsidR="006A4B74" w:rsidRPr="00471EDC">
        <w:t>Ansoff's Matrix</w:t>
      </w:r>
      <w:bookmarkEnd w:id="13"/>
    </w:p>
    <w:p w14:paraId="211AB3B1" w14:textId="77777777" w:rsidR="004A7911" w:rsidRPr="00471EDC" w:rsidRDefault="00E441F1" w:rsidP="004A7911">
      <w:pPr>
        <w:keepNext/>
        <w:jc w:val="center"/>
      </w:pPr>
      <w:r w:rsidRPr="00471EDC">
        <w:rPr>
          <w:noProof/>
        </w:rPr>
        <w:drawing>
          <wp:inline distT="0" distB="0" distL="0" distR="0" wp14:anchorId="40DACB99" wp14:editId="24C188D2">
            <wp:extent cx="4324954" cy="20005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24954" cy="2000529"/>
                    </a:xfrm>
                    <a:prstGeom prst="rect">
                      <a:avLst/>
                    </a:prstGeom>
                  </pic:spPr>
                </pic:pic>
              </a:graphicData>
            </a:graphic>
          </wp:inline>
        </w:drawing>
      </w:r>
    </w:p>
    <w:p w14:paraId="186C4F51" w14:textId="77777777" w:rsidR="00535953" w:rsidRPr="00471EDC" w:rsidRDefault="004A7911" w:rsidP="00451F7F">
      <w:pPr>
        <w:pStyle w:val="Caption"/>
      </w:pPr>
      <w:r w:rsidRPr="00471EDC">
        <w:t xml:space="preserve">Figure </w:t>
      </w:r>
      <w:r w:rsidRPr="00471EDC">
        <w:fldChar w:fldCharType="begin"/>
      </w:r>
      <w:r w:rsidRPr="00471EDC">
        <w:instrText xml:space="preserve"> SEQ Figure \* ARABIC </w:instrText>
      </w:r>
      <w:r w:rsidRPr="00471EDC">
        <w:fldChar w:fldCharType="separate"/>
      </w:r>
      <w:r w:rsidR="0070251E">
        <w:rPr>
          <w:noProof/>
        </w:rPr>
        <w:t>3</w:t>
      </w:r>
      <w:r w:rsidRPr="00471EDC">
        <w:fldChar w:fldCharType="end"/>
      </w:r>
      <w:r w:rsidR="00A01DCB" w:rsidRPr="00471EDC">
        <w:t xml:space="preserve">: </w:t>
      </w:r>
      <w:r w:rsidR="00535953" w:rsidRPr="00471EDC">
        <w:t>Ansoff's Matrix</w:t>
      </w:r>
    </w:p>
    <w:p w14:paraId="0E2B8AE1" w14:textId="77777777" w:rsidR="00033F04" w:rsidRPr="00471EDC" w:rsidRDefault="00F56763" w:rsidP="00C64069">
      <w:pPr>
        <w:jc w:val="center"/>
        <w:rPr>
          <w:b/>
          <w:i/>
          <w:iCs/>
          <w:szCs w:val="18"/>
        </w:rPr>
      </w:pPr>
      <w:r w:rsidRPr="00471EDC">
        <w:rPr>
          <w:b/>
          <w:i/>
          <w:iCs/>
          <w:szCs w:val="18"/>
        </w:rPr>
        <w:t>Source</w:t>
      </w:r>
      <w:r w:rsidR="00033F04" w:rsidRPr="00471EDC">
        <w:rPr>
          <w:b/>
          <w:i/>
          <w:iCs/>
          <w:szCs w:val="18"/>
        </w:rPr>
        <w:t>: (GeeksforGeeks, 2024)</w:t>
      </w:r>
    </w:p>
    <w:p w14:paraId="377B92E9" w14:textId="77777777" w:rsidR="006A4B74" w:rsidRPr="00471EDC" w:rsidRDefault="006A4B74" w:rsidP="006A4B74">
      <w:pPr>
        <w:rPr>
          <w:b/>
          <w:i/>
        </w:rPr>
      </w:pPr>
      <w:r w:rsidRPr="00471EDC">
        <w:rPr>
          <w:b/>
          <w:i/>
        </w:rPr>
        <w:t>Market Penetration</w:t>
      </w:r>
    </w:p>
    <w:p w14:paraId="1ABFBED3" w14:textId="77777777" w:rsidR="006A4B74" w:rsidRPr="00471EDC" w:rsidRDefault="006A4B74" w:rsidP="006A4B74">
      <w:r w:rsidRPr="00471EDC">
        <w:t xml:space="preserve">BP plc has been trying to gain strength in the current fuel markets in terms of market penetration by enhancing operational efficiency and customer service. The company has a well-established network of retail fuel worldwide and has remained in </w:t>
      </w:r>
      <w:r w:rsidR="00EE5CB1" w:rsidRPr="00471EDC">
        <w:t xml:space="preserve">the </w:t>
      </w:r>
      <w:r w:rsidRPr="00471EDC">
        <w:t>supply of traditional energy products to a high customer base.</w:t>
      </w:r>
    </w:p>
    <w:p w14:paraId="490877BF" w14:textId="77777777" w:rsidR="006A4B74" w:rsidRPr="00471EDC" w:rsidRDefault="006A4B74" w:rsidP="006A4B74">
      <w:pPr>
        <w:rPr>
          <w:b/>
          <w:i/>
        </w:rPr>
      </w:pPr>
      <w:r w:rsidRPr="00471EDC">
        <w:rPr>
          <w:b/>
          <w:i/>
        </w:rPr>
        <w:t>Product Development</w:t>
      </w:r>
    </w:p>
    <w:p w14:paraId="64E6C515" w14:textId="77777777" w:rsidR="006A4B74" w:rsidRPr="00471EDC" w:rsidRDefault="006A4B74" w:rsidP="006A4B74">
      <w:r w:rsidRPr="00471EDC">
        <w:t>Other new energy services that have been implemented by BP include renewable energy solutions and electric vehicle charging infrastructure. These projects are innovative products that address the changing customer demands and help the world to switch to cleaner energy.</w:t>
      </w:r>
    </w:p>
    <w:p w14:paraId="0423A9A6" w14:textId="77777777" w:rsidR="0068439F" w:rsidRPr="00471EDC" w:rsidRDefault="0068439F" w:rsidP="006A4B74">
      <w:pPr>
        <w:rPr>
          <w:b/>
        </w:rPr>
      </w:pPr>
      <w:r w:rsidRPr="00471EDC">
        <w:rPr>
          <w:b/>
        </w:rPr>
        <w:lastRenderedPageBreak/>
        <w:t xml:space="preserve">Market </w:t>
      </w:r>
      <w:r w:rsidR="005457F3" w:rsidRPr="00471EDC">
        <w:rPr>
          <w:b/>
        </w:rPr>
        <w:t>Development</w:t>
      </w:r>
      <w:r w:rsidRPr="00471EDC">
        <w:rPr>
          <w:b/>
        </w:rPr>
        <w:t xml:space="preserve"> </w:t>
      </w:r>
    </w:p>
    <w:p w14:paraId="672FF1CF" w14:textId="77777777" w:rsidR="00610298" w:rsidRPr="00471EDC" w:rsidRDefault="00CD428D" w:rsidP="006A4B74">
      <w:r w:rsidRPr="00471EDC">
        <w:t xml:space="preserve">It has </w:t>
      </w:r>
      <w:r w:rsidR="001C05E5" w:rsidRPr="00471EDC">
        <w:t>introduced</w:t>
      </w:r>
      <w:r w:rsidRPr="00471EDC">
        <w:t xml:space="preserve"> the </w:t>
      </w:r>
      <w:r w:rsidR="00C16EDD" w:rsidRPr="00471EDC">
        <w:t xml:space="preserve">same products in new markets. BP plc has also extended its operations to emerging markets in the various regions in the energy sector. The company has been able to reinforce its operation in the international markets by providing fuel, energy services and mobility solutions to new geographical markets. </w:t>
      </w:r>
    </w:p>
    <w:p w14:paraId="355C8E5B" w14:textId="77777777" w:rsidR="006A4B74" w:rsidRPr="00471EDC" w:rsidRDefault="006A4B74" w:rsidP="006A4B74">
      <w:pPr>
        <w:rPr>
          <w:b/>
          <w:i/>
        </w:rPr>
      </w:pPr>
      <w:r w:rsidRPr="00471EDC">
        <w:rPr>
          <w:b/>
          <w:i/>
        </w:rPr>
        <w:t>Diversification</w:t>
      </w:r>
    </w:p>
    <w:p w14:paraId="3ACE1213" w14:textId="77777777" w:rsidR="006A4B74" w:rsidRPr="00471EDC" w:rsidRDefault="006A4B74" w:rsidP="006A4B74">
      <w:r w:rsidRPr="00471EDC">
        <w:t>The organisation is also seeking more ways of diversification by venturing into renewable technologies and alternative energy solutions. This plan will help BP decrease its reliance on fossil fuels and venture into new markets that will continue to expand in the future.</w:t>
      </w:r>
      <w:r w:rsidR="00EF4403" w:rsidRPr="00471EDC">
        <w:t xml:space="preserve"> </w:t>
      </w:r>
    </w:p>
    <w:p w14:paraId="0E9834A7" w14:textId="77777777" w:rsidR="00046710" w:rsidRPr="00471EDC" w:rsidRDefault="00046710" w:rsidP="00046710">
      <w:pPr>
        <w:rPr>
          <w:b/>
          <w:i/>
        </w:rPr>
      </w:pPr>
      <w:r w:rsidRPr="00471EDC">
        <w:rPr>
          <w:b/>
          <w:i/>
        </w:rPr>
        <w:t>Strategic Recommendations</w:t>
      </w:r>
    </w:p>
    <w:p w14:paraId="0028A4AB" w14:textId="77777777" w:rsidR="00046710" w:rsidRPr="00471EDC" w:rsidRDefault="00046710" w:rsidP="00046710">
      <w:r w:rsidRPr="00471EDC">
        <w:rPr>
          <w:b/>
        </w:rPr>
        <w:t>Growth</w:t>
      </w:r>
      <w:r w:rsidR="007C7B4F" w:rsidRPr="00471EDC">
        <w:rPr>
          <w:b/>
        </w:rPr>
        <w:t xml:space="preserve"> of Renewable Energy Portfolio</w:t>
      </w:r>
      <w:r w:rsidR="007C7B4F" w:rsidRPr="00471EDC">
        <w:t xml:space="preserve">: </w:t>
      </w:r>
      <w:r w:rsidRPr="00471EDC">
        <w:t>BP plc must not stop at the increase of its investments in renewable energy, especially, solar and wind, and other low-carbon technologies. This will enable the organisation to expand its renewable energy capacity and lower its dependence on fossil fuels and improve its presence in the expanding clean energy market.</w:t>
      </w:r>
    </w:p>
    <w:p w14:paraId="3241D7DD" w14:textId="77777777" w:rsidR="00046710" w:rsidRPr="00471EDC" w:rsidRDefault="00046710" w:rsidP="00046710">
      <w:r w:rsidRPr="00471EDC">
        <w:rPr>
          <w:b/>
        </w:rPr>
        <w:t>Electric Mobil</w:t>
      </w:r>
      <w:r w:rsidR="00CE2914" w:rsidRPr="00471EDC">
        <w:rPr>
          <w:b/>
        </w:rPr>
        <w:t>ity Infrastructure Development:</w:t>
      </w:r>
      <w:r w:rsidR="00CE2914" w:rsidRPr="00471EDC">
        <w:t xml:space="preserve"> </w:t>
      </w:r>
      <w:r w:rsidRPr="00471EDC">
        <w:t xml:space="preserve">The company ought to also increase its electric vehicle charging system and mobility services. Due to higher electric vehicle adoption rates all over the globe, offering credible charging systems may open new sources of </w:t>
      </w:r>
      <w:r w:rsidR="00B40B39" w:rsidRPr="00471EDC">
        <w:t>revenue</w:t>
      </w:r>
      <w:r w:rsidRPr="00471EDC">
        <w:t xml:space="preserve"> between BP and the clients.</w:t>
      </w:r>
    </w:p>
    <w:p w14:paraId="2303056A" w14:textId="77777777" w:rsidR="00046710" w:rsidRPr="00471EDC" w:rsidRDefault="00046710" w:rsidP="00046710">
      <w:r w:rsidRPr="00471EDC">
        <w:rPr>
          <w:b/>
        </w:rPr>
        <w:t>Enhancem</w:t>
      </w:r>
      <w:r w:rsidR="00BE1B0C" w:rsidRPr="00471EDC">
        <w:rPr>
          <w:b/>
        </w:rPr>
        <w:t>ent of Technological Innovation</w:t>
      </w:r>
      <w:r w:rsidR="00BE1B0C" w:rsidRPr="00471EDC">
        <w:t xml:space="preserve">: </w:t>
      </w:r>
      <w:r w:rsidR="00820733" w:rsidRPr="00471EDC">
        <w:t>BP</w:t>
      </w:r>
      <w:r w:rsidRPr="00471EDC">
        <w:t xml:space="preserve"> </w:t>
      </w:r>
      <w:r w:rsidR="00FD3146">
        <w:t>invests</w:t>
      </w:r>
      <w:r w:rsidRPr="00471EDC">
        <w:t xml:space="preserve"> in technological innovation and digital transformation in its operations to a greater extent</w:t>
      </w:r>
      <w:r w:rsidR="0012585C" w:rsidRPr="00471EDC">
        <w:t xml:space="preserve"> (</w:t>
      </w:r>
      <w:r w:rsidR="0012585C" w:rsidRPr="00471EDC">
        <w:rPr>
          <w:rFonts w:cs="Times New Roman"/>
          <w:color w:val="222222"/>
          <w:szCs w:val="24"/>
          <w:shd w:val="clear" w:color="auto" w:fill="FFFFFF"/>
        </w:rPr>
        <w:t>Egbumokei, et al., 2024)</w:t>
      </w:r>
      <w:r w:rsidRPr="00471EDC">
        <w:t>. Such advanced technologies as data analytics, automation and digital monitoring systems can be applied to increase the efficiency of operations, improve safety performance and develop new energy solutions.</w:t>
      </w:r>
    </w:p>
    <w:p w14:paraId="45F38A5A" w14:textId="77777777" w:rsidR="00046710" w:rsidRPr="00471EDC" w:rsidRDefault="00C82344" w:rsidP="00046710">
      <w:pPr>
        <w:rPr>
          <w:b/>
          <w:i/>
        </w:rPr>
      </w:pPr>
      <w:r w:rsidRPr="00471EDC">
        <w:rPr>
          <w:b/>
          <w:i/>
        </w:rPr>
        <w:t>Recommendations Justifications</w:t>
      </w:r>
    </w:p>
    <w:p w14:paraId="2B0F662E" w14:textId="77777777" w:rsidR="00046710" w:rsidRPr="00471EDC" w:rsidRDefault="00046710" w:rsidP="00046710">
      <w:r w:rsidRPr="00471EDC">
        <w:t xml:space="preserve">The suggested recommendations are in line with the existing strategic direction of BP plc and respond to the issues found in the strategic assessment. The decision to increase the renewable energy portfolio is a direct reaction to the opportunities that have been revealed during the SWOT </w:t>
      </w:r>
      <w:r w:rsidRPr="00471EDC">
        <w:lastRenderedPageBreak/>
        <w:t xml:space="preserve">analysis linked to the increased demand </w:t>
      </w:r>
      <w:r w:rsidR="00E269A9">
        <w:t>for</w:t>
      </w:r>
      <w:r w:rsidRPr="00471EDC">
        <w:t xml:space="preserve"> clean energy. It also makes the organisation less reliant on fossil fuels which was classified as one of the main weaknesses.</w:t>
      </w:r>
    </w:p>
    <w:p w14:paraId="08CFB121" w14:textId="77777777" w:rsidR="00DD642A" w:rsidRPr="00471EDC" w:rsidRDefault="00046710" w:rsidP="00046710">
      <w:r w:rsidRPr="00471EDC">
        <w:t>In a similar manner, the electric mobility infrastructure development serves the diversification strategy of BP as it is p</w:t>
      </w:r>
      <w:r w:rsidR="00A33A56">
        <w:t>resented in the Matrix</w:t>
      </w:r>
      <w:r w:rsidRPr="00471EDC">
        <w:t xml:space="preserve">. Energy companies offering charging infrastructure will have improved chances </w:t>
      </w:r>
      <w:r w:rsidR="00381FD3" w:rsidRPr="00471EDC">
        <w:t>of</w:t>
      </w:r>
      <w:r w:rsidRPr="00471EDC">
        <w:t xml:space="preserve"> new market opportunities as electric vehicles are increa</w:t>
      </w:r>
      <w:r w:rsidR="00C90285" w:rsidRPr="00471EDC">
        <w:t>singly accepted by more people.</w:t>
      </w:r>
      <w:r w:rsidR="00DB1BAC" w:rsidRPr="00471EDC">
        <w:t xml:space="preserve"> </w:t>
      </w:r>
      <w:r w:rsidR="00C90285" w:rsidRPr="00471EDC">
        <w:t>T</w:t>
      </w:r>
      <w:r w:rsidR="004350AD" w:rsidRPr="00471EDC">
        <w:t>echnological innovation can</w:t>
      </w:r>
      <w:r w:rsidRPr="00471EDC">
        <w:t xml:space="preserve"> </w:t>
      </w:r>
      <w:r w:rsidR="00686950" w:rsidRPr="00471EDC">
        <w:t>enhance</w:t>
      </w:r>
      <w:r w:rsidRPr="00471EDC">
        <w:t xml:space="preserve"> </w:t>
      </w:r>
      <w:r w:rsidR="00473F44" w:rsidRPr="00471EDC">
        <w:t>operational</w:t>
      </w:r>
      <w:r w:rsidRPr="00471EDC">
        <w:t xml:space="preserve"> efficiency and competitiveness within the energy sector </w:t>
      </w:r>
      <w:r w:rsidR="00F55FD8" w:rsidRPr="00471EDC">
        <w:t>globally</w:t>
      </w:r>
      <w:r w:rsidRPr="00471EDC">
        <w:t>. Digital technologies and new data system</w:t>
      </w:r>
      <w:r w:rsidR="00014DC0" w:rsidRPr="00471EDC">
        <w:t>s may assist BP to</w:t>
      </w:r>
      <w:r w:rsidR="006E33B1" w:rsidRPr="00471EDC">
        <w:t xml:space="preserve"> operate</w:t>
      </w:r>
      <w:r w:rsidRPr="00471EDC">
        <w:t xml:space="preserve"> and minimise the environmental impact </w:t>
      </w:r>
      <w:r w:rsidR="00B061F8" w:rsidRPr="00471EDC">
        <w:t>and enhance safety performance.</w:t>
      </w:r>
    </w:p>
    <w:p w14:paraId="22CAFE3B" w14:textId="77777777" w:rsidR="00DD642A" w:rsidRPr="00471EDC" w:rsidRDefault="00DD642A">
      <w:pPr>
        <w:spacing w:line="259" w:lineRule="auto"/>
        <w:jc w:val="left"/>
      </w:pPr>
      <w:r w:rsidRPr="00471EDC">
        <w:br w:type="page"/>
      </w:r>
    </w:p>
    <w:p w14:paraId="6087DC99" w14:textId="77777777" w:rsidR="00CF6EB7" w:rsidRDefault="00CF6EB7" w:rsidP="004954BB">
      <w:pPr>
        <w:pStyle w:val="Heading1"/>
      </w:pPr>
      <w:bookmarkStart w:id="14" w:name="_Toc224060357"/>
      <w:r w:rsidRPr="00471EDC">
        <w:lastRenderedPageBreak/>
        <w:t>Section 2</w:t>
      </w:r>
      <w:bookmarkEnd w:id="14"/>
    </w:p>
    <w:p w14:paraId="5726B824" w14:textId="77777777" w:rsidR="0070251E" w:rsidRDefault="00DA697F" w:rsidP="0070251E">
      <w:pPr>
        <w:keepNext/>
        <w:jc w:val="center"/>
      </w:pPr>
      <w:r w:rsidRPr="00DA697F">
        <w:rPr>
          <w:noProof/>
        </w:rPr>
        <w:drawing>
          <wp:inline distT="0" distB="0" distL="0" distR="0" wp14:anchorId="2FAAAAC5" wp14:editId="4166102C">
            <wp:extent cx="3553321" cy="1981477"/>
            <wp:effectExtent l="19050" t="19050" r="952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53321" cy="1981477"/>
                    </a:xfrm>
                    <a:prstGeom prst="rect">
                      <a:avLst/>
                    </a:prstGeom>
                    <a:ln>
                      <a:solidFill>
                        <a:schemeClr val="tx1"/>
                      </a:solidFill>
                    </a:ln>
                  </pic:spPr>
                </pic:pic>
              </a:graphicData>
            </a:graphic>
          </wp:inline>
        </w:drawing>
      </w:r>
    </w:p>
    <w:p w14:paraId="03731FC3" w14:textId="77777777" w:rsidR="00DA697F" w:rsidRDefault="0070251E" w:rsidP="00A50B12">
      <w:pPr>
        <w:pStyle w:val="Caption"/>
      </w:pPr>
      <w:r>
        <w:t xml:space="preserve">Figure </w:t>
      </w:r>
      <w:r>
        <w:fldChar w:fldCharType="begin"/>
      </w:r>
      <w:r>
        <w:instrText xml:space="preserve"> SEQ Figure \* ARABIC </w:instrText>
      </w:r>
      <w:r>
        <w:fldChar w:fldCharType="separate"/>
      </w:r>
      <w:r>
        <w:t>4</w:t>
      </w:r>
      <w:r>
        <w:fldChar w:fldCharType="end"/>
      </w:r>
      <w:r w:rsidR="00D652B3">
        <w:t xml:space="preserve">: </w:t>
      </w:r>
      <w:r w:rsidR="00D652B3" w:rsidRPr="00471EDC">
        <w:t>Kolb Reflective Cycle</w:t>
      </w:r>
    </w:p>
    <w:p w14:paraId="729637C8" w14:textId="77777777" w:rsidR="0054056D" w:rsidRPr="00A50B12" w:rsidRDefault="007D6D40" w:rsidP="00A50B12">
      <w:pPr>
        <w:jc w:val="center"/>
        <w:rPr>
          <w:b/>
          <w:i/>
          <w:iCs/>
          <w:szCs w:val="18"/>
        </w:rPr>
      </w:pPr>
      <w:r w:rsidRPr="00A50B12">
        <w:rPr>
          <w:b/>
          <w:i/>
          <w:iCs/>
          <w:szCs w:val="18"/>
        </w:rPr>
        <w:t>Source</w:t>
      </w:r>
      <w:r w:rsidR="0054056D" w:rsidRPr="00A50B12">
        <w:rPr>
          <w:b/>
          <w:i/>
          <w:iCs/>
          <w:szCs w:val="18"/>
        </w:rPr>
        <w:t>:</w:t>
      </w:r>
      <w:r w:rsidR="00CE73DF" w:rsidRPr="00A50B12">
        <w:rPr>
          <w:b/>
          <w:i/>
          <w:iCs/>
          <w:szCs w:val="18"/>
        </w:rPr>
        <w:t xml:space="preserve"> (Turskey and Wood, 2010)</w:t>
      </w:r>
    </w:p>
    <w:p w14:paraId="07E6D97D" w14:textId="77777777" w:rsidR="00DD642A" w:rsidRPr="00471EDC" w:rsidRDefault="00DD642A" w:rsidP="00DD642A">
      <w:pPr>
        <w:rPr>
          <w:b/>
          <w:i/>
        </w:rPr>
      </w:pPr>
      <w:r w:rsidRPr="00471EDC">
        <w:rPr>
          <w:b/>
          <w:i/>
        </w:rPr>
        <w:t>Experience</w:t>
      </w:r>
    </w:p>
    <w:p w14:paraId="3E323E31" w14:textId="77777777" w:rsidR="00DD642A" w:rsidRPr="00471EDC" w:rsidRDefault="00DD642A" w:rsidP="00DD642A">
      <w:r w:rsidRPr="00471EDC">
        <w:t xml:space="preserve">This strategic management assessment experience was a </w:t>
      </w:r>
      <w:r w:rsidR="00471EDC" w:rsidRPr="00471EDC">
        <w:t>learning activity which</w:t>
      </w:r>
      <w:r w:rsidRPr="00471EDC">
        <w:t xml:space="preserve"> the analyses of BP plc strategy based on various strategic management frameworks and theories. The assignment demanded using multiple models of analysis including the Balanced Scorecard, SWOT analysis and </w:t>
      </w:r>
      <w:r w:rsidR="006A7EFA">
        <w:t>the Matrix</w:t>
      </w:r>
      <w:r w:rsidRPr="00471EDC">
        <w:t xml:space="preserve"> comprehend how the organisation works and how it reacts to the changes in the global energy market. In the process, much attention was given to the analysis of the BP strategic orientation, its shift to cleaner energy, and the obstacles that it has to overcome in the competitive and environmentally conscious market.</w:t>
      </w:r>
    </w:p>
    <w:p w14:paraId="2888B6F8" w14:textId="77777777" w:rsidR="00DD642A" w:rsidRPr="00471EDC" w:rsidRDefault="00DD642A" w:rsidP="00DD642A">
      <w:r w:rsidRPr="00471EDC">
        <w:t xml:space="preserve">The experience related to completing the assignment was to research the strategic objectives of the organisation, as well as comprehend its corporate transformation and evaluate the role of the company in the energy market of the world. BP has always been a big oil and gas firm, however, in recent years it </w:t>
      </w:r>
      <w:r w:rsidR="00E714BF">
        <w:t>has</w:t>
      </w:r>
      <w:r w:rsidRPr="00471EDC">
        <w:t xml:space="preserve"> been moving towards being an energy company that is integrated. This change includes an expansion towards renewable energy, electric mobility infrastructure and other low-carbon technologies. </w:t>
      </w:r>
    </w:p>
    <w:p w14:paraId="1FE0016B" w14:textId="77777777" w:rsidR="00DD642A" w:rsidRPr="00471EDC" w:rsidRDefault="00DD642A" w:rsidP="00DD642A">
      <w:r w:rsidRPr="00471EDC">
        <w:t>The other significant element of the experience was to know how the strategic management frameworks can be used in real organisations. The assignm</w:t>
      </w:r>
      <w:r w:rsidR="00D5310B" w:rsidRPr="00471EDC">
        <w:t>ent did not just ask me to</w:t>
      </w:r>
      <w:r w:rsidRPr="00471EDC">
        <w:t xml:space="preserve"> the theories in a conceptual manner, but to integrate the models in a practical scenario involving a company. </w:t>
      </w:r>
      <w:r w:rsidRPr="00471EDC">
        <w:lastRenderedPageBreak/>
        <w:t>In case, SWOT analysis was used to determine internal strengths and weaknesses of BP as well as external opportunities and threat the company faces in the energy sector. Equally</w:t>
      </w:r>
      <w:r w:rsidR="00063F3D">
        <w:t>, the Matrix</w:t>
      </w:r>
      <w:r w:rsidRPr="00471EDC">
        <w:t xml:space="preserve"> assisted in assessing the growth strategies embraced by the organisation on the basis of market penetration, product development, market development and diversification.</w:t>
      </w:r>
    </w:p>
    <w:p w14:paraId="6FA3179F" w14:textId="77777777" w:rsidR="00DD642A" w:rsidRPr="00471EDC" w:rsidRDefault="00DD642A" w:rsidP="00DD642A">
      <w:r w:rsidRPr="00471EDC">
        <w:t>The assignment experience was a good experience as it involved both theoretical and practical knowledge. It gave a chance to relate the theories in strategic management with the actual organisational practises and assisted in the development of the analytical and research skills required in studying business and management.</w:t>
      </w:r>
    </w:p>
    <w:p w14:paraId="5ECE1FFA" w14:textId="77777777" w:rsidR="00DD642A" w:rsidRPr="00471EDC" w:rsidRDefault="00DD642A" w:rsidP="00DD642A">
      <w:pPr>
        <w:rPr>
          <w:b/>
          <w:i/>
        </w:rPr>
      </w:pPr>
      <w:r w:rsidRPr="00471EDC">
        <w:rPr>
          <w:b/>
          <w:i/>
        </w:rPr>
        <w:t>Reflection</w:t>
      </w:r>
    </w:p>
    <w:p w14:paraId="24ADA558" w14:textId="77777777" w:rsidR="00DD642A" w:rsidRPr="00471EDC" w:rsidRDefault="00405C0B" w:rsidP="00DD642A">
      <w:r w:rsidRPr="00471EDC">
        <w:t>In</w:t>
      </w:r>
      <w:r w:rsidR="00DD642A" w:rsidRPr="00471EDC">
        <w:t xml:space="preserve"> the lea</w:t>
      </w:r>
      <w:r w:rsidR="00D9068F">
        <w:t>rning process, I have also</w:t>
      </w:r>
      <w:r w:rsidR="002038B1">
        <w:t xml:space="preserve"> made</w:t>
      </w:r>
      <w:r w:rsidR="00DD642A" w:rsidRPr="00471EDC">
        <w:t xml:space="preserve"> some significant obse</w:t>
      </w:r>
      <w:r w:rsidR="00A15986">
        <w:t>rvations. At first, I have analysed</w:t>
      </w:r>
      <w:r w:rsidR="00DD642A" w:rsidRPr="00471EDC">
        <w:t xml:space="preserve"> a large</w:t>
      </w:r>
      <w:r w:rsidR="000C3808">
        <w:t xml:space="preserve"> multinational organisation such as</w:t>
      </w:r>
      <w:r w:rsidR="00DD642A" w:rsidRPr="00471EDC">
        <w:t xml:space="preserve"> BP plc seemed to be difficult due to its complexity of operations as well as the magnitude in which it conducts its operations. The firm is engaged in various operations within the energy value chain, such as exploration, production, refining and energy distribution. </w:t>
      </w:r>
    </w:p>
    <w:p w14:paraId="34ACED8C" w14:textId="77777777" w:rsidR="00DD642A" w:rsidRPr="00471EDC" w:rsidRDefault="00DD642A" w:rsidP="00DD642A">
      <w:r w:rsidRPr="00471EDC">
        <w:t>In the course</w:t>
      </w:r>
      <w:r w:rsidR="009C7027">
        <w:t xml:space="preserve"> of doing the assignment, I have</w:t>
      </w:r>
      <w:r w:rsidRPr="00471EDC">
        <w:t xml:space="preserve"> realised that strategic management frameworks are handy tools to simplify complicated situations in organisations. Such models as SWOT analysis and</w:t>
      </w:r>
      <w:r w:rsidR="00981492">
        <w:t xml:space="preserve"> the Matrix </w:t>
      </w:r>
      <w:r w:rsidRPr="00471EDC">
        <w:t xml:space="preserve">assisted in organising the analysis and gave a concise method of perceiving the strategic position </w:t>
      </w:r>
      <w:r w:rsidR="00AD70D9" w:rsidRPr="00471EDC">
        <w:t xml:space="preserve">of the organisation. </w:t>
      </w:r>
    </w:p>
    <w:p w14:paraId="6921DFC2" w14:textId="77777777" w:rsidR="00DD642A" w:rsidRPr="00471EDC" w:rsidRDefault="00DD642A" w:rsidP="00DD642A">
      <w:r w:rsidRPr="00471EDC">
        <w:t>The other main lesson of this experience is the role of sustainability and environmental responsibility as the part of contemporary business strategies. The energy sector is now under pressure to minimise the number of carbon emissions and come up with cleaner energy sources. The strategic analysis of BP revealed how the business models of organisations should be adjusted to the environmental issues and regulatory pressures. The shift of the organisation to renewable energy projects and electric mobility infrastructure is an indication of the impact of the global sustainability objectives on strategic management.</w:t>
      </w:r>
    </w:p>
    <w:p w14:paraId="539215C1" w14:textId="77777777" w:rsidR="00DD642A" w:rsidRPr="00471EDC" w:rsidRDefault="00DD642A" w:rsidP="00DD642A">
      <w:pPr>
        <w:rPr>
          <w:b/>
          <w:i/>
        </w:rPr>
      </w:pPr>
      <w:r w:rsidRPr="00471EDC">
        <w:rPr>
          <w:b/>
          <w:i/>
        </w:rPr>
        <w:t>Conceptualisation</w:t>
      </w:r>
    </w:p>
    <w:p w14:paraId="265965C1" w14:textId="77777777" w:rsidR="00DD642A" w:rsidRPr="00471EDC" w:rsidRDefault="00DD642A" w:rsidP="00DD642A">
      <w:r w:rsidRPr="00471EDC">
        <w:t xml:space="preserve">Conceptually, the assignment has supported some key concepts of strategic management. Among these concepts is the fact that organisations should continuously change their strategies to be able </w:t>
      </w:r>
      <w:r w:rsidRPr="00471EDC">
        <w:lastRenderedPageBreak/>
        <w:t>to survive in dynamic environments. The strategic transformation required by the industries when they experience significant change is exhibited in the case of BP plc where the shift to an integrated energy company as compared to the traditional oil and gas company can be seen.</w:t>
      </w:r>
    </w:p>
    <w:p w14:paraId="4EA17262" w14:textId="77777777" w:rsidR="00DD642A" w:rsidRPr="00471EDC" w:rsidRDefault="00DD642A" w:rsidP="00DD642A">
      <w:r w:rsidRPr="00471EDC">
        <w:t xml:space="preserve">The other idea that was realised during the analysis is the place of strategic frameworks in decision-making. SWOT analysis </w:t>
      </w:r>
      <w:r w:rsidR="00791495">
        <w:t>and the Matrix</w:t>
      </w:r>
      <w:r w:rsidRPr="00471EDC">
        <w:t xml:space="preserve"> are methods of organised assessment of organisational strategies and finding the ways of the further development. As an illustration, SWOT analysis assists organisations in knowing how their internal strengths relate to the external environmental factors. Such knowledge enables organisations to come up with</w:t>
      </w:r>
      <w:r w:rsidR="005754CC" w:rsidRPr="00471EDC">
        <w:t xml:space="preserve"> strategies that</w:t>
      </w:r>
      <w:r w:rsidRPr="00471EDC">
        <w:t xml:space="preserve"> evoke on strengths, reduce weaknesses, exploit opportunities and alleviate threats.</w:t>
      </w:r>
    </w:p>
    <w:p w14:paraId="22ADE834" w14:textId="77777777" w:rsidR="00DD642A" w:rsidRPr="00471EDC" w:rsidRDefault="006C6F3C" w:rsidP="00DD642A">
      <w:r w:rsidRPr="00471EDC">
        <w:t>The</w:t>
      </w:r>
      <w:r w:rsidR="00791495">
        <w:t xml:space="preserve"> Matrix</w:t>
      </w:r>
      <w:r w:rsidR="00DD642A" w:rsidRPr="00471EDC">
        <w:t xml:space="preserve"> also gives understanding on various growth strategies that organisations may pursue. The case of BP demonstrates the diversification of the organisations in renewable energy markets and the development of the products with new energies technologies as the forms of exploration of the opportunities in the organisations under the conditions of the market change. These ideas underline that strategic growth does not presuppose the expansion of the already existing products but can also refer to the expansion of new markets or th</w:t>
      </w:r>
      <w:r w:rsidR="00721DF8" w:rsidRPr="00471EDC">
        <w:t xml:space="preserve">e creation of new solutions. </w:t>
      </w:r>
      <w:r w:rsidR="00DD642A" w:rsidRPr="00471EDC">
        <w:t xml:space="preserve">Sustainability as a concept of strategic management in modern times is another valuable thing to learn during this assignment. It is no longer true that financial performance is the only criterion used in assessing businesses; there is also the environmental and social impact to consider. </w:t>
      </w:r>
    </w:p>
    <w:p w14:paraId="04B1DB20" w14:textId="77777777" w:rsidR="00DD642A" w:rsidRPr="00471EDC" w:rsidRDefault="00DD642A" w:rsidP="00DD642A">
      <w:pPr>
        <w:rPr>
          <w:b/>
          <w:i/>
        </w:rPr>
      </w:pPr>
      <w:r w:rsidRPr="00471EDC">
        <w:rPr>
          <w:b/>
          <w:i/>
        </w:rPr>
        <w:t>Experimentation</w:t>
      </w:r>
    </w:p>
    <w:p w14:paraId="363011FF" w14:textId="77777777" w:rsidR="002308C5" w:rsidRPr="00471EDC" w:rsidRDefault="00DD642A" w:rsidP="00DD642A">
      <w:r w:rsidRPr="00471EDC">
        <w:t>The last phase of Kolb Reflective Cycle is to determine the application of the learning experience to situations in the future. The lessons learned in this assignment can be used in my future academic life a</w:t>
      </w:r>
      <w:r w:rsidR="002A37B4" w:rsidRPr="00471EDC">
        <w:t xml:space="preserve">s well as in business practise. </w:t>
      </w:r>
      <w:r w:rsidRPr="00471EDC">
        <w:t>One of the applications of this learning is by use of strategic management frameworks in analysing other organisations or industries. The experience has proved that models like SWOT analysi</w:t>
      </w:r>
      <w:r w:rsidR="00924056">
        <w:t xml:space="preserve">s and Matrix </w:t>
      </w:r>
      <w:r w:rsidRPr="00471EDC">
        <w:t>can be effective to evaluate the organisational strategies and find the opportunities to improve them. These models may be applied in future projects or in working life to perform systematic strategic an</w:t>
      </w:r>
      <w:r w:rsidR="008D6326" w:rsidRPr="00471EDC">
        <w:t xml:space="preserve">alysis and aid decision making. </w:t>
      </w:r>
    </w:p>
    <w:p w14:paraId="6D2F4664" w14:textId="77777777" w:rsidR="00046710" w:rsidRPr="00471EDC" w:rsidRDefault="00DD642A" w:rsidP="00DD642A">
      <w:r w:rsidRPr="00471EDC">
        <w:t xml:space="preserve">To perform strategic analysis, one needs skills of interpreting organisational information, assessing outside market realities and putting theoretical concepts into practise. </w:t>
      </w:r>
      <w:r w:rsidR="008D6326" w:rsidRPr="00471EDC">
        <w:t xml:space="preserve"> </w:t>
      </w:r>
      <w:r w:rsidRPr="00471EDC">
        <w:t>When conducting business analysis or being a manager in the future, one can pay more attention to the assessment of the</w:t>
      </w:r>
      <w:r w:rsidR="006E4BAF" w:rsidRPr="00471EDC">
        <w:t xml:space="preserve"> way </w:t>
      </w:r>
      <w:r w:rsidR="006E4BAF" w:rsidRPr="00471EDC">
        <w:lastRenderedPageBreak/>
        <w:t>in which organisations</w:t>
      </w:r>
      <w:r w:rsidRPr="00471EDC">
        <w:t xml:space="preserve"> with environmental issues and encompass sustainability in their strategies.</w:t>
      </w:r>
      <w:r w:rsidR="00C82E51" w:rsidRPr="00471EDC">
        <w:t xml:space="preserve"> </w:t>
      </w:r>
      <w:r w:rsidRPr="00471EDC">
        <w:t>With the help of the acquired knowledge through the strategic frameworks and organisational analysis, future academic work and professional practise can be more analytical, structured and effective.</w:t>
      </w:r>
    </w:p>
    <w:p w14:paraId="49AC539A" w14:textId="77777777" w:rsidR="006A4B74" w:rsidRPr="00471EDC" w:rsidRDefault="006A4B74" w:rsidP="00F47917"/>
    <w:p w14:paraId="73101CB9" w14:textId="77777777" w:rsidR="00324FDC" w:rsidRPr="00471EDC" w:rsidRDefault="00324FDC">
      <w:pPr>
        <w:spacing w:line="259" w:lineRule="auto"/>
        <w:jc w:val="left"/>
      </w:pPr>
      <w:r w:rsidRPr="00471EDC">
        <w:br w:type="page"/>
      </w:r>
    </w:p>
    <w:p w14:paraId="4C2AE6FB" w14:textId="77777777" w:rsidR="00107480" w:rsidRPr="00471EDC" w:rsidRDefault="00512C07" w:rsidP="00512C07">
      <w:pPr>
        <w:pStyle w:val="Heading1"/>
      </w:pPr>
      <w:bookmarkStart w:id="15" w:name="_Toc224060358"/>
      <w:r w:rsidRPr="00471EDC">
        <w:lastRenderedPageBreak/>
        <w:t>Reference</w:t>
      </w:r>
      <w:bookmarkEnd w:id="15"/>
      <w:r w:rsidR="00F0668D" w:rsidRPr="00471EDC">
        <w:t xml:space="preserve"> </w:t>
      </w:r>
    </w:p>
    <w:p w14:paraId="24EC1C1A" w14:textId="77777777" w:rsidR="00324FDC" w:rsidRPr="00471EDC" w:rsidRDefault="00324FDC" w:rsidP="00FB4829">
      <w:pPr>
        <w:pStyle w:val="NormalWeb"/>
        <w:spacing w:before="0" w:beforeAutospacing="0" w:after="240" w:afterAutospacing="0" w:line="360" w:lineRule="atLeast"/>
        <w:rPr>
          <w:color w:val="000000"/>
          <w:lang w:val="en-GB"/>
        </w:rPr>
      </w:pPr>
      <w:r w:rsidRPr="00471EDC">
        <w:rPr>
          <w:color w:val="000000"/>
          <w:lang w:val="en-GB"/>
        </w:rPr>
        <w:t>bp global (2025). </w:t>
      </w:r>
      <w:r w:rsidRPr="00471EDC">
        <w:rPr>
          <w:i/>
          <w:iCs/>
          <w:color w:val="000000"/>
          <w:lang w:val="en-GB"/>
        </w:rPr>
        <w:t>bp global</w:t>
      </w:r>
      <w:r w:rsidR="00151C5B" w:rsidRPr="00471EDC">
        <w:rPr>
          <w:color w:val="000000"/>
          <w:lang w:val="en-GB"/>
        </w:rPr>
        <w:t>. [O</w:t>
      </w:r>
      <w:r w:rsidRPr="00471EDC">
        <w:rPr>
          <w:color w:val="000000"/>
          <w:lang w:val="en-GB"/>
        </w:rPr>
        <w:t xml:space="preserve">nline] bp global. Available at: </w:t>
      </w:r>
      <w:hyperlink r:id="rId21" w:history="1">
        <w:r w:rsidR="00077260" w:rsidRPr="00471EDC">
          <w:rPr>
            <w:rStyle w:val="Hyperlink"/>
            <w:lang w:val="en-GB"/>
          </w:rPr>
          <w:t>https://www.bp.com/en/global/corporate/investors/results-reporting-and-presentations/annual-report</w:t>
        </w:r>
      </w:hyperlink>
      <w:r w:rsidR="00F74892" w:rsidRPr="00471EDC">
        <w:rPr>
          <w:color w:val="000000"/>
          <w:lang w:val="en-GB"/>
        </w:rPr>
        <w:t>.</w:t>
      </w:r>
      <w:r w:rsidR="00077260" w:rsidRPr="00471EDC">
        <w:rPr>
          <w:color w:val="000000"/>
          <w:lang w:val="en-GB"/>
        </w:rPr>
        <w:t xml:space="preserve"> </w:t>
      </w:r>
      <w:r w:rsidR="00CB1034" w:rsidRPr="00471EDC">
        <w:rPr>
          <w:color w:val="000000"/>
          <w:lang w:val="en-GB"/>
        </w:rPr>
        <w:t xml:space="preserve"> </w:t>
      </w:r>
      <w:r w:rsidRPr="00471EDC">
        <w:rPr>
          <w:color w:val="000000"/>
          <w:lang w:val="en-GB"/>
        </w:rPr>
        <w:t xml:space="preserve"> [Accessed</w:t>
      </w:r>
      <w:r w:rsidR="00151C5B" w:rsidRPr="00471EDC">
        <w:rPr>
          <w:color w:val="000000"/>
          <w:lang w:val="en-GB"/>
        </w:rPr>
        <w:t xml:space="preserve"> on:</w:t>
      </w:r>
      <w:r w:rsidRPr="00471EDC">
        <w:rPr>
          <w:color w:val="000000"/>
          <w:lang w:val="en-GB"/>
        </w:rPr>
        <w:t xml:space="preserve"> 10 Mar. 2026].</w:t>
      </w:r>
    </w:p>
    <w:p w14:paraId="10FEE106" w14:textId="77777777" w:rsidR="00D6695A" w:rsidRPr="00471EDC" w:rsidRDefault="00324FDC" w:rsidP="00FB4829">
      <w:pPr>
        <w:pStyle w:val="NormalWeb"/>
        <w:spacing w:before="0" w:beforeAutospacing="0" w:after="240" w:afterAutospacing="0" w:line="360" w:lineRule="atLeast"/>
        <w:rPr>
          <w:color w:val="000000"/>
          <w:lang w:val="en-GB"/>
        </w:rPr>
      </w:pPr>
      <w:r w:rsidRPr="00471EDC">
        <w:rPr>
          <w:color w:val="000000"/>
          <w:lang w:val="en-GB"/>
        </w:rPr>
        <w:t>‌</w:t>
      </w:r>
      <w:r w:rsidR="00D6695A" w:rsidRPr="00471EDC">
        <w:rPr>
          <w:color w:val="000000"/>
          <w:lang w:val="en-GB"/>
        </w:rPr>
        <w:t>Annualreports.com. (2024). </w:t>
      </w:r>
      <w:r w:rsidR="00D6695A" w:rsidRPr="00471EDC">
        <w:rPr>
          <w:i/>
          <w:iCs/>
          <w:color w:val="000000"/>
          <w:lang w:val="en-GB"/>
        </w:rPr>
        <w:t>BP plc</w:t>
      </w:r>
      <w:r w:rsidR="00CD3343" w:rsidRPr="00471EDC">
        <w:rPr>
          <w:color w:val="000000"/>
          <w:lang w:val="en-GB"/>
        </w:rPr>
        <w:t>. [O</w:t>
      </w:r>
      <w:r w:rsidR="00D6695A" w:rsidRPr="00471EDC">
        <w:rPr>
          <w:color w:val="000000"/>
          <w:lang w:val="en-GB"/>
        </w:rPr>
        <w:t xml:space="preserve">nline] Available at: </w:t>
      </w:r>
      <w:hyperlink r:id="rId22" w:history="1">
        <w:r w:rsidR="00CD3343" w:rsidRPr="00471EDC">
          <w:rPr>
            <w:rStyle w:val="Hyperlink"/>
            <w:lang w:val="en-GB"/>
          </w:rPr>
          <w:t>https://www.annualreports.com/Company/bp-plc</w:t>
        </w:r>
      </w:hyperlink>
      <w:r w:rsidR="00CD3343" w:rsidRPr="00471EDC">
        <w:rPr>
          <w:color w:val="000000"/>
          <w:lang w:val="en-GB"/>
        </w:rPr>
        <w:t xml:space="preserve"> </w:t>
      </w:r>
      <w:r w:rsidR="00D6695A" w:rsidRPr="00471EDC">
        <w:rPr>
          <w:color w:val="000000"/>
          <w:lang w:val="en-GB"/>
        </w:rPr>
        <w:t xml:space="preserve"> [Accessed</w:t>
      </w:r>
      <w:r w:rsidR="00CD3343" w:rsidRPr="00471EDC">
        <w:rPr>
          <w:color w:val="000000"/>
          <w:lang w:val="en-GB"/>
        </w:rPr>
        <w:t xml:space="preserve"> on:</w:t>
      </w:r>
      <w:r w:rsidR="00D6695A" w:rsidRPr="00471EDC">
        <w:rPr>
          <w:color w:val="000000"/>
          <w:lang w:val="en-GB"/>
        </w:rPr>
        <w:t xml:space="preserve"> 10 Mar. 2026].</w:t>
      </w:r>
    </w:p>
    <w:p w14:paraId="1D0B52E9" w14:textId="77777777" w:rsidR="000E2E45" w:rsidRPr="00471EDC" w:rsidRDefault="000E2E45"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t xml:space="preserve">Chrysikopoulos, S.K., Chountalas, P.T., Georgakellos, </w:t>
      </w:r>
      <w:r w:rsidR="005E0649" w:rsidRPr="00471EDC">
        <w:rPr>
          <w:color w:val="222222"/>
          <w:shd w:val="clear" w:color="auto" w:fill="FFFFFF"/>
          <w:lang w:val="en-GB"/>
        </w:rPr>
        <w:t xml:space="preserve">D.A. and Lagodimos, A.G. (2024) </w:t>
      </w:r>
      <w:r w:rsidRPr="00471EDC">
        <w:rPr>
          <w:color w:val="222222"/>
          <w:shd w:val="clear" w:color="auto" w:fill="FFFFFF"/>
          <w:lang w:val="en-GB"/>
        </w:rPr>
        <w:t>Decarbonization in the oil and gas sector: The role of power purchase agreements and renewable energy certificates. </w:t>
      </w:r>
      <w:r w:rsidRPr="00471EDC">
        <w:rPr>
          <w:i/>
          <w:iCs/>
          <w:color w:val="222222"/>
          <w:shd w:val="clear" w:color="auto" w:fill="FFFFFF"/>
          <w:lang w:val="en-GB"/>
        </w:rPr>
        <w:t>Sustainability</w:t>
      </w:r>
      <w:r w:rsidRPr="00471EDC">
        <w:rPr>
          <w:color w:val="222222"/>
          <w:shd w:val="clear" w:color="auto" w:fill="FFFFFF"/>
          <w:lang w:val="en-GB"/>
        </w:rPr>
        <w:t>, </w:t>
      </w:r>
      <w:r w:rsidRPr="00471EDC">
        <w:rPr>
          <w:i/>
          <w:iCs/>
          <w:color w:val="222222"/>
          <w:shd w:val="clear" w:color="auto" w:fill="FFFFFF"/>
          <w:lang w:val="en-GB"/>
        </w:rPr>
        <w:t>16</w:t>
      </w:r>
      <w:r w:rsidRPr="00471EDC">
        <w:rPr>
          <w:color w:val="222222"/>
          <w:shd w:val="clear" w:color="auto" w:fill="FFFFFF"/>
          <w:lang w:val="en-GB"/>
        </w:rPr>
        <w:t>(15), p</w:t>
      </w:r>
      <w:r w:rsidR="00D56DA0" w:rsidRPr="00471EDC">
        <w:rPr>
          <w:color w:val="222222"/>
          <w:shd w:val="clear" w:color="auto" w:fill="FFFFFF"/>
          <w:lang w:val="en-GB"/>
        </w:rPr>
        <w:t>p</w:t>
      </w:r>
      <w:r w:rsidRPr="00471EDC">
        <w:rPr>
          <w:color w:val="222222"/>
          <w:shd w:val="clear" w:color="auto" w:fill="FFFFFF"/>
          <w:lang w:val="en-GB"/>
        </w:rPr>
        <w:t>.</w:t>
      </w:r>
      <w:r w:rsidR="0021049C" w:rsidRPr="00471EDC">
        <w:rPr>
          <w:color w:val="222222"/>
          <w:shd w:val="clear" w:color="auto" w:fill="FFFFFF"/>
          <w:lang w:val="en-GB"/>
        </w:rPr>
        <w:t xml:space="preserve"> </w:t>
      </w:r>
      <w:r w:rsidRPr="00471EDC">
        <w:rPr>
          <w:color w:val="222222"/>
          <w:shd w:val="clear" w:color="auto" w:fill="FFFFFF"/>
          <w:lang w:val="en-GB"/>
        </w:rPr>
        <w:t>6339.</w:t>
      </w:r>
      <w:r w:rsidR="00F269A8" w:rsidRPr="00471EDC">
        <w:rPr>
          <w:color w:val="222222"/>
          <w:shd w:val="clear" w:color="auto" w:fill="FFFFFF"/>
          <w:lang w:val="en-GB"/>
        </w:rPr>
        <w:t xml:space="preserve"> DOI: </w:t>
      </w:r>
      <w:hyperlink r:id="rId23" w:history="1">
        <w:r w:rsidR="00F269A8" w:rsidRPr="00471EDC">
          <w:rPr>
            <w:rStyle w:val="Hyperlink"/>
            <w:shd w:val="clear" w:color="auto" w:fill="FFFFFF"/>
            <w:lang w:val="en-GB"/>
          </w:rPr>
          <w:t>https://www.mdpi.com/2071-1050/16/15/6339</w:t>
        </w:r>
      </w:hyperlink>
      <w:r w:rsidR="00F269A8" w:rsidRPr="00471EDC">
        <w:rPr>
          <w:color w:val="222222"/>
          <w:shd w:val="clear" w:color="auto" w:fill="FFFFFF"/>
          <w:lang w:val="en-GB"/>
        </w:rPr>
        <w:t xml:space="preserve"> </w:t>
      </w:r>
    </w:p>
    <w:p w14:paraId="5678832B" w14:textId="77777777" w:rsidR="00330390" w:rsidRPr="00471EDC" w:rsidRDefault="00330390" w:rsidP="00FB4829">
      <w:pPr>
        <w:pStyle w:val="NormalWeb"/>
        <w:spacing w:before="0" w:beforeAutospacing="0" w:after="240" w:afterAutospacing="0" w:line="360" w:lineRule="atLeast"/>
        <w:rPr>
          <w:color w:val="000000"/>
          <w:lang w:val="en-GB"/>
        </w:rPr>
      </w:pPr>
      <w:r w:rsidRPr="00471EDC">
        <w:rPr>
          <w:color w:val="000000"/>
          <w:lang w:val="en-GB"/>
        </w:rPr>
        <w:t>bp global (2025). </w:t>
      </w:r>
      <w:r w:rsidRPr="00471EDC">
        <w:rPr>
          <w:i/>
          <w:iCs/>
          <w:color w:val="000000"/>
          <w:lang w:val="en-GB"/>
        </w:rPr>
        <w:t>bp global</w:t>
      </w:r>
      <w:r w:rsidR="000B71CE" w:rsidRPr="00471EDC">
        <w:rPr>
          <w:color w:val="000000"/>
          <w:lang w:val="en-GB"/>
        </w:rPr>
        <w:t>. [O</w:t>
      </w:r>
      <w:r w:rsidRPr="00471EDC">
        <w:rPr>
          <w:color w:val="000000"/>
          <w:lang w:val="en-GB"/>
        </w:rPr>
        <w:t xml:space="preserve">nline] bp global. Available at: </w:t>
      </w:r>
      <w:hyperlink r:id="rId24" w:history="1">
        <w:r w:rsidRPr="00471EDC">
          <w:rPr>
            <w:rStyle w:val="Hyperlink"/>
            <w:lang w:val="en-GB"/>
          </w:rPr>
          <w:t>https://www.bp.com/en/global/corporate/news-and-insights/press-releases/bp-boosts-ev-charging-network-with-100-million-dollar-order-of-tesla-ultra-fast-chargers.html</w:t>
        </w:r>
      </w:hyperlink>
      <w:r w:rsidRPr="00471EDC">
        <w:rPr>
          <w:color w:val="000000"/>
          <w:lang w:val="en-GB"/>
        </w:rPr>
        <w:t xml:space="preserve">  [Accessed on: 10 Mar. 2026].</w:t>
      </w:r>
    </w:p>
    <w:p w14:paraId="684CF03F" w14:textId="77777777" w:rsidR="009937E3" w:rsidRPr="00471EDC" w:rsidRDefault="00215870"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t>Silalahi, E.E. (2023)</w:t>
      </w:r>
      <w:r w:rsidR="00A806D8" w:rsidRPr="00471EDC">
        <w:rPr>
          <w:color w:val="222222"/>
          <w:shd w:val="clear" w:color="auto" w:fill="FFFFFF"/>
          <w:lang w:val="en-GB"/>
        </w:rPr>
        <w:t xml:space="preserve"> The balanced scorecard model for strategic business management. </w:t>
      </w:r>
      <w:r w:rsidR="00A806D8" w:rsidRPr="00471EDC">
        <w:rPr>
          <w:i/>
          <w:iCs/>
          <w:color w:val="222222"/>
          <w:shd w:val="clear" w:color="auto" w:fill="FFFFFF"/>
          <w:lang w:val="en-GB"/>
        </w:rPr>
        <w:t>International Journal of Current Science Researchand Review</w:t>
      </w:r>
      <w:r w:rsidR="00A806D8" w:rsidRPr="00471EDC">
        <w:rPr>
          <w:color w:val="222222"/>
          <w:shd w:val="clear" w:color="auto" w:fill="FFFFFF"/>
          <w:lang w:val="en-GB"/>
        </w:rPr>
        <w:t>, </w:t>
      </w:r>
      <w:r w:rsidR="00A806D8" w:rsidRPr="00471EDC">
        <w:rPr>
          <w:i/>
          <w:iCs/>
          <w:color w:val="222222"/>
          <w:shd w:val="clear" w:color="auto" w:fill="FFFFFF"/>
          <w:lang w:val="en-GB"/>
        </w:rPr>
        <w:t>6</w:t>
      </w:r>
      <w:r w:rsidR="00A806D8" w:rsidRPr="00471EDC">
        <w:rPr>
          <w:color w:val="222222"/>
          <w:shd w:val="clear" w:color="auto" w:fill="FFFFFF"/>
          <w:lang w:val="en-GB"/>
        </w:rPr>
        <w:t>, pp.</w:t>
      </w:r>
      <w:r w:rsidR="0021049C" w:rsidRPr="00471EDC">
        <w:rPr>
          <w:color w:val="222222"/>
          <w:shd w:val="clear" w:color="auto" w:fill="FFFFFF"/>
          <w:lang w:val="en-GB"/>
        </w:rPr>
        <w:t xml:space="preserve"> </w:t>
      </w:r>
      <w:r w:rsidR="00A806D8" w:rsidRPr="00471EDC">
        <w:rPr>
          <w:color w:val="222222"/>
          <w:shd w:val="clear" w:color="auto" w:fill="FFFFFF"/>
          <w:lang w:val="en-GB"/>
        </w:rPr>
        <w:t>3014-19.</w:t>
      </w:r>
      <w:r w:rsidR="00BC5FF8" w:rsidRPr="00471EDC">
        <w:rPr>
          <w:color w:val="222222"/>
          <w:shd w:val="clear" w:color="auto" w:fill="FFFFFF"/>
          <w:lang w:val="en-GB"/>
        </w:rPr>
        <w:t xml:space="preserve"> DOI: </w:t>
      </w:r>
      <w:hyperlink r:id="rId25" w:history="1">
        <w:r w:rsidR="00BC5FF8" w:rsidRPr="00471EDC">
          <w:rPr>
            <w:rStyle w:val="Hyperlink"/>
            <w:shd w:val="clear" w:color="auto" w:fill="FFFFFF"/>
            <w:lang w:val="en-GB"/>
          </w:rPr>
          <w:t>https://www.academia.edu/download/112816653/40-29-2023.pdf</w:t>
        </w:r>
      </w:hyperlink>
      <w:r w:rsidR="00BC5FF8" w:rsidRPr="00471EDC">
        <w:rPr>
          <w:color w:val="222222"/>
          <w:shd w:val="clear" w:color="auto" w:fill="FFFFFF"/>
          <w:lang w:val="en-GB"/>
        </w:rPr>
        <w:t xml:space="preserve"> </w:t>
      </w:r>
    </w:p>
    <w:p w14:paraId="6AA982BE" w14:textId="77777777" w:rsidR="005C1BD7" w:rsidRPr="00471EDC" w:rsidRDefault="005C1BD7"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t>Mardanov, E., Ma</w:t>
      </w:r>
      <w:r w:rsidR="00687994" w:rsidRPr="00471EDC">
        <w:rPr>
          <w:color w:val="222222"/>
          <w:shd w:val="clear" w:color="auto" w:fill="FFFFFF"/>
          <w:lang w:val="en-GB"/>
        </w:rPr>
        <w:t>vlutova, I. and Sloka, B. (2026)</w:t>
      </w:r>
      <w:r w:rsidRPr="00471EDC">
        <w:rPr>
          <w:color w:val="222222"/>
          <w:shd w:val="clear" w:color="auto" w:fill="FFFFFF"/>
          <w:lang w:val="en-GB"/>
        </w:rPr>
        <w:t xml:space="preserve"> Financial Performance Outcomes of AI-Adoption in Oil and Gas: The Mediating Role of Operational Efficiency. </w:t>
      </w:r>
      <w:r w:rsidRPr="00471EDC">
        <w:rPr>
          <w:i/>
          <w:iCs/>
          <w:color w:val="222222"/>
          <w:shd w:val="clear" w:color="auto" w:fill="FFFFFF"/>
          <w:lang w:val="en-GB"/>
        </w:rPr>
        <w:t>Journal of Risk and Financial Management</w:t>
      </w:r>
      <w:r w:rsidRPr="00471EDC">
        <w:rPr>
          <w:color w:val="222222"/>
          <w:shd w:val="clear" w:color="auto" w:fill="FFFFFF"/>
          <w:lang w:val="en-GB"/>
        </w:rPr>
        <w:t>, </w:t>
      </w:r>
      <w:r w:rsidRPr="00471EDC">
        <w:rPr>
          <w:i/>
          <w:iCs/>
          <w:color w:val="222222"/>
          <w:shd w:val="clear" w:color="auto" w:fill="FFFFFF"/>
          <w:lang w:val="en-GB"/>
        </w:rPr>
        <w:t>19</w:t>
      </w:r>
      <w:r w:rsidRPr="00471EDC">
        <w:rPr>
          <w:color w:val="222222"/>
          <w:shd w:val="clear" w:color="auto" w:fill="FFFFFF"/>
          <w:lang w:val="en-GB"/>
        </w:rPr>
        <w:t>(1), p</w:t>
      </w:r>
      <w:r w:rsidR="001D7EE1" w:rsidRPr="00471EDC">
        <w:rPr>
          <w:color w:val="222222"/>
          <w:shd w:val="clear" w:color="auto" w:fill="FFFFFF"/>
          <w:lang w:val="en-GB"/>
        </w:rPr>
        <w:t>p</w:t>
      </w:r>
      <w:r w:rsidRPr="00471EDC">
        <w:rPr>
          <w:color w:val="222222"/>
          <w:shd w:val="clear" w:color="auto" w:fill="FFFFFF"/>
          <w:lang w:val="en-GB"/>
        </w:rPr>
        <w:t>.</w:t>
      </w:r>
      <w:r w:rsidR="001D7EE1" w:rsidRPr="00471EDC">
        <w:rPr>
          <w:color w:val="222222"/>
          <w:shd w:val="clear" w:color="auto" w:fill="FFFFFF"/>
          <w:lang w:val="en-GB"/>
        </w:rPr>
        <w:t xml:space="preserve"> </w:t>
      </w:r>
      <w:r w:rsidRPr="00471EDC">
        <w:rPr>
          <w:color w:val="222222"/>
          <w:shd w:val="clear" w:color="auto" w:fill="FFFFFF"/>
          <w:lang w:val="en-GB"/>
        </w:rPr>
        <w:t>44.</w:t>
      </w:r>
      <w:r w:rsidR="00F62A9F" w:rsidRPr="00471EDC">
        <w:rPr>
          <w:color w:val="222222"/>
          <w:shd w:val="clear" w:color="auto" w:fill="FFFFFF"/>
          <w:lang w:val="en-GB"/>
        </w:rPr>
        <w:t xml:space="preserve"> DOI: </w:t>
      </w:r>
      <w:hyperlink r:id="rId26" w:history="1">
        <w:r w:rsidR="003D7970" w:rsidRPr="00471EDC">
          <w:rPr>
            <w:rStyle w:val="Hyperlink"/>
            <w:shd w:val="clear" w:color="auto" w:fill="FFFFFF"/>
            <w:lang w:val="en-GB"/>
          </w:rPr>
          <w:t>https://www.mdpi.com/1911-8074/19/1/44</w:t>
        </w:r>
      </w:hyperlink>
      <w:r w:rsidR="003D7970" w:rsidRPr="00471EDC">
        <w:rPr>
          <w:color w:val="222222"/>
          <w:shd w:val="clear" w:color="auto" w:fill="FFFFFF"/>
          <w:lang w:val="en-GB"/>
        </w:rPr>
        <w:t xml:space="preserve"> </w:t>
      </w:r>
    </w:p>
    <w:p w14:paraId="04099569" w14:textId="77777777" w:rsidR="00A802B1" w:rsidRPr="00471EDC" w:rsidRDefault="00A802B1"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t>Ogbuka, J.C., Nwanmuoh, E.E., Og</w:t>
      </w:r>
      <w:r w:rsidR="006821CD" w:rsidRPr="00471EDC">
        <w:rPr>
          <w:color w:val="222222"/>
          <w:shd w:val="clear" w:color="auto" w:fill="FFFFFF"/>
          <w:lang w:val="en-GB"/>
        </w:rPr>
        <w:t>bo, A.I. and Achoru, F.E. (2022)</w:t>
      </w:r>
      <w:r w:rsidRPr="00471EDC">
        <w:rPr>
          <w:color w:val="222222"/>
          <w:shd w:val="clear" w:color="auto" w:fill="FFFFFF"/>
          <w:lang w:val="en-GB"/>
        </w:rPr>
        <w:t xml:space="preserve"> Offshore oil spill response base and management of deepwater/offshore oil resources in the Nigerian marine waters: A review. </w:t>
      </w:r>
      <w:r w:rsidRPr="00471EDC">
        <w:rPr>
          <w:i/>
          <w:iCs/>
          <w:color w:val="222222"/>
          <w:shd w:val="clear" w:color="auto" w:fill="FFFFFF"/>
          <w:lang w:val="en-GB"/>
        </w:rPr>
        <w:t>International Journal of Environmental Impacts</w:t>
      </w:r>
      <w:r w:rsidRPr="00471EDC">
        <w:rPr>
          <w:color w:val="222222"/>
          <w:shd w:val="clear" w:color="auto" w:fill="FFFFFF"/>
          <w:lang w:val="en-GB"/>
        </w:rPr>
        <w:t>, </w:t>
      </w:r>
      <w:r w:rsidRPr="00471EDC">
        <w:rPr>
          <w:i/>
          <w:iCs/>
          <w:color w:val="222222"/>
          <w:shd w:val="clear" w:color="auto" w:fill="FFFFFF"/>
          <w:lang w:val="en-GB"/>
        </w:rPr>
        <w:t>5</w:t>
      </w:r>
      <w:r w:rsidRPr="00471EDC">
        <w:rPr>
          <w:color w:val="222222"/>
          <w:shd w:val="clear" w:color="auto" w:fill="FFFFFF"/>
          <w:lang w:val="en-GB"/>
        </w:rPr>
        <w:t>(1), pp.</w:t>
      </w:r>
      <w:r w:rsidR="001D7EE1" w:rsidRPr="00471EDC">
        <w:rPr>
          <w:color w:val="222222"/>
          <w:shd w:val="clear" w:color="auto" w:fill="FFFFFF"/>
          <w:lang w:val="en-GB"/>
        </w:rPr>
        <w:t xml:space="preserve"> </w:t>
      </w:r>
      <w:r w:rsidRPr="00471EDC">
        <w:rPr>
          <w:color w:val="222222"/>
          <w:shd w:val="clear" w:color="auto" w:fill="FFFFFF"/>
          <w:lang w:val="en-GB"/>
        </w:rPr>
        <w:t>65-81.</w:t>
      </w:r>
      <w:r w:rsidR="00264AFD" w:rsidRPr="00471EDC">
        <w:rPr>
          <w:color w:val="222222"/>
          <w:shd w:val="clear" w:color="auto" w:fill="FFFFFF"/>
          <w:lang w:val="en-GB"/>
        </w:rPr>
        <w:t xml:space="preserve"> DOI: </w:t>
      </w:r>
      <w:hyperlink r:id="rId27" w:history="1">
        <w:r w:rsidR="00264AFD" w:rsidRPr="00471EDC">
          <w:rPr>
            <w:rStyle w:val="Hyperlink"/>
            <w:shd w:val="clear" w:color="auto" w:fill="FFFFFF"/>
            <w:lang w:val="en-GB"/>
          </w:rPr>
          <w:t>https://www.witpress.com/elibrary/ei-volumes/5/1/2878</w:t>
        </w:r>
      </w:hyperlink>
      <w:r w:rsidR="00264AFD" w:rsidRPr="00471EDC">
        <w:rPr>
          <w:color w:val="222222"/>
          <w:shd w:val="clear" w:color="auto" w:fill="FFFFFF"/>
          <w:lang w:val="en-GB"/>
        </w:rPr>
        <w:t xml:space="preserve"> </w:t>
      </w:r>
    </w:p>
    <w:p w14:paraId="7EB57D36" w14:textId="77777777" w:rsidR="00A877DF" w:rsidRPr="00471EDC" w:rsidRDefault="00A877DF"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t>Gi</w:t>
      </w:r>
      <w:r w:rsidR="00AC7592" w:rsidRPr="00471EDC">
        <w:rPr>
          <w:color w:val="222222"/>
          <w:shd w:val="clear" w:color="auto" w:fill="FFFFFF"/>
          <w:lang w:val="en-GB"/>
        </w:rPr>
        <w:t>gauri, I. and Vasilev, V. (2022)</w:t>
      </w:r>
      <w:r w:rsidRPr="00471EDC">
        <w:rPr>
          <w:color w:val="222222"/>
          <w:shd w:val="clear" w:color="auto" w:fill="FFFFFF"/>
          <w:lang w:val="en-GB"/>
        </w:rPr>
        <w:t xml:space="preserve"> Corporate social responsibility in the energy sector: towards sustainability. In </w:t>
      </w:r>
      <w:r w:rsidRPr="00471EDC">
        <w:rPr>
          <w:i/>
          <w:iCs/>
          <w:color w:val="222222"/>
          <w:shd w:val="clear" w:color="auto" w:fill="FFFFFF"/>
          <w:lang w:val="en-GB"/>
        </w:rPr>
        <w:t>Energy transition: economic, social and environmental dimensions</w:t>
      </w:r>
      <w:r w:rsidRPr="00471EDC">
        <w:rPr>
          <w:color w:val="222222"/>
          <w:shd w:val="clear" w:color="auto" w:fill="FFFFFF"/>
          <w:lang w:val="en-GB"/>
        </w:rPr>
        <w:t> (pp. 267-288). Singapore: Springer Nature Singapore.</w:t>
      </w:r>
      <w:r w:rsidR="00B64205">
        <w:rPr>
          <w:color w:val="222222"/>
          <w:shd w:val="clear" w:color="auto" w:fill="FFFFFF"/>
          <w:lang w:val="en-GB"/>
        </w:rPr>
        <w:t xml:space="preserve"> DOI: </w:t>
      </w:r>
      <w:hyperlink r:id="rId28" w:history="1">
        <w:r w:rsidR="00B64205" w:rsidRPr="00C83AE8">
          <w:rPr>
            <w:rStyle w:val="Hyperlink"/>
            <w:shd w:val="clear" w:color="auto" w:fill="FFFFFF"/>
            <w:lang w:val="en-GB"/>
          </w:rPr>
          <w:t>https://link.springer.com/chapter/10.1007/978-981-19-3540-4_10</w:t>
        </w:r>
      </w:hyperlink>
      <w:r w:rsidR="00B64205">
        <w:rPr>
          <w:color w:val="222222"/>
          <w:shd w:val="clear" w:color="auto" w:fill="FFFFFF"/>
          <w:lang w:val="en-GB"/>
        </w:rPr>
        <w:t xml:space="preserve"> </w:t>
      </w:r>
    </w:p>
    <w:p w14:paraId="139176EF" w14:textId="77777777" w:rsidR="00330390" w:rsidRPr="00471EDC" w:rsidRDefault="008167AC" w:rsidP="00FB4829">
      <w:pPr>
        <w:pStyle w:val="NormalWeb"/>
        <w:rPr>
          <w:color w:val="222222"/>
          <w:shd w:val="clear" w:color="auto" w:fill="FFFFFF"/>
          <w:lang w:val="en-GB"/>
        </w:rPr>
      </w:pPr>
      <w:r w:rsidRPr="00471EDC">
        <w:rPr>
          <w:color w:val="222222"/>
          <w:shd w:val="clear" w:color="auto" w:fill="FFFFFF"/>
          <w:lang w:val="en-GB"/>
        </w:rPr>
        <w:t>Franco,J</w:t>
      </w:r>
      <w:r w:rsidR="00604FF0" w:rsidRPr="00471EDC">
        <w:rPr>
          <w:color w:val="222222"/>
          <w:shd w:val="clear" w:color="auto" w:fill="FFFFFF"/>
          <w:lang w:val="en-GB"/>
        </w:rPr>
        <w:t>.</w:t>
      </w:r>
      <w:r w:rsidRPr="00471EDC">
        <w:rPr>
          <w:color w:val="222222"/>
          <w:shd w:val="clear" w:color="auto" w:fill="FFFFFF"/>
          <w:lang w:val="en-GB"/>
        </w:rPr>
        <w:t>d.A.B</w:t>
      </w:r>
      <w:r w:rsidR="00604FF0" w:rsidRPr="00471EDC">
        <w:rPr>
          <w:color w:val="222222"/>
          <w:shd w:val="clear" w:color="auto" w:fill="FFFFFF"/>
          <w:lang w:val="en-GB"/>
        </w:rPr>
        <w:t>, Junior, A.</w:t>
      </w:r>
      <w:r w:rsidRPr="00471EDC">
        <w:rPr>
          <w:color w:val="222222"/>
          <w:shd w:val="clear" w:color="auto" w:fill="FFFFFF"/>
          <w:lang w:val="en-GB"/>
        </w:rPr>
        <w:t>F</w:t>
      </w:r>
      <w:r w:rsidR="00604FF0" w:rsidRPr="00471EDC">
        <w:rPr>
          <w:color w:val="222222"/>
          <w:shd w:val="clear" w:color="auto" w:fill="FFFFFF"/>
          <w:lang w:val="en-GB"/>
        </w:rPr>
        <w:t>, Battistelle,</w:t>
      </w:r>
      <w:r w:rsidR="00DA3903" w:rsidRPr="00471EDC">
        <w:rPr>
          <w:color w:val="222222"/>
          <w:shd w:val="clear" w:color="auto" w:fill="FFFFFF"/>
          <w:lang w:val="en-GB"/>
        </w:rPr>
        <w:t xml:space="preserve"> R.A.G. and Bezerra, B.S. (2024)</w:t>
      </w:r>
      <w:r w:rsidR="00604FF0" w:rsidRPr="00471EDC">
        <w:rPr>
          <w:color w:val="222222"/>
          <w:shd w:val="clear" w:color="auto" w:fill="FFFFFF"/>
          <w:lang w:val="en-GB"/>
        </w:rPr>
        <w:t xml:space="preserve"> Dynamic capabilities: unveiling key resources for environmental sustainability and economic sustainability, and </w:t>
      </w:r>
      <w:r w:rsidR="00604FF0" w:rsidRPr="00471EDC">
        <w:rPr>
          <w:color w:val="222222"/>
          <w:shd w:val="clear" w:color="auto" w:fill="FFFFFF"/>
          <w:lang w:val="en-GB"/>
        </w:rPr>
        <w:lastRenderedPageBreak/>
        <w:t>corporate social responsibility towards sustainable development goals. </w:t>
      </w:r>
      <w:r w:rsidR="00604FF0" w:rsidRPr="00471EDC">
        <w:rPr>
          <w:i/>
          <w:iCs/>
          <w:color w:val="222222"/>
          <w:shd w:val="clear" w:color="auto" w:fill="FFFFFF"/>
          <w:lang w:val="en-GB"/>
        </w:rPr>
        <w:t>Resources</w:t>
      </w:r>
      <w:r w:rsidR="00604FF0" w:rsidRPr="00471EDC">
        <w:rPr>
          <w:color w:val="222222"/>
          <w:shd w:val="clear" w:color="auto" w:fill="FFFFFF"/>
          <w:lang w:val="en-GB"/>
        </w:rPr>
        <w:t>, </w:t>
      </w:r>
      <w:r w:rsidR="00604FF0" w:rsidRPr="00471EDC">
        <w:rPr>
          <w:i/>
          <w:iCs/>
          <w:color w:val="222222"/>
          <w:shd w:val="clear" w:color="auto" w:fill="FFFFFF"/>
          <w:lang w:val="en-GB"/>
        </w:rPr>
        <w:t>13</w:t>
      </w:r>
      <w:r w:rsidR="00604FF0" w:rsidRPr="00471EDC">
        <w:rPr>
          <w:color w:val="222222"/>
          <w:shd w:val="clear" w:color="auto" w:fill="FFFFFF"/>
          <w:lang w:val="en-GB"/>
        </w:rPr>
        <w:t>(2), p</w:t>
      </w:r>
      <w:r w:rsidR="000458A0" w:rsidRPr="00471EDC">
        <w:rPr>
          <w:color w:val="222222"/>
          <w:shd w:val="clear" w:color="auto" w:fill="FFFFFF"/>
          <w:lang w:val="en-GB"/>
        </w:rPr>
        <w:t>p</w:t>
      </w:r>
      <w:r w:rsidR="00604FF0" w:rsidRPr="00471EDC">
        <w:rPr>
          <w:color w:val="222222"/>
          <w:shd w:val="clear" w:color="auto" w:fill="FFFFFF"/>
          <w:lang w:val="en-GB"/>
        </w:rPr>
        <w:t>.</w:t>
      </w:r>
      <w:r w:rsidR="000458A0" w:rsidRPr="00471EDC">
        <w:rPr>
          <w:color w:val="222222"/>
          <w:shd w:val="clear" w:color="auto" w:fill="FFFFFF"/>
          <w:lang w:val="en-GB"/>
        </w:rPr>
        <w:t xml:space="preserve"> </w:t>
      </w:r>
      <w:r w:rsidR="00604FF0" w:rsidRPr="00471EDC">
        <w:rPr>
          <w:color w:val="222222"/>
          <w:shd w:val="clear" w:color="auto" w:fill="FFFFFF"/>
          <w:lang w:val="en-GB"/>
        </w:rPr>
        <w:t>22.</w:t>
      </w:r>
      <w:r w:rsidR="00F32159" w:rsidRPr="00471EDC">
        <w:rPr>
          <w:color w:val="222222"/>
          <w:shd w:val="clear" w:color="auto" w:fill="FFFFFF"/>
          <w:lang w:val="en-GB"/>
        </w:rPr>
        <w:t xml:space="preserve"> </w:t>
      </w:r>
      <w:r w:rsidR="00A072D9" w:rsidRPr="00471EDC">
        <w:rPr>
          <w:color w:val="222222"/>
          <w:shd w:val="clear" w:color="auto" w:fill="FFFFFF"/>
          <w:lang w:val="en-GB"/>
        </w:rPr>
        <w:t xml:space="preserve">  DOI: </w:t>
      </w:r>
      <w:hyperlink r:id="rId29" w:history="1">
        <w:r w:rsidR="00F32159" w:rsidRPr="00471EDC">
          <w:rPr>
            <w:rStyle w:val="Hyperlink"/>
            <w:shd w:val="clear" w:color="auto" w:fill="FFFFFF"/>
            <w:lang w:val="en-GB"/>
          </w:rPr>
          <w:t>https://www.mdpi.com/2079-9276/13/2/22</w:t>
        </w:r>
      </w:hyperlink>
      <w:r w:rsidR="00F32159" w:rsidRPr="00471EDC">
        <w:rPr>
          <w:color w:val="222222"/>
          <w:shd w:val="clear" w:color="auto" w:fill="FFFFFF"/>
          <w:lang w:val="en-GB"/>
        </w:rPr>
        <w:t xml:space="preserve"> </w:t>
      </w:r>
    </w:p>
    <w:p w14:paraId="4E8C5B1B" w14:textId="77777777" w:rsidR="00BB16C6" w:rsidRPr="00471EDC" w:rsidRDefault="00BB16C6" w:rsidP="00FB4829">
      <w:pPr>
        <w:pStyle w:val="NormalWeb"/>
        <w:rPr>
          <w:color w:val="222222"/>
          <w:shd w:val="clear" w:color="auto" w:fill="FFFFFF"/>
          <w:lang w:val="en-GB"/>
        </w:rPr>
      </w:pPr>
      <w:r w:rsidRPr="00471EDC">
        <w:rPr>
          <w:color w:val="222222"/>
          <w:shd w:val="clear" w:color="auto" w:fill="FFFFFF"/>
          <w:lang w:val="en-GB"/>
        </w:rPr>
        <w:t>Dimitriou, D., Sartzetaki, M., Karagkou</w:t>
      </w:r>
      <w:r w:rsidR="001E5D9E" w:rsidRPr="00471EDC">
        <w:rPr>
          <w:color w:val="222222"/>
          <w:shd w:val="clear" w:color="auto" w:fill="FFFFFF"/>
          <w:lang w:val="en-GB"/>
        </w:rPr>
        <w:t>ni, A. and Efstratiou, V. (2025)</w:t>
      </w:r>
      <w:r w:rsidRPr="00471EDC">
        <w:rPr>
          <w:color w:val="222222"/>
          <w:shd w:val="clear" w:color="auto" w:fill="FFFFFF"/>
          <w:lang w:val="en-GB"/>
        </w:rPr>
        <w:t xml:space="preserve"> Corporate Strategy for Sustainable Development in the Oil and Gas Industry: Drivers, Agility Mechanisms, and SDG Alignment. </w:t>
      </w:r>
      <w:r w:rsidRPr="00471EDC">
        <w:rPr>
          <w:i/>
          <w:iCs/>
          <w:color w:val="222222"/>
          <w:shd w:val="clear" w:color="auto" w:fill="FFFFFF"/>
          <w:lang w:val="en-GB"/>
        </w:rPr>
        <w:t>Journal of Sustainability Research</w:t>
      </w:r>
      <w:r w:rsidRPr="00471EDC">
        <w:rPr>
          <w:color w:val="222222"/>
          <w:shd w:val="clear" w:color="auto" w:fill="FFFFFF"/>
          <w:lang w:val="en-GB"/>
        </w:rPr>
        <w:t>, </w:t>
      </w:r>
      <w:r w:rsidRPr="00471EDC">
        <w:rPr>
          <w:i/>
          <w:iCs/>
          <w:color w:val="222222"/>
          <w:shd w:val="clear" w:color="auto" w:fill="FFFFFF"/>
          <w:lang w:val="en-GB"/>
        </w:rPr>
        <w:t>7</w:t>
      </w:r>
      <w:r w:rsidRPr="00471EDC">
        <w:rPr>
          <w:color w:val="222222"/>
          <w:shd w:val="clear" w:color="auto" w:fill="FFFFFF"/>
          <w:lang w:val="en-GB"/>
        </w:rPr>
        <w:t>(3).</w:t>
      </w:r>
      <w:r w:rsidR="001905EA" w:rsidRPr="00471EDC">
        <w:rPr>
          <w:color w:val="222222"/>
          <w:shd w:val="clear" w:color="auto" w:fill="FFFFFF"/>
          <w:lang w:val="en-GB"/>
        </w:rPr>
        <w:t xml:space="preserve"> DOI: </w:t>
      </w:r>
      <w:hyperlink r:id="rId30" w:history="1">
        <w:r w:rsidR="001905EA" w:rsidRPr="00471EDC">
          <w:rPr>
            <w:rStyle w:val="Hyperlink"/>
            <w:shd w:val="clear" w:color="auto" w:fill="FFFFFF"/>
            <w:lang w:val="en-GB"/>
          </w:rPr>
          <w:t>https://sustainability.hapres.com/htmls/JSR_1795_Detail.html</w:t>
        </w:r>
      </w:hyperlink>
      <w:r w:rsidR="001905EA" w:rsidRPr="00471EDC">
        <w:rPr>
          <w:color w:val="222222"/>
          <w:shd w:val="clear" w:color="auto" w:fill="FFFFFF"/>
          <w:lang w:val="en-GB"/>
        </w:rPr>
        <w:t xml:space="preserve"> </w:t>
      </w:r>
    </w:p>
    <w:p w14:paraId="7990020E" w14:textId="77777777" w:rsidR="0029511B" w:rsidRPr="00471EDC" w:rsidRDefault="0029511B" w:rsidP="00FB4829">
      <w:pPr>
        <w:pStyle w:val="NormalWeb"/>
        <w:rPr>
          <w:color w:val="222222"/>
          <w:shd w:val="clear" w:color="auto" w:fill="FFFFFF"/>
          <w:lang w:val="en-GB"/>
        </w:rPr>
      </w:pPr>
      <w:r w:rsidRPr="00471EDC">
        <w:rPr>
          <w:color w:val="222222"/>
          <w:shd w:val="clear" w:color="auto" w:fill="FFFFFF"/>
          <w:lang w:val="en-GB"/>
        </w:rPr>
        <w:t>A</w:t>
      </w:r>
      <w:r w:rsidR="00736074" w:rsidRPr="00471EDC">
        <w:rPr>
          <w:color w:val="222222"/>
          <w:shd w:val="clear" w:color="auto" w:fill="FFFFFF"/>
          <w:lang w:val="en-GB"/>
        </w:rPr>
        <w:t>lagoz, E. and Alghawi, Y. (2023)</w:t>
      </w:r>
      <w:r w:rsidRPr="00471EDC">
        <w:rPr>
          <w:color w:val="222222"/>
          <w:shd w:val="clear" w:color="auto" w:fill="FFFFFF"/>
          <w:lang w:val="en-GB"/>
        </w:rPr>
        <w:t xml:space="preserve"> The energy transition: Navigating the shift towards renewables in the oil and gas industry. </w:t>
      </w:r>
      <w:r w:rsidRPr="00471EDC">
        <w:rPr>
          <w:i/>
          <w:iCs/>
          <w:color w:val="222222"/>
          <w:shd w:val="clear" w:color="auto" w:fill="FFFFFF"/>
          <w:lang w:val="en-GB"/>
        </w:rPr>
        <w:t>Journal of Energy and Natural Resources</w:t>
      </w:r>
      <w:r w:rsidRPr="00471EDC">
        <w:rPr>
          <w:color w:val="222222"/>
          <w:shd w:val="clear" w:color="auto" w:fill="FFFFFF"/>
          <w:lang w:val="en-GB"/>
        </w:rPr>
        <w:t>, </w:t>
      </w:r>
      <w:r w:rsidRPr="00471EDC">
        <w:rPr>
          <w:i/>
          <w:iCs/>
          <w:color w:val="222222"/>
          <w:shd w:val="clear" w:color="auto" w:fill="FFFFFF"/>
          <w:lang w:val="en-GB"/>
        </w:rPr>
        <w:t>12</w:t>
      </w:r>
      <w:r w:rsidRPr="00471EDC">
        <w:rPr>
          <w:color w:val="222222"/>
          <w:shd w:val="clear" w:color="auto" w:fill="FFFFFF"/>
          <w:lang w:val="en-GB"/>
        </w:rPr>
        <w:t>(2), pp.21-24.</w:t>
      </w:r>
      <w:r w:rsidR="0066140C" w:rsidRPr="00471EDC">
        <w:rPr>
          <w:color w:val="222222"/>
          <w:shd w:val="clear" w:color="auto" w:fill="FFFFFF"/>
          <w:lang w:val="en-GB"/>
        </w:rPr>
        <w:t xml:space="preserve"> DOI: </w:t>
      </w:r>
      <w:hyperlink r:id="rId31" w:history="1">
        <w:r w:rsidR="0066140C" w:rsidRPr="00471EDC">
          <w:rPr>
            <w:rStyle w:val="Hyperlink"/>
            <w:shd w:val="clear" w:color="auto" w:fill="FFFFFF"/>
            <w:lang w:val="en-GB"/>
          </w:rPr>
          <w:t>https://www.academia.edu/download/103869872/10.11648.j.jenr.20231202.12.pdf</w:t>
        </w:r>
      </w:hyperlink>
      <w:r w:rsidR="0066140C" w:rsidRPr="00471EDC">
        <w:rPr>
          <w:color w:val="222222"/>
          <w:shd w:val="clear" w:color="auto" w:fill="FFFFFF"/>
          <w:lang w:val="en-GB"/>
        </w:rPr>
        <w:t xml:space="preserve"> </w:t>
      </w:r>
    </w:p>
    <w:p w14:paraId="24ABDED4" w14:textId="77777777" w:rsidR="008963C0" w:rsidRPr="00471EDC" w:rsidRDefault="00F85E56" w:rsidP="00FB4829">
      <w:pPr>
        <w:pStyle w:val="NormalWeb"/>
        <w:rPr>
          <w:color w:val="222222"/>
          <w:shd w:val="clear" w:color="auto" w:fill="FFFFFF"/>
          <w:lang w:val="en-GB"/>
        </w:rPr>
      </w:pPr>
      <w:r w:rsidRPr="00471EDC">
        <w:rPr>
          <w:color w:val="222222"/>
          <w:shd w:val="clear" w:color="auto" w:fill="FFFFFF"/>
          <w:lang w:val="en-GB"/>
        </w:rPr>
        <w:t>Jerab, D. and Mabrouk, T. (2023)</w:t>
      </w:r>
      <w:r w:rsidR="008963C0" w:rsidRPr="00471EDC">
        <w:rPr>
          <w:color w:val="222222"/>
          <w:shd w:val="clear" w:color="auto" w:fill="FFFFFF"/>
          <w:lang w:val="en-GB"/>
        </w:rPr>
        <w:t xml:space="preserve"> Achieving competitive advantage through cost leadership strategy: Strategies for Sustainable Success. </w:t>
      </w:r>
      <w:r w:rsidR="008963C0" w:rsidRPr="00471EDC">
        <w:rPr>
          <w:i/>
          <w:iCs/>
          <w:color w:val="222222"/>
          <w:shd w:val="clear" w:color="auto" w:fill="FFFFFF"/>
          <w:lang w:val="en-GB"/>
        </w:rPr>
        <w:t>Available at SSRN 4574945</w:t>
      </w:r>
      <w:r w:rsidR="008963C0" w:rsidRPr="00471EDC">
        <w:rPr>
          <w:color w:val="222222"/>
          <w:shd w:val="clear" w:color="auto" w:fill="FFFFFF"/>
          <w:lang w:val="en-GB"/>
        </w:rPr>
        <w:t>.</w:t>
      </w:r>
      <w:r w:rsidR="00B00C35" w:rsidRPr="00471EDC">
        <w:rPr>
          <w:color w:val="222222"/>
          <w:shd w:val="clear" w:color="auto" w:fill="FFFFFF"/>
          <w:lang w:val="en-GB"/>
        </w:rPr>
        <w:t xml:space="preserve"> DOI: </w:t>
      </w:r>
      <w:hyperlink r:id="rId32" w:history="1">
        <w:r w:rsidR="0044634D" w:rsidRPr="00471EDC">
          <w:rPr>
            <w:rStyle w:val="Hyperlink"/>
            <w:shd w:val="clear" w:color="auto" w:fill="FFFFFF"/>
            <w:lang w:val="en-GB"/>
          </w:rPr>
          <w:t>https://papers.ssrn.com/sol3/papers.cfm?abstract_id=4574945</w:t>
        </w:r>
      </w:hyperlink>
      <w:r w:rsidR="0044634D" w:rsidRPr="00471EDC">
        <w:rPr>
          <w:color w:val="222222"/>
          <w:shd w:val="clear" w:color="auto" w:fill="FFFFFF"/>
          <w:lang w:val="en-GB"/>
        </w:rPr>
        <w:t xml:space="preserve"> </w:t>
      </w:r>
    </w:p>
    <w:p w14:paraId="70903BB6" w14:textId="77777777" w:rsidR="009240A0" w:rsidRPr="00471EDC" w:rsidRDefault="009240A0" w:rsidP="00FB4829">
      <w:pPr>
        <w:pStyle w:val="NormalWeb"/>
        <w:spacing w:before="0" w:beforeAutospacing="0" w:after="240" w:afterAutospacing="0" w:line="360" w:lineRule="atLeast"/>
        <w:rPr>
          <w:color w:val="000000"/>
          <w:lang w:val="en-GB"/>
        </w:rPr>
      </w:pPr>
      <w:r w:rsidRPr="00471EDC">
        <w:rPr>
          <w:color w:val="000000"/>
          <w:lang w:val="en-GB"/>
        </w:rPr>
        <w:t>Jack, S. (2025). </w:t>
      </w:r>
      <w:r w:rsidRPr="00471EDC">
        <w:rPr>
          <w:i/>
          <w:iCs/>
          <w:color w:val="000000"/>
          <w:lang w:val="en-GB"/>
        </w:rPr>
        <w:t>BP shuns renewables in return to oil and gas</w:t>
      </w:r>
      <w:r w:rsidR="00A7099C" w:rsidRPr="00471EDC">
        <w:rPr>
          <w:color w:val="000000"/>
          <w:lang w:val="en-GB"/>
        </w:rPr>
        <w:t>. [O</w:t>
      </w:r>
      <w:r w:rsidRPr="00471EDC">
        <w:rPr>
          <w:color w:val="000000"/>
          <w:lang w:val="en-GB"/>
        </w:rPr>
        <w:t xml:space="preserve">nline] Bbc.com. Available at: </w:t>
      </w:r>
      <w:hyperlink r:id="rId33" w:history="1">
        <w:r w:rsidR="002F2D47" w:rsidRPr="00471EDC">
          <w:rPr>
            <w:rStyle w:val="Hyperlink"/>
            <w:lang w:val="en-GB"/>
          </w:rPr>
          <w:t>https://www.bbc.com/news/articles/c3374ekd11po</w:t>
        </w:r>
      </w:hyperlink>
      <w:r w:rsidR="002F2D47" w:rsidRPr="00471EDC">
        <w:rPr>
          <w:color w:val="000000"/>
          <w:lang w:val="en-GB"/>
        </w:rPr>
        <w:t xml:space="preserve"> </w:t>
      </w:r>
      <w:r w:rsidRPr="00471EDC">
        <w:rPr>
          <w:color w:val="000000"/>
          <w:lang w:val="en-GB"/>
        </w:rPr>
        <w:t xml:space="preserve"> [Accessed </w:t>
      </w:r>
      <w:r w:rsidR="002F2D47" w:rsidRPr="00471EDC">
        <w:rPr>
          <w:color w:val="000000"/>
          <w:lang w:val="en-GB"/>
        </w:rPr>
        <w:t xml:space="preserve">on: </w:t>
      </w:r>
      <w:r w:rsidRPr="00471EDC">
        <w:rPr>
          <w:color w:val="000000"/>
          <w:lang w:val="en-GB"/>
        </w:rPr>
        <w:t>10 Mar. 2026].</w:t>
      </w:r>
    </w:p>
    <w:p w14:paraId="684FA702" w14:textId="77777777" w:rsidR="00581BFF" w:rsidRPr="00471EDC" w:rsidRDefault="00581BFF" w:rsidP="00FB4829">
      <w:pPr>
        <w:pStyle w:val="NormalWeb"/>
        <w:spacing w:before="0" w:beforeAutospacing="0" w:after="240" w:afterAutospacing="0" w:line="360" w:lineRule="atLeast"/>
        <w:rPr>
          <w:color w:val="000000"/>
          <w:lang w:val="en-GB"/>
        </w:rPr>
      </w:pPr>
      <w:r w:rsidRPr="00471EDC">
        <w:rPr>
          <w:color w:val="000000"/>
          <w:lang w:val="en-GB"/>
        </w:rPr>
        <w:t>bp global (2018). </w:t>
      </w:r>
      <w:r w:rsidRPr="00471EDC">
        <w:rPr>
          <w:i/>
          <w:iCs/>
          <w:color w:val="000000"/>
          <w:lang w:val="en-GB"/>
        </w:rPr>
        <w:t>bp global</w:t>
      </w:r>
      <w:r w:rsidR="006163E0" w:rsidRPr="00471EDC">
        <w:rPr>
          <w:color w:val="000000"/>
          <w:lang w:val="en-GB"/>
        </w:rPr>
        <w:t>. [O</w:t>
      </w:r>
      <w:r w:rsidRPr="00471EDC">
        <w:rPr>
          <w:color w:val="000000"/>
          <w:lang w:val="en-GB"/>
        </w:rPr>
        <w:t xml:space="preserve">nline] bp global. Available at: </w:t>
      </w:r>
      <w:hyperlink r:id="rId34" w:history="1">
        <w:r w:rsidR="005E4F40" w:rsidRPr="00471EDC">
          <w:rPr>
            <w:rStyle w:val="Hyperlink"/>
            <w:lang w:val="en-GB"/>
          </w:rPr>
          <w:t>https://www.bp.com/en/global/corporate/news-and-insights/press-releases/joint-industry-human-rights-supply-chain-engagement.html</w:t>
        </w:r>
      </w:hyperlink>
      <w:r w:rsidR="005E4F40" w:rsidRPr="00471EDC">
        <w:rPr>
          <w:color w:val="000000"/>
          <w:lang w:val="en-GB"/>
        </w:rPr>
        <w:t xml:space="preserve"> </w:t>
      </w:r>
      <w:r w:rsidRPr="00471EDC">
        <w:rPr>
          <w:color w:val="000000"/>
          <w:lang w:val="en-GB"/>
        </w:rPr>
        <w:t xml:space="preserve"> [Accessed </w:t>
      </w:r>
      <w:r w:rsidR="00E03790" w:rsidRPr="00471EDC">
        <w:rPr>
          <w:color w:val="000000"/>
          <w:lang w:val="en-GB"/>
        </w:rPr>
        <w:t xml:space="preserve">on: </w:t>
      </w:r>
      <w:r w:rsidRPr="00471EDC">
        <w:rPr>
          <w:color w:val="000000"/>
          <w:lang w:val="en-GB"/>
        </w:rPr>
        <w:t>10 Mar. 2026].</w:t>
      </w:r>
    </w:p>
    <w:p w14:paraId="52C6D529" w14:textId="77777777" w:rsidR="00077260" w:rsidRPr="00471EDC" w:rsidRDefault="00077260" w:rsidP="00FB4829">
      <w:pPr>
        <w:pStyle w:val="NormalWeb"/>
        <w:spacing w:before="0" w:beforeAutospacing="0" w:after="240" w:afterAutospacing="0" w:line="360" w:lineRule="atLeast"/>
        <w:rPr>
          <w:color w:val="000000"/>
          <w:lang w:val="en-GB"/>
        </w:rPr>
      </w:pPr>
      <w:r w:rsidRPr="00471EDC">
        <w:rPr>
          <w:color w:val="000000"/>
          <w:lang w:val="en-GB"/>
        </w:rPr>
        <w:t>bp global (2025). </w:t>
      </w:r>
      <w:r w:rsidRPr="00471EDC">
        <w:rPr>
          <w:i/>
          <w:iCs/>
          <w:color w:val="000000"/>
          <w:lang w:val="en-GB"/>
        </w:rPr>
        <w:t>bp global</w:t>
      </w:r>
      <w:r w:rsidR="00A37E4C" w:rsidRPr="00471EDC">
        <w:rPr>
          <w:color w:val="000000"/>
          <w:lang w:val="en-GB"/>
        </w:rPr>
        <w:t>. [O</w:t>
      </w:r>
      <w:r w:rsidRPr="00471EDC">
        <w:rPr>
          <w:color w:val="000000"/>
          <w:lang w:val="en-GB"/>
        </w:rPr>
        <w:t xml:space="preserve">nline] bp global. Available at: </w:t>
      </w:r>
      <w:hyperlink r:id="rId35" w:history="1">
        <w:r w:rsidRPr="00471EDC">
          <w:rPr>
            <w:rStyle w:val="Hyperlink"/>
            <w:lang w:val="en-GB"/>
          </w:rPr>
          <w:t>https://www.bp.com/en/global/corporate/what-we-do/oil-and-gas.html</w:t>
        </w:r>
      </w:hyperlink>
      <w:r w:rsidRPr="00471EDC">
        <w:rPr>
          <w:color w:val="000000"/>
          <w:lang w:val="en-GB"/>
        </w:rPr>
        <w:t xml:space="preserve">  [Accessed</w:t>
      </w:r>
      <w:r w:rsidR="003210FB" w:rsidRPr="00471EDC">
        <w:rPr>
          <w:color w:val="000000"/>
          <w:lang w:val="en-GB"/>
        </w:rPr>
        <w:t xml:space="preserve"> on:</w:t>
      </w:r>
      <w:r w:rsidRPr="00471EDC">
        <w:rPr>
          <w:color w:val="000000"/>
          <w:lang w:val="en-GB"/>
        </w:rPr>
        <w:t xml:space="preserve"> 10 Mar. 2026].</w:t>
      </w:r>
    </w:p>
    <w:p w14:paraId="30EC7324" w14:textId="77777777" w:rsidR="005A5B57" w:rsidRPr="00471EDC" w:rsidRDefault="005A5B57"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t>Trencher, G., B</w:t>
      </w:r>
      <w:r w:rsidR="004D1772" w:rsidRPr="00471EDC">
        <w:rPr>
          <w:color w:val="222222"/>
          <w:shd w:val="clear" w:color="auto" w:fill="FFFFFF"/>
          <w:lang w:val="en-GB"/>
        </w:rPr>
        <w:t>londeel, M. and Asuka, J. (2023)</w:t>
      </w:r>
      <w:r w:rsidRPr="00471EDC">
        <w:rPr>
          <w:color w:val="222222"/>
          <w:shd w:val="clear" w:color="auto" w:fill="FFFFFF"/>
          <w:lang w:val="en-GB"/>
        </w:rPr>
        <w:t xml:space="preserve"> Do all roads lead to Paris? Comparing pathways to net-zero by BP, Shell, Chevron and ExxonMobil. </w:t>
      </w:r>
      <w:r w:rsidRPr="00471EDC">
        <w:rPr>
          <w:i/>
          <w:iCs/>
          <w:color w:val="222222"/>
          <w:shd w:val="clear" w:color="auto" w:fill="FFFFFF"/>
          <w:lang w:val="en-GB"/>
        </w:rPr>
        <w:t>Climatic Change</w:t>
      </w:r>
      <w:r w:rsidRPr="00471EDC">
        <w:rPr>
          <w:color w:val="222222"/>
          <w:shd w:val="clear" w:color="auto" w:fill="FFFFFF"/>
          <w:lang w:val="en-GB"/>
        </w:rPr>
        <w:t>, </w:t>
      </w:r>
      <w:r w:rsidRPr="00471EDC">
        <w:rPr>
          <w:i/>
          <w:iCs/>
          <w:color w:val="222222"/>
          <w:shd w:val="clear" w:color="auto" w:fill="FFFFFF"/>
          <w:lang w:val="en-GB"/>
        </w:rPr>
        <w:t>176</w:t>
      </w:r>
      <w:r w:rsidRPr="00471EDC">
        <w:rPr>
          <w:color w:val="222222"/>
          <w:shd w:val="clear" w:color="auto" w:fill="FFFFFF"/>
          <w:lang w:val="en-GB"/>
        </w:rPr>
        <w:t>(7), p.83.</w:t>
      </w:r>
      <w:r w:rsidR="007F595C" w:rsidRPr="00471EDC">
        <w:rPr>
          <w:color w:val="222222"/>
          <w:shd w:val="clear" w:color="auto" w:fill="FFFFFF"/>
          <w:lang w:val="en-GB"/>
        </w:rPr>
        <w:t xml:space="preserve"> DOI: </w:t>
      </w:r>
      <w:hyperlink r:id="rId36" w:history="1">
        <w:r w:rsidR="007F595C" w:rsidRPr="00471EDC">
          <w:rPr>
            <w:rStyle w:val="Hyperlink"/>
            <w:shd w:val="clear" w:color="auto" w:fill="FFFFFF"/>
            <w:lang w:val="en-GB"/>
          </w:rPr>
          <w:t>https://link.springer.com/article/10.1007/s10584-023-03564-7</w:t>
        </w:r>
      </w:hyperlink>
      <w:r w:rsidR="007F595C" w:rsidRPr="00471EDC">
        <w:rPr>
          <w:color w:val="222222"/>
          <w:shd w:val="clear" w:color="auto" w:fill="FFFFFF"/>
          <w:lang w:val="en-GB"/>
        </w:rPr>
        <w:t xml:space="preserve"> </w:t>
      </w:r>
    </w:p>
    <w:p w14:paraId="7A09FF78" w14:textId="77777777" w:rsidR="00F06D15" w:rsidRPr="00471EDC" w:rsidRDefault="00F06D15"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t>Li, M., T</w:t>
      </w:r>
      <w:r w:rsidR="008A5D30" w:rsidRPr="00471EDC">
        <w:rPr>
          <w:color w:val="222222"/>
          <w:shd w:val="clear" w:color="auto" w:fill="FFFFFF"/>
          <w:lang w:val="en-GB"/>
        </w:rPr>
        <w:t>rencher, G. and Asuka, J. (2022)</w:t>
      </w:r>
      <w:r w:rsidRPr="00471EDC">
        <w:rPr>
          <w:color w:val="222222"/>
          <w:shd w:val="clear" w:color="auto" w:fill="FFFFFF"/>
          <w:lang w:val="en-GB"/>
        </w:rPr>
        <w:t xml:space="preserve"> The clean energy claims of BP, Chevron, ExxonMobil and Shell: A mismatch between discourse, actions and investments. </w:t>
      </w:r>
      <w:r w:rsidRPr="00471EDC">
        <w:rPr>
          <w:i/>
          <w:iCs/>
          <w:color w:val="222222"/>
          <w:shd w:val="clear" w:color="auto" w:fill="FFFFFF"/>
          <w:lang w:val="en-GB"/>
        </w:rPr>
        <w:t>PloS one</w:t>
      </w:r>
      <w:r w:rsidRPr="00471EDC">
        <w:rPr>
          <w:color w:val="222222"/>
          <w:shd w:val="clear" w:color="auto" w:fill="FFFFFF"/>
          <w:lang w:val="en-GB"/>
        </w:rPr>
        <w:t>, </w:t>
      </w:r>
      <w:r w:rsidRPr="00471EDC">
        <w:rPr>
          <w:i/>
          <w:iCs/>
          <w:color w:val="222222"/>
          <w:shd w:val="clear" w:color="auto" w:fill="FFFFFF"/>
          <w:lang w:val="en-GB"/>
        </w:rPr>
        <w:t>17</w:t>
      </w:r>
      <w:r w:rsidRPr="00471EDC">
        <w:rPr>
          <w:color w:val="222222"/>
          <w:shd w:val="clear" w:color="auto" w:fill="FFFFFF"/>
          <w:lang w:val="en-GB"/>
        </w:rPr>
        <w:t>(2), p</w:t>
      </w:r>
      <w:r w:rsidR="00945D31" w:rsidRPr="00471EDC">
        <w:rPr>
          <w:color w:val="222222"/>
          <w:shd w:val="clear" w:color="auto" w:fill="FFFFFF"/>
          <w:lang w:val="en-GB"/>
        </w:rPr>
        <w:t>p</w:t>
      </w:r>
      <w:r w:rsidRPr="00471EDC">
        <w:rPr>
          <w:color w:val="222222"/>
          <w:shd w:val="clear" w:color="auto" w:fill="FFFFFF"/>
          <w:lang w:val="en-GB"/>
        </w:rPr>
        <w:t>.</w:t>
      </w:r>
      <w:r w:rsidR="00945D31" w:rsidRPr="00471EDC">
        <w:rPr>
          <w:color w:val="222222"/>
          <w:shd w:val="clear" w:color="auto" w:fill="FFFFFF"/>
          <w:lang w:val="en-GB"/>
        </w:rPr>
        <w:t xml:space="preserve"> </w:t>
      </w:r>
      <w:r w:rsidRPr="00471EDC">
        <w:rPr>
          <w:color w:val="222222"/>
          <w:shd w:val="clear" w:color="auto" w:fill="FFFFFF"/>
          <w:lang w:val="en-GB"/>
        </w:rPr>
        <w:t>e0263596.</w:t>
      </w:r>
      <w:r w:rsidR="001D5B79" w:rsidRPr="00471EDC">
        <w:rPr>
          <w:color w:val="222222"/>
          <w:shd w:val="clear" w:color="auto" w:fill="FFFFFF"/>
          <w:lang w:val="en-GB"/>
        </w:rPr>
        <w:t xml:space="preserve"> </w:t>
      </w:r>
      <w:r w:rsidR="003F0BE2" w:rsidRPr="00471EDC">
        <w:rPr>
          <w:color w:val="222222"/>
          <w:shd w:val="clear" w:color="auto" w:fill="FFFFFF"/>
          <w:lang w:val="en-GB"/>
        </w:rPr>
        <w:t xml:space="preserve">DOI: </w:t>
      </w:r>
      <w:hyperlink r:id="rId37" w:history="1">
        <w:r w:rsidR="001D5B79" w:rsidRPr="00471EDC">
          <w:rPr>
            <w:rStyle w:val="Hyperlink"/>
            <w:shd w:val="clear" w:color="auto" w:fill="FFFFFF"/>
            <w:lang w:val="en-GB"/>
          </w:rPr>
          <w:t>https://journals.plos.org/plosone/article?id=10.1371/journal.pone.0263596&amp;utm_source=aposto</w:t>
        </w:r>
      </w:hyperlink>
      <w:r w:rsidR="001D5B79" w:rsidRPr="00471EDC">
        <w:rPr>
          <w:color w:val="222222"/>
          <w:shd w:val="clear" w:color="auto" w:fill="FFFFFF"/>
          <w:lang w:val="en-GB"/>
        </w:rPr>
        <w:t xml:space="preserve"> </w:t>
      </w:r>
    </w:p>
    <w:p w14:paraId="6C9AA52A" w14:textId="77777777" w:rsidR="00E1315A" w:rsidRPr="00471EDC" w:rsidRDefault="00E1315A" w:rsidP="00FB4829">
      <w:pPr>
        <w:pStyle w:val="NormalWeb"/>
        <w:spacing w:before="0" w:beforeAutospacing="0" w:after="240" w:afterAutospacing="0" w:line="360" w:lineRule="atLeast"/>
        <w:rPr>
          <w:color w:val="000000"/>
          <w:lang w:val="en-GB"/>
        </w:rPr>
      </w:pPr>
      <w:r w:rsidRPr="00471EDC">
        <w:rPr>
          <w:color w:val="000000"/>
          <w:lang w:val="en-GB"/>
        </w:rPr>
        <w:t>GeeksforGeeks</w:t>
      </w:r>
      <w:r w:rsidR="00B81CA0" w:rsidRPr="00471EDC">
        <w:rPr>
          <w:color w:val="000000"/>
          <w:lang w:val="en-GB"/>
        </w:rPr>
        <w:t>-</w:t>
      </w:r>
      <w:r w:rsidRPr="00471EDC">
        <w:rPr>
          <w:color w:val="000000"/>
          <w:lang w:val="en-GB"/>
        </w:rPr>
        <w:t xml:space="preserve"> (2024). </w:t>
      </w:r>
      <w:r w:rsidRPr="00471EDC">
        <w:rPr>
          <w:i/>
          <w:iCs/>
          <w:color w:val="000000"/>
          <w:lang w:val="en-GB"/>
        </w:rPr>
        <w:t>Strategies of Ansoff Matrix</w:t>
      </w:r>
      <w:r w:rsidR="003F6E0F" w:rsidRPr="00471EDC">
        <w:rPr>
          <w:color w:val="000000"/>
          <w:lang w:val="en-GB"/>
        </w:rPr>
        <w:t>. [O</w:t>
      </w:r>
      <w:r w:rsidRPr="00471EDC">
        <w:rPr>
          <w:color w:val="000000"/>
          <w:lang w:val="en-GB"/>
        </w:rPr>
        <w:t xml:space="preserve">nline] GeeksforGeeks. Available at: </w:t>
      </w:r>
      <w:hyperlink r:id="rId38" w:history="1">
        <w:r w:rsidRPr="00471EDC">
          <w:rPr>
            <w:rStyle w:val="Hyperlink"/>
            <w:lang w:val="en-GB"/>
          </w:rPr>
          <w:t>https://www.geeksforgeeks.org/business-studies/strategies-of-ansoff-matrix/</w:t>
        </w:r>
      </w:hyperlink>
      <w:r w:rsidRPr="00471EDC">
        <w:rPr>
          <w:color w:val="000000"/>
          <w:lang w:val="en-GB"/>
        </w:rPr>
        <w:t xml:space="preserve">  [Accessed</w:t>
      </w:r>
      <w:r w:rsidR="00896D3A" w:rsidRPr="00471EDC">
        <w:rPr>
          <w:color w:val="000000"/>
          <w:lang w:val="en-GB"/>
        </w:rPr>
        <w:t xml:space="preserve"> on:</w:t>
      </w:r>
      <w:r w:rsidRPr="00471EDC">
        <w:rPr>
          <w:color w:val="000000"/>
          <w:lang w:val="en-GB"/>
        </w:rPr>
        <w:t xml:space="preserve"> 10 Mar. 2026]. </w:t>
      </w:r>
    </w:p>
    <w:p w14:paraId="03BF1ECB" w14:textId="77777777" w:rsidR="00BF786B" w:rsidRDefault="00BF786B" w:rsidP="00FB4829">
      <w:pPr>
        <w:pStyle w:val="NormalWeb"/>
        <w:spacing w:before="0" w:beforeAutospacing="0" w:after="240" w:afterAutospacing="0" w:line="360" w:lineRule="atLeast"/>
        <w:rPr>
          <w:color w:val="222222"/>
          <w:shd w:val="clear" w:color="auto" w:fill="FFFFFF"/>
          <w:lang w:val="en-GB"/>
        </w:rPr>
      </w:pPr>
      <w:r w:rsidRPr="00471EDC">
        <w:rPr>
          <w:color w:val="222222"/>
          <w:shd w:val="clear" w:color="auto" w:fill="FFFFFF"/>
          <w:lang w:val="en-GB"/>
        </w:rPr>
        <w:lastRenderedPageBreak/>
        <w:t>Egbumokei, P.I., Dienagha, I.N., Digitemie, W.N., On</w:t>
      </w:r>
      <w:r w:rsidR="0074356F" w:rsidRPr="00471EDC">
        <w:rPr>
          <w:color w:val="222222"/>
          <w:shd w:val="clear" w:color="auto" w:fill="FFFFFF"/>
          <w:lang w:val="en-GB"/>
        </w:rPr>
        <w:t>ukwulu, E.C. and Oladipo, O.T. (2024)</w:t>
      </w:r>
      <w:r w:rsidRPr="00471EDC">
        <w:rPr>
          <w:color w:val="222222"/>
          <w:shd w:val="clear" w:color="auto" w:fill="FFFFFF"/>
          <w:lang w:val="en-GB"/>
        </w:rPr>
        <w:t xml:space="preserve"> The role of digital transformation in enhancing sustainability in oil and gas business operations. </w:t>
      </w:r>
      <w:r w:rsidRPr="00471EDC">
        <w:rPr>
          <w:i/>
          <w:iCs/>
          <w:color w:val="222222"/>
          <w:shd w:val="clear" w:color="auto" w:fill="FFFFFF"/>
          <w:lang w:val="en-GB"/>
        </w:rPr>
        <w:t>International journal of multidisciplinary research and growth evaluation</w:t>
      </w:r>
      <w:r w:rsidRPr="00471EDC">
        <w:rPr>
          <w:color w:val="222222"/>
          <w:shd w:val="clear" w:color="auto" w:fill="FFFFFF"/>
          <w:lang w:val="en-GB"/>
        </w:rPr>
        <w:t>, </w:t>
      </w:r>
      <w:r w:rsidRPr="00471EDC">
        <w:rPr>
          <w:i/>
          <w:iCs/>
          <w:color w:val="222222"/>
          <w:shd w:val="clear" w:color="auto" w:fill="FFFFFF"/>
          <w:lang w:val="en-GB"/>
        </w:rPr>
        <w:t>5</w:t>
      </w:r>
      <w:r w:rsidRPr="00471EDC">
        <w:rPr>
          <w:color w:val="222222"/>
          <w:shd w:val="clear" w:color="auto" w:fill="FFFFFF"/>
          <w:lang w:val="en-GB"/>
        </w:rPr>
        <w:t>(5), pp.</w:t>
      </w:r>
      <w:r w:rsidR="00706A66" w:rsidRPr="00471EDC">
        <w:rPr>
          <w:color w:val="222222"/>
          <w:shd w:val="clear" w:color="auto" w:fill="FFFFFF"/>
          <w:lang w:val="en-GB"/>
        </w:rPr>
        <w:t xml:space="preserve"> </w:t>
      </w:r>
      <w:r w:rsidRPr="00471EDC">
        <w:rPr>
          <w:color w:val="222222"/>
          <w:shd w:val="clear" w:color="auto" w:fill="FFFFFF"/>
          <w:lang w:val="en-GB"/>
        </w:rPr>
        <w:t>2582-7138.</w:t>
      </w:r>
      <w:r w:rsidR="00F27C7B" w:rsidRPr="00471EDC">
        <w:rPr>
          <w:color w:val="222222"/>
          <w:shd w:val="clear" w:color="auto" w:fill="FFFFFF"/>
          <w:lang w:val="en-GB"/>
        </w:rPr>
        <w:t xml:space="preserve"> DOI: </w:t>
      </w:r>
      <w:hyperlink r:id="rId39" w:history="1">
        <w:r w:rsidR="00902483" w:rsidRPr="00471EDC">
          <w:rPr>
            <w:rStyle w:val="Hyperlink"/>
            <w:shd w:val="clear" w:color="auto" w:fill="FFFFFF"/>
            <w:lang w:val="en-GB"/>
          </w:rPr>
          <w:t>https://www.allmultidisciplinaryjournal.com/uploads/archives/20250114124255_MGE-2025-1-066.1.pdf</w:t>
        </w:r>
      </w:hyperlink>
      <w:r w:rsidR="00902483" w:rsidRPr="00471EDC">
        <w:rPr>
          <w:color w:val="222222"/>
          <w:shd w:val="clear" w:color="auto" w:fill="FFFFFF"/>
          <w:lang w:val="en-GB"/>
        </w:rPr>
        <w:t xml:space="preserve"> </w:t>
      </w:r>
    </w:p>
    <w:p w14:paraId="560CFFD3" w14:textId="77777777" w:rsidR="00257EEA" w:rsidRDefault="00257EEA" w:rsidP="00257EEA">
      <w:pPr>
        <w:pStyle w:val="NormalWeb"/>
        <w:spacing w:before="0" w:beforeAutospacing="0" w:after="240" w:afterAutospacing="0" w:line="360" w:lineRule="atLeast"/>
        <w:rPr>
          <w:color w:val="000000"/>
        </w:rPr>
      </w:pPr>
      <w:r>
        <w:rPr>
          <w:color w:val="000000"/>
        </w:rPr>
        <w:t>Madsen, D.Ø. (2025). Balanced Scorecard: History, Implementation, and Impact. </w:t>
      </w:r>
      <w:r>
        <w:rPr>
          <w:i/>
          <w:iCs/>
          <w:color w:val="000000"/>
        </w:rPr>
        <w:t>Encyclopedia</w:t>
      </w:r>
      <w:r w:rsidR="009447B0">
        <w:rPr>
          <w:color w:val="000000"/>
        </w:rPr>
        <w:t>, [O</w:t>
      </w:r>
      <w:r w:rsidR="0005282A">
        <w:rPr>
          <w:color w:val="000000"/>
        </w:rPr>
        <w:t>nline] 5(1), pp. 39</w:t>
      </w:r>
      <w:r>
        <w:rPr>
          <w:color w:val="000000"/>
        </w:rPr>
        <w:t>.</w:t>
      </w:r>
      <w:r w:rsidR="000F20BB">
        <w:rPr>
          <w:color w:val="000000"/>
        </w:rPr>
        <w:t xml:space="preserve"> DOI: </w:t>
      </w:r>
      <w:hyperlink r:id="rId40" w:history="1">
        <w:r w:rsidR="000F20BB" w:rsidRPr="00C83AE8">
          <w:rPr>
            <w:rStyle w:val="Hyperlink"/>
          </w:rPr>
          <w:t>https://www.mdpi.com/2673-8392/5/1/39</w:t>
        </w:r>
      </w:hyperlink>
      <w:r w:rsidR="000F20BB">
        <w:rPr>
          <w:color w:val="000000"/>
        </w:rPr>
        <w:t xml:space="preserve"> </w:t>
      </w:r>
      <w:r>
        <w:rPr>
          <w:color w:val="000000"/>
        </w:rPr>
        <w:t xml:space="preserve"> </w:t>
      </w:r>
    </w:p>
    <w:p w14:paraId="4BBF36B1" w14:textId="77777777" w:rsidR="00CE73DF" w:rsidRDefault="00CE73DF" w:rsidP="00CE73DF">
      <w:pPr>
        <w:pStyle w:val="NormalWeb"/>
        <w:spacing w:before="0" w:beforeAutospacing="0" w:after="240" w:afterAutospacing="0" w:line="360" w:lineRule="atLeast"/>
        <w:rPr>
          <w:color w:val="000000"/>
        </w:rPr>
      </w:pPr>
      <w:r>
        <w:rPr>
          <w:color w:val="000000"/>
        </w:rPr>
        <w:t>Turesky. E.F, Wood.D. R. (2010). </w:t>
      </w:r>
      <w:r>
        <w:rPr>
          <w:i/>
          <w:iCs/>
          <w:color w:val="000000"/>
        </w:rPr>
        <w:t>(PDF) Kolb’s experiential learning as a critical frame for reflective practice</w:t>
      </w:r>
      <w:r>
        <w:rPr>
          <w:color w:val="000000"/>
        </w:rPr>
        <w:t xml:space="preserve">. 8(3). </w:t>
      </w:r>
      <w:r w:rsidR="00B0193D">
        <w:rPr>
          <w:color w:val="000000"/>
        </w:rPr>
        <w:t xml:space="preserve">DOI: </w:t>
      </w:r>
      <w:hyperlink r:id="rId41" w:history="1">
        <w:r w:rsidR="00B0193D" w:rsidRPr="00C83AE8">
          <w:rPr>
            <w:rStyle w:val="Hyperlink"/>
          </w:rPr>
          <w:t>https://www.researchgate.net/publication/288376815_Kolb's_experiential_learning_as_a_critical_frame_for_reflective_practice</w:t>
        </w:r>
      </w:hyperlink>
      <w:r w:rsidR="00B0193D">
        <w:rPr>
          <w:color w:val="000000"/>
        </w:rPr>
        <w:t xml:space="preserve"> </w:t>
      </w:r>
    </w:p>
    <w:p w14:paraId="01A1F381" w14:textId="77777777" w:rsidR="00DE48BB" w:rsidRDefault="00DE48BB" w:rsidP="00DE48BB">
      <w:pPr>
        <w:rPr>
          <w:lang w:val="en-US"/>
        </w:rPr>
      </w:pPr>
      <w:r w:rsidRPr="007A22C2">
        <w:rPr>
          <w:lang w:val="en-US"/>
        </w:rPr>
        <w:t>bp global (2025). </w:t>
      </w:r>
      <w:r w:rsidRPr="007A22C2">
        <w:rPr>
          <w:i/>
          <w:iCs/>
          <w:lang w:val="en-US"/>
        </w:rPr>
        <w:t>bp global</w:t>
      </w:r>
      <w:r w:rsidR="00900023">
        <w:rPr>
          <w:lang w:val="en-US"/>
        </w:rPr>
        <w:t>. [O</w:t>
      </w:r>
      <w:r w:rsidRPr="007A22C2">
        <w:rPr>
          <w:lang w:val="en-US"/>
        </w:rPr>
        <w:t xml:space="preserve">nline] bp global. Available at: </w:t>
      </w:r>
      <w:hyperlink r:id="rId42" w:history="1">
        <w:r w:rsidRPr="007A22C2">
          <w:rPr>
            <w:rStyle w:val="Hyperlink"/>
            <w:lang w:val="en-US"/>
          </w:rPr>
          <w:t>https://www.bp.com/</w:t>
        </w:r>
      </w:hyperlink>
      <w:r>
        <w:rPr>
          <w:lang w:val="en-US"/>
        </w:rPr>
        <w:t xml:space="preserve"> </w:t>
      </w:r>
      <w:r w:rsidRPr="007A22C2">
        <w:rPr>
          <w:lang w:val="en-US"/>
        </w:rPr>
        <w:t>[Accessed</w:t>
      </w:r>
      <w:r w:rsidR="00683DA9">
        <w:rPr>
          <w:lang w:val="en-US"/>
        </w:rPr>
        <w:t xml:space="preserve"> on: </w:t>
      </w:r>
      <w:r w:rsidRPr="007A22C2">
        <w:rPr>
          <w:lang w:val="en-US"/>
        </w:rPr>
        <w:t xml:space="preserve"> 10 Mar. 2026].</w:t>
      </w:r>
    </w:p>
    <w:p w14:paraId="3D074F1D" w14:textId="77777777" w:rsidR="00DE48BB" w:rsidRDefault="00DE48BB" w:rsidP="00DE48BB">
      <w:pPr>
        <w:rPr>
          <w:lang w:val="en-US"/>
        </w:rPr>
      </w:pPr>
      <w:r w:rsidRPr="000B5745">
        <w:rPr>
          <w:lang w:val="en-US"/>
        </w:rPr>
        <w:t>bp global (2025). </w:t>
      </w:r>
      <w:r w:rsidRPr="000B5745">
        <w:rPr>
          <w:i/>
          <w:iCs/>
          <w:lang w:val="en-US"/>
        </w:rPr>
        <w:t>bp global</w:t>
      </w:r>
      <w:r w:rsidR="00631F51">
        <w:rPr>
          <w:lang w:val="en-US"/>
        </w:rPr>
        <w:t>. [O</w:t>
      </w:r>
      <w:r w:rsidRPr="000B5745">
        <w:rPr>
          <w:lang w:val="en-US"/>
        </w:rPr>
        <w:t xml:space="preserve">nline] bp global. Available at: </w:t>
      </w:r>
      <w:hyperlink r:id="rId43" w:history="1">
        <w:r w:rsidRPr="000B5745">
          <w:rPr>
            <w:rStyle w:val="Hyperlink"/>
            <w:lang w:val="en-US"/>
          </w:rPr>
          <w:t>https://www.bp.com/en/global/corporate/sustainability/getting-to-net-zero.html</w:t>
        </w:r>
      </w:hyperlink>
      <w:r>
        <w:rPr>
          <w:lang w:val="en-US"/>
        </w:rPr>
        <w:t xml:space="preserve"> </w:t>
      </w:r>
      <w:r w:rsidR="00631F51">
        <w:rPr>
          <w:lang w:val="en-US"/>
        </w:rPr>
        <w:t xml:space="preserve">[Accessed on: </w:t>
      </w:r>
      <w:r w:rsidRPr="000B5745">
        <w:rPr>
          <w:lang w:val="en-US"/>
        </w:rPr>
        <w:t>10 Mar. 2026].</w:t>
      </w:r>
    </w:p>
    <w:p w14:paraId="5C72EEAA" w14:textId="77777777" w:rsidR="00DE48BB" w:rsidRDefault="00DE48BB" w:rsidP="00DE48BB">
      <w:pPr>
        <w:rPr>
          <w:lang w:val="en-US"/>
        </w:rPr>
      </w:pPr>
      <w:r>
        <w:rPr>
          <w:lang w:val="en-US"/>
        </w:rPr>
        <w:t>bp.com</w:t>
      </w:r>
      <w:r w:rsidRPr="0010091A">
        <w:rPr>
          <w:lang w:val="en-US"/>
        </w:rPr>
        <w:t>.</w:t>
      </w:r>
      <w:r>
        <w:rPr>
          <w:lang w:val="en-US"/>
        </w:rPr>
        <w:t xml:space="preserve"> </w:t>
      </w:r>
      <w:r w:rsidRPr="0010091A">
        <w:rPr>
          <w:lang w:val="en-US"/>
        </w:rPr>
        <w:t>(2025) </w:t>
      </w:r>
      <w:r w:rsidRPr="0010091A">
        <w:rPr>
          <w:i/>
          <w:iCs/>
          <w:lang w:val="en-US"/>
        </w:rPr>
        <w:t>bp United States</w:t>
      </w:r>
      <w:r w:rsidR="003667AC">
        <w:rPr>
          <w:lang w:val="en-US"/>
        </w:rPr>
        <w:t>. [O</w:t>
      </w:r>
      <w:r w:rsidRPr="0010091A">
        <w:rPr>
          <w:lang w:val="en-US"/>
        </w:rPr>
        <w:t xml:space="preserve">nline] United States. Available at: </w:t>
      </w:r>
      <w:hyperlink r:id="rId44" w:history="1">
        <w:r w:rsidRPr="0010091A">
          <w:rPr>
            <w:rStyle w:val="Hyperlink"/>
            <w:lang w:val="en-US"/>
          </w:rPr>
          <w:t>https://www.bp.com/en_us/united-states/home/news/features-and-highlights/5-ways-bp-uses-ai-and-other-tech-to-drive-performance.html</w:t>
        </w:r>
      </w:hyperlink>
      <w:r>
        <w:rPr>
          <w:lang w:val="en-US"/>
        </w:rPr>
        <w:t xml:space="preserve"> </w:t>
      </w:r>
      <w:r w:rsidRPr="0010091A">
        <w:rPr>
          <w:lang w:val="en-US"/>
        </w:rPr>
        <w:t>[Accessed</w:t>
      </w:r>
      <w:r w:rsidR="003667AC">
        <w:rPr>
          <w:lang w:val="en-US"/>
        </w:rPr>
        <w:t xml:space="preserve"> on:</w:t>
      </w:r>
      <w:r w:rsidRPr="0010091A">
        <w:rPr>
          <w:lang w:val="en-US"/>
        </w:rPr>
        <w:t xml:space="preserve"> 10 Mar. 2026].</w:t>
      </w:r>
    </w:p>
    <w:p w14:paraId="403AE0FA" w14:textId="77777777" w:rsidR="00DE48BB" w:rsidRPr="00881DD3" w:rsidRDefault="00DE48BB" w:rsidP="00DE48BB">
      <w:r w:rsidRPr="00881DD3">
        <w:t xml:space="preserve">Branca, T. A., Fornai, B., Colla, V., Pistelli, M. I., Faraci, E. L., Cirilli, F., </w:t>
      </w:r>
      <w:r>
        <w:t>and</w:t>
      </w:r>
      <w:r w:rsidRPr="00881DD3">
        <w:t xml:space="preserve"> Schröder, A. J. (2022) Skills Demand in Energy Intensive Industries Targeting Industrial Symbiosis and Energy Efficiency. Sustainability, 14(23), 15615. </w:t>
      </w:r>
      <w:hyperlink r:id="rId45" w:history="1">
        <w:r w:rsidRPr="00E135EA">
          <w:rPr>
            <w:rStyle w:val="Hyperlink"/>
          </w:rPr>
          <w:t>https://doi.org/10.3390/su142315615</w:t>
        </w:r>
      </w:hyperlink>
      <w:r>
        <w:t xml:space="preserve"> </w:t>
      </w:r>
    </w:p>
    <w:p w14:paraId="2DD59BE8" w14:textId="77777777" w:rsidR="00DE48BB" w:rsidRDefault="00DE48BB" w:rsidP="00DE48BB">
      <w:pPr>
        <w:rPr>
          <w:lang w:val="en-US"/>
        </w:rPr>
      </w:pPr>
      <w:r w:rsidRPr="00F83A2A">
        <w:rPr>
          <w:lang w:val="en-US"/>
        </w:rPr>
        <w:t>‌</w:t>
      </w:r>
      <w:r w:rsidRPr="000638F6">
        <w:rPr>
          <w:lang w:val="en-US"/>
        </w:rPr>
        <w:t xml:space="preserve">Dokas, I., Oikonomou, G., Panagiotidis, M., </w:t>
      </w:r>
      <w:r>
        <w:rPr>
          <w:lang w:val="en-US"/>
        </w:rPr>
        <w:t>and</w:t>
      </w:r>
      <w:r w:rsidRPr="000638F6">
        <w:rPr>
          <w:lang w:val="en-US"/>
        </w:rPr>
        <w:t xml:space="preserve"> Spyromitros, E. (2023) Macroeconomic and Uncertainty Shocks’ Effects on Energy Prices: A Comprehensive Literature Review. Energies, 16(3), 1491. </w:t>
      </w:r>
      <w:hyperlink r:id="rId46" w:history="1">
        <w:r w:rsidRPr="00E135EA">
          <w:rPr>
            <w:rStyle w:val="Hyperlink"/>
            <w:lang w:val="en-US"/>
          </w:rPr>
          <w:t>https://doi.org/10.3390/en16031491</w:t>
        </w:r>
      </w:hyperlink>
      <w:r>
        <w:rPr>
          <w:lang w:val="en-US"/>
        </w:rPr>
        <w:t xml:space="preserve">  </w:t>
      </w:r>
    </w:p>
    <w:p w14:paraId="76CAD8E3" w14:textId="77777777" w:rsidR="00DE48BB" w:rsidRPr="00F83A2A" w:rsidRDefault="00DE48BB" w:rsidP="00DE48BB">
      <w:pPr>
        <w:rPr>
          <w:lang w:val="en-US"/>
        </w:rPr>
      </w:pPr>
      <w:r w:rsidRPr="007C6FD1">
        <w:t xml:space="preserve">Espínola, F., Castillo, E., </w:t>
      </w:r>
      <w:r>
        <w:t>and</w:t>
      </w:r>
      <w:r w:rsidRPr="007C6FD1">
        <w:t xml:space="preserve"> Orellana, L. F. (2025) Bibliometric and PESTEL Analysis of Deep-Sea Mining: Trends and Challenges for Sustainable Development. </w:t>
      </w:r>
      <w:r w:rsidRPr="007C6FD1">
        <w:rPr>
          <w:i/>
          <w:iCs/>
        </w:rPr>
        <w:t>Mining</w:t>
      </w:r>
      <w:r w:rsidRPr="007C6FD1">
        <w:t>, </w:t>
      </w:r>
      <w:r w:rsidRPr="007C6FD1">
        <w:rPr>
          <w:i/>
          <w:iCs/>
        </w:rPr>
        <w:t>5</w:t>
      </w:r>
      <w:r w:rsidRPr="007C6FD1">
        <w:t xml:space="preserve">(2), 36. </w:t>
      </w:r>
      <w:hyperlink r:id="rId47" w:history="1">
        <w:r w:rsidRPr="00E135EA">
          <w:rPr>
            <w:rStyle w:val="Hyperlink"/>
          </w:rPr>
          <w:t>https://doi.org/10.3390/mining5020036</w:t>
        </w:r>
      </w:hyperlink>
      <w:r>
        <w:t xml:space="preserve"> </w:t>
      </w:r>
    </w:p>
    <w:p w14:paraId="5EEF72DA" w14:textId="77777777" w:rsidR="00DE48BB" w:rsidRDefault="00DE48BB" w:rsidP="00DE48BB">
      <w:pPr>
        <w:rPr>
          <w:lang w:val="en-US"/>
        </w:rPr>
      </w:pPr>
      <w:r w:rsidRPr="0010091A">
        <w:rPr>
          <w:lang w:val="en-US"/>
        </w:rPr>
        <w:lastRenderedPageBreak/>
        <w:t xml:space="preserve">Falcone, P. M. (2023) Sustainable Energy Policies in Developing Countries: A Review of Challenges and Opportunities. Energies, 16(18), 6682. </w:t>
      </w:r>
      <w:hyperlink r:id="rId48" w:history="1">
        <w:r w:rsidRPr="00E135EA">
          <w:rPr>
            <w:rStyle w:val="Hyperlink"/>
            <w:lang w:val="en-US"/>
          </w:rPr>
          <w:t>https://doi.org/10.3390/en16186682</w:t>
        </w:r>
      </w:hyperlink>
      <w:r>
        <w:rPr>
          <w:lang w:val="en-US"/>
        </w:rPr>
        <w:t xml:space="preserve"> </w:t>
      </w:r>
    </w:p>
    <w:p w14:paraId="2315EEBD" w14:textId="77777777" w:rsidR="00DE48BB" w:rsidRDefault="00DE48BB" w:rsidP="00DE48BB">
      <w:pPr>
        <w:rPr>
          <w:lang w:val="en-US"/>
        </w:rPr>
      </w:pPr>
      <w:r w:rsidRPr="00B97D8E">
        <w:rPr>
          <w:lang w:val="en-US"/>
        </w:rPr>
        <w:t>Jones, C. and Almeida, L. (2026) </w:t>
      </w:r>
      <w:r w:rsidRPr="00B97D8E">
        <w:rPr>
          <w:i/>
          <w:iCs/>
          <w:lang w:val="en-US"/>
        </w:rPr>
        <w:t>Gas prices soar and oil jumps as Iran war pushes down global stock markets</w:t>
      </w:r>
      <w:r w:rsidR="00011B15">
        <w:rPr>
          <w:lang w:val="en-US"/>
        </w:rPr>
        <w:t>. [O</w:t>
      </w:r>
      <w:r w:rsidRPr="00B97D8E">
        <w:rPr>
          <w:lang w:val="en-US"/>
        </w:rPr>
        <w:t xml:space="preserve">nline] the Guardian. Available at: </w:t>
      </w:r>
      <w:hyperlink r:id="rId49" w:history="1">
        <w:r w:rsidRPr="00B97D8E">
          <w:rPr>
            <w:rStyle w:val="Hyperlink"/>
            <w:lang w:val="en-US"/>
          </w:rPr>
          <w:t>https://www.theguardian.com/world/2026/mar/02/oil-prices-iran-war-strait-of-hormuz-shipping</w:t>
        </w:r>
      </w:hyperlink>
      <w:r>
        <w:rPr>
          <w:lang w:val="en-US"/>
        </w:rPr>
        <w:t xml:space="preserve"> </w:t>
      </w:r>
      <w:r w:rsidRPr="00B97D8E">
        <w:rPr>
          <w:lang w:val="en-US"/>
        </w:rPr>
        <w:t xml:space="preserve">[Accessed </w:t>
      </w:r>
      <w:r w:rsidR="00011B15">
        <w:rPr>
          <w:lang w:val="en-US"/>
        </w:rPr>
        <w:t xml:space="preserve">on: </w:t>
      </w:r>
      <w:r w:rsidRPr="00B97D8E">
        <w:rPr>
          <w:lang w:val="en-US"/>
        </w:rPr>
        <w:t>10 Mar. 2026].</w:t>
      </w:r>
    </w:p>
    <w:p w14:paraId="1B747E76" w14:textId="77777777" w:rsidR="00DE48BB" w:rsidRDefault="00DE48BB" w:rsidP="00DE48BB">
      <w:pPr>
        <w:rPr>
          <w:lang w:val="en-US"/>
        </w:rPr>
      </w:pPr>
      <w:r w:rsidRPr="0097181C">
        <w:rPr>
          <w:lang w:val="en-US"/>
        </w:rPr>
        <w:t xml:space="preserve">Kyriakarakos, G., Papadakis, G., </w:t>
      </w:r>
      <w:r>
        <w:rPr>
          <w:lang w:val="en-US"/>
        </w:rPr>
        <w:t>and</w:t>
      </w:r>
      <w:r w:rsidRPr="0097181C">
        <w:rPr>
          <w:lang w:val="en-US"/>
        </w:rPr>
        <w:t xml:space="preserve"> Karavitis, C. A. (2022) Renewable Energy Desalination for Island Communities: Status and Future Prospects in Greece. Sustainability, 14(13), 8176. </w:t>
      </w:r>
      <w:hyperlink r:id="rId50" w:history="1">
        <w:r w:rsidRPr="00E135EA">
          <w:rPr>
            <w:rStyle w:val="Hyperlink"/>
            <w:lang w:val="en-US"/>
          </w:rPr>
          <w:t>https://doi.org/10.3390/su14138176</w:t>
        </w:r>
      </w:hyperlink>
      <w:r>
        <w:rPr>
          <w:lang w:val="en-US"/>
        </w:rPr>
        <w:t xml:space="preserve"> </w:t>
      </w:r>
    </w:p>
    <w:p w14:paraId="5F243860" w14:textId="77777777" w:rsidR="00DE48BB" w:rsidRDefault="00DE48BB" w:rsidP="00DE48BB">
      <w:r w:rsidRPr="00881DD3">
        <w:t xml:space="preserve">Mahmood, Y., Afrin, T., Huang, Y., </w:t>
      </w:r>
      <w:r>
        <w:t>and</w:t>
      </w:r>
      <w:r w:rsidRPr="00881DD3">
        <w:t xml:space="preserve"> Yodo, N. (2023) Sustainable Development for Oil and Gas Infrastructure from Risk, Reliability, and Resilience Perspectives. Sustainability, 15(6), 4953. </w:t>
      </w:r>
      <w:hyperlink r:id="rId51" w:history="1">
        <w:r w:rsidRPr="00E135EA">
          <w:rPr>
            <w:rStyle w:val="Hyperlink"/>
          </w:rPr>
          <w:t>https://doi.org/10.3390/su15064953</w:t>
        </w:r>
      </w:hyperlink>
      <w:r>
        <w:t xml:space="preserve"> </w:t>
      </w:r>
    </w:p>
    <w:p w14:paraId="0B93ADF8" w14:textId="77777777" w:rsidR="00DE48BB" w:rsidRDefault="00DE48BB" w:rsidP="00DE48BB">
      <w:pPr>
        <w:rPr>
          <w:lang w:val="en-US"/>
        </w:rPr>
      </w:pPr>
      <w:r w:rsidRPr="000B5745">
        <w:rPr>
          <w:lang w:val="en-US"/>
        </w:rPr>
        <w:t>‌</w:t>
      </w:r>
      <w:r w:rsidRPr="00F83A2A">
        <w:rPr>
          <w:lang w:val="en-US"/>
        </w:rPr>
        <w:t>McGuire, W., Holtmaat, E.A. and Prakash, A. (2022) Penalties for industrial accidents: The impact of the Deepwater Horizon accident on BP’s reputation and stock market returns. </w:t>
      </w:r>
      <w:r w:rsidRPr="00F83A2A">
        <w:rPr>
          <w:i/>
          <w:iCs/>
          <w:lang w:val="en-US"/>
        </w:rPr>
        <w:t>PLOS ONE</w:t>
      </w:r>
      <w:r w:rsidRPr="00F83A2A">
        <w:rPr>
          <w:lang w:val="en-US"/>
        </w:rPr>
        <w:t>, [online] 17(6), p.e0268743.</w:t>
      </w:r>
      <w:r>
        <w:rPr>
          <w:lang w:val="en-US"/>
        </w:rPr>
        <w:t xml:space="preserve"> </w:t>
      </w:r>
      <w:r w:rsidRPr="00F83A2A">
        <w:rPr>
          <w:lang w:val="en-US"/>
        </w:rPr>
        <w:t>doi:</w:t>
      </w:r>
      <w:r>
        <w:rPr>
          <w:lang w:val="en-US"/>
        </w:rPr>
        <w:t xml:space="preserve"> </w:t>
      </w:r>
      <w:hyperlink r:id="rId52" w:history="1">
        <w:r w:rsidRPr="00E135EA">
          <w:rPr>
            <w:rStyle w:val="Hyperlink"/>
            <w:lang w:val="en-US"/>
          </w:rPr>
          <w:t>https://doi.org/10.1371/journal.pone.0268743</w:t>
        </w:r>
      </w:hyperlink>
      <w:r>
        <w:rPr>
          <w:lang w:val="en-US"/>
        </w:rPr>
        <w:t xml:space="preserve">. </w:t>
      </w:r>
    </w:p>
    <w:p w14:paraId="3B85B692" w14:textId="77777777" w:rsidR="00DE48BB" w:rsidRPr="000B5745" w:rsidRDefault="00DE48BB" w:rsidP="00DE48BB">
      <w:pPr>
        <w:rPr>
          <w:lang w:val="en-US"/>
        </w:rPr>
      </w:pPr>
      <w:r w:rsidRPr="004023AC">
        <w:t xml:space="preserve">Setiawati, R., Eve, J., Syavira, A., Ricardianto, P. and Endri, E. </w:t>
      </w:r>
      <w:r>
        <w:t>(</w:t>
      </w:r>
      <w:r w:rsidRPr="004023AC">
        <w:t>2022</w:t>
      </w:r>
      <w:r>
        <w:t>)</w:t>
      </w:r>
      <w:r w:rsidRPr="004023AC">
        <w:t xml:space="preserve"> The role of information technology in business agility: Systematic literature review. </w:t>
      </w:r>
      <w:r w:rsidRPr="004023AC">
        <w:rPr>
          <w:i/>
          <w:iCs/>
        </w:rPr>
        <w:t>Calitatea</w:t>
      </w:r>
      <w:r w:rsidRPr="004023AC">
        <w:t>, </w:t>
      </w:r>
      <w:r w:rsidRPr="004023AC">
        <w:rPr>
          <w:i/>
          <w:iCs/>
        </w:rPr>
        <w:t>23</w:t>
      </w:r>
      <w:r w:rsidRPr="004023AC">
        <w:t>(189), pp.</w:t>
      </w:r>
      <w:r>
        <w:t xml:space="preserve"> </w:t>
      </w:r>
      <w:r w:rsidRPr="004023AC">
        <w:t>144-149.</w:t>
      </w:r>
      <w:r>
        <w:t xml:space="preserve"> </w:t>
      </w:r>
      <w:hyperlink r:id="rId53" w:history="1">
        <w:r w:rsidRPr="00E135EA">
          <w:rPr>
            <w:rStyle w:val="Hyperlink"/>
          </w:rPr>
          <w:t>https://www.researchgate.net/profile/Endri-</w:t>
        </w:r>
      </w:hyperlink>
      <w:r>
        <w:t xml:space="preserve"> </w:t>
      </w:r>
      <w:r w:rsidRPr="004023AC">
        <w:t>Endri/publication/362536847_The_Role_of_Information_Technology_in_Business_Agility_Systematic_Literature_Review/links/62ef2aaa505511283e98f837/The-Role-of-Information-Technology-in-Business-Agility-Systematic-Literature-Review.pdf</w:t>
      </w:r>
      <w:r w:rsidR="002F250D">
        <w:t xml:space="preserve"> </w:t>
      </w:r>
    </w:p>
    <w:p w14:paraId="13B9D0B7" w14:textId="77777777" w:rsidR="00DE48BB" w:rsidRDefault="00DE48BB" w:rsidP="00DE48BB">
      <w:r w:rsidRPr="0097181C">
        <w:t xml:space="preserve">Shabani, T., Jerie, S. and Shabani, T. </w:t>
      </w:r>
      <w:r>
        <w:t>(</w:t>
      </w:r>
      <w:r w:rsidRPr="0097181C">
        <w:t>2024</w:t>
      </w:r>
      <w:r>
        <w:t>)</w:t>
      </w:r>
      <w:r w:rsidRPr="0097181C">
        <w:t xml:space="preserve"> A comprehensive review of the Swiss cheese model in risk management. </w:t>
      </w:r>
      <w:r w:rsidRPr="0097181C">
        <w:rPr>
          <w:i/>
          <w:iCs/>
        </w:rPr>
        <w:t>Safety in extreme environments</w:t>
      </w:r>
      <w:r w:rsidRPr="0097181C">
        <w:t>, </w:t>
      </w:r>
      <w:r w:rsidRPr="0097181C">
        <w:rPr>
          <w:i/>
          <w:iCs/>
        </w:rPr>
        <w:t>6</w:t>
      </w:r>
      <w:r w:rsidRPr="0097181C">
        <w:t>(1), pp.</w:t>
      </w:r>
      <w:r>
        <w:t xml:space="preserve"> </w:t>
      </w:r>
      <w:r w:rsidRPr="0097181C">
        <w:t>43-57.</w:t>
      </w:r>
      <w:r>
        <w:t xml:space="preserve"> </w:t>
      </w:r>
      <w:hyperlink r:id="rId54" w:history="1">
        <w:r w:rsidRPr="00E135EA">
          <w:rPr>
            <w:rStyle w:val="Hyperlink"/>
          </w:rPr>
          <w:t>https://www.academia.edu/download/113129806/SWISS_CHEESE_MODEL.pdf</w:t>
        </w:r>
      </w:hyperlink>
      <w:r>
        <w:t xml:space="preserve"> </w:t>
      </w:r>
    </w:p>
    <w:p w14:paraId="5A88AF81" w14:textId="77777777" w:rsidR="00DE48BB" w:rsidRDefault="00DE48BB" w:rsidP="00DE48BB">
      <w:pPr>
        <w:rPr>
          <w:lang w:val="en-US"/>
        </w:rPr>
      </w:pPr>
      <w:r w:rsidRPr="00B97D8E">
        <w:t xml:space="preserve">Sharma, S.K., Rani, A., Bakhariya, H., Kumar, R., Tomar, D. and Ghosh, S. </w:t>
      </w:r>
      <w:r>
        <w:t>(</w:t>
      </w:r>
      <w:r w:rsidRPr="00B97D8E">
        <w:t>2024</w:t>
      </w:r>
      <w:r>
        <w:t>)</w:t>
      </w:r>
      <w:r w:rsidRPr="00B97D8E">
        <w:t xml:space="preserve"> The role of IoT in optimizing operations in the oil and gas sector: A review. </w:t>
      </w:r>
      <w:r w:rsidRPr="00B97D8E">
        <w:rPr>
          <w:i/>
          <w:iCs/>
        </w:rPr>
        <w:t>Transactions of the Indian National Academy of Engineering</w:t>
      </w:r>
      <w:r w:rsidRPr="00B97D8E">
        <w:t>, </w:t>
      </w:r>
      <w:r w:rsidRPr="00B97D8E">
        <w:rPr>
          <w:i/>
          <w:iCs/>
        </w:rPr>
        <w:t>9</w:t>
      </w:r>
      <w:r w:rsidRPr="00B97D8E">
        <w:t>(2), pp.</w:t>
      </w:r>
      <w:r>
        <w:t xml:space="preserve"> </w:t>
      </w:r>
      <w:r w:rsidRPr="00B97D8E">
        <w:t>293-312.</w:t>
      </w:r>
      <w:r>
        <w:t xml:space="preserve"> </w:t>
      </w:r>
      <w:hyperlink r:id="rId55" w:history="1">
        <w:r w:rsidRPr="00E135EA">
          <w:rPr>
            <w:rStyle w:val="Hyperlink"/>
          </w:rPr>
          <w:t>https://doi.org/10.1007/s41403-024-00464-9</w:t>
        </w:r>
      </w:hyperlink>
      <w:r>
        <w:rPr>
          <w:lang w:val="en-US"/>
        </w:rPr>
        <w:t xml:space="preserve"> </w:t>
      </w:r>
    </w:p>
    <w:p w14:paraId="48C1DC74" w14:textId="77777777" w:rsidR="00DE48BB" w:rsidRDefault="00DE48BB" w:rsidP="00DE48BB">
      <w:pPr>
        <w:rPr>
          <w:lang w:val="en-US"/>
        </w:rPr>
      </w:pPr>
      <w:r w:rsidRPr="000638F6">
        <w:rPr>
          <w:lang w:val="en-US"/>
        </w:rPr>
        <w:lastRenderedPageBreak/>
        <w:t xml:space="preserve">Yasemi, S., Khalili, Y., Sanati, A., </w:t>
      </w:r>
      <w:r>
        <w:rPr>
          <w:lang w:val="en-US"/>
        </w:rPr>
        <w:t>and</w:t>
      </w:r>
      <w:r w:rsidRPr="000638F6">
        <w:rPr>
          <w:lang w:val="en-US"/>
        </w:rPr>
        <w:t xml:space="preserve"> Bagheri, M. (2023) Carbon Capture and Storage: Application in the Oil and Gas Industry. Sustainability, 15(19), 14486. </w:t>
      </w:r>
      <w:hyperlink r:id="rId56" w:history="1">
        <w:r w:rsidRPr="00E135EA">
          <w:rPr>
            <w:rStyle w:val="Hyperlink"/>
            <w:lang w:val="en-US"/>
          </w:rPr>
          <w:t>https://doi.org/10.3390/su151914486</w:t>
        </w:r>
      </w:hyperlink>
      <w:r>
        <w:rPr>
          <w:lang w:val="en-US"/>
        </w:rPr>
        <w:t xml:space="preserve"> </w:t>
      </w:r>
    </w:p>
    <w:p w14:paraId="503319E4" w14:textId="77777777" w:rsidR="00DE48BB" w:rsidRDefault="00DE48BB" w:rsidP="00DE48BB">
      <w:pPr>
        <w:rPr>
          <w:lang w:val="en-US"/>
        </w:rPr>
      </w:pPr>
      <w:r w:rsidRPr="000638F6">
        <w:rPr>
          <w:lang w:val="en-US"/>
        </w:rPr>
        <w:t xml:space="preserve">Zakeri, B., Paulavets, K., Barreto-Gomez, L., Echeverri, L. G., Pachauri, S., Boza-Kiss, B., Zimm, C., Rogelj, J., Creutzig, F., Ürge-Vorsatz, D., Victor, D. G., Bazilian, M. D., Fritz, S., Gielen, D., McCollum, D. L., Srivastava, L., Hunt, J. D., </w:t>
      </w:r>
      <w:r>
        <w:rPr>
          <w:lang w:val="en-US"/>
        </w:rPr>
        <w:t>and</w:t>
      </w:r>
      <w:r w:rsidRPr="000638F6">
        <w:rPr>
          <w:lang w:val="en-US"/>
        </w:rPr>
        <w:t xml:space="preserve"> Pouya, S. (2022) Pandemic, War, and Global Energy Transitions. Energies, 15(17), 6114. </w:t>
      </w:r>
      <w:hyperlink r:id="rId57" w:history="1">
        <w:r w:rsidRPr="00E135EA">
          <w:rPr>
            <w:rStyle w:val="Hyperlink"/>
            <w:lang w:val="en-US"/>
          </w:rPr>
          <w:t>https://doi.org/10.3390/en15176114</w:t>
        </w:r>
      </w:hyperlink>
      <w:r>
        <w:rPr>
          <w:lang w:val="en-US"/>
        </w:rPr>
        <w:t xml:space="preserve"> </w:t>
      </w:r>
    </w:p>
    <w:p w14:paraId="5375322B" w14:textId="77777777" w:rsidR="00DE48BB" w:rsidRPr="009A76F7" w:rsidRDefault="00DE48BB" w:rsidP="00DE48BB">
      <w:pPr>
        <w:rPr>
          <w:lang w:val="en-US"/>
        </w:rPr>
      </w:pPr>
      <w:r w:rsidRPr="009A76F7">
        <w:rPr>
          <w:lang w:val="en-US"/>
        </w:rPr>
        <w:t>Model, S. (2025) </w:t>
      </w:r>
      <w:r w:rsidRPr="009A76F7">
        <w:rPr>
          <w:i/>
          <w:iCs/>
          <w:lang w:val="en-US"/>
        </w:rPr>
        <w:t>PESTEL Analysis PowerPoint Template &amp; Presentation Slides</w:t>
      </w:r>
      <w:r w:rsidR="006426A9">
        <w:rPr>
          <w:lang w:val="en-US"/>
        </w:rPr>
        <w:t>. [O</w:t>
      </w:r>
      <w:r w:rsidRPr="009A76F7">
        <w:rPr>
          <w:lang w:val="en-US"/>
        </w:rPr>
        <w:t xml:space="preserve">nline] SlideModel. Available at: </w:t>
      </w:r>
      <w:hyperlink r:id="rId58" w:history="1">
        <w:r w:rsidRPr="009A76F7">
          <w:rPr>
            <w:rStyle w:val="Hyperlink"/>
            <w:lang w:val="en-US"/>
          </w:rPr>
          <w:t>https://slidemodel.com/templates/pestel-analysis-powerpoint-template/</w:t>
        </w:r>
      </w:hyperlink>
      <w:r>
        <w:rPr>
          <w:lang w:val="en-US"/>
        </w:rPr>
        <w:t xml:space="preserve"> </w:t>
      </w:r>
      <w:r w:rsidRPr="009A76F7">
        <w:rPr>
          <w:lang w:val="en-US"/>
        </w:rPr>
        <w:t xml:space="preserve">[Accessed </w:t>
      </w:r>
      <w:r w:rsidR="00E81046">
        <w:rPr>
          <w:lang w:val="en-US"/>
        </w:rPr>
        <w:t xml:space="preserve">on: </w:t>
      </w:r>
      <w:r w:rsidRPr="009A76F7">
        <w:rPr>
          <w:lang w:val="en-US"/>
        </w:rPr>
        <w:t>10 Mar. 2026].</w:t>
      </w:r>
    </w:p>
    <w:p w14:paraId="52127C81" w14:textId="77777777" w:rsidR="00DE48BB" w:rsidRDefault="00DE48BB" w:rsidP="00CE73DF">
      <w:pPr>
        <w:pStyle w:val="NormalWeb"/>
        <w:spacing w:before="0" w:beforeAutospacing="0" w:after="240" w:afterAutospacing="0" w:line="360" w:lineRule="atLeast"/>
        <w:rPr>
          <w:color w:val="000000"/>
        </w:rPr>
      </w:pPr>
    </w:p>
    <w:p w14:paraId="2A3F3562" w14:textId="77777777" w:rsidR="00CE73DF" w:rsidRDefault="00CE73DF" w:rsidP="00CE73DF">
      <w:pPr>
        <w:pStyle w:val="NormalWeb"/>
        <w:rPr>
          <w:color w:val="000000"/>
        </w:rPr>
      </w:pPr>
      <w:r>
        <w:rPr>
          <w:color w:val="000000"/>
        </w:rPr>
        <w:t>‌</w:t>
      </w:r>
    </w:p>
    <w:p w14:paraId="55EFC63E" w14:textId="77777777" w:rsidR="00CE73DF" w:rsidRDefault="00CE73DF" w:rsidP="00257EEA">
      <w:pPr>
        <w:pStyle w:val="NormalWeb"/>
        <w:spacing w:before="0" w:beforeAutospacing="0" w:after="240" w:afterAutospacing="0" w:line="360" w:lineRule="atLeast"/>
        <w:rPr>
          <w:color w:val="000000"/>
        </w:rPr>
      </w:pPr>
    </w:p>
    <w:p w14:paraId="6A9529F6" w14:textId="77777777" w:rsidR="00257EEA" w:rsidRDefault="00257EEA" w:rsidP="00257EEA">
      <w:pPr>
        <w:pStyle w:val="NormalWeb"/>
        <w:rPr>
          <w:color w:val="000000"/>
        </w:rPr>
      </w:pPr>
      <w:r>
        <w:rPr>
          <w:color w:val="000000"/>
        </w:rPr>
        <w:t>‌</w:t>
      </w:r>
    </w:p>
    <w:p w14:paraId="7777C2B7" w14:textId="77777777" w:rsidR="00257EEA" w:rsidRPr="00471EDC" w:rsidRDefault="00257EEA" w:rsidP="00FB4829">
      <w:pPr>
        <w:pStyle w:val="NormalWeb"/>
        <w:spacing w:before="0" w:beforeAutospacing="0" w:after="240" w:afterAutospacing="0" w:line="360" w:lineRule="atLeast"/>
        <w:rPr>
          <w:color w:val="000000"/>
          <w:lang w:val="en-GB"/>
        </w:rPr>
      </w:pPr>
    </w:p>
    <w:p w14:paraId="4875EC74" w14:textId="77777777" w:rsidR="00E1315A" w:rsidRPr="00471EDC" w:rsidRDefault="00E1315A" w:rsidP="00E1315A">
      <w:pPr>
        <w:pStyle w:val="NormalWeb"/>
        <w:rPr>
          <w:color w:val="000000"/>
          <w:lang w:val="en-GB"/>
        </w:rPr>
      </w:pPr>
      <w:r w:rsidRPr="00471EDC">
        <w:rPr>
          <w:color w:val="000000"/>
          <w:lang w:val="en-GB"/>
        </w:rPr>
        <w:t>‌</w:t>
      </w:r>
    </w:p>
    <w:p w14:paraId="6EFCEF49" w14:textId="77777777" w:rsidR="00E1315A" w:rsidRPr="00471EDC" w:rsidRDefault="00E1315A" w:rsidP="00077260">
      <w:pPr>
        <w:pStyle w:val="NormalWeb"/>
        <w:spacing w:before="0" w:beforeAutospacing="0" w:after="240" w:afterAutospacing="0" w:line="360" w:lineRule="atLeast"/>
        <w:rPr>
          <w:color w:val="000000"/>
          <w:lang w:val="en-GB"/>
        </w:rPr>
      </w:pPr>
    </w:p>
    <w:p w14:paraId="7874B8DB" w14:textId="77777777" w:rsidR="00077260" w:rsidRPr="00471EDC" w:rsidRDefault="00077260" w:rsidP="00077260">
      <w:pPr>
        <w:pStyle w:val="NormalWeb"/>
        <w:rPr>
          <w:color w:val="000000"/>
          <w:lang w:val="en-GB"/>
        </w:rPr>
      </w:pPr>
      <w:r w:rsidRPr="00471EDC">
        <w:rPr>
          <w:color w:val="000000"/>
          <w:lang w:val="en-GB"/>
        </w:rPr>
        <w:t>‌</w:t>
      </w:r>
    </w:p>
    <w:p w14:paraId="30E494C8" w14:textId="77777777" w:rsidR="00077260" w:rsidRPr="00471EDC" w:rsidRDefault="00077260" w:rsidP="00581BFF">
      <w:pPr>
        <w:pStyle w:val="NormalWeb"/>
        <w:spacing w:before="0" w:beforeAutospacing="0" w:after="240" w:afterAutospacing="0" w:line="360" w:lineRule="atLeast"/>
        <w:rPr>
          <w:color w:val="000000"/>
          <w:lang w:val="en-GB"/>
        </w:rPr>
      </w:pPr>
    </w:p>
    <w:p w14:paraId="4C2C93CC" w14:textId="77777777" w:rsidR="00581BFF" w:rsidRPr="00471EDC" w:rsidRDefault="00581BFF" w:rsidP="00581BFF">
      <w:pPr>
        <w:pStyle w:val="NormalWeb"/>
        <w:rPr>
          <w:color w:val="000000"/>
          <w:lang w:val="en-GB"/>
        </w:rPr>
      </w:pPr>
      <w:r w:rsidRPr="00471EDC">
        <w:rPr>
          <w:color w:val="000000"/>
          <w:lang w:val="en-GB"/>
        </w:rPr>
        <w:t>‌</w:t>
      </w:r>
    </w:p>
    <w:p w14:paraId="652EDC76" w14:textId="77777777" w:rsidR="00581BFF" w:rsidRPr="00471EDC" w:rsidRDefault="00581BFF" w:rsidP="009240A0">
      <w:pPr>
        <w:pStyle w:val="NormalWeb"/>
        <w:spacing w:before="0" w:beforeAutospacing="0" w:after="240" w:afterAutospacing="0" w:line="360" w:lineRule="atLeast"/>
        <w:rPr>
          <w:color w:val="000000"/>
          <w:lang w:val="en-GB"/>
        </w:rPr>
      </w:pPr>
    </w:p>
    <w:p w14:paraId="51CC9586" w14:textId="77777777" w:rsidR="009240A0" w:rsidRPr="00471EDC" w:rsidRDefault="009240A0" w:rsidP="009240A0">
      <w:pPr>
        <w:pStyle w:val="NormalWeb"/>
        <w:rPr>
          <w:color w:val="000000"/>
          <w:lang w:val="en-GB"/>
        </w:rPr>
      </w:pPr>
      <w:r w:rsidRPr="00471EDC">
        <w:rPr>
          <w:color w:val="000000"/>
          <w:lang w:val="en-GB"/>
        </w:rPr>
        <w:t>‌</w:t>
      </w:r>
    </w:p>
    <w:p w14:paraId="30911CC8" w14:textId="77777777" w:rsidR="00DC6262" w:rsidRPr="00471EDC" w:rsidRDefault="00DC6262" w:rsidP="00330390">
      <w:pPr>
        <w:pStyle w:val="NormalWeb"/>
        <w:rPr>
          <w:color w:val="222222"/>
          <w:shd w:val="clear" w:color="auto" w:fill="FFFFFF"/>
          <w:lang w:val="en-GB"/>
        </w:rPr>
      </w:pPr>
    </w:p>
    <w:p w14:paraId="3B2A2185" w14:textId="07417EFE" w:rsidR="00324FDC" w:rsidRPr="001F4115" w:rsidRDefault="00324FDC" w:rsidP="001F4115">
      <w:pPr>
        <w:pStyle w:val="NormalWeb"/>
        <w:rPr>
          <w:color w:val="000000"/>
          <w:lang w:val="en-GB"/>
        </w:rPr>
      </w:pPr>
    </w:p>
    <w:sectPr w:rsidR="00324FDC" w:rsidRPr="001F4115" w:rsidSect="00D167D5">
      <w:footerReference w:type="default" r:id="rId5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7CCCA" w14:textId="77777777" w:rsidR="004879A8" w:rsidRDefault="004879A8" w:rsidP="00D167D5">
      <w:pPr>
        <w:spacing w:after="0" w:line="240" w:lineRule="auto"/>
      </w:pPr>
      <w:r>
        <w:separator/>
      </w:r>
    </w:p>
  </w:endnote>
  <w:endnote w:type="continuationSeparator" w:id="0">
    <w:p w14:paraId="6FFD3746" w14:textId="77777777" w:rsidR="004879A8" w:rsidRDefault="004879A8" w:rsidP="00D16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1392365"/>
      <w:docPartObj>
        <w:docPartGallery w:val="Page Numbers (Bottom of Page)"/>
        <w:docPartUnique/>
      </w:docPartObj>
    </w:sdtPr>
    <w:sdtEndPr>
      <w:rPr>
        <w:noProof/>
      </w:rPr>
    </w:sdtEndPr>
    <w:sdtContent>
      <w:p w14:paraId="6BE503AF" w14:textId="77777777" w:rsidR="00A75A94" w:rsidRDefault="00A75A94">
        <w:pPr>
          <w:pStyle w:val="Footer"/>
          <w:jc w:val="right"/>
        </w:pPr>
        <w:r>
          <w:fldChar w:fldCharType="begin"/>
        </w:r>
        <w:r>
          <w:instrText xml:space="preserve"> PAGE   \* MERGEFORMAT </w:instrText>
        </w:r>
        <w:r>
          <w:fldChar w:fldCharType="separate"/>
        </w:r>
        <w:r w:rsidR="00A56093">
          <w:rPr>
            <w:noProof/>
          </w:rPr>
          <w:t>2</w:t>
        </w:r>
        <w:r>
          <w:rPr>
            <w:noProof/>
          </w:rPr>
          <w:fldChar w:fldCharType="end"/>
        </w:r>
      </w:p>
    </w:sdtContent>
  </w:sdt>
  <w:p w14:paraId="4BCB4C81" w14:textId="77777777" w:rsidR="00A75A94" w:rsidRDefault="00A75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85699" w14:textId="77777777" w:rsidR="004879A8" w:rsidRDefault="004879A8" w:rsidP="00D167D5">
      <w:pPr>
        <w:spacing w:after="0" w:line="240" w:lineRule="auto"/>
      </w:pPr>
      <w:r>
        <w:separator/>
      </w:r>
    </w:p>
  </w:footnote>
  <w:footnote w:type="continuationSeparator" w:id="0">
    <w:p w14:paraId="6F78A15A" w14:textId="77777777" w:rsidR="004879A8" w:rsidRDefault="004879A8" w:rsidP="00D167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80C1C"/>
    <w:multiLevelType w:val="hybridMultilevel"/>
    <w:tmpl w:val="7C38D6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503B99"/>
    <w:multiLevelType w:val="hybridMultilevel"/>
    <w:tmpl w:val="46A0F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5102907">
    <w:abstractNumId w:val="1"/>
  </w:num>
  <w:num w:numId="2" w16cid:durableId="1189948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D38"/>
    <w:rsid w:val="0000015B"/>
    <w:rsid w:val="0000113D"/>
    <w:rsid w:val="000029BC"/>
    <w:rsid w:val="00003D63"/>
    <w:rsid w:val="000052E2"/>
    <w:rsid w:val="0000595B"/>
    <w:rsid w:val="00011B15"/>
    <w:rsid w:val="00014DC0"/>
    <w:rsid w:val="00033900"/>
    <w:rsid w:val="00033F04"/>
    <w:rsid w:val="00036853"/>
    <w:rsid w:val="00044272"/>
    <w:rsid w:val="000458A0"/>
    <w:rsid w:val="00046710"/>
    <w:rsid w:val="0005282A"/>
    <w:rsid w:val="00063F3D"/>
    <w:rsid w:val="000716FA"/>
    <w:rsid w:val="00071C06"/>
    <w:rsid w:val="000738FF"/>
    <w:rsid w:val="00077260"/>
    <w:rsid w:val="000824CA"/>
    <w:rsid w:val="000848F3"/>
    <w:rsid w:val="000969AD"/>
    <w:rsid w:val="000A15A0"/>
    <w:rsid w:val="000A6531"/>
    <w:rsid w:val="000B0D99"/>
    <w:rsid w:val="000B71CE"/>
    <w:rsid w:val="000C3808"/>
    <w:rsid w:val="000C64B0"/>
    <w:rsid w:val="000E2E45"/>
    <w:rsid w:val="000E3FC6"/>
    <w:rsid w:val="000E67CC"/>
    <w:rsid w:val="000F20BB"/>
    <w:rsid w:val="000F4763"/>
    <w:rsid w:val="000F6045"/>
    <w:rsid w:val="000F7C99"/>
    <w:rsid w:val="00107480"/>
    <w:rsid w:val="00112211"/>
    <w:rsid w:val="00120898"/>
    <w:rsid w:val="0012585C"/>
    <w:rsid w:val="00144CB7"/>
    <w:rsid w:val="00151C5B"/>
    <w:rsid w:val="00153904"/>
    <w:rsid w:val="00164296"/>
    <w:rsid w:val="00174E63"/>
    <w:rsid w:val="00184A0F"/>
    <w:rsid w:val="001905EA"/>
    <w:rsid w:val="001914AE"/>
    <w:rsid w:val="00192EF4"/>
    <w:rsid w:val="001A24F5"/>
    <w:rsid w:val="001C05E5"/>
    <w:rsid w:val="001C6B10"/>
    <w:rsid w:val="001D508A"/>
    <w:rsid w:val="001D5B79"/>
    <w:rsid w:val="001D7EE1"/>
    <w:rsid w:val="001E16D7"/>
    <w:rsid w:val="001E5D9E"/>
    <w:rsid w:val="001F4115"/>
    <w:rsid w:val="001F565F"/>
    <w:rsid w:val="00203861"/>
    <w:rsid w:val="002038B1"/>
    <w:rsid w:val="0021049C"/>
    <w:rsid w:val="00215870"/>
    <w:rsid w:val="0021755A"/>
    <w:rsid w:val="0022189B"/>
    <w:rsid w:val="002308C5"/>
    <w:rsid w:val="00231B5A"/>
    <w:rsid w:val="002343AC"/>
    <w:rsid w:val="00236CFD"/>
    <w:rsid w:val="0023746D"/>
    <w:rsid w:val="002472A0"/>
    <w:rsid w:val="00254749"/>
    <w:rsid w:val="00257EEA"/>
    <w:rsid w:val="00264AFD"/>
    <w:rsid w:val="00272863"/>
    <w:rsid w:val="00272D38"/>
    <w:rsid w:val="00290472"/>
    <w:rsid w:val="0029511B"/>
    <w:rsid w:val="002A3225"/>
    <w:rsid w:val="002A37B4"/>
    <w:rsid w:val="002B4B09"/>
    <w:rsid w:val="002B7C1A"/>
    <w:rsid w:val="002C3B22"/>
    <w:rsid w:val="002C48E5"/>
    <w:rsid w:val="002C585E"/>
    <w:rsid w:val="002E61DA"/>
    <w:rsid w:val="002E753C"/>
    <w:rsid w:val="002F250D"/>
    <w:rsid w:val="002F2D47"/>
    <w:rsid w:val="0030319F"/>
    <w:rsid w:val="00304AF6"/>
    <w:rsid w:val="003050F9"/>
    <w:rsid w:val="003210FB"/>
    <w:rsid w:val="003213F3"/>
    <w:rsid w:val="00321465"/>
    <w:rsid w:val="0032221F"/>
    <w:rsid w:val="00324FDC"/>
    <w:rsid w:val="0032556C"/>
    <w:rsid w:val="00330048"/>
    <w:rsid w:val="00330390"/>
    <w:rsid w:val="00331EC8"/>
    <w:rsid w:val="0034157F"/>
    <w:rsid w:val="003578D5"/>
    <w:rsid w:val="003667AC"/>
    <w:rsid w:val="00366B9B"/>
    <w:rsid w:val="00381360"/>
    <w:rsid w:val="00381FD3"/>
    <w:rsid w:val="003868EB"/>
    <w:rsid w:val="003945BD"/>
    <w:rsid w:val="00394BF9"/>
    <w:rsid w:val="003A671C"/>
    <w:rsid w:val="003A7D83"/>
    <w:rsid w:val="003C1B76"/>
    <w:rsid w:val="003D7970"/>
    <w:rsid w:val="003E4D9A"/>
    <w:rsid w:val="003F0BE2"/>
    <w:rsid w:val="003F686C"/>
    <w:rsid w:val="003F6E0F"/>
    <w:rsid w:val="003F7212"/>
    <w:rsid w:val="00405C0B"/>
    <w:rsid w:val="0040683B"/>
    <w:rsid w:val="00411AA0"/>
    <w:rsid w:val="004229C1"/>
    <w:rsid w:val="00426955"/>
    <w:rsid w:val="00432646"/>
    <w:rsid w:val="00433BC5"/>
    <w:rsid w:val="004350AD"/>
    <w:rsid w:val="00440487"/>
    <w:rsid w:val="0044360C"/>
    <w:rsid w:val="00444C24"/>
    <w:rsid w:val="0044634D"/>
    <w:rsid w:val="00451F7F"/>
    <w:rsid w:val="00471EDC"/>
    <w:rsid w:val="00472124"/>
    <w:rsid w:val="00473ED2"/>
    <w:rsid w:val="00473F44"/>
    <w:rsid w:val="00480095"/>
    <w:rsid w:val="00487585"/>
    <w:rsid w:val="004879A8"/>
    <w:rsid w:val="004954BB"/>
    <w:rsid w:val="004A6EFF"/>
    <w:rsid w:val="004A7911"/>
    <w:rsid w:val="004C4CD2"/>
    <w:rsid w:val="004D1772"/>
    <w:rsid w:val="004E4118"/>
    <w:rsid w:val="004E43CE"/>
    <w:rsid w:val="004F26C7"/>
    <w:rsid w:val="004F3D07"/>
    <w:rsid w:val="00500D05"/>
    <w:rsid w:val="00505931"/>
    <w:rsid w:val="00505B66"/>
    <w:rsid w:val="00511569"/>
    <w:rsid w:val="00512C07"/>
    <w:rsid w:val="00516279"/>
    <w:rsid w:val="00517439"/>
    <w:rsid w:val="00521229"/>
    <w:rsid w:val="00535953"/>
    <w:rsid w:val="0053606C"/>
    <w:rsid w:val="00537B84"/>
    <w:rsid w:val="0054056D"/>
    <w:rsid w:val="005409F2"/>
    <w:rsid w:val="00542659"/>
    <w:rsid w:val="005457F3"/>
    <w:rsid w:val="0055591C"/>
    <w:rsid w:val="0056232F"/>
    <w:rsid w:val="00564898"/>
    <w:rsid w:val="005648D2"/>
    <w:rsid w:val="005754CC"/>
    <w:rsid w:val="005757A3"/>
    <w:rsid w:val="00581BFF"/>
    <w:rsid w:val="005949A2"/>
    <w:rsid w:val="005A2C9E"/>
    <w:rsid w:val="005A5B57"/>
    <w:rsid w:val="005B3449"/>
    <w:rsid w:val="005B6E04"/>
    <w:rsid w:val="005C1BD7"/>
    <w:rsid w:val="005C422B"/>
    <w:rsid w:val="005D3F1E"/>
    <w:rsid w:val="005D52E8"/>
    <w:rsid w:val="005D66F8"/>
    <w:rsid w:val="005E0649"/>
    <w:rsid w:val="005E4F40"/>
    <w:rsid w:val="005F2114"/>
    <w:rsid w:val="005F72CD"/>
    <w:rsid w:val="0060220C"/>
    <w:rsid w:val="00604F92"/>
    <w:rsid w:val="00604FF0"/>
    <w:rsid w:val="0060530A"/>
    <w:rsid w:val="00610298"/>
    <w:rsid w:val="00613458"/>
    <w:rsid w:val="006163E0"/>
    <w:rsid w:val="00617C00"/>
    <w:rsid w:val="00620734"/>
    <w:rsid w:val="006227C1"/>
    <w:rsid w:val="00624AF4"/>
    <w:rsid w:val="0062641D"/>
    <w:rsid w:val="00626C9D"/>
    <w:rsid w:val="00626FD7"/>
    <w:rsid w:val="006305A3"/>
    <w:rsid w:val="00631F51"/>
    <w:rsid w:val="006426A9"/>
    <w:rsid w:val="0066086F"/>
    <w:rsid w:val="0066140C"/>
    <w:rsid w:val="00661642"/>
    <w:rsid w:val="006619F9"/>
    <w:rsid w:val="00665AA0"/>
    <w:rsid w:val="006738F5"/>
    <w:rsid w:val="00681372"/>
    <w:rsid w:val="006821CD"/>
    <w:rsid w:val="00682598"/>
    <w:rsid w:val="00683DA9"/>
    <w:rsid w:val="0068439F"/>
    <w:rsid w:val="00685131"/>
    <w:rsid w:val="0068692C"/>
    <w:rsid w:val="00686950"/>
    <w:rsid w:val="00687994"/>
    <w:rsid w:val="006947F8"/>
    <w:rsid w:val="006978DC"/>
    <w:rsid w:val="006A4B74"/>
    <w:rsid w:val="006A7EFA"/>
    <w:rsid w:val="006B0550"/>
    <w:rsid w:val="006B0AFF"/>
    <w:rsid w:val="006B58BF"/>
    <w:rsid w:val="006B5FA9"/>
    <w:rsid w:val="006C3A78"/>
    <w:rsid w:val="006C6F3C"/>
    <w:rsid w:val="006D0615"/>
    <w:rsid w:val="006E33B1"/>
    <w:rsid w:val="006E435D"/>
    <w:rsid w:val="006E4BAF"/>
    <w:rsid w:val="006E7BFA"/>
    <w:rsid w:val="006F20F6"/>
    <w:rsid w:val="006F4234"/>
    <w:rsid w:val="006F7AEC"/>
    <w:rsid w:val="0070181F"/>
    <w:rsid w:val="0070251E"/>
    <w:rsid w:val="00705FD9"/>
    <w:rsid w:val="00706A66"/>
    <w:rsid w:val="00713D33"/>
    <w:rsid w:val="00716530"/>
    <w:rsid w:val="007174FE"/>
    <w:rsid w:val="00721DF8"/>
    <w:rsid w:val="00733843"/>
    <w:rsid w:val="00736074"/>
    <w:rsid w:val="00737248"/>
    <w:rsid w:val="0074356F"/>
    <w:rsid w:val="00752AAA"/>
    <w:rsid w:val="00754D66"/>
    <w:rsid w:val="00757689"/>
    <w:rsid w:val="0076052E"/>
    <w:rsid w:val="00760DF4"/>
    <w:rsid w:val="00761B4E"/>
    <w:rsid w:val="007632FF"/>
    <w:rsid w:val="00766FC4"/>
    <w:rsid w:val="00772088"/>
    <w:rsid w:val="00772090"/>
    <w:rsid w:val="00775B34"/>
    <w:rsid w:val="00780F43"/>
    <w:rsid w:val="0078212E"/>
    <w:rsid w:val="0078287D"/>
    <w:rsid w:val="00791495"/>
    <w:rsid w:val="007A162A"/>
    <w:rsid w:val="007A48CC"/>
    <w:rsid w:val="007A7770"/>
    <w:rsid w:val="007B2421"/>
    <w:rsid w:val="007C06AA"/>
    <w:rsid w:val="007C7B4F"/>
    <w:rsid w:val="007D1ADA"/>
    <w:rsid w:val="007D6D40"/>
    <w:rsid w:val="007D74BA"/>
    <w:rsid w:val="007F0224"/>
    <w:rsid w:val="007F30F1"/>
    <w:rsid w:val="007F3248"/>
    <w:rsid w:val="007F3515"/>
    <w:rsid w:val="007F595C"/>
    <w:rsid w:val="007F64CD"/>
    <w:rsid w:val="00813952"/>
    <w:rsid w:val="008167AC"/>
    <w:rsid w:val="00816A89"/>
    <w:rsid w:val="00816FE3"/>
    <w:rsid w:val="00820733"/>
    <w:rsid w:val="00821432"/>
    <w:rsid w:val="00822A2B"/>
    <w:rsid w:val="0082426E"/>
    <w:rsid w:val="008274F7"/>
    <w:rsid w:val="00842CF1"/>
    <w:rsid w:val="008529C8"/>
    <w:rsid w:val="00876B33"/>
    <w:rsid w:val="00883732"/>
    <w:rsid w:val="008963C0"/>
    <w:rsid w:val="0089680D"/>
    <w:rsid w:val="0089687B"/>
    <w:rsid w:val="008969CF"/>
    <w:rsid w:val="00896D3A"/>
    <w:rsid w:val="008974C3"/>
    <w:rsid w:val="008A3A89"/>
    <w:rsid w:val="008A4BA8"/>
    <w:rsid w:val="008A5D30"/>
    <w:rsid w:val="008B02D5"/>
    <w:rsid w:val="008B49D1"/>
    <w:rsid w:val="008D1284"/>
    <w:rsid w:val="008D5C81"/>
    <w:rsid w:val="008D6326"/>
    <w:rsid w:val="008D789B"/>
    <w:rsid w:val="008E18B5"/>
    <w:rsid w:val="008E40DD"/>
    <w:rsid w:val="008E5483"/>
    <w:rsid w:val="008E7909"/>
    <w:rsid w:val="008F37AF"/>
    <w:rsid w:val="008F5B7C"/>
    <w:rsid w:val="00900023"/>
    <w:rsid w:val="00902483"/>
    <w:rsid w:val="00914E79"/>
    <w:rsid w:val="00917B03"/>
    <w:rsid w:val="00917B38"/>
    <w:rsid w:val="00922FF4"/>
    <w:rsid w:val="00924056"/>
    <w:rsid w:val="009240A0"/>
    <w:rsid w:val="00932286"/>
    <w:rsid w:val="009447B0"/>
    <w:rsid w:val="00945D31"/>
    <w:rsid w:val="00981492"/>
    <w:rsid w:val="009837F9"/>
    <w:rsid w:val="009937E3"/>
    <w:rsid w:val="00996714"/>
    <w:rsid w:val="009970A1"/>
    <w:rsid w:val="009A2823"/>
    <w:rsid w:val="009C03CA"/>
    <w:rsid w:val="009C5816"/>
    <w:rsid w:val="009C7027"/>
    <w:rsid w:val="009D485A"/>
    <w:rsid w:val="009D6675"/>
    <w:rsid w:val="009F341F"/>
    <w:rsid w:val="009F35A9"/>
    <w:rsid w:val="00A01DCB"/>
    <w:rsid w:val="00A03A86"/>
    <w:rsid w:val="00A072D9"/>
    <w:rsid w:val="00A15986"/>
    <w:rsid w:val="00A21D1A"/>
    <w:rsid w:val="00A22FED"/>
    <w:rsid w:val="00A264C5"/>
    <w:rsid w:val="00A300D3"/>
    <w:rsid w:val="00A321AE"/>
    <w:rsid w:val="00A33A56"/>
    <w:rsid w:val="00A373C9"/>
    <w:rsid w:val="00A37E4C"/>
    <w:rsid w:val="00A4098C"/>
    <w:rsid w:val="00A429C1"/>
    <w:rsid w:val="00A50B12"/>
    <w:rsid w:val="00A56093"/>
    <w:rsid w:val="00A63B8F"/>
    <w:rsid w:val="00A7099C"/>
    <w:rsid w:val="00A7197B"/>
    <w:rsid w:val="00A7550D"/>
    <w:rsid w:val="00A75A94"/>
    <w:rsid w:val="00A76B79"/>
    <w:rsid w:val="00A802B1"/>
    <w:rsid w:val="00A806D8"/>
    <w:rsid w:val="00A855D0"/>
    <w:rsid w:val="00A877DF"/>
    <w:rsid w:val="00A919C4"/>
    <w:rsid w:val="00A91BA4"/>
    <w:rsid w:val="00A96F78"/>
    <w:rsid w:val="00AA7899"/>
    <w:rsid w:val="00AA7D74"/>
    <w:rsid w:val="00AC3CE6"/>
    <w:rsid w:val="00AC7592"/>
    <w:rsid w:val="00AD0B1C"/>
    <w:rsid w:val="00AD70D9"/>
    <w:rsid w:val="00AE16AA"/>
    <w:rsid w:val="00AE5A2F"/>
    <w:rsid w:val="00AF70AF"/>
    <w:rsid w:val="00AF7560"/>
    <w:rsid w:val="00B00C35"/>
    <w:rsid w:val="00B0193D"/>
    <w:rsid w:val="00B061F8"/>
    <w:rsid w:val="00B104CF"/>
    <w:rsid w:val="00B10A31"/>
    <w:rsid w:val="00B24867"/>
    <w:rsid w:val="00B34CDF"/>
    <w:rsid w:val="00B40B39"/>
    <w:rsid w:val="00B47030"/>
    <w:rsid w:val="00B50A34"/>
    <w:rsid w:val="00B513EE"/>
    <w:rsid w:val="00B55D4F"/>
    <w:rsid w:val="00B6264B"/>
    <w:rsid w:val="00B64205"/>
    <w:rsid w:val="00B65514"/>
    <w:rsid w:val="00B74687"/>
    <w:rsid w:val="00B76BF6"/>
    <w:rsid w:val="00B8025A"/>
    <w:rsid w:val="00B81216"/>
    <w:rsid w:val="00B81CA0"/>
    <w:rsid w:val="00B86AC0"/>
    <w:rsid w:val="00B92866"/>
    <w:rsid w:val="00B92F87"/>
    <w:rsid w:val="00B94807"/>
    <w:rsid w:val="00B9575E"/>
    <w:rsid w:val="00BA309F"/>
    <w:rsid w:val="00BA3F84"/>
    <w:rsid w:val="00BB16C6"/>
    <w:rsid w:val="00BC5FF8"/>
    <w:rsid w:val="00BD2253"/>
    <w:rsid w:val="00BE1B0C"/>
    <w:rsid w:val="00BF2844"/>
    <w:rsid w:val="00BF6867"/>
    <w:rsid w:val="00BF6D36"/>
    <w:rsid w:val="00BF786B"/>
    <w:rsid w:val="00BF7FF3"/>
    <w:rsid w:val="00C16EDD"/>
    <w:rsid w:val="00C2107F"/>
    <w:rsid w:val="00C21D22"/>
    <w:rsid w:val="00C2206A"/>
    <w:rsid w:val="00C24062"/>
    <w:rsid w:val="00C2583E"/>
    <w:rsid w:val="00C30B81"/>
    <w:rsid w:val="00C32B49"/>
    <w:rsid w:val="00C3358D"/>
    <w:rsid w:val="00C3645E"/>
    <w:rsid w:val="00C4365D"/>
    <w:rsid w:val="00C46CB8"/>
    <w:rsid w:val="00C5011E"/>
    <w:rsid w:val="00C64069"/>
    <w:rsid w:val="00C652E7"/>
    <w:rsid w:val="00C656AA"/>
    <w:rsid w:val="00C6693B"/>
    <w:rsid w:val="00C72299"/>
    <w:rsid w:val="00C751A5"/>
    <w:rsid w:val="00C7563B"/>
    <w:rsid w:val="00C75983"/>
    <w:rsid w:val="00C82344"/>
    <w:rsid w:val="00C82E51"/>
    <w:rsid w:val="00C84AD4"/>
    <w:rsid w:val="00C86183"/>
    <w:rsid w:val="00C90285"/>
    <w:rsid w:val="00C9598D"/>
    <w:rsid w:val="00C9726D"/>
    <w:rsid w:val="00CA6F1E"/>
    <w:rsid w:val="00CB1034"/>
    <w:rsid w:val="00CC5D41"/>
    <w:rsid w:val="00CD13D6"/>
    <w:rsid w:val="00CD1720"/>
    <w:rsid w:val="00CD1F95"/>
    <w:rsid w:val="00CD3343"/>
    <w:rsid w:val="00CD428D"/>
    <w:rsid w:val="00CE2914"/>
    <w:rsid w:val="00CE60C0"/>
    <w:rsid w:val="00CE73DF"/>
    <w:rsid w:val="00CF5D27"/>
    <w:rsid w:val="00CF6EB7"/>
    <w:rsid w:val="00D04FEF"/>
    <w:rsid w:val="00D0535F"/>
    <w:rsid w:val="00D07B58"/>
    <w:rsid w:val="00D10043"/>
    <w:rsid w:val="00D12C9E"/>
    <w:rsid w:val="00D13005"/>
    <w:rsid w:val="00D167D5"/>
    <w:rsid w:val="00D227D8"/>
    <w:rsid w:val="00D31881"/>
    <w:rsid w:val="00D47270"/>
    <w:rsid w:val="00D511DC"/>
    <w:rsid w:val="00D5310B"/>
    <w:rsid w:val="00D56A66"/>
    <w:rsid w:val="00D56DA0"/>
    <w:rsid w:val="00D652B3"/>
    <w:rsid w:val="00D6695A"/>
    <w:rsid w:val="00D7014B"/>
    <w:rsid w:val="00D72848"/>
    <w:rsid w:val="00D77E2A"/>
    <w:rsid w:val="00D83C68"/>
    <w:rsid w:val="00D9068F"/>
    <w:rsid w:val="00D9095A"/>
    <w:rsid w:val="00D95D8C"/>
    <w:rsid w:val="00DA0DFE"/>
    <w:rsid w:val="00DA0F69"/>
    <w:rsid w:val="00DA3903"/>
    <w:rsid w:val="00DA697F"/>
    <w:rsid w:val="00DB1BAC"/>
    <w:rsid w:val="00DB317B"/>
    <w:rsid w:val="00DB65F2"/>
    <w:rsid w:val="00DC1B34"/>
    <w:rsid w:val="00DC2340"/>
    <w:rsid w:val="00DC6262"/>
    <w:rsid w:val="00DD642A"/>
    <w:rsid w:val="00DD6524"/>
    <w:rsid w:val="00DE2328"/>
    <w:rsid w:val="00DE48BB"/>
    <w:rsid w:val="00DF20F5"/>
    <w:rsid w:val="00DF2D5D"/>
    <w:rsid w:val="00DF491A"/>
    <w:rsid w:val="00E03790"/>
    <w:rsid w:val="00E05452"/>
    <w:rsid w:val="00E114ED"/>
    <w:rsid w:val="00E1315A"/>
    <w:rsid w:val="00E14CA2"/>
    <w:rsid w:val="00E269A9"/>
    <w:rsid w:val="00E30B2A"/>
    <w:rsid w:val="00E441F1"/>
    <w:rsid w:val="00E4423F"/>
    <w:rsid w:val="00E5134D"/>
    <w:rsid w:val="00E57168"/>
    <w:rsid w:val="00E714BF"/>
    <w:rsid w:val="00E81046"/>
    <w:rsid w:val="00E82488"/>
    <w:rsid w:val="00E906EE"/>
    <w:rsid w:val="00E915A8"/>
    <w:rsid w:val="00E9324F"/>
    <w:rsid w:val="00EB3DF3"/>
    <w:rsid w:val="00EC42E2"/>
    <w:rsid w:val="00EC62E5"/>
    <w:rsid w:val="00ED557A"/>
    <w:rsid w:val="00EE1985"/>
    <w:rsid w:val="00EE3BC5"/>
    <w:rsid w:val="00EE5CB1"/>
    <w:rsid w:val="00EE66D7"/>
    <w:rsid w:val="00EF4403"/>
    <w:rsid w:val="00EF4502"/>
    <w:rsid w:val="00F0074E"/>
    <w:rsid w:val="00F02003"/>
    <w:rsid w:val="00F0668D"/>
    <w:rsid w:val="00F06D15"/>
    <w:rsid w:val="00F269A8"/>
    <w:rsid w:val="00F27AC2"/>
    <w:rsid w:val="00F27C7B"/>
    <w:rsid w:val="00F32159"/>
    <w:rsid w:val="00F351EE"/>
    <w:rsid w:val="00F36332"/>
    <w:rsid w:val="00F47917"/>
    <w:rsid w:val="00F55FD8"/>
    <w:rsid w:val="00F56763"/>
    <w:rsid w:val="00F62A9F"/>
    <w:rsid w:val="00F74892"/>
    <w:rsid w:val="00F846CB"/>
    <w:rsid w:val="00F85E56"/>
    <w:rsid w:val="00F902D3"/>
    <w:rsid w:val="00F941B1"/>
    <w:rsid w:val="00F94898"/>
    <w:rsid w:val="00F96535"/>
    <w:rsid w:val="00FA0041"/>
    <w:rsid w:val="00FA049F"/>
    <w:rsid w:val="00FA2F17"/>
    <w:rsid w:val="00FA45FC"/>
    <w:rsid w:val="00FB0264"/>
    <w:rsid w:val="00FB2142"/>
    <w:rsid w:val="00FB4829"/>
    <w:rsid w:val="00FB6099"/>
    <w:rsid w:val="00FB7675"/>
    <w:rsid w:val="00FD3146"/>
    <w:rsid w:val="00FD35C0"/>
    <w:rsid w:val="00FD4A04"/>
    <w:rsid w:val="00FE3515"/>
    <w:rsid w:val="00FE4B22"/>
    <w:rsid w:val="00FF6C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F84FA"/>
  <w15:chartTrackingRefBased/>
  <w15:docId w15:val="{60841AB3-7037-4450-A8ED-B607003E5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2A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1465"/>
    <w:pPr>
      <w:keepNext/>
      <w:keepLines/>
      <w:spacing w:before="360" w:after="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321465"/>
    <w:pPr>
      <w:keepNext/>
      <w:keepLines/>
      <w:spacing w:before="160" w:after="12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321465"/>
    <w:pPr>
      <w:keepNext/>
      <w:keepLines/>
      <w:spacing w:before="160" w:after="120"/>
      <w:outlineLvl w:val="2"/>
    </w:pPr>
    <w:rPr>
      <w:rFonts w:asciiTheme="majorHAnsi" w:eastAsiaTheme="majorEastAsia" w:hAnsiTheme="majorHAnsi" w:cstheme="majorBidi"/>
      <w:b/>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465"/>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321465"/>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321465"/>
    <w:rPr>
      <w:rFonts w:asciiTheme="majorHAnsi" w:eastAsiaTheme="majorEastAsia" w:hAnsiTheme="majorHAnsi" w:cstheme="majorBidi"/>
      <w:b/>
      <w:i/>
      <w:color w:val="000000" w:themeColor="text1"/>
      <w:sz w:val="24"/>
      <w:szCs w:val="24"/>
      <w:u w:val="single"/>
      <w:lang w:val="en-GB"/>
    </w:rPr>
  </w:style>
  <w:style w:type="paragraph" w:styleId="Caption">
    <w:name w:val="caption"/>
    <w:basedOn w:val="Normal"/>
    <w:next w:val="Normal"/>
    <w:uiPriority w:val="35"/>
    <w:unhideWhenUsed/>
    <w:qFormat/>
    <w:rsid w:val="00321465"/>
    <w:pPr>
      <w:spacing w:after="200"/>
      <w:jc w:val="center"/>
    </w:pPr>
    <w:rPr>
      <w:b/>
      <w:i/>
      <w:iCs/>
      <w:szCs w:val="18"/>
    </w:rPr>
  </w:style>
  <w:style w:type="paragraph" w:styleId="NoSpacing">
    <w:name w:val="No Spacing"/>
    <w:uiPriority w:val="1"/>
    <w:qFormat/>
    <w:rsid w:val="00321465"/>
    <w:pPr>
      <w:spacing w:after="0" w:line="240" w:lineRule="auto"/>
      <w:jc w:val="both"/>
    </w:pPr>
    <w:rPr>
      <w:rFonts w:ascii="Times New Roman" w:hAnsi="Times New Roman"/>
      <w:sz w:val="24"/>
      <w:lang w:val="en-GB"/>
    </w:rPr>
  </w:style>
  <w:style w:type="paragraph" w:styleId="Header">
    <w:name w:val="header"/>
    <w:basedOn w:val="Normal"/>
    <w:link w:val="HeaderChar"/>
    <w:uiPriority w:val="99"/>
    <w:unhideWhenUsed/>
    <w:rsid w:val="00D16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67D5"/>
    <w:rPr>
      <w:rFonts w:ascii="Times New Roman" w:hAnsi="Times New Roman"/>
      <w:sz w:val="24"/>
      <w:lang w:val="en-GB"/>
    </w:rPr>
  </w:style>
  <w:style w:type="paragraph" w:styleId="Footer">
    <w:name w:val="footer"/>
    <w:basedOn w:val="Normal"/>
    <w:link w:val="FooterChar"/>
    <w:uiPriority w:val="99"/>
    <w:unhideWhenUsed/>
    <w:rsid w:val="00D16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67D5"/>
    <w:rPr>
      <w:rFonts w:ascii="Times New Roman" w:hAnsi="Times New Roman"/>
      <w:sz w:val="24"/>
      <w:lang w:val="en-GB"/>
    </w:rPr>
  </w:style>
  <w:style w:type="paragraph" w:styleId="TOCHeading">
    <w:name w:val="TOC Heading"/>
    <w:basedOn w:val="Heading1"/>
    <w:next w:val="Normal"/>
    <w:uiPriority w:val="39"/>
    <w:unhideWhenUsed/>
    <w:qFormat/>
    <w:rsid w:val="00BF2844"/>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F2844"/>
    <w:pPr>
      <w:spacing w:after="100"/>
    </w:pPr>
  </w:style>
  <w:style w:type="character" w:styleId="Hyperlink">
    <w:name w:val="Hyperlink"/>
    <w:basedOn w:val="DefaultParagraphFont"/>
    <w:uiPriority w:val="99"/>
    <w:unhideWhenUsed/>
    <w:rsid w:val="00BF2844"/>
    <w:rPr>
      <w:color w:val="0563C1" w:themeColor="hyperlink"/>
      <w:u w:val="single"/>
    </w:rPr>
  </w:style>
  <w:style w:type="paragraph" w:styleId="NormalWeb">
    <w:name w:val="Normal (Web)"/>
    <w:basedOn w:val="Normal"/>
    <w:uiPriority w:val="99"/>
    <w:unhideWhenUsed/>
    <w:rsid w:val="00324FDC"/>
    <w:pPr>
      <w:spacing w:before="100" w:beforeAutospacing="1" w:after="100" w:afterAutospacing="1" w:line="240" w:lineRule="auto"/>
      <w:jc w:val="left"/>
    </w:pPr>
    <w:rPr>
      <w:rFonts w:eastAsia="Times New Roman" w:cs="Times New Roman"/>
      <w:szCs w:val="24"/>
      <w:lang w:val="en-US"/>
    </w:rPr>
  </w:style>
  <w:style w:type="paragraph" w:styleId="TOC2">
    <w:name w:val="toc 2"/>
    <w:basedOn w:val="Normal"/>
    <w:next w:val="Normal"/>
    <w:autoRedefine/>
    <w:uiPriority w:val="39"/>
    <w:unhideWhenUsed/>
    <w:rsid w:val="00C751A5"/>
    <w:pPr>
      <w:spacing w:after="100"/>
      <w:ind w:left="240"/>
    </w:pPr>
  </w:style>
  <w:style w:type="paragraph" w:styleId="TOC3">
    <w:name w:val="toc 3"/>
    <w:basedOn w:val="Normal"/>
    <w:next w:val="Normal"/>
    <w:autoRedefine/>
    <w:uiPriority w:val="39"/>
    <w:unhideWhenUsed/>
    <w:rsid w:val="00FB2142"/>
    <w:pPr>
      <w:spacing w:after="100"/>
      <w:ind w:left="480"/>
    </w:pPr>
  </w:style>
  <w:style w:type="character" w:customStyle="1" w:styleId="a">
    <w:name w:val="_"/>
    <w:basedOn w:val="DefaultParagraphFont"/>
    <w:rsid w:val="00CE73DF"/>
  </w:style>
  <w:style w:type="character" w:customStyle="1" w:styleId="ff3">
    <w:name w:val="ff3"/>
    <w:basedOn w:val="DefaultParagraphFont"/>
    <w:rsid w:val="00CE73DF"/>
  </w:style>
  <w:style w:type="character" w:customStyle="1" w:styleId="ls1">
    <w:name w:val="ls1"/>
    <w:basedOn w:val="DefaultParagraphFont"/>
    <w:rsid w:val="00CE73DF"/>
  </w:style>
  <w:style w:type="table" w:customStyle="1" w:styleId="TableGrid1">
    <w:name w:val="Table Grid1"/>
    <w:basedOn w:val="TableNormal"/>
    <w:next w:val="TableGrid"/>
    <w:uiPriority w:val="59"/>
    <w:rsid w:val="000824CA"/>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824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D9095A"/>
    <w:pPr>
      <w:spacing w:after="0" w:line="240" w:lineRule="auto"/>
    </w:pPr>
    <w:rPr>
      <w:rFonts w:eastAsia="Times New Roman"/>
      <w:kern w:val="2"/>
      <w:sz w:val="24"/>
      <w:szCs w:val="24"/>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85392">
      <w:bodyDiv w:val="1"/>
      <w:marLeft w:val="0"/>
      <w:marRight w:val="0"/>
      <w:marTop w:val="0"/>
      <w:marBottom w:val="0"/>
      <w:divBdr>
        <w:top w:val="none" w:sz="0" w:space="0" w:color="auto"/>
        <w:left w:val="none" w:sz="0" w:space="0" w:color="auto"/>
        <w:bottom w:val="none" w:sz="0" w:space="0" w:color="auto"/>
        <w:right w:val="none" w:sz="0" w:space="0" w:color="auto"/>
      </w:divBdr>
    </w:div>
    <w:div w:id="109014598">
      <w:bodyDiv w:val="1"/>
      <w:marLeft w:val="0"/>
      <w:marRight w:val="0"/>
      <w:marTop w:val="0"/>
      <w:marBottom w:val="0"/>
      <w:divBdr>
        <w:top w:val="none" w:sz="0" w:space="0" w:color="auto"/>
        <w:left w:val="none" w:sz="0" w:space="0" w:color="auto"/>
        <w:bottom w:val="none" w:sz="0" w:space="0" w:color="auto"/>
        <w:right w:val="none" w:sz="0" w:space="0" w:color="auto"/>
      </w:divBdr>
    </w:div>
    <w:div w:id="119151246">
      <w:bodyDiv w:val="1"/>
      <w:marLeft w:val="0"/>
      <w:marRight w:val="0"/>
      <w:marTop w:val="0"/>
      <w:marBottom w:val="0"/>
      <w:divBdr>
        <w:top w:val="none" w:sz="0" w:space="0" w:color="auto"/>
        <w:left w:val="none" w:sz="0" w:space="0" w:color="auto"/>
        <w:bottom w:val="none" w:sz="0" w:space="0" w:color="auto"/>
        <w:right w:val="none" w:sz="0" w:space="0" w:color="auto"/>
      </w:divBdr>
    </w:div>
    <w:div w:id="441001907">
      <w:bodyDiv w:val="1"/>
      <w:marLeft w:val="0"/>
      <w:marRight w:val="0"/>
      <w:marTop w:val="0"/>
      <w:marBottom w:val="0"/>
      <w:divBdr>
        <w:top w:val="none" w:sz="0" w:space="0" w:color="auto"/>
        <w:left w:val="none" w:sz="0" w:space="0" w:color="auto"/>
        <w:bottom w:val="none" w:sz="0" w:space="0" w:color="auto"/>
        <w:right w:val="none" w:sz="0" w:space="0" w:color="auto"/>
      </w:divBdr>
    </w:div>
    <w:div w:id="461773880">
      <w:bodyDiv w:val="1"/>
      <w:marLeft w:val="0"/>
      <w:marRight w:val="0"/>
      <w:marTop w:val="0"/>
      <w:marBottom w:val="0"/>
      <w:divBdr>
        <w:top w:val="none" w:sz="0" w:space="0" w:color="auto"/>
        <w:left w:val="none" w:sz="0" w:space="0" w:color="auto"/>
        <w:bottom w:val="none" w:sz="0" w:space="0" w:color="auto"/>
        <w:right w:val="none" w:sz="0" w:space="0" w:color="auto"/>
      </w:divBdr>
    </w:div>
    <w:div w:id="529104286">
      <w:bodyDiv w:val="1"/>
      <w:marLeft w:val="0"/>
      <w:marRight w:val="0"/>
      <w:marTop w:val="0"/>
      <w:marBottom w:val="0"/>
      <w:divBdr>
        <w:top w:val="none" w:sz="0" w:space="0" w:color="auto"/>
        <w:left w:val="none" w:sz="0" w:space="0" w:color="auto"/>
        <w:bottom w:val="none" w:sz="0" w:space="0" w:color="auto"/>
        <w:right w:val="none" w:sz="0" w:space="0" w:color="auto"/>
      </w:divBdr>
    </w:div>
    <w:div w:id="639307953">
      <w:bodyDiv w:val="1"/>
      <w:marLeft w:val="0"/>
      <w:marRight w:val="0"/>
      <w:marTop w:val="0"/>
      <w:marBottom w:val="0"/>
      <w:divBdr>
        <w:top w:val="none" w:sz="0" w:space="0" w:color="auto"/>
        <w:left w:val="none" w:sz="0" w:space="0" w:color="auto"/>
        <w:bottom w:val="none" w:sz="0" w:space="0" w:color="auto"/>
        <w:right w:val="none" w:sz="0" w:space="0" w:color="auto"/>
      </w:divBdr>
    </w:div>
    <w:div w:id="786117982">
      <w:bodyDiv w:val="1"/>
      <w:marLeft w:val="0"/>
      <w:marRight w:val="0"/>
      <w:marTop w:val="0"/>
      <w:marBottom w:val="0"/>
      <w:divBdr>
        <w:top w:val="none" w:sz="0" w:space="0" w:color="auto"/>
        <w:left w:val="none" w:sz="0" w:space="0" w:color="auto"/>
        <w:bottom w:val="none" w:sz="0" w:space="0" w:color="auto"/>
        <w:right w:val="none" w:sz="0" w:space="0" w:color="auto"/>
      </w:divBdr>
    </w:div>
    <w:div w:id="915481334">
      <w:bodyDiv w:val="1"/>
      <w:marLeft w:val="0"/>
      <w:marRight w:val="0"/>
      <w:marTop w:val="0"/>
      <w:marBottom w:val="0"/>
      <w:divBdr>
        <w:top w:val="none" w:sz="0" w:space="0" w:color="auto"/>
        <w:left w:val="none" w:sz="0" w:space="0" w:color="auto"/>
        <w:bottom w:val="none" w:sz="0" w:space="0" w:color="auto"/>
        <w:right w:val="none" w:sz="0" w:space="0" w:color="auto"/>
      </w:divBdr>
    </w:div>
    <w:div w:id="915631728">
      <w:bodyDiv w:val="1"/>
      <w:marLeft w:val="0"/>
      <w:marRight w:val="0"/>
      <w:marTop w:val="0"/>
      <w:marBottom w:val="0"/>
      <w:divBdr>
        <w:top w:val="none" w:sz="0" w:space="0" w:color="auto"/>
        <w:left w:val="none" w:sz="0" w:space="0" w:color="auto"/>
        <w:bottom w:val="none" w:sz="0" w:space="0" w:color="auto"/>
        <w:right w:val="none" w:sz="0" w:space="0" w:color="auto"/>
      </w:divBdr>
    </w:div>
    <w:div w:id="1109471056">
      <w:bodyDiv w:val="1"/>
      <w:marLeft w:val="0"/>
      <w:marRight w:val="0"/>
      <w:marTop w:val="0"/>
      <w:marBottom w:val="0"/>
      <w:divBdr>
        <w:top w:val="none" w:sz="0" w:space="0" w:color="auto"/>
        <w:left w:val="none" w:sz="0" w:space="0" w:color="auto"/>
        <w:bottom w:val="none" w:sz="0" w:space="0" w:color="auto"/>
        <w:right w:val="none" w:sz="0" w:space="0" w:color="auto"/>
      </w:divBdr>
    </w:div>
    <w:div w:id="1412964506">
      <w:bodyDiv w:val="1"/>
      <w:marLeft w:val="0"/>
      <w:marRight w:val="0"/>
      <w:marTop w:val="0"/>
      <w:marBottom w:val="0"/>
      <w:divBdr>
        <w:top w:val="none" w:sz="0" w:space="0" w:color="auto"/>
        <w:left w:val="none" w:sz="0" w:space="0" w:color="auto"/>
        <w:bottom w:val="none" w:sz="0" w:space="0" w:color="auto"/>
        <w:right w:val="none" w:sz="0" w:space="0" w:color="auto"/>
      </w:divBdr>
    </w:div>
    <w:div w:id="1635867591">
      <w:bodyDiv w:val="1"/>
      <w:marLeft w:val="0"/>
      <w:marRight w:val="0"/>
      <w:marTop w:val="0"/>
      <w:marBottom w:val="0"/>
      <w:divBdr>
        <w:top w:val="none" w:sz="0" w:space="0" w:color="auto"/>
        <w:left w:val="none" w:sz="0" w:space="0" w:color="auto"/>
        <w:bottom w:val="none" w:sz="0" w:space="0" w:color="auto"/>
        <w:right w:val="none" w:sz="0" w:space="0" w:color="auto"/>
      </w:divBdr>
    </w:div>
    <w:div w:id="171954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hyperlink" Target="https://www.mdpi.com/1911-8074/19/1/44" TargetMode="External"/><Relationship Id="rId39" Type="http://schemas.openxmlformats.org/officeDocument/2006/relationships/hyperlink" Target="https://www.allmultidisciplinaryjournal.com/uploads/archives/20250114124255_MGE-2025-1-066.1.pdf" TargetMode="External"/><Relationship Id="rId21" Type="http://schemas.openxmlformats.org/officeDocument/2006/relationships/hyperlink" Target="https://www.bp.com/en/global/corporate/investors/results-reporting-and-presentations/annual-report" TargetMode="External"/><Relationship Id="rId34" Type="http://schemas.openxmlformats.org/officeDocument/2006/relationships/hyperlink" Target="https://www.bp.com/en/global/corporate/news-and-insights/press-releases/joint-industry-human-rights-supply-chain-engagement.html" TargetMode="External"/><Relationship Id="rId42" Type="http://schemas.openxmlformats.org/officeDocument/2006/relationships/hyperlink" Target="https://www.bp.com/" TargetMode="External"/><Relationship Id="rId47" Type="http://schemas.openxmlformats.org/officeDocument/2006/relationships/hyperlink" Target="https://doi.org/10.3390/mining5020036" TargetMode="External"/><Relationship Id="rId50" Type="http://schemas.openxmlformats.org/officeDocument/2006/relationships/hyperlink" Target="https://doi.org/10.3390/su14138176" TargetMode="External"/><Relationship Id="rId55" Type="http://schemas.openxmlformats.org/officeDocument/2006/relationships/hyperlink" Target="https://doi.org/10.1007/s41403-024-00464-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www.mdpi.com/2079-9276/13/2/22" TargetMode="External"/><Relationship Id="rId11" Type="http://schemas.openxmlformats.org/officeDocument/2006/relationships/image" Target="media/image4.jpeg"/><Relationship Id="rId24" Type="http://schemas.openxmlformats.org/officeDocument/2006/relationships/hyperlink" Target="https://www.bp.com/en/global/corporate/news-and-insights/press-releases/bp-boosts-ev-charging-network-with-100-million-dollar-order-of-tesla-ultra-fast-chargers.html" TargetMode="External"/><Relationship Id="rId32" Type="http://schemas.openxmlformats.org/officeDocument/2006/relationships/hyperlink" Target="https://papers.ssrn.com/sol3/papers.cfm?abstract_id=4574945" TargetMode="External"/><Relationship Id="rId37" Type="http://schemas.openxmlformats.org/officeDocument/2006/relationships/hyperlink" Target="https://journals.plos.org/plosone/article?id=10.1371/journal.pone.0263596&amp;utm_source=aposto" TargetMode="External"/><Relationship Id="rId40" Type="http://schemas.openxmlformats.org/officeDocument/2006/relationships/hyperlink" Target="https://www.mdpi.com/2673-8392/5/1/39" TargetMode="External"/><Relationship Id="rId45" Type="http://schemas.openxmlformats.org/officeDocument/2006/relationships/hyperlink" Target="https://doi.org/10.3390/su142315615" TargetMode="External"/><Relationship Id="rId53" Type="http://schemas.openxmlformats.org/officeDocument/2006/relationships/hyperlink" Target="https://www.researchgate.net/profile/Endri-" TargetMode="External"/><Relationship Id="rId58" Type="http://schemas.openxmlformats.org/officeDocument/2006/relationships/hyperlink" Target="https://slidemodel.com/templates/pestel-analysis-powerpoint-template/"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diagramData" Target="diagrams/data1.xml"/><Relationship Id="rId22" Type="http://schemas.openxmlformats.org/officeDocument/2006/relationships/hyperlink" Target="https://www.annualreports.com/Company/bp-plc" TargetMode="External"/><Relationship Id="rId27" Type="http://schemas.openxmlformats.org/officeDocument/2006/relationships/hyperlink" Target="https://www.witpress.com/elibrary/ei-volumes/5/1/2878" TargetMode="External"/><Relationship Id="rId30" Type="http://schemas.openxmlformats.org/officeDocument/2006/relationships/hyperlink" Target="https://sustainability.hapres.com/htmls/JSR_1795_Detail.html" TargetMode="External"/><Relationship Id="rId35" Type="http://schemas.openxmlformats.org/officeDocument/2006/relationships/hyperlink" Target="https://www.bp.com/en/global/corporate/what-we-do/oil-and-gas.html" TargetMode="External"/><Relationship Id="rId43" Type="http://schemas.openxmlformats.org/officeDocument/2006/relationships/hyperlink" Target="https://www.bp.com/en/global/corporate/sustainability/getting-to-net-zero.html" TargetMode="External"/><Relationship Id="rId48" Type="http://schemas.openxmlformats.org/officeDocument/2006/relationships/hyperlink" Target="https://doi.org/10.3390/en16186682" TargetMode="External"/><Relationship Id="rId56" Type="http://schemas.openxmlformats.org/officeDocument/2006/relationships/hyperlink" Target="https://doi.org/10.3390/su151914486" TargetMode="External"/><Relationship Id="rId8" Type="http://schemas.openxmlformats.org/officeDocument/2006/relationships/image" Target="media/image1.png"/><Relationship Id="rId51" Type="http://schemas.openxmlformats.org/officeDocument/2006/relationships/hyperlink" Target="https://doi.org/10.3390/su1506495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hyperlink" Target="https://www.academia.edu/download/112816653/40-29-2023.pdf" TargetMode="External"/><Relationship Id="rId33" Type="http://schemas.openxmlformats.org/officeDocument/2006/relationships/hyperlink" Target="https://www.bbc.com/news/articles/c3374ekd11po" TargetMode="External"/><Relationship Id="rId38" Type="http://schemas.openxmlformats.org/officeDocument/2006/relationships/hyperlink" Target="https://www.geeksforgeeks.org/business-studies/strategies-of-ansoff-matrix/" TargetMode="External"/><Relationship Id="rId46" Type="http://schemas.openxmlformats.org/officeDocument/2006/relationships/hyperlink" Target="https://doi.org/10.3390/en16031491" TargetMode="External"/><Relationship Id="rId59" Type="http://schemas.openxmlformats.org/officeDocument/2006/relationships/footer" Target="footer1.xml"/><Relationship Id="rId20" Type="http://schemas.openxmlformats.org/officeDocument/2006/relationships/image" Target="media/image8.png"/><Relationship Id="rId41" Type="http://schemas.openxmlformats.org/officeDocument/2006/relationships/hyperlink" Target="https://www.researchgate.net/publication/288376815_Kolb's_experiential_learning_as_a_critical_frame_for_reflective_practice" TargetMode="External"/><Relationship Id="rId54" Type="http://schemas.openxmlformats.org/officeDocument/2006/relationships/hyperlink" Target="https://www.academia.edu/download/113129806/SWISS_CHEESE_MODEL.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hyperlink" Target="https://www.mdpi.com/2071-1050/16/15/6339" TargetMode="External"/><Relationship Id="rId28" Type="http://schemas.openxmlformats.org/officeDocument/2006/relationships/hyperlink" Target="https://link.springer.com/chapter/10.1007/978-981-19-3540-4_10" TargetMode="External"/><Relationship Id="rId36" Type="http://schemas.openxmlformats.org/officeDocument/2006/relationships/hyperlink" Target="https://link.springer.com/article/10.1007/s10584-023-03564-7" TargetMode="External"/><Relationship Id="rId49" Type="http://schemas.openxmlformats.org/officeDocument/2006/relationships/hyperlink" Target="https://www.theguardian.com/world/2026/mar/02/oil-prices-iran-war-strait-of-hormuz-shipping" TargetMode="External"/><Relationship Id="rId57" Type="http://schemas.openxmlformats.org/officeDocument/2006/relationships/hyperlink" Target="https://doi.org/10.3390/en15176114" TargetMode="External"/><Relationship Id="rId10" Type="http://schemas.openxmlformats.org/officeDocument/2006/relationships/image" Target="media/image3.png"/><Relationship Id="rId31" Type="http://schemas.openxmlformats.org/officeDocument/2006/relationships/hyperlink" Target="https://www.academia.edu/download/103869872/10.11648.j.jenr.20231202.12.pdf" TargetMode="External"/><Relationship Id="rId44" Type="http://schemas.openxmlformats.org/officeDocument/2006/relationships/hyperlink" Target="https://www.bp.com/en_us/united-states/home/news/features-and-highlights/5-ways-bp-uses-ai-and-other-tech-to-drive-performance.html" TargetMode="External"/><Relationship Id="rId52" Type="http://schemas.openxmlformats.org/officeDocument/2006/relationships/hyperlink" Target="https://doi.org/10.1371/journal.pone.0268743"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987035-DC9D-474E-A12E-23B2C981F265}" type="doc">
      <dgm:prSet loTypeId="urn:microsoft.com/office/officeart/2005/8/layout/rings+Icon" loCatId="officeonline" qsTypeId="urn:microsoft.com/office/officeart/2005/8/quickstyle/3d2" qsCatId="3D" csTypeId="urn:microsoft.com/office/officeart/2005/8/colors/colorful5" csCatId="colorful" phldr="1"/>
      <dgm:spPr/>
      <dgm:t>
        <a:bodyPr/>
        <a:lstStyle/>
        <a:p>
          <a:endParaRPr lang="en-US"/>
        </a:p>
      </dgm:t>
    </dgm:pt>
    <dgm:pt modelId="{92BB6CFD-127C-45E0-A321-3B31A6CCB8E8}">
      <dgm:prSet phldrT="[Text]"/>
      <dgm:spPr/>
      <dgm:t>
        <a:bodyPr/>
        <a:lstStyle/>
        <a:p>
          <a:pPr algn="ctr"/>
          <a:r>
            <a:rPr lang="en-US" b="1" i="1"/>
            <a:t>Strengths</a:t>
          </a:r>
          <a:endParaRPr lang="en-US"/>
        </a:p>
      </dgm:t>
    </dgm:pt>
    <dgm:pt modelId="{B7483ECC-89A8-4419-9F82-BB2D0F5E6C44}" type="parTrans" cxnId="{19181DEF-54EE-4C16-8A49-2FD6A22F8BEB}">
      <dgm:prSet/>
      <dgm:spPr/>
      <dgm:t>
        <a:bodyPr/>
        <a:lstStyle/>
        <a:p>
          <a:pPr algn="ctr"/>
          <a:endParaRPr lang="en-US"/>
        </a:p>
      </dgm:t>
    </dgm:pt>
    <dgm:pt modelId="{624FB679-69DE-4DB6-9B1B-FB2DA7457C7F}" type="sibTrans" cxnId="{19181DEF-54EE-4C16-8A49-2FD6A22F8BEB}">
      <dgm:prSet/>
      <dgm:spPr/>
      <dgm:t>
        <a:bodyPr/>
        <a:lstStyle/>
        <a:p>
          <a:pPr algn="ctr"/>
          <a:endParaRPr lang="en-US"/>
        </a:p>
      </dgm:t>
    </dgm:pt>
    <dgm:pt modelId="{8215D0AA-0063-4EB0-9D5B-D6DA1B0F654B}">
      <dgm:prSet phldrT="[Text]"/>
      <dgm:spPr/>
      <dgm:t>
        <a:bodyPr/>
        <a:lstStyle/>
        <a:p>
          <a:pPr algn="ctr"/>
          <a:r>
            <a:rPr lang="en-US" b="1" i="1"/>
            <a:t>Opportunities</a:t>
          </a:r>
          <a:endParaRPr lang="en-US"/>
        </a:p>
      </dgm:t>
    </dgm:pt>
    <dgm:pt modelId="{30A679CD-EA0D-4F58-93BB-717578CB83BD}" type="parTrans" cxnId="{0776EE37-3332-4E36-A57F-FCB016F506AB}">
      <dgm:prSet/>
      <dgm:spPr/>
      <dgm:t>
        <a:bodyPr/>
        <a:lstStyle/>
        <a:p>
          <a:pPr algn="ctr"/>
          <a:endParaRPr lang="en-US"/>
        </a:p>
      </dgm:t>
    </dgm:pt>
    <dgm:pt modelId="{69E8122A-2E4C-4C0B-8324-C1AFE114E257}" type="sibTrans" cxnId="{0776EE37-3332-4E36-A57F-FCB016F506AB}">
      <dgm:prSet/>
      <dgm:spPr/>
      <dgm:t>
        <a:bodyPr/>
        <a:lstStyle/>
        <a:p>
          <a:pPr algn="ctr"/>
          <a:endParaRPr lang="en-US"/>
        </a:p>
      </dgm:t>
    </dgm:pt>
    <dgm:pt modelId="{48F4948D-A111-41E9-8E4F-08F834EBE9C6}">
      <dgm:prSet phldrT="[Text]"/>
      <dgm:spPr/>
      <dgm:t>
        <a:bodyPr/>
        <a:lstStyle/>
        <a:p>
          <a:pPr algn="ctr"/>
          <a:r>
            <a:rPr lang="en-US" b="1" i="1"/>
            <a:t>Weaknesses</a:t>
          </a:r>
          <a:endParaRPr lang="en-US"/>
        </a:p>
      </dgm:t>
    </dgm:pt>
    <dgm:pt modelId="{1C1C4AA0-7C1B-455B-A69C-F1805DA8F059}" type="parTrans" cxnId="{04BFAE7A-418D-4669-8315-880F8A6F78DA}">
      <dgm:prSet/>
      <dgm:spPr/>
      <dgm:t>
        <a:bodyPr/>
        <a:lstStyle/>
        <a:p>
          <a:pPr algn="ctr"/>
          <a:endParaRPr lang="en-US"/>
        </a:p>
      </dgm:t>
    </dgm:pt>
    <dgm:pt modelId="{58EBD9D0-9061-4685-91D9-955C8DDBD654}" type="sibTrans" cxnId="{04BFAE7A-418D-4669-8315-880F8A6F78DA}">
      <dgm:prSet/>
      <dgm:spPr/>
      <dgm:t>
        <a:bodyPr/>
        <a:lstStyle/>
        <a:p>
          <a:pPr algn="ctr"/>
          <a:endParaRPr lang="en-US"/>
        </a:p>
      </dgm:t>
    </dgm:pt>
    <dgm:pt modelId="{83273128-D553-44EA-97CA-0B233863F732}">
      <dgm:prSet phldrT="[Text]"/>
      <dgm:spPr/>
      <dgm:t>
        <a:bodyPr/>
        <a:lstStyle/>
        <a:p>
          <a:pPr algn="ctr"/>
          <a:r>
            <a:rPr lang="en-US" b="1" i="1"/>
            <a:t>Threats</a:t>
          </a:r>
          <a:endParaRPr lang="en-US"/>
        </a:p>
      </dgm:t>
    </dgm:pt>
    <dgm:pt modelId="{DADD61F6-19EC-43AE-AC45-743909F78A6F}" type="parTrans" cxnId="{AE41F108-2C78-4CD8-930E-1542905AD000}">
      <dgm:prSet/>
      <dgm:spPr/>
      <dgm:t>
        <a:bodyPr/>
        <a:lstStyle/>
        <a:p>
          <a:pPr algn="ctr"/>
          <a:endParaRPr lang="en-US"/>
        </a:p>
      </dgm:t>
    </dgm:pt>
    <dgm:pt modelId="{A3DDD80D-1015-4EB3-AD57-F07875DA0C6F}" type="sibTrans" cxnId="{AE41F108-2C78-4CD8-930E-1542905AD000}">
      <dgm:prSet/>
      <dgm:spPr/>
      <dgm:t>
        <a:bodyPr/>
        <a:lstStyle/>
        <a:p>
          <a:pPr algn="ctr"/>
          <a:endParaRPr lang="en-US"/>
        </a:p>
      </dgm:t>
    </dgm:pt>
    <dgm:pt modelId="{CB9A3E28-2286-48A9-B5EA-BF6F140AF14A}" type="pres">
      <dgm:prSet presAssocID="{F0987035-DC9D-474E-A12E-23B2C981F265}" presName="Name0" presStyleCnt="0">
        <dgm:presLayoutVars>
          <dgm:chMax val="7"/>
          <dgm:dir/>
          <dgm:resizeHandles val="exact"/>
        </dgm:presLayoutVars>
      </dgm:prSet>
      <dgm:spPr/>
    </dgm:pt>
    <dgm:pt modelId="{7FBB520A-29DB-40E0-A778-9BE65D667BBC}" type="pres">
      <dgm:prSet presAssocID="{F0987035-DC9D-474E-A12E-23B2C981F265}" presName="ellipse1" presStyleLbl="vennNode1" presStyleIdx="0" presStyleCnt="4">
        <dgm:presLayoutVars>
          <dgm:bulletEnabled val="1"/>
        </dgm:presLayoutVars>
      </dgm:prSet>
      <dgm:spPr/>
    </dgm:pt>
    <dgm:pt modelId="{8AEC02B5-1F89-4F88-9E71-705ED7466F3A}" type="pres">
      <dgm:prSet presAssocID="{F0987035-DC9D-474E-A12E-23B2C981F265}" presName="ellipse2" presStyleLbl="vennNode1" presStyleIdx="1" presStyleCnt="4">
        <dgm:presLayoutVars>
          <dgm:bulletEnabled val="1"/>
        </dgm:presLayoutVars>
      </dgm:prSet>
      <dgm:spPr/>
    </dgm:pt>
    <dgm:pt modelId="{2F9B96B7-6EAF-4162-80F8-B214261892E3}" type="pres">
      <dgm:prSet presAssocID="{F0987035-DC9D-474E-A12E-23B2C981F265}" presName="ellipse3" presStyleLbl="vennNode1" presStyleIdx="2" presStyleCnt="4">
        <dgm:presLayoutVars>
          <dgm:bulletEnabled val="1"/>
        </dgm:presLayoutVars>
      </dgm:prSet>
      <dgm:spPr/>
    </dgm:pt>
    <dgm:pt modelId="{86613F2B-ABC7-4587-97A8-36C51FEDCEF2}" type="pres">
      <dgm:prSet presAssocID="{F0987035-DC9D-474E-A12E-23B2C981F265}" presName="ellipse4" presStyleLbl="vennNode1" presStyleIdx="3" presStyleCnt="4">
        <dgm:presLayoutVars>
          <dgm:bulletEnabled val="1"/>
        </dgm:presLayoutVars>
      </dgm:prSet>
      <dgm:spPr/>
    </dgm:pt>
  </dgm:ptLst>
  <dgm:cxnLst>
    <dgm:cxn modelId="{AE41F108-2C78-4CD8-930E-1542905AD000}" srcId="{F0987035-DC9D-474E-A12E-23B2C981F265}" destId="{83273128-D553-44EA-97CA-0B233863F732}" srcOrd="3" destOrd="0" parTransId="{DADD61F6-19EC-43AE-AC45-743909F78A6F}" sibTransId="{A3DDD80D-1015-4EB3-AD57-F07875DA0C6F}"/>
    <dgm:cxn modelId="{4239F613-6F9F-4D11-B2CD-E618D3EECDCD}" type="presOf" srcId="{48F4948D-A111-41E9-8E4F-08F834EBE9C6}" destId="{2F9B96B7-6EAF-4162-80F8-B214261892E3}" srcOrd="0" destOrd="0" presId="urn:microsoft.com/office/officeart/2005/8/layout/rings+Icon"/>
    <dgm:cxn modelId="{0776EE37-3332-4E36-A57F-FCB016F506AB}" srcId="{F0987035-DC9D-474E-A12E-23B2C981F265}" destId="{8215D0AA-0063-4EB0-9D5B-D6DA1B0F654B}" srcOrd="1" destOrd="0" parTransId="{30A679CD-EA0D-4F58-93BB-717578CB83BD}" sibTransId="{69E8122A-2E4C-4C0B-8324-C1AFE114E257}"/>
    <dgm:cxn modelId="{04BFAE7A-418D-4669-8315-880F8A6F78DA}" srcId="{F0987035-DC9D-474E-A12E-23B2C981F265}" destId="{48F4948D-A111-41E9-8E4F-08F834EBE9C6}" srcOrd="2" destOrd="0" parTransId="{1C1C4AA0-7C1B-455B-A69C-F1805DA8F059}" sibTransId="{58EBD9D0-9061-4685-91D9-955C8DDBD654}"/>
    <dgm:cxn modelId="{ED0877A1-300F-44D6-917C-AA304B6B481E}" type="presOf" srcId="{8215D0AA-0063-4EB0-9D5B-D6DA1B0F654B}" destId="{8AEC02B5-1F89-4F88-9E71-705ED7466F3A}" srcOrd="0" destOrd="0" presId="urn:microsoft.com/office/officeart/2005/8/layout/rings+Icon"/>
    <dgm:cxn modelId="{92C013A2-2841-4A1B-ACAE-ADC002B254A7}" type="presOf" srcId="{83273128-D553-44EA-97CA-0B233863F732}" destId="{86613F2B-ABC7-4587-97A8-36C51FEDCEF2}" srcOrd="0" destOrd="0" presId="urn:microsoft.com/office/officeart/2005/8/layout/rings+Icon"/>
    <dgm:cxn modelId="{70722DC5-D5C0-46E4-A494-8AF9358A2663}" type="presOf" srcId="{92BB6CFD-127C-45E0-A321-3B31A6CCB8E8}" destId="{7FBB520A-29DB-40E0-A778-9BE65D667BBC}" srcOrd="0" destOrd="0" presId="urn:microsoft.com/office/officeart/2005/8/layout/rings+Icon"/>
    <dgm:cxn modelId="{235281E2-A0DB-4A24-82E6-21258C7ABDCF}" type="presOf" srcId="{F0987035-DC9D-474E-A12E-23B2C981F265}" destId="{CB9A3E28-2286-48A9-B5EA-BF6F140AF14A}" srcOrd="0" destOrd="0" presId="urn:microsoft.com/office/officeart/2005/8/layout/rings+Icon"/>
    <dgm:cxn modelId="{19181DEF-54EE-4C16-8A49-2FD6A22F8BEB}" srcId="{F0987035-DC9D-474E-A12E-23B2C981F265}" destId="{92BB6CFD-127C-45E0-A321-3B31A6CCB8E8}" srcOrd="0" destOrd="0" parTransId="{B7483ECC-89A8-4419-9F82-BB2D0F5E6C44}" sibTransId="{624FB679-69DE-4DB6-9B1B-FB2DA7457C7F}"/>
    <dgm:cxn modelId="{2BDC0F47-C979-4119-8D51-C2B28BFAB3BB}" type="presParOf" srcId="{CB9A3E28-2286-48A9-B5EA-BF6F140AF14A}" destId="{7FBB520A-29DB-40E0-A778-9BE65D667BBC}" srcOrd="0" destOrd="0" presId="urn:microsoft.com/office/officeart/2005/8/layout/rings+Icon"/>
    <dgm:cxn modelId="{6A03E7F7-12B0-4FCC-8020-3D745D52F886}" type="presParOf" srcId="{CB9A3E28-2286-48A9-B5EA-BF6F140AF14A}" destId="{8AEC02B5-1F89-4F88-9E71-705ED7466F3A}" srcOrd="1" destOrd="0" presId="urn:microsoft.com/office/officeart/2005/8/layout/rings+Icon"/>
    <dgm:cxn modelId="{B73613E2-C982-4553-93FB-D8A1A3193CF8}" type="presParOf" srcId="{CB9A3E28-2286-48A9-B5EA-BF6F140AF14A}" destId="{2F9B96B7-6EAF-4162-80F8-B214261892E3}" srcOrd="2" destOrd="0" presId="urn:microsoft.com/office/officeart/2005/8/layout/rings+Icon"/>
    <dgm:cxn modelId="{D57AF7BE-3788-48B3-A3A9-5137F615A098}" type="presParOf" srcId="{CB9A3E28-2286-48A9-B5EA-BF6F140AF14A}" destId="{86613F2B-ABC7-4587-97A8-36C51FEDCEF2}" srcOrd="3" destOrd="0" presId="urn:microsoft.com/office/officeart/2005/8/layout/rings+Icon"/>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BB520A-29DB-40E0-A778-9BE65D667BBC}">
      <dsp:nvSpPr>
        <dsp:cNvPr id="0" name=""/>
        <dsp:cNvSpPr/>
      </dsp:nvSpPr>
      <dsp:spPr>
        <a:xfrm>
          <a:off x="453905" y="0"/>
          <a:ext cx="1160596" cy="1160738"/>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Strengths</a:t>
          </a:r>
          <a:endParaRPr lang="en-US" sz="1000" kern="1200"/>
        </a:p>
      </dsp:txBody>
      <dsp:txXfrm>
        <a:off x="623870" y="169986"/>
        <a:ext cx="820666" cy="820766"/>
      </dsp:txXfrm>
    </dsp:sp>
    <dsp:sp modelId="{8AEC02B5-1F89-4F88-9E71-705ED7466F3A}">
      <dsp:nvSpPr>
        <dsp:cNvPr id="0" name=""/>
        <dsp:cNvSpPr/>
      </dsp:nvSpPr>
      <dsp:spPr>
        <a:xfrm>
          <a:off x="1051028" y="774147"/>
          <a:ext cx="1160596" cy="1160738"/>
        </a:xfrm>
        <a:prstGeom prst="ellipse">
          <a:avLst/>
        </a:prstGeom>
        <a:gradFill rotWithShape="0">
          <a:gsLst>
            <a:gs pos="0">
              <a:schemeClr val="accent5">
                <a:alpha val="50000"/>
                <a:hueOff val="-2451115"/>
                <a:satOff val="-3409"/>
                <a:lumOff val="-1307"/>
                <a:alphaOff val="0"/>
                <a:satMod val="103000"/>
                <a:lumMod val="102000"/>
                <a:tint val="94000"/>
              </a:schemeClr>
            </a:gs>
            <a:gs pos="50000">
              <a:schemeClr val="accent5">
                <a:alpha val="50000"/>
                <a:hueOff val="-2451115"/>
                <a:satOff val="-3409"/>
                <a:lumOff val="-1307"/>
                <a:alphaOff val="0"/>
                <a:satMod val="110000"/>
                <a:lumMod val="100000"/>
                <a:shade val="100000"/>
              </a:schemeClr>
            </a:gs>
            <a:gs pos="100000">
              <a:schemeClr val="accent5">
                <a:alpha val="50000"/>
                <a:hueOff val="-2451115"/>
                <a:satOff val="-3409"/>
                <a:lumOff val="-1307"/>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Opportunities</a:t>
          </a:r>
          <a:endParaRPr lang="en-US" sz="1000" kern="1200"/>
        </a:p>
      </dsp:txBody>
      <dsp:txXfrm>
        <a:off x="1220993" y="944133"/>
        <a:ext cx="820666" cy="820766"/>
      </dsp:txXfrm>
    </dsp:sp>
    <dsp:sp modelId="{2F9B96B7-6EAF-4162-80F8-B214261892E3}">
      <dsp:nvSpPr>
        <dsp:cNvPr id="0" name=""/>
        <dsp:cNvSpPr/>
      </dsp:nvSpPr>
      <dsp:spPr>
        <a:xfrm>
          <a:off x="1647855" y="0"/>
          <a:ext cx="1160596" cy="1160738"/>
        </a:xfrm>
        <a:prstGeom prst="ellipse">
          <a:avLst/>
        </a:prstGeom>
        <a:gradFill rotWithShape="0">
          <a:gsLst>
            <a:gs pos="0">
              <a:schemeClr val="accent5">
                <a:alpha val="50000"/>
                <a:hueOff val="-4902230"/>
                <a:satOff val="-6819"/>
                <a:lumOff val="-2615"/>
                <a:alphaOff val="0"/>
                <a:satMod val="103000"/>
                <a:lumMod val="102000"/>
                <a:tint val="94000"/>
              </a:schemeClr>
            </a:gs>
            <a:gs pos="50000">
              <a:schemeClr val="accent5">
                <a:alpha val="50000"/>
                <a:hueOff val="-4902230"/>
                <a:satOff val="-6819"/>
                <a:lumOff val="-2615"/>
                <a:alphaOff val="0"/>
                <a:satMod val="110000"/>
                <a:lumMod val="100000"/>
                <a:shade val="100000"/>
              </a:schemeClr>
            </a:gs>
            <a:gs pos="100000">
              <a:schemeClr val="accent5">
                <a:alpha val="50000"/>
                <a:hueOff val="-4902230"/>
                <a:satOff val="-6819"/>
                <a:lumOff val="-261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Weaknesses</a:t>
          </a:r>
          <a:endParaRPr lang="en-US" sz="1000" kern="1200"/>
        </a:p>
      </dsp:txBody>
      <dsp:txXfrm>
        <a:off x="1817820" y="169986"/>
        <a:ext cx="820666" cy="820766"/>
      </dsp:txXfrm>
    </dsp:sp>
    <dsp:sp modelId="{86613F2B-ABC7-4587-97A8-36C51FEDCEF2}">
      <dsp:nvSpPr>
        <dsp:cNvPr id="0" name=""/>
        <dsp:cNvSpPr/>
      </dsp:nvSpPr>
      <dsp:spPr>
        <a:xfrm>
          <a:off x="2244978" y="774147"/>
          <a:ext cx="1160596" cy="1160738"/>
        </a:xfrm>
        <a:prstGeom prst="ellipse">
          <a:avLst/>
        </a:prstGeom>
        <a:gradFill rotWithShape="0">
          <a:gsLst>
            <a:gs pos="0">
              <a:schemeClr val="accent5">
                <a:alpha val="50000"/>
                <a:hueOff val="-7353344"/>
                <a:satOff val="-10228"/>
                <a:lumOff val="-3922"/>
                <a:alphaOff val="0"/>
                <a:satMod val="103000"/>
                <a:lumMod val="102000"/>
                <a:tint val="94000"/>
              </a:schemeClr>
            </a:gs>
            <a:gs pos="50000">
              <a:schemeClr val="accent5">
                <a:alpha val="50000"/>
                <a:hueOff val="-7353344"/>
                <a:satOff val="-10228"/>
                <a:lumOff val="-3922"/>
                <a:alphaOff val="0"/>
                <a:satMod val="110000"/>
                <a:lumMod val="100000"/>
                <a:shade val="100000"/>
              </a:schemeClr>
            </a:gs>
            <a:gs pos="100000">
              <a:schemeClr val="accent5">
                <a:alpha val="50000"/>
                <a:hueOff val="-7353344"/>
                <a:satOff val="-10228"/>
                <a:lumOff val="-3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Threats</a:t>
          </a:r>
          <a:endParaRPr lang="en-US" sz="1000" kern="1200"/>
        </a:p>
      </dsp:txBody>
      <dsp:txXfrm>
        <a:off x="2414943" y="944133"/>
        <a:ext cx="820666" cy="820766"/>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96CDF-F19D-42BC-B461-AD0870613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29</Pages>
  <Words>7152</Words>
  <Characters>40767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Arth Rajeshbhai Chalodiya</cp:lastModifiedBy>
  <cp:revision>264</cp:revision>
  <dcterms:created xsi:type="dcterms:W3CDTF">2026-03-10T06:29:00Z</dcterms:created>
  <dcterms:modified xsi:type="dcterms:W3CDTF">2026-04-27T11:21:00Z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d2384242-e781-4be4-927d-83cd001cb027</vt:lpwstr>
  </property>
</Properties>
</file>