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46AE3503"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BB1E09">
        <w:rPr>
          <w:rFonts w:ascii="Arial" w:hAnsi="Arial" w:cs="Arial"/>
          <w:sz w:val="28"/>
          <w:szCs w:val="28"/>
          <w:lang w:val="nl-NL"/>
        </w:rPr>
        <w:t xml:space="preserve"> Saskia Green</w:t>
      </w:r>
    </w:p>
    <w:p w14:paraId="18D88AE2" w14:textId="4B7F5208"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BB1E09">
        <w:rPr>
          <w:rFonts w:ascii="Arial" w:hAnsi="Arial" w:cs="Arial"/>
          <w:sz w:val="28"/>
          <w:szCs w:val="28"/>
          <w:lang w:val="nl-NL"/>
        </w:rPr>
        <w:t xml:space="preserve"> 24416443</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01B0758A" w:rsidR="00C558B0" w:rsidRPr="00BB1E09" w:rsidRDefault="00C558B0" w:rsidP="00C558B0">
      <w:pPr>
        <w:tabs>
          <w:tab w:val="left" w:pos="6540"/>
        </w:tabs>
        <w:spacing w:line="360" w:lineRule="auto"/>
        <w:rPr>
          <w:rFonts w:ascii="Arial" w:hAnsi="Arial" w:cs="Arial"/>
          <w:sz w:val="28"/>
          <w:szCs w:val="28"/>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BB1E09">
        <w:rPr>
          <w:rFonts w:ascii="Arial" w:hAnsi="Arial" w:cs="Arial"/>
          <w:sz w:val="28"/>
          <w:szCs w:val="28"/>
        </w:rPr>
        <w:t>Principles of Health and Social Care Practice</w:t>
      </w:r>
    </w:p>
    <w:p w14:paraId="7DB3261D" w14:textId="41FB0492"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BB1E09">
        <w:rPr>
          <w:rFonts w:ascii="Arial" w:hAnsi="Arial" w:cs="Arial"/>
          <w:sz w:val="28"/>
          <w:szCs w:val="28"/>
        </w:rPr>
        <w:t xml:space="preserve"> BMHP5016_LON</w:t>
      </w:r>
    </w:p>
    <w:p w14:paraId="1541A319" w14:textId="7E372F7D" w:rsidR="00BB1E09"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BB1E09">
        <w:rPr>
          <w:rFonts w:ascii="Arial" w:hAnsi="Arial" w:cs="Arial"/>
          <w:sz w:val="28"/>
          <w:szCs w:val="28"/>
        </w:rPr>
        <w:t xml:space="preserve"> </w:t>
      </w:r>
      <w:proofErr w:type="spellStart"/>
      <w:r w:rsidR="00BB1E09">
        <w:rPr>
          <w:rFonts w:ascii="Arial" w:hAnsi="Arial" w:cs="Arial"/>
          <w:sz w:val="28"/>
          <w:szCs w:val="28"/>
        </w:rPr>
        <w:t>Itse</w:t>
      </w:r>
      <w:proofErr w:type="spellEnd"/>
      <w:r w:rsidR="00BB1E09">
        <w:rPr>
          <w:rFonts w:ascii="Arial" w:hAnsi="Arial" w:cs="Arial"/>
          <w:sz w:val="28"/>
          <w:szCs w:val="28"/>
        </w:rPr>
        <w:t xml:space="preserve"> </w:t>
      </w:r>
      <w:proofErr w:type="spellStart"/>
      <w:r w:rsidR="00BB1E09">
        <w:rPr>
          <w:rFonts w:ascii="Arial" w:hAnsi="Arial" w:cs="Arial"/>
          <w:sz w:val="28"/>
          <w:szCs w:val="28"/>
        </w:rPr>
        <w:t>olaoye</w:t>
      </w:r>
      <w:proofErr w:type="spellEnd"/>
    </w:p>
    <w:p w14:paraId="5461F9C8" w14:textId="77777777" w:rsidR="00C558B0" w:rsidRDefault="00C558B0" w:rsidP="00C558B0">
      <w:pPr>
        <w:tabs>
          <w:tab w:val="left" w:pos="6540"/>
        </w:tabs>
        <w:spacing w:line="360" w:lineRule="auto"/>
        <w:rPr>
          <w:rFonts w:ascii="Arial" w:hAnsi="Arial" w:cs="Arial"/>
          <w:sz w:val="28"/>
          <w:szCs w:val="28"/>
        </w:rPr>
      </w:pPr>
    </w:p>
    <w:p w14:paraId="65442327" w14:textId="18EE639C" w:rsidR="00BB1E09" w:rsidRDefault="006D2F2D" w:rsidP="004A5A64">
      <w:pPr>
        <w:spacing w:line="360" w:lineRule="auto"/>
        <w:rPr>
          <w:sz w:val="23"/>
          <w:szCs w:val="23"/>
        </w:rPr>
      </w:pPr>
      <w:r w:rsidRPr="004A5A64">
        <w:rPr>
          <w:sz w:val="23"/>
          <w:szCs w:val="23"/>
        </w:rPr>
        <w:br w:type="page"/>
      </w:r>
    </w:p>
    <w:p w14:paraId="7507C947" w14:textId="77777777" w:rsidR="00BB1E09" w:rsidRDefault="00BB1E09">
      <w:pPr>
        <w:spacing w:line="259" w:lineRule="auto"/>
        <w:rPr>
          <w:rFonts w:ascii="Arial" w:hAnsi="Arial" w:cs="Arial"/>
          <w:b/>
          <w:bCs/>
          <w:sz w:val="36"/>
          <w:szCs w:val="36"/>
        </w:rPr>
      </w:pPr>
      <w:r w:rsidRPr="00BB1E09">
        <w:rPr>
          <w:rFonts w:ascii="Arial" w:hAnsi="Arial" w:cs="Arial"/>
          <w:b/>
          <w:bCs/>
          <w:sz w:val="36"/>
          <w:szCs w:val="36"/>
        </w:rPr>
        <w:lastRenderedPageBreak/>
        <w:t>Contents Page</w:t>
      </w:r>
    </w:p>
    <w:p w14:paraId="23C2AEFE" w14:textId="77777777" w:rsidR="00BB1E09" w:rsidRPr="00BB1E09" w:rsidRDefault="00BB1E09">
      <w:pPr>
        <w:spacing w:line="259" w:lineRule="auto"/>
        <w:rPr>
          <w:rFonts w:ascii="Arial" w:hAnsi="Arial" w:cs="Arial"/>
          <w:b/>
          <w:bCs/>
          <w:sz w:val="36"/>
          <w:szCs w:val="36"/>
        </w:rPr>
      </w:pPr>
    </w:p>
    <w:p w14:paraId="7B6B0784" w14:textId="31E1E8C8" w:rsidR="00BB1E09" w:rsidRDefault="00BB1E09">
      <w:pPr>
        <w:spacing w:line="259" w:lineRule="auto"/>
        <w:rPr>
          <w:rFonts w:ascii="Arial" w:hAnsi="Arial" w:cs="Arial"/>
          <w:b/>
          <w:bCs/>
          <w:sz w:val="28"/>
          <w:szCs w:val="28"/>
        </w:rPr>
      </w:pPr>
      <w:r>
        <w:rPr>
          <w:rFonts w:ascii="Arial" w:hAnsi="Arial" w:cs="Arial"/>
          <w:b/>
          <w:bCs/>
          <w:sz w:val="28"/>
          <w:szCs w:val="28"/>
        </w:rPr>
        <w:t>Introduction ………………………………………………………………….3</w:t>
      </w:r>
    </w:p>
    <w:p w14:paraId="70DD4E06" w14:textId="31A09CFE" w:rsidR="00BB1E09" w:rsidRDefault="00BB1E09">
      <w:pPr>
        <w:spacing w:line="259" w:lineRule="auto"/>
        <w:rPr>
          <w:rFonts w:ascii="Arial" w:hAnsi="Arial" w:cs="Arial"/>
          <w:b/>
          <w:bCs/>
          <w:sz w:val="28"/>
          <w:szCs w:val="28"/>
        </w:rPr>
      </w:pPr>
      <w:r>
        <w:rPr>
          <w:rFonts w:ascii="Arial" w:hAnsi="Arial" w:cs="Arial"/>
          <w:b/>
          <w:bCs/>
          <w:sz w:val="28"/>
          <w:szCs w:val="28"/>
        </w:rPr>
        <w:t>The development of chosen theory ……………………………………...4</w:t>
      </w:r>
    </w:p>
    <w:p w14:paraId="4E0FBE78" w14:textId="2699C7CB" w:rsidR="00BB1E09" w:rsidRDefault="00BB1E09">
      <w:pPr>
        <w:spacing w:line="259" w:lineRule="auto"/>
        <w:rPr>
          <w:rFonts w:ascii="Arial" w:hAnsi="Arial" w:cs="Arial"/>
          <w:b/>
          <w:bCs/>
          <w:sz w:val="28"/>
          <w:szCs w:val="28"/>
        </w:rPr>
      </w:pPr>
      <w:r>
        <w:rPr>
          <w:rFonts w:ascii="Arial" w:hAnsi="Arial" w:cs="Arial"/>
          <w:b/>
          <w:bCs/>
          <w:sz w:val="28"/>
          <w:szCs w:val="28"/>
        </w:rPr>
        <w:t>Application of the concept in practice ………………………………….5</w:t>
      </w:r>
    </w:p>
    <w:p w14:paraId="6C1F0833" w14:textId="5D765752" w:rsidR="00BB1E09" w:rsidRDefault="00BB1E09">
      <w:pPr>
        <w:spacing w:line="259" w:lineRule="auto"/>
        <w:rPr>
          <w:rFonts w:ascii="Arial" w:hAnsi="Arial" w:cs="Arial"/>
          <w:b/>
          <w:bCs/>
          <w:sz w:val="28"/>
          <w:szCs w:val="28"/>
        </w:rPr>
      </w:pPr>
      <w:r>
        <w:rPr>
          <w:rFonts w:ascii="Arial" w:hAnsi="Arial" w:cs="Arial"/>
          <w:b/>
          <w:bCs/>
          <w:sz w:val="28"/>
          <w:szCs w:val="28"/>
        </w:rPr>
        <w:t>Recommendation for policy and practice ………………………………6</w:t>
      </w:r>
    </w:p>
    <w:p w14:paraId="0C70108C" w14:textId="05334866" w:rsidR="00BB1E09" w:rsidRPr="00BB1E09" w:rsidRDefault="00BB1E09">
      <w:pPr>
        <w:spacing w:line="259" w:lineRule="auto"/>
        <w:rPr>
          <w:rFonts w:ascii="Arial" w:hAnsi="Arial" w:cs="Arial"/>
          <w:b/>
          <w:bCs/>
          <w:sz w:val="28"/>
          <w:szCs w:val="28"/>
        </w:rPr>
      </w:pPr>
      <w:r>
        <w:rPr>
          <w:rFonts w:ascii="Arial" w:hAnsi="Arial" w:cs="Arial"/>
          <w:b/>
          <w:bCs/>
          <w:sz w:val="28"/>
          <w:szCs w:val="28"/>
        </w:rPr>
        <w:t>Conclusion …………………………………………………………………...7</w:t>
      </w:r>
      <w:r w:rsidRPr="00BB1E09">
        <w:rPr>
          <w:rFonts w:ascii="Arial" w:hAnsi="Arial" w:cs="Arial"/>
          <w:b/>
          <w:bCs/>
          <w:sz w:val="28"/>
          <w:szCs w:val="28"/>
        </w:rPr>
        <w:br w:type="page"/>
      </w:r>
    </w:p>
    <w:p w14:paraId="2AB2658C" w14:textId="77777777" w:rsidR="00BB1E09" w:rsidRPr="004A5A64" w:rsidRDefault="00BB1E09" w:rsidP="004A5A64">
      <w:pPr>
        <w:spacing w:line="360" w:lineRule="auto"/>
        <w:rPr>
          <w:sz w:val="23"/>
          <w:szCs w:val="23"/>
        </w:rPr>
      </w:pPr>
    </w:p>
    <w:p w14:paraId="5F44B964" w14:textId="5E455BDD" w:rsidR="00317E3D" w:rsidRDefault="006D2F2D" w:rsidP="004A5A64">
      <w:pPr>
        <w:spacing w:line="360" w:lineRule="auto"/>
        <w:rPr>
          <w:rFonts w:ascii="Arial" w:hAnsi="Arial" w:cs="Arial"/>
          <w:b/>
          <w:bCs/>
          <w:sz w:val="23"/>
          <w:szCs w:val="23"/>
        </w:rPr>
      </w:pPr>
      <w:r w:rsidRPr="004A5A64">
        <w:rPr>
          <w:rFonts w:ascii="Arial" w:hAnsi="Arial" w:cs="Arial"/>
          <w:b/>
          <w:bCs/>
          <w:sz w:val="23"/>
          <w:szCs w:val="23"/>
        </w:rPr>
        <w:t>Introduction</w:t>
      </w:r>
    </w:p>
    <w:p w14:paraId="11F3FB09"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The ethics of care is a moral theory that highlights the value of relationships and the importance of caring for others. Unlike more traditional ethical approaches such as utilitarianism, which focuses on maximising overall happiness, or deontology, which stresses duties and universal rules, the ethics of care pays closer attention to the everyday realities of human life. It recognises that people are not isolated individuals making purely rational choices, but beings who depend on one another and whose decisions are shaped by emotion, context, and connection. Because of this, care ethics offers a different way of thinking about what it means to act morally. Instead of starting with rules or outcomes, it begins with human relationships.</w:t>
      </w:r>
    </w:p>
    <w:p w14:paraId="57F231A1"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This perspective is especially meaningful in health and social care, where the quality of care often depends on more than technical knowledge or strict adherence to guidelines. The ability to listen, understand, and respond compassionately plays a huge role in shaping a patient’s experience and wellbeing. For example, a nurse comforting a worried patient or a social worker taking time to understand a family’s circumstances are forms of ethical behaviour that traditional theories sometimes overlook.</w:t>
      </w:r>
    </w:p>
    <w:p w14:paraId="0166D186"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The origins of care ethics can be traced to feminist philosophers like Carol Gilligan and Nel Noddings, who challenged the idea that moral reasoning is best understood through abstract principles. They argued that real-life moral decision-making is often rooted in empathy, responsibility, and attentiveness to the needs of others. Over time, care ethics has developed into a broader framework that can be applied to many areas of life, from family relationships to workplace interactions. In health and social care, it offers a lens through which to rethink policies, professional roles, and the everyday practices of caregiving.</w:t>
      </w:r>
    </w:p>
    <w:p w14:paraId="6080A199"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However, applying the ethics of care in practice is not always straightforward. Caring relationships can be emotionally demanding, and professionals may struggle to balance empathy with protecting their own wellbeing. Another challenge arises in policy settings, where efficiency and standardised procedures often take priority over personalised, relationship-based care. There is also a risk that focusing too much on relationships may unintentionally reinforce unequal power dynamics, particularly when patients or service users are in vulnerable positions.</w:t>
      </w:r>
    </w:p>
    <w:p w14:paraId="317DD33E" w14:textId="41C452F5" w:rsidR="00BB1E09" w:rsidRDefault="00BB1E09" w:rsidP="00BB1E09">
      <w:pPr>
        <w:spacing w:line="360" w:lineRule="auto"/>
        <w:rPr>
          <w:rFonts w:ascii="Arial" w:hAnsi="Arial" w:cs="Arial"/>
          <w:color w:val="000000"/>
          <w:sz w:val="22"/>
        </w:rPr>
      </w:pPr>
      <w:r w:rsidRPr="00012021">
        <w:rPr>
          <w:rFonts w:ascii="Arial" w:hAnsi="Arial" w:cs="Arial"/>
          <w:color w:val="000000"/>
          <w:sz w:val="22"/>
        </w:rPr>
        <w:lastRenderedPageBreak/>
        <w:t>Despite these challenges, care ethics provides valuable guidance for improving health and social care systems. It encourages organisations to support staff emotionally as well as professionally, to design policies that allow time for meaningful interaction, and to value care as both a skill and a moral practice. By recognising the importance of empathy, connection, and responsiveness, the ethics of care offers a strong foundation for making care settings more humane and effective.</w:t>
      </w:r>
    </w:p>
    <w:p w14:paraId="68B77DAB" w14:textId="77777777" w:rsidR="00BB1E09" w:rsidRDefault="00BB1E09" w:rsidP="00BB1E09">
      <w:pPr>
        <w:spacing w:line="360" w:lineRule="auto"/>
        <w:rPr>
          <w:rFonts w:ascii="Arial" w:hAnsi="Arial" w:cs="Arial"/>
          <w:b/>
          <w:bCs/>
          <w:sz w:val="23"/>
          <w:szCs w:val="23"/>
        </w:rPr>
      </w:pPr>
    </w:p>
    <w:p w14:paraId="2AB98BE7" w14:textId="1A0AF5A1" w:rsidR="006D2F2D" w:rsidRDefault="003E4ED4" w:rsidP="004A5A64">
      <w:pPr>
        <w:spacing w:line="360" w:lineRule="auto"/>
        <w:rPr>
          <w:rFonts w:ascii="Arial" w:hAnsi="Arial" w:cs="Arial"/>
          <w:b/>
          <w:bCs/>
          <w:sz w:val="23"/>
          <w:szCs w:val="23"/>
        </w:rPr>
      </w:pPr>
      <w:r w:rsidRPr="004A5A64">
        <w:rPr>
          <w:rFonts w:ascii="Arial" w:hAnsi="Arial" w:cs="Arial"/>
          <w:b/>
          <w:bCs/>
          <w:sz w:val="23"/>
          <w:szCs w:val="23"/>
        </w:rPr>
        <w:t>T</w:t>
      </w:r>
      <w:r w:rsidR="006D2F2D" w:rsidRPr="004A5A64">
        <w:rPr>
          <w:rFonts w:ascii="Arial" w:hAnsi="Arial" w:cs="Arial"/>
          <w:b/>
          <w:bCs/>
          <w:sz w:val="23"/>
          <w:szCs w:val="23"/>
        </w:rPr>
        <w:t xml:space="preserve">he </w:t>
      </w:r>
      <w:r w:rsidRPr="004A5A64">
        <w:rPr>
          <w:rFonts w:ascii="Arial" w:hAnsi="Arial" w:cs="Arial"/>
          <w:b/>
          <w:bCs/>
          <w:sz w:val="23"/>
          <w:szCs w:val="23"/>
        </w:rPr>
        <w:t xml:space="preserve">development of the </w:t>
      </w:r>
      <w:r w:rsidR="006D2F2D" w:rsidRPr="004A5A64">
        <w:rPr>
          <w:rFonts w:ascii="Arial" w:hAnsi="Arial" w:cs="Arial"/>
          <w:b/>
          <w:bCs/>
          <w:sz w:val="23"/>
          <w:szCs w:val="23"/>
        </w:rPr>
        <w:t xml:space="preserve">chosen </w:t>
      </w:r>
      <w:r w:rsidR="00BB1E09">
        <w:rPr>
          <w:rFonts w:ascii="Arial" w:hAnsi="Arial" w:cs="Arial"/>
          <w:b/>
          <w:bCs/>
          <w:sz w:val="23"/>
          <w:szCs w:val="23"/>
        </w:rPr>
        <w:t>theory</w:t>
      </w:r>
    </w:p>
    <w:p w14:paraId="02EFFAB7" w14:textId="77777777" w:rsidR="00BB1E09" w:rsidRPr="00012021" w:rsidRDefault="00BB1E09" w:rsidP="00BB1E09">
      <w:pPr>
        <w:spacing w:before="100" w:beforeAutospacing="1" w:after="100" w:afterAutospacing="1" w:line="360" w:lineRule="auto"/>
        <w:rPr>
          <w:rFonts w:ascii="Arial" w:eastAsia="Times New Roman" w:hAnsi="Arial" w:cs="Arial"/>
          <w:color w:val="000000"/>
          <w:sz w:val="22"/>
          <w:lang w:eastAsia="en-GB"/>
        </w:rPr>
      </w:pPr>
      <w:r w:rsidRPr="00012021">
        <w:rPr>
          <w:rFonts w:ascii="Arial" w:eastAsia="Times New Roman" w:hAnsi="Arial" w:cs="Arial"/>
          <w:color w:val="000000"/>
          <w:sz w:val="22"/>
          <w:lang w:eastAsia="en-GB"/>
        </w:rPr>
        <w:t xml:space="preserve">The ethics of care developed in the late 20th century as a reaction to perceived shortcomings of traditional ethical theories. Feminist philosophers like Carol Gilligan and Nel </w:t>
      </w:r>
      <w:proofErr w:type="spellStart"/>
      <w:r w:rsidRPr="00012021">
        <w:rPr>
          <w:rFonts w:ascii="Arial" w:eastAsia="Times New Roman" w:hAnsi="Arial" w:cs="Arial"/>
          <w:color w:val="000000"/>
          <w:sz w:val="22"/>
          <w:lang w:eastAsia="en-GB"/>
        </w:rPr>
        <w:t>Noddings</w:t>
      </w:r>
      <w:proofErr w:type="spellEnd"/>
      <w:r w:rsidRPr="00012021">
        <w:rPr>
          <w:rFonts w:ascii="Arial" w:eastAsia="Times New Roman" w:hAnsi="Arial" w:cs="Arial"/>
          <w:color w:val="000000"/>
          <w:sz w:val="22"/>
          <w:lang w:eastAsia="en-GB"/>
        </w:rPr>
        <w:t xml:space="preserve"> argued that mainstream approaches focused too heavily on justice, rules, and individual autonomy while overlooking care, connection, and relationships (Gilligan, 1982; </w:t>
      </w:r>
      <w:proofErr w:type="spellStart"/>
      <w:r w:rsidRPr="00012021">
        <w:rPr>
          <w:rFonts w:ascii="Arial" w:eastAsia="Times New Roman" w:hAnsi="Arial" w:cs="Arial"/>
          <w:color w:val="000000"/>
          <w:sz w:val="22"/>
          <w:lang w:eastAsia="en-GB"/>
        </w:rPr>
        <w:t>Noddings</w:t>
      </w:r>
      <w:proofErr w:type="spellEnd"/>
      <w:r w:rsidRPr="00012021">
        <w:rPr>
          <w:rFonts w:ascii="Arial" w:eastAsia="Times New Roman" w:hAnsi="Arial" w:cs="Arial"/>
          <w:color w:val="000000"/>
          <w:sz w:val="22"/>
          <w:lang w:eastAsia="en-GB"/>
        </w:rPr>
        <w:t>, 1984). Gilligan’s influential book </w:t>
      </w:r>
      <w:r w:rsidRPr="00012021">
        <w:rPr>
          <w:rFonts w:ascii="Arial" w:eastAsia="Times New Roman" w:hAnsi="Arial" w:cs="Arial"/>
          <w:i/>
          <w:iCs/>
          <w:color w:val="000000"/>
          <w:sz w:val="22"/>
          <w:lang w:eastAsia="en-GB"/>
        </w:rPr>
        <w:t>In a Different Voice</w:t>
      </w:r>
      <w:r w:rsidRPr="00012021">
        <w:rPr>
          <w:rFonts w:ascii="Arial" w:eastAsia="Times New Roman" w:hAnsi="Arial" w:cs="Arial"/>
          <w:color w:val="000000"/>
          <w:sz w:val="22"/>
          <w:lang w:eastAsia="en-GB"/>
        </w:rPr>
        <w:t> drew attention to how men and women often approach moral questions differently. She suggested that women emphasise care, empathy, and relationship-building when making ethical decisions, which traditional theories had largely ignored or dismissed. This perspective challenged assumptions about moral reasoning and opened the door to discussions on how ethics should reflect lived human experiences.</w:t>
      </w:r>
    </w:p>
    <w:p w14:paraId="4B71F81A" w14:textId="77777777" w:rsidR="00BB1E09" w:rsidRPr="00012021" w:rsidRDefault="00BB1E09" w:rsidP="00BB1E09">
      <w:pPr>
        <w:spacing w:before="100" w:beforeAutospacing="1" w:after="100" w:afterAutospacing="1" w:line="360" w:lineRule="auto"/>
        <w:rPr>
          <w:rFonts w:ascii="Arial" w:eastAsia="Times New Roman" w:hAnsi="Arial" w:cs="Arial"/>
          <w:color w:val="000000"/>
          <w:sz w:val="22"/>
          <w:lang w:eastAsia="en-GB"/>
        </w:rPr>
      </w:pPr>
      <w:r w:rsidRPr="00012021">
        <w:rPr>
          <w:rFonts w:ascii="Arial" w:eastAsia="Times New Roman" w:hAnsi="Arial" w:cs="Arial"/>
          <w:color w:val="000000"/>
          <w:sz w:val="22"/>
          <w:lang w:eastAsia="en-GB"/>
        </w:rPr>
        <w:t xml:space="preserve">The ethics of care argues that moral understanding cannot be separated from relationships and the responsibilities within them. Instead of viewing individuals as isolated decision-makers guided by universal principles, the theory highlights emotional engagement, attentiveness, and recognition of interdependence. Care is not simply a </w:t>
      </w:r>
      <w:proofErr w:type="gramStart"/>
      <w:r w:rsidRPr="00012021">
        <w:rPr>
          <w:rFonts w:ascii="Arial" w:eastAsia="Times New Roman" w:hAnsi="Arial" w:cs="Arial"/>
          <w:color w:val="000000"/>
          <w:sz w:val="22"/>
          <w:lang w:eastAsia="en-GB"/>
        </w:rPr>
        <w:t>feeling</w:t>
      </w:r>
      <w:proofErr w:type="gramEnd"/>
      <w:r w:rsidRPr="00012021">
        <w:rPr>
          <w:rFonts w:ascii="Arial" w:eastAsia="Times New Roman" w:hAnsi="Arial" w:cs="Arial"/>
          <w:color w:val="000000"/>
          <w:sz w:val="22"/>
          <w:lang w:eastAsia="en-GB"/>
        </w:rPr>
        <w:t xml:space="preserve"> but a moral practice centred on responding thoughtfully and compassionately to others’ needs. Gilligan and </w:t>
      </w:r>
      <w:proofErr w:type="spellStart"/>
      <w:r w:rsidRPr="00012021">
        <w:rPr>
          <w:rFonts w:ascii="Arial" w:eastAsia="Times New Roman" w:hAnsi="Arial" w:cs="Arial"/>
          <w:color w:val="000000"/>
          <w:sz w:val="22"/>
          <w:lang w:eastAsia="en-GB"/>
        </w:rPr>
        <w:t>Noddings</w:t>
      </w:r>
      <w:proofErr w:type="spellEnd"/>
      <w:r w:rsidRPr="00012021">
        <w:rPr>
          <w:rFonts w:ascii="Arial" w:eastAsia="Times New Roman" w:hAnsi="Arial" w:cs="Arial"/>
          <w:color w:val="000000"/>
          <w:sz w:val="22"/>
          <w:lang w:eastAsia="en-GB"/>
        </w:rPr>
        <w:t xml:space="preserve"> emphasised that caring is fundamental to human life, something experienced from infancy to old age, and that ethical theories should reflect this reality.</w:t>
      </w:r>
    </w:p>
    <w:p w14:paraId="6E47CB12" w14:textId="77777777" w:rsidR="00BB1E09" w:rsidRPr="00012021" w:rsidRDefault="00BB1E09" w:rsidP="00BB1E09">
      <w:pPr>
        <w:spacing w:before="100" w:beforeAutospacing="1" w:after="100" w:afterAutospacing="1" w:line="360" w:lineRule="auto"/>
        <w:rPr>
          <w:rFonts w:ascii="Arial" w:eastAsia="Times New Roman" w:hAnsi="Arial" w:cs="Arial"/>
          <w:color w:val="000000"/>
          <w:sz w:val="22"/>
          <w:lang w:eastAsia="en-GB"/>
        </w:rPr>
      </w:pPr>
      <w:r w:rsidRPr="00012021">
        <w:rPr>
          <w:rFonts w:ascii="Arial" w:eastAsia="Times New Roman" w:hAnsi="Arial" w:cs="Arial"/>
          <w:color w:val="000000"/>
          <w:sz w:val="22"/>
          <w:lang w:eastAsia="en-GB"/>
        </w:rPr>
        <w:t>As the theory gained traction, scholars expanded its scope beyond gender differences to include broader understandings of human relationships and interdependence (Held, 2006). While Gilligan highlighted gendered patterns, later thinkers emphasised that care ethics applies to everyone, allowing it to address social and political structures as well as interpersonal relationships. The ethics of care has since been applied in education, business, environmental ethics, and notably health and social care. It illuminates the importance of empathy, communication, trust, and emotional labour elements that traditional ethical theories sometimes overlook.</w:t>
      </w:r>
    </w:p>
    <w:p w14:paraId="53466946" w14:textId="77777777" w:rsidR="00BB1E09" w:rsidRPr="00012021" w:rsidRDefault="00BB1E09" w:rsidP="00BB1E09">
      <w:pPr>
        <w:spacing w:before="100" w:beforeAutospacing="1" w:after="100" w:afterAutospacing="1" w:line="360" w:lineRule="auto"/>
        <w:rPr>
          <w:rFonts w:ascii="Arial" w:eastAsia="Times New Roman" w:hAnsi="Arial" w:cs="Arial"/>
          <w:color w:val="000000"/>
          <w:sz w:val="22"/>
          <w:lang w:eastAsia="en-GB"/>
        </w:rPr>
      </w:pPr>
      <w:r w:rsidRPr="00012021">
        <w:rPr>
          <w:rFonts w:ascii="Arial" w:eastAsia="Times New Roman" w:hAnsi="Arial" w:cs="Arial"/>
          <w:color w:val="000000"/>
          <w:sz w:val="22"/>
          <w:lang w:eastAsia="en-GB"/>
        </w:rPr>
        <w:lastRenderedPageBreak/>
        <w:t>Despite its growth, the theory has faced criticism. Some argue that care ethics lacks the universality of principle-based theories, making it difficult to apply consistently in complex situations. Others worry that emphasising care may reinforce traditional gender roles by associating women with nurturing responsibilities (</w:t>
      </w:r>
      <w:proofErr w:type="spellStart"/>
      <w:r w:rsidRPr="00012021">
        <w:rPr>
          <w:rFonts w:ascii="Arial" w:eastAsia="Times New Roman" w:hAnsi="Arial" w:cs="Arial"/>
          <w:color w:val="000000"/>
          <w:sz w:val="22"/>
          <w:lang w:eastAsia="en-GB"/>
        </w:rPr>
        <w:t>Tronto</w:t>
      </w:r>
      <w:proofErr w:type="spellEnd"/>
      <w:r w:rsidRPr="00012021">
        <w:rPr>
          <w:rFonts w:ascii="Arial" w:eastAsia="Times New Roman" w:hAnsi="Arial" w:cs="Arial"/>
          <w:color w:val="000000"/>
          <w:sz w:val="22"/>
          <w:lang w:eastAsia="en-GB"/>
        </w:rPr>
        <w:t>, 1993). These concerns have prompted ongoing debate, but scholars continue to refine the theory while addressing its limitations. Care ethics remains influential, offering an alternative lens for understanding moral life and the central role of relationships in ethical decision-making.</w:t>
      </w:r>
    </w:p>
    <w:p w14:paraId="12E9E4F7" w14:textId="77777777" w:rsidR="00BB1E09" w:rsidRPr="004A5A64" w:rsidRDefault="00BB1E09" w:rsidP="004A5A64">
      <w:pPr>
        <w:spacing w:line="360" w:lineRule="auto"/>
        <w:rPr>
          <w:rFonts w:ascii="Arial" w:hAnsi="Arial" w:cs="Arial"/>
          <w:b/>
          <w:bCs/>
          <w:color w:val="0070C0"/>
          <w:sz w:val="23"/>
          <w:szCs w:val="23"/>
        </w:rPr>
      </w:pPr>
    </w:p>
    <w:p w14:paraId="6D46818E" w14:textId="3B0CDC22"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056BF0DC"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the ethics of care has significantly influenced health and social care policy by emphasising patient-centred care. This approach prioritises the needs, preferences, and values of patients, fostering holistic and empathetic care (Epstein &amp; Street, 2011). In practice, healthcare providers are encouraged to build strong relationships with patients, actively listen to concerns, and involve patients in decision-making. Care thus becomes personalised and responsive. Rather than treating patients as passive recipients of expertise, care ethics encourages a partnership model where patients actively participate in their own health journeys.</w:t>
      </w:r>
    </w:p>
    <w:p w14:paraId="1903E478"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This focus on relationships aligns with care ethics principles, which emphasise empathy, connection, and attending to others’ needs. Patient-centred care values not only clinical outcomes but also the quality of interactions, communication, and emotional support. Ethical decision-making cannot be separated from the context in which individuals live and the relationships they form with healthcare professionals.</w:t>
      </w:r>
    </w:p>
    <w:p w14:paraId="45609114"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 xml:space="preserve">One of the key applications of the ethics of care in health policy is the shift towards integrated care models, which aim to provide coordinated and continuous care across different services and providers (Kodner &amp; </w:t>
      </w:r>
      <w:proofErr w:type="spellStart"/>
      <w:r w:rsidRPr="00012021">
        <w:rPr>
          <w:rFonts w:ascii="Arial" w:hAnsi="Arial" w:cs="Arial"/>
          <w:color w:val="000000"/>
          <w:sz w:val="22"/>
          <w:szCs w:val="22"/>
        </w:rPr>
        <w:t>Spreeuwenberg</w:t>
      </w:r>
      <w:proofErr w:type="spellEnd"/>
      <w:r w:rsidRPr="00012021">
        <w:rPr>
          <w:rFonts w:ascii="Arial" w:hAnsi="Arial" w:cs="Arial"/>
          <w:color w:val="000000"/>
          <w:sz w:val="22"/>
          <w:szCs w:val="22"/>
        </w:rPr>
        <w:t>, 2002). These models recognise the connection of physical, mental, and social health, aligning with the ethics of care’s emphasis on relationships and interdependence. Integrated care systems work by improving communication between different professionals and organisations, allowing patients to move more smoothly between services without feeling lost or unsupported. This approach is especially beneficial for individuals with chronic health conditions, disabilities, or complex needs, who often rely on multiple services at once.</w:t>
      </w:r>
    </w:p>
    <w:p w14:paraId="24AA750B"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lastRenderedPageBreak/>
        <w:t>Integrated care also reflects the idea that health involves emotional, social, and practical support in addition to medical treatment. By considering the whole person, these models offer more compassionate and comprehensive care, mirroring the ethics of care’s focus on relationships and social context.</w:t>
      </w:r>
    </w:p>
    <w:p w14:paraId="3A58E0EB"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However, implementing the ethics of care in practice is not without challenges. Healthcare systems often prioritise efficiency and cost-effectiveness, which can conflict with the time and resources needed to provide truly patient-centred care (</w:t>
      </w:r>
      <w:proofErr w:type="spellStart"/>
      <w:r w:rsidRPr="00012021">
        <w:rPr>
          <w:rFonts w:ascii="Arial" w:hAnsi="Arial" w:cs="Arial"/>
          <w:color w:val="000000"/>
          <w:sz w:val="22"/>
          <w:szCs w:val="22"/>
        </w:rPr>
        <w:t>Tronto</w:t>
      </w:r>
      <w:proofErr w:type="spellEnd"/>
      <w:r w:rsidRPr="00012021">
        <w:rPr>
          <w:rFonts w:ascii="Arial" w:hAnsi="Arial" w:cs="Arial"/>
          <w:color w:val="000000"/>
          <w:sz w:val="22"/>
          <w:szCs w:val="22"/>
        </w:rPr>
        <w:t>, 2013). When staff are overworked or services are underfunded, it becomes difficult to maintain the level of attentiveness, empathy, and meaningful engagement that care ethics advocates. Additionally, there is a risk that the emphasis on care and empathy could lead to emotional burnout among healthcare providers, who may feel overwhelmed by the constant demands of caring for others. This concern highlights the need for supportive work environments, adequate training, and organisational structures that protect the wellbeing of staff while enabling them to deliver compassionate, relational care (Figley, 2002).</w:t>
      </w:r>
    </w:p>
    <w:p w14:paraId="7EB95A81"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Despite these challenges, care ethics continues to shape modern health and social care by encouraging practices that value humanity, connection, and treating patients as whole individuals rather than just cases or conditions.</w:t>
      </w:r>
    </w:p>
    <w:p w14:paraId="3481D2F1" w14:textId="77777777" w:rsidR="00BB1E09" w:rsidRPr="004A5A64" w:rsidRDefault="00BB1E09" w:rsidP="00BB1E09">
      <w:pPr>
        <w:spacing w:line="360" w:lineRule="auto"/>
        <w:rPr>
          <w:rFonts w:ascii="Arial" w:hAnsi="Arial" w:cs="Arial"/>
          <w:b/>
          <w:bCs/>
          <w:sz w:val="23"/>
          <w:szCs w:val="23"/>
        </w:rPr>
      </w:pPr>
    </w:p>
    <w:p w14:paraId="397FF700" w14:textId="15A0B674" w:rsidR="00BB1E09" w:rsidRDefault="006D2F2D" w:rsidP="00BB1E09">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30D049C5"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To improve outcomes in health and social care based on care ethics, several recommendations can be made. First, healthcare systems should develop supportive work environments that allow caregivers to provide empathetic, patient-centred care without risking burnout. This includes adequate training, resources, and support for managing the emotional demands of care (Maslach &amp; Leiter, 2016). Supportive environments protect staff wellbeing and create conditions in which compassionate, relationship-focused care can flourish. When caregivers feel valued and have time and emotional space to engage meaningfully with patients, overall care quality improves. This is particularly important in settings where workload pressures and staff shortages can undermine relational aspects of care central to ethics of care.</w:t>
      </w:r>
    </w:p>
    <w:p w14:paraId="41AACC6E" w14:textId="5055DC6E"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 xml:space="preserve">Second, policymakers should integrate care ethics into health policy. Policies should prioritise patient needs and preferences, incorporate patient feedback, and promote integrated care models recognising interconnected health aspects (Goodwin et al., 2012). </w:t>
      </w:r>
      <w:r w:rsidRPr="00012021">
        <w:rPr>
          <w:rFonts w:ascii="Arial" w:hAnsi="Arial" w:cs="Arial"/>
          <w:color w:val="000000"/>
          <w:sz w:val="22"/>
          <w:szCs w:val="22"/>
        </w:rPr>
        <w:lastRenderedPageBreak/>
        <w:t xml:space="preserve">Policies should recognise individuals within networks of relationships, reduce fragmentation, and make it easier for patients to receive coordinated support. Engaging patients, families, and </w:t>
      </w:r>
      <w:r w:rsidRPr="00012021">
        <w:rPr>
          <w:rFonts w:ascii="Arial" w:hAnsi="Arial" w:cs="Arial"/>
          <w:color w:val="000000"/>
          <w:sz w:val="22"/>
          <w:szCs w:val="22"/>
        </w:rPr>
        <w:t>community’s</w:t>
      </w:r>
      <w:r w:rsidRPr="00012021">
        <w:rPr>
          <w:rFonts w:ascii="Arial" w:hAnsi="Arial" w:cs="Arial"/>
          <w:color w:val="000000"/>
          <w:sz w:val="22"/>
          <w:szCs w:val="22"/>
        </w:rPr>
        <w:t xml:space="preserve"> helps ensure policies reflect lived experiences.</w:t>
      </w:r>
    </w:p>
    <w:p w14:paraId="507164D6"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Third, healthcare should emphasise interdisciplinary teamwork, as care ethics highlights relationships and mutual dependence. Collaboration among professionals ensures holistic, coordinated support (Reeves et al., 2016). Interdisciplinary teamwork allows a broader understanding of patient needs, addressing social, emotional, and medical dimensions of health. Teams working collaboratively reflect the ethics of care’s focus on interconnectedness and shared responsibility.</w:t>
      </w:r>
    </w:p>
    <w:p w14:paraId="63370402" w14:textId="29364D85" w:rsidR="00BB1E09" w:rsidRDefault="00BB1E09" w:rsidP="00BB1E09">
      <w:pPr>
        <w:spacing w:line="360" w:lineRule="auto"/>
        <w:rPr>
          <w:rFonts w:ascii="Arial" w:hAnsi="Arial" w:cs="Arial"/>
          <w:b/>
          <w:bCs/>
          <w:sz w:val="23"/>
          <w:szCs w:val="23"/>
        </w:rPr>
      </w:pPr>
      <w:r w:rsidRPr="00012021">
        <w:rPr>
          <w:rFonts w:ascii="Arial" w:hAnsi="Arial" w:cs="Arial"/>
          <w:color w:val="000000"/>
          <w:sz w:val="22"/>
        </w:rPr>
        <w:t>Finally, further research is needed to explore the long-term impact of the ethics of care on health outcomes and to identify best practices for its implementation in different contexts. This research should consider the diverse needs and preferences of patients, as well as the challenges faced by healthcare providers in delivering patient-centred care (Bodenheimer &amp; Sinsky, 2014). Understanding how the ethics of care influences both patient experiences and organisational practices can help guide future improvements in policy and service design. Additionally, such research can offer insights into how care-focused approaches can be sustained over time, even in systems facing financial pressures or workforce constraints.</w:t>
      </w:r>
    </w:p>
    <w:p w14:paraId="6C2171CE" w14:textId="77777777" w:rsidR="00BB1E09" w:rsidRDefault="00BB1E09" w:rsidP="00BB1E09">
      <w:pPr>
        <w:pStyle w:val="NormalWeb"/>
        <w:spacing w:line="360" w:lineRule="auto"/>
        <w:rPr>
          <w:rFonts w:ascii="Arial" w:hAnsi="Arial" w:cs="Arial"/>
          <w:b/>
          <w:bCs/>
          <w:sz w:val="23"/>
          <w:szCs w:val="23"/>
        </w:rPr>
      </w:pPr>
    </w:p>
    <w:p w14:paraId="5A4D465C" w14:textId="08F64E2B" w:rsidR="006524ED" w:rsidRDefault="006D2F2D" w:rsidP="00BB1E09">
      <w:pPr>
        <w:pStyle w:val="NormalWeb"/>
        <w:spacing w:line="360" w:lineRule="auto"/>
        <w:rPr>
          <w:rFonts w:ascii="Arial" w:hAnsi="Arial" w:cs="Arial"/>
          <w:b/>
          <w:bCs/>
          <w:sz w:val="23"/>
          <w:szCs w:val="23"/>
        </w:rPr>
      </w:pPr>
      <w:r w:rsidRPr="004A5A64">
        <w:rPr>
          <w:rFonts w:ascii="Arial" w:hAnsi="Arial" w:cs="Arial"/>
          <w:b/>
          <w:bCs/>
          <w:sz w:val="23"/>
          <w:szCs w:val="23"/>
        </w:rPr>
        <w:t>Conclusion</w:t>
      </w:r>
    </w:p>
    <w:p w14:paraId="4696C795"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The ethics of care offers a valuable framework for improving health and social care policies and practices. By emphasising relationships, empathy, and patient-centred care, it challenges traditional ethical theories and highlights aspects of care often overlooked. It draws attention to everyday interactions between caregivers and patients, highlighting emotional and relational dimensions that are critical to patient experiences.</w:t>
      </w:r>
    </w:p>
    <w:p w14:paraId="21737885"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Implementing care ethics is not always easy. Caregivers face emotional strain, and supportive working conditions are essential to prevent burnout. Without sufficient time, resources, and organisational support, even the most committed professionals may struggle to provide attentive, compassionate care.</w:t>
      </w:r>
    </w:p>
    <w:p w14:paraId="65E3548A"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 xml:space="preserve">Placing care ethics at the centre of policymaking can help address these challenges. Policies recognising relational aspects of care foster environments where empathy, </w:t>
      </w:r>
      <w:r w:rsidRPr="00012021">
        <w:rPr>
          <w:rFonts w:ascii="Arial" w:hAnsi="Arial" w:cs="Arial"/>
          <w:color w:val="000000"/>
          <w:sz w:val="22"/>
          <w:szCs w:val="22"/>
        </w:rPr>
        <w:lastRenderedPageBreak/>
        <w:t>communication, and trust are valued. Encouraging stronger teamwork across professions ensures more holistic, coordinated care, improving patient experiences and outcomes.</w:t>
      </w:r>
    </w:p>
    <w:p w14:paraId="5D2F243F" w14:textId="77777777" w:rsidR="00BB1E09" w:rsidRPr="00012021" w:rsidRDefault="00BB1E09" w:rsidP="00BB1E09">
      <w:pPr>
        <w:pStyle w:val="NormalWeb"/>
        <w:spacing w:line="360" w:lineRule="auto"/>
        <w:rPr>
          <w:rFonts w:ascii="Arial" w:hAnsi="Arial" w:cs="Arial"/>
          <w:color w:val="000000"/>
          <w:sz w:val="22"/>
          <w:szCs w:val="22"/>
        </w:rPr>
      </w:pPr>
      <w:r w:rsidRPr="00012021">
        <w:rPr>
          <w:rFonts w:ascii="Arial" w:hAnsi="Arial" w:cs="Arial"/>
          <w:color w:val="000000"/>
          <w:sz w:val="22"/>
          <w:szCs w:val="22"/>
        </w:rPr>
        <w:t>Investing in further research is also important, as it can help deepen understanding of how the ethics of care can be applied in diverse health and social care contexts. Such research can identify practical strategies for supporting caregivers, strengthening relationships with patients, and improving service design. As health and social care continues to develop, the ethics of care will remain an important guide for creating compassionate and effective services that truly reflect the needs of both patients and staff.</w:t>
      </w:r>
    </w:p>
    <w:p w14:paraId="748E7739" w14:textId="77777777" w:rsidR="00BB1E09" w:rsidRPr="00012021" w:rsidRDefault="00BB1E09" w:rsidP="00BB1E09">
      <w:pPr>
        <w:pStyle w:val="NormalWeb"/>
        <w:spacing w:line="360" w:lineRule="auto"/>
        <w:rPr>
          <w:rFonts w:ascii="Arial" w:hAnsi="Arial" w:cs="Arial"/>
          <w:color w:val="000000"/>
          <w:sz w:val="22"/>
          <w:szCs w:val="22"/>
        </w:rPr>
      </w:pPr>
    </w:p>
    <w:p w14:paraId="3A4F9876" w14:textId="77777777" w:rsidR="00BB1E09" w:rsidRDefault="00BB1E09" w:rsidP="00BB1E09">
      <w:pPr>
        <w:pStyle w:val="NormalWeb"/>
        <w:spacing w:line="360" w:lineRule="auto"/>
        <w:rPr>
          <w:rFonts w:ascii="Arial" w:hAnsi="Arial" w:cs="Arial"/>
          <w:b/>
          <w:bCs/>
          <w:sz w:val="23"/>
          <w:szCs w:val="23"/>
        </w:rPr>
      </w:pPr>
    </w:p>
    <w:p w14:paraId="6FDB204C" w14:textId="77777777" w:rsidR="00BB1E09" w:rsidRDefault="00BB1E09" w:rsidP="00BB1E09">
      <w:pPr>
        <w:pStyle w:val="NormalWeb"/>
        <w:spacing w:line="360" w:lineRule="auto"/>
        <w:rPr>
          <w:rFonts w:ascii="Arial" w:hAnsi="Arial" w:cs="Arial"/>
          <w:b/>
          <w:bCs/>
          <w:sz w:val="23"/>
          <w:szCs w:val="23"/>
        </w:rPr>
      </w:pPr>
    </w:p>
    <w:p w14:paraId="079D5FD2" w14:textId="77777777" w:rsidR="00BB1E09" w:rsidRDefault="00BB1E09" w:rsidP="00BB1E09">
      <w:pPr>
        <w:pStyle w:val="NormalWeb"/>
        <w:spacing w:line="360" w:lineRule="auto"/>
        <w:rPr>
          <w:rFonts w:ascii="Arial" w:hAnsi="Arial" w:cs="Arial"/>
          <w:b/>
          <w:bCs/>
          <w:sz w:val="23"/>
          <w:szCs w:val="23"/>
        </w:rPr>
      </w:pPr>
    </w:p>
    <w:p w14:paraId="14613A55" w14:textId="77777777" w:rsidR="00BB1E09" w:rsidRDefault="00BB1E09" w:rsidP="00BB1E09">
      <w:pPr>
        <w:pStyle w:val="NormalWeb"/>
        <w:spacing w:line="360" w:lineRule="auto"/>
        <w:rPr>
          <w:rFonts w:ascii="Arial" w:hAnsi="Arial" w:cs="Arial"/>
          <w:b/>
          <w:bCs/>
          <w:sz w:val="23"/>
          <w:szCs w:val="23"/>
        </w:rPr>
      </w:pPr>
    </w:p>
    <w:p w14:paraId="4B652919" w14:textId="77777777" w:rsidR="00BB1E09" w:rsidRDefault="00BB1E09" w:rsidP="00BB1E09">
      <w:pPr>
        <w:pStyle w:val="NormalWeb"/>
        <w:spacing w:line="360" w:lineRule="auto"/>
        <w:rPr>
          <w:rFonts w:ascii="Arial" w:hAnsi="Arial" w:cs="Arial"/>
          <w:b/>
          <w:bCs/>
          <w:sz w:val="23"/>
          <w:szCs w:val="23"/>
        </w:rPr>
      </w:pPr>
    </w:p>
    <w:p w14:paraId="5DECEA40" w14:textId="77777777" w:rsidR="00BB1E09" w:rsidRDefault="00BB1E09" w:rsidP="00BB1E09">
      <w:pPr>
        <w:pStyle w:val="NormalWeb"/>
        <w:spacing w:line="360" w:lineRule="auto"/>
        <w:rPr>
          <w:rFonts w:ascii="Arial" w:hAnsi="Arial" w:cs="Arial"/>
          <w:b/>
          <w:bCs/>
          <w:sz w:val="23"/>
          <w:szCs w:val="23"/>
        </w:rPr>
      </w:pPr>
    </w:p>
    <w:p w14:paraId="096EEC3C" w14:textId="77777777" w:rsidR="00BB1E09" w:rsidRDefault="00BB1E09" w:rsidP="00BB1E09">
      <w:pPr>
        <w:pStyle w:val="NormalWeb"/>
        <w:spacing w:line="360" w:lineRule="auto"/>
        <w:rPr>
          <w:rFonts w:ascii="Arial" w:hAnsi="Arial" w:cs="Arial"/>
          <w:b/>
          <w:bCs/>
          <w:sz w:val="23"/>
          <w:szCs w:val="23"/>
        </w:rPr>
      </w:pPr>
    </w:p>
    <w:p w14:paraId="4602529E" w14:textId="77777777" w:rsidR="00BB1E09" w:rsidRDefault="00BB1E09" w:rsidP="00BB1E09">
      <w:pPr>
        <w:pStyle w:val="NormalWeb"/>
        <w:spacing w:line="360" w:lineRule="auto"/>
        <w:rPr>
          <w:rFonts w:ascii="Arial" w:hAnsi="Arial" w:cs="Arial"/>
          <w:b/>
          <w:bCs/>
          <w:sz w:val="23"/>
          <w:szCs w:val="23"/>
        </w:rPr>
      </w:pPr>
    </w:p>
    <w:p w14:paraId="40BB7795" w14:textId="77777777" w:rsidR="00BB1E09" w:rsidRDefault="00BB1E09" w:rsidP="00BB1E09">
      <w:pPr>
        <w:pStyle w:val="NormalWeb"/>
        <w:spacing w:line="360" w:lineRule="auto"/>
        <w:rPr>
          <w:rFonts w:ascii="Arial" w:hAnsi="Arial" w:cs="Arial"/>
          <w:b/>
          <w:bCs/>
          <w:sz w:val="23"/>
          <w:szCs w:val="23"/>
        </w:rPr>
      </w:pPr>
    </w:p>
    <w:p w14:paraId="30A4BB6F" w14:textId="77777777" w:rsidR="00BB1E09" w:rsidRDefault="00BB1E09" w:rsidP="00BB1E09">
      <w:pPr>
        <w:pStyle w:val="NormalWeb"/>
        <w:spacing w:line="360" w:lineRule="auto"/>
        <w:rPr>
          <w:rFonts w:ascii="Arial" w:hAnsi="Arial" w:cs="Arial"/>
          <w:b/>
          <w:bCs/>
          <w:sz w:val="23"/>
          <w:szCs w:val="23"/>
        </w:rPr>
      </w:pPr>
    </w:p>
    <w:p w14:paraId="27919336" w14:textId="77777777" w:rsidR="00BB1E09" w:rsidRDefault="00BB1E09" w:rsidP="00BB1E09">
      <w:pPr>
        <w:pStyle w:val="NormalWeb"/>
        <w:spacing w:line="360" w:lineRule="auto"/>
        <w:rPr>
          <w:rFonts w:ascii="Arial" w:hAnsi="Arial" w:cs="Arial"/>
          <w:b/>
          <w:bCs/>
          <w:sz w:val="23"/>
          <w:szCs w:val="23"/>
        </w:rPr>
      </w:pPr>
    </w:p>
    <w:p w14:paraId="4170BEEC" w14:textId="77777777" w:rsidR="00BB1E09" w:rsidRDefault="00BB1E09" w:rsidP="00BB1E09">
      <w:pPr>
        <w:pStyle w:val="NormalWeb"/>
        <w:spacing w:line="360" w:lineRule="auto"/>
        <w:rPr>
          <w:rFonts w:ascii="Arial" w:hAnsi="Arial" w:cs="Arial"/>
          <w:b/>
          <w:bCs/>
          <w:sz w:val="23"/>
          <w:szCs w:val="23"/>
        </w:rPr>
      </w:pPr>
    </w:p>
    <w:p w14:paraId="0481F7BB" w14:textId="77777777" w:rsidR="00BB1E09" w:rsidRDefault="00BB1E09" w:rsidP="00BB1E09">
      <w:pPr>
        <w:pStyle w:val="NormalWeb"/>
        <w:spacing w:line="360" w:lineRule="auto"/>
        <w:rPr>
          <w:rFonts w:ascii="Arial" w:hAnsi="Arial" w:cs="Arial"/>
          <w:b/>
          <w:bCs/>
          <w:sz w:val="23"/>
          <w:szCs w:val="23"/>
        </w:rPr>
      </w:pPr>
    </w:p>
    <w:p w14:paraId="4D0857B1" w14:textId="77777777" w:rsidR="00BB1E09" w:rsidRDefault="00BB1E09" w:rsidP="00BB1E09">
      <w:pPr>
        <w:pStyle w:val="NormalWeb"/>
        <w:spacing w:line="360" w:lineRule="auto"/>
        <w:rPr>
          <w:rFonts w:ascii="Arial" w:hAnsi="Arial" w:cs="Arial"/>
          <w:b/>
          <w:bCs/>
          <w:sz w:val="23"/>
          <w:szCs w:val="23"/>
        </w:rPr>
      </w:pPr>
    </w:p>
    <w:p w14:paraId="5A789721" w14:textId="5C47EB74" w:rsidR="006D2F2D" w:rsidRDefault="006D2F2D" w:rsidP="00BB1E09">
      <w:pPr>
        <w:pStyle w:val="NormalWeb"/>
        <w:spacing w:line="360" w:lineRule="auto"/>
        <w:rPr>
          <w:rFonts w:ascii="Arial" w:hAnsi="Arial" w:cs="Arial"/>
          <w:b/>
          <w:bCs/>
          <w:sz w:val="23"/>
          <w:szCs w:val="23"/>
        </w:rPr>
      </w:pPr>
      <w:r w:rsidRPr="004A5A64">
        <w:rPr>
          <w:rFonts w:ascii="Arial" w:hAnsi="Arial" w:cs="Arial"/>
          <w:b/>
          <w:bCs/>
          <w:sz w:val="23"/>
          <w:szCs w:val="23"/>
        </w:rPr>
        <w:lastRenderedPageBreak/>
        <w:t>Reference</w:t>
      </w:r>
      <w:r w:rsidR="003E4ED4" w:rsidRPr="004A5A64">
        <w:rPr>
          <w:rFonts w:ascii="Arial" w:hAnsi="Arial" w:cs="Arial"/>
          <w:b/>
          <w:bCs/>
          <w:sz w:val="23"/>
          <w:szCs w:val="23"/>
        </w:rPr>
        <w:t>s</w:t>
      </w:r>
    </w:p>
    <w:p w14:paraId="452C63A5"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Bodenheimer, T. and Sinsky, C. (2014)</w:t>
      </w:r>
      <w:r w:rsidRPr="00BB1E09">
        <w:rPr>
          <w:rStyle w:val="apple-converted-space"/>
          <w:rFonts w:ascii="Arial" w:hAnsi="Arial" w:cs="Arial"/>
          <w:color w:val="000000"/>
          <w:sz w:val="22"/>
          <w:szCs w:val="22"/>
        </w:rPr>
        <w:t> </w:t>
      </w:r>
      <w:r w:rsidRPr="00BB1E09">
        <w:rPr>
          <w:rFonts w:ascii="Arial" w:hAnsi="Arial" w:cs="Arial"/>
          <w:color w:val="000000"/>
          <w:sz w:val="22"/>
          <w:szCs w:val="22"/>
        </w:rPr>
        <w:t>From triple to quadruple aim: Care of the patient requires care of the provider,</w:t>
      </w:r>
      <w:r w:rsidRPr="00BB1E09">
        <w:rPr>
          <w:rStyle w:val="apple-converted-space"/>
          <w:rFonts w:ascii="Arial" w:hAnsi="Arial" w:cs="Arial"/>
          <w:color w:val="000000"/>
          <w:sz w:val="22"/>
          <w:szCs w:val="22"/>
        </w:rPr>
        <w:t> </w:t>
      </w:r>
      <w:r w:rsidRPr="00BB1E09">
        <w:rPr>
          <w:rFonts w:ascii="Arial" w:hAnsi="Arial" w:cs="Arial"/>
          <w:color w:val="000000"/>
          <w:sz w:val="22"/>
          <w:szCs w:val="22"/>
        </w:rPr>
        <w:t>Annals of Family Medicine. Available at: https://www.annfammed.org/content/12/6/573/tab-e-letters (Accessed: 24 November 2025).</w:t>
      </w:r>
      <w:r w:rsidRPr="00BB1E09">
        <w:rPr>
          <w:rStyle w:val="apple-converted-space"/>
          <w:rFonts w:ascii="Arial" w:hAnsi="Arial" w:cs="Arial"/>
          <w:color w:val="000000"/>
          <w:sz w:val="22"/>
          <w:szCs w:val="22"/>
        </w:rPr>
        <w:t> </w:t>
      </w:r>
    </w:p>
    <w:p w14:paraId="52F785AF"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Epstein, R.M. and Street, R.L. (2011)</w:t>
      </w:r>
      <w:r w:rsidRPr="00BB1E09">
        <w:rPr>
          <w:rStyle w:val="apple-converted-space"/>
          <w:rFonts w:ascii="Arial" w:hAnsi="Arial" w:cs="Arial"/>
          <w:color w:val="000000"/>
          <w:sz w:val="22"/>
          <w:szCs w:val="22"/>
        </w:rPr>
        <w:t> </w:t>
      </w:r>
      <w:r w:rsidRPr="00BB1E09">
        <w:rPr>
          <w:rFonts w:ascii="Arial" w:hAnsi="Arial" w:cs="Arial"/>
          <w:color w:val="000000"/>
          <w:sz w:val="22"/>
          <w:szCs w:val="22"/>
        </w:rPr>
        <w:t>The values and value of patient-</w:t>
      </w:r>
      <w:proofErr w:type="spellStart"/>
      <w:r w:rsidRPr="00BB1E09">
        <w:rPr>
          <w:rFonts w:ascii="Arial" w:hAnsi="Arial" w:cs="Arial"/>
          <w:color w:val="000000"/>
          <w:sz w:val="22"/>
          <w:szCs w:val="22"/>
        </w:rPr>
        <w:t>centered</w:t>
      </w:r>
      <w:proofErr w:type="spellEnd"/>
      <w:r w:rsidRPr="00BB1E09">
        <w:rPr>
          <w:rFonts w:ascii="Arial" w:hAnsi="Arial" w:cs="Arial"/>
          <w:color w:val="000000"/>
          <w:sz w:val="22"/>
          <w:szCs w:val="22"/>
        </w:rPr>
        <w:t xml:space="preserve"> care,</w:t>
      </w:r>
      <w:r w:rsidRPr="00BB1E09">
        <w:rPr>
          <w:rStyle w:val="apple-converted-space"/>
          <w:rFonts w:ascii="Arial" w:hAnsi="Arial" w:cs="Arial"/>
          <w:color w:val="000000"/>
          <w:sz w:val="22"/>
          <w:szCs w:val="22"/>
        </w:rPr>
        <w:t> </w:t>
      </w:r>
      <w:r w:rsidRPr="00BB1E09">
        <w:rPr>
          <w:rFonts w:ascii="Arial" w:hAnsi="Arial" w:cs="Arial"/>
          <w:color w:val="000000"/>
          <w:sz w:val="22"/>
          <w:szCs w:val="22"/>
        </w:rPr>
        <w:t>Annals of family medicine. Available at: https://pmc.ncbi.nlm.nih.gov/articles/PMC3056855/ (Accessed: 24 November 2025).</w:t>
      </w:r>
      <w:r w:rsidRPr="00BB1E09">
        <w:rPr>
          <w:rStyle w:val="apple-converted-space"/>
          <w:rFonts w:ascii="Arial" w:hAnsi="Arial" w:cs="Arial"/>
          <w:color w:val="000000"/>
          <w:sz w:val="22"/>
          <w:szCs w:val="22"/>
        </w:rPr>
        <w:t> </w:t>
      </w:r>
    </w:p>
    <w:p w14:paraId="7CD0751E"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 xml:space="preserve">Figley, </w:t>
      </w:r>
      <w:proofErr w:type="spellStart"/>
      <w:r w:rsidRPr="00BB1E09">
        <w:rPr>
          <w:rFonts w:ascii="Arial" w:hAnsi="Arial" w:cs="Arial"/>
          <w:color w:val="000000"/>
          <w:sz w:val="22"/>
          <w:szCs w:val="22"/>
        </w:rPr>
        <w:t>Charles.R</w:t>
      </w:r>
      <w:proofErr w:type="spellEnd"/>
      <w:r w:rsidRPr="00BB1E09">
        <w:rPr>
          <w:rFonts w:ascii="Arial" w:hAnsi="Arial" w:cs="Arial"/>
          <w:color w:val="000000"/>
          <w:sz w:val="22"/>
          <w:szCs w:val="22"/>
        </w:rPr>
        <w:t>. (2002)</w:t>
      </w:r>
      <w:r w:rsidRPr="00BB1E09">
        <w:rPr>
          <w:rStyle w:val="apple-converted-space"/>
          <w:rFonts w:ascii="Arial" w:hAnsi="Arial" w:cs="Arial"/>
          <w:color w:val="000000"/>
          <w:sz w:val="22"/>
          <w:szCs w:val="22"/>
        </w:rPr>
        <w:t> </w:t>
      </w:r>
      <w:r w:rsidRPr="00BB1E09">
        <w:rPr>
          <w:rFonts w:ascii="Arial" w:hAnsi="Arial" w:cs="Arial"/>
          <w:color w:val="000000"/>
          <w:sz w:val="22"/>
          <w:szCs w:val="22"/>
        </w:rPr>
        <w:t xml:space="preserve">(PDF) compassion fatigue: Psychotherapists’ chronic lack of </w:t>
      </w:r>
      <w:proofErr w:type="spellStart"/>
      <w:r w:rsidRPr="00BB1E09">
        <w:rPr>
          <w:rFonts w:ascii="Arial" w:hAnsi="Arial" w:cs="Arial"/>
          <w:color w:val="000000"/>
          <w:sz w:val="22"/>
          <w:szCs w:val="22"/>
        </w:rPr>
        <w:t>self care</w:t>
      </w:r>
      <w:proofErr w:type="spellEnd"/>
      <w:r w:rsidRPr="00BB1E09">
        <w:rPr>
          <w:rFonts w:ascii="Arial" w:hAnsi="Arial" w:cs="Arial"/>
          <w:color w:val="000000"/>
          <w:sz w:val="22"/>
          <w:szCs w:val="22"/>
        </w:rPr>
        <w:t>. Available at: https://www.researchgate.net/publication/11053266_Compassion_Fatigue_Psychotherapists’_Chronic_Lack_of_Self_Care (Accessed: 24 November 2025).</w:t>
      </w:r>
      <w:r w:rsidRPr="00BB1E09">
        <w:rPr>
          <w:rStyle w:val="apple-converted-space"/>
          <w:rFonts w:ascii="Arial" w:hAnsi="Arial" w:cs="Arial"/>
          <w:color w:val="000000"/>
          <w:sz w:val="22"/>
          <w:szCs w:val="22"/>
        </w:rPr>
        <w:t> </w:t>
      </w:r>
    </w:p>
    <w:p w14:paraId="642A0B57"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Gilligan, C. (1982)</w:t>
      </w:r>
      <w:r w:rsidRPr="00BB1E09">
        <w:rPr>
          <w:rStyle w:val="apple-converted-space"/>
          <w:rFonts w:ascii="Arial" w:hAnsi="Arial" w:cs="Arial"/>
          <w:color w:val="000000"/>
          <w:sz w:val="22"/>
          <w:szCs w:val="22"/>
        </w:rPr>
        <w:t> </w:t>
      </w:r>
      <w:r w:rsidRPr="00BB1E09">
        <w:rPr>
          <w:rFonts w:ascii="Arial" w:hAnsi="Arial" w:cs="Arial"/>
          <w:color w:val="000000"/>
          <w:sz w:val="22"/>
          <w:szCs w:val="22"/>
        </w:rPr>
        <w:t>(PDF) in a different voice: Psychological theory and women’s development. Available at: https://www.researchgate.net/publication/275714106_In_A_Different_Voice_Psychological_Theory_and_Women’s_Development (Accessed: 26 November 2025).</w:t>
      </w:r>
      <w:r w:rsidRPr="00BB1E09">
        <w:rPr>
          <w:rStyle w:val="apple-converted-space"/>
          <w:rFonts w:ascii="Arial" w:hAnsi="Arial" w:cs="Arial"/>
          <w:color w:val="000000"/>
          <w:sz w:val="22"/>
          <w:szCs w:val="22"/>
        </w:rPr>
        <w:t> </w:t>
      </w:r>
    </w:p>
    <w:p w14:paraId="3C01E3CB"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Goodwin, N., Smith, J., Davies, A., Perry, C., Rosen, R., Dixon, A., Dixon, J., &amp; Ham, C. (2012)</w:t>
      </w:r>
      <w:r w:rsidRPr="00BB1E09">
        <w:rPr>
          <w:rStyle w:val="apple-converted-space"/>
          <w:rFonts w:ascii="Arial" w:hAnsi="Arial" w:cs="Arial"/>
          <w:color w:val="000000"/>
          <w:sz w:val="22"/>
          <w:szCs w:val="22"/>
        </w:rPr>
        <w:t> </w:t>
      </w:r>
      <w:r w:rsidRPr="00BB1E09">
        <w:rPr>
          <w:rFonts w:ascii="Arial" w:hAnsi="Arial" w:cs="Arial"/>
          <w:color w:val="000000"/>
          <w:sz w:val="22"/>
          <w:szCs w:val="22"/>
        </w:rPr>
        <w:t>Integrated care for patients and populations: Improving outcomes by working together | The King’s Fund. Available at: https://www.kingsfund.org.uk/insight-and-analysis/evidence-and-consultations/integrated-care-patients-populations-improving-outcomes (Accessed: 26 November 2025).</w:t>
      </w:r>
      <w:r w:rsidRPr="00BB1E09">
        <w:rPr>
          <w:rStyle w:val="apple-converted-space"/>
          <w:rFonts w:ascii="Arial" w:hAnsi="Arial" w:cs="Arial"/>
          <w:color w:val="000000"/>
          <w:sz w:val="22"/>
          <w:szCs w:val="22"/>
        </w:rPr>
        <w:t> </w:t>
      </w:r>
    </w:p>
    <w:p w14:paraId="2F8CBEC2"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Held, V. (2006)</w:t>
      </w:r>
      <w:r w:rsidRPr="00BB1E09">
        <w:rPr>
          <w:rStyle w:val="apple-converted-space"/>
          <w:rFonts w:ascii="Arial" w:hAnsi="Arial" w:cs="Arial"/>
          <w:color w:val="000000"/>
          <w:sz w:val="22"/>
          <w:szCs w:val="22"/>
        </w:rPr>
        <w:t> </w:t>
      </w:r>
      <w:r w:rsidRPr="00BB1E09">
        <w:rPr>
          <w:rFonts w:ascii="Arial" w:hAnsi="Arial" w:cs="Arial"/>
          <w:color w:val="000000"/>
          <w:sz w:val="22"/>
          <w:szCs w:val="22"/>
        </w:rPr>
        <w:t>The ethics of care: Personal, political, and Global Virginia held. Available at: https://voidnetwork.gr/wp-content/uploads/2016/10/The-Ethics-of-Care-Personal-Political-and-Global-by-Virginia-Held.pdf (Accessed: 26 November 2025).</w:t>
      </w:r>
      <w:r w:rsidRPr="00BB1E09">
        <w:rPr>
          <w:rStyle w:val="apple-converted-space"/>
          <w:rFonts w:ascii="Arial" w:hAnsi="Arial" w:cs="Arial"/>
          <w:color w:val="000000"/>
          <w:sz w:val="22"/>
          <w:szCs w:val="22"/>
        </w:rPr>
        <w:t> </w:t>
      </w:r>
    </w:p>
    <w:p w14:paraId="457EF46A"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 xml:space="preserve">Kodner, D.L. and </w:t>
      </w:r>
      <w:proofErr w:type="spellStart"/>
      <w:r w:rsidRPr="00BB1E09">
        <w:rPr>
          <w:rFonts w:ascii="Arial" w:hAnsi="Arial" w:cs="Arial"/>
          <w:color w:val="000000"/>
          <w:sz w:val="22"/>
          <w:szCs w:val="22"/>
        </w:rPr>
        <w:t>Spreeuwenberg</w:t>
      </w:r>
      <w:proofErr w:type="spellEnd"/>
      <w:r w:rsidRPr="00BB1E09">
        <w:rPr>
          <w:rFonts w:ascii="Arial" w:hAnsi="Arial" w:cs="Arial"/>
          <w:color w:val="000000"/>
          <w:sz w:val="22"/>
          <w:szCs w:val="22"/>
        </w:rPr>
        <w:t>, C. (2002)</w:t>
      </w:r>
      <w:r w:rsidRPr="00BB1E09">
        <w:rPr>
          <w:rStyle w:val="apple-converted-space"/>
          <w:rFonts w:ascii="Arial" w:hAnsi="Arial" w:cs="Arial"/>
          <w:color w:val="000000"/>
          <w:sz w:val="22"/>
          <w:szCs w:val="22"/>
        </w:rPr>
        <w:t> </w:t>
      </w:r>
      <w:r w:rsidRPr="00BB1E09">
        <w:rPr>
          <w:rFonts w:ascii="Arial" w:hAnsi="Arial" w:cs="Arial"/>
          <w:color w:val="000000"/>
          <w:sz w:val="22"/>
          <w:szCs w:val="22"/>
        </w:rPr>
        <w:t>Integrated care: Meaning, logic, applications, and implications--a discussion paper,</w:t>
      </w:r>
      <w:r w:rsidRPr="00BB1E09">
        <w:rPr>
          <w:rStyle w:val="apple-converted-space"/>
          <w:rFonts w:ascii="Arial" w:hAnsi="Arial" w:cs="Arial"/>
          <w:color w:val="000000"/>
          <w:sz w:val="22"/>
          <w:szCs w:val="22"/>
        </w:rPr>
        <w:t> </w:t>
      </w:r>
      <w:proofErr w:type="gramStart"/>
      <w:r w:rsidRPr="00BB1E09">
        <w:rPr>
          <w:rFonts w:ascii="Arial" w:hAnsi="Arial" w:cs="Arial"/>
          <w:color w:val="000000"/>
          <w:sz w:val="22"/>
          <w:szCs w:val="22"/>
        </w:rPr>
        <w:t>International</w:t>
      </w:r>
      <w:proofErr w:type="gramEnd"/>
      <w:r w:rsidRPr="00BB1E09">
        <w:rPr>
          <w:rFonts w:ascii="Arial" w:hAnsi="Arial" w:cs="Arial"/>
          <w:color w:val="000000"/>
          <w:sz w:val="22"/>
          <w:szCs w:val="22"/>
        </w:rPr>
        <w:t xml:space="preserve"> journal of integrated care. Available at: https://pmc.ncbi.nlm.nih.gov/articles/PMC1480401/ (Accessed: 29 November 2025).</w:t>
      </w:r>
      <w:r w:rsidRPr="00BB1E09">
        <w:rPr>
          <w:rStyle w:val="apple-converted-space"/>
          <w:rFonts w:ascii="Arial" w:hAnsi="Arial" w:cs="Arial"/>
          <w:color w:val="000000"/>
          <w:sz w:val="22"/>
          <w:szCs w:val="22"/>
        </w:rPr>
        <w:t> </w:t>
      </w:r>
    </w:p>
    <w:p w14:paraId="32735B7A"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Maslach, C. and Leiter, M.P. (2016)</w:t>
      </w:r>
      <w:r w:rsidRPr="00BB1E09">
        <w:rPr>
          <w:rStyle w:val="apple-converted-space"/>
          <w:rFonts w:ascii="Arial" w:hAnsi="Arial" w:cs="Arial"/>
          <w:color w:val="000000"/>
          <w:sz w:val="22"/>
          <w:szCs w:val="22"/>
        </w:rPr>
        <w:t> </w:t>
      </w:r>
      <w:r w:rsidRPr="00BB1E09">
        <w:rPr>
          <w:rFonts w:ascii="Arial" w:hAnsi="Arial" w:cs="Arial"/>
          <w:color w:val="000000"/>
          <w:sz w:val="22"/>
          <w:szCs w:val="22"/>
        </w:rPr>
        <w:t>Understanding the burnout experience: Recent research and its implications for psychiatry,</w:t>
      </w:r>
      <w:r w:rsidRPr="00BB1E09">
        <w:rPr>
          <w:rStyle w:val="apple-converted-space"/>
          <w:rFonts w:ascii="Arial" w:hAnsi="Arial" w:cs="Arial"/>
          <w:color w:val="000000"/>
          <w:sz w:val="22"/>
          <w:szCs w:val="22"/>
        </w:rPr>
        <w:t> </w:t>
      </w:r>
      <w:r w:rsidRPr="00BB1E09">
        <w:rPr>
          <w:rFonts w:ascii="Arial" w:hAnsi="Arial" w:cs="Arial"/>
          <w:color w:val="000000"/>
          <w:sz w:val="22"/>
          <w:szCs w:val="22"/>
        </w:rPr>
        <w:t xml:space="preserve">World </w:t>
      </w:r>
      <w:proofErr w:type="gramStart"/>
      <w:r w:rsidRPr="00BB1E09">
        <w:rPr>
          <w:rFonts w:ascii="Arial" w:hAnsi="Arial" w:cs="Arial"/>
          <w:color w:val="000000"/>
          <w:sz w:val="22"/>
          <w:szCs w:val="22"/>
        </w:rPr>
        <w:t>psychiatry :</w:t>
      </w:r>
      <w:proofErr w:type="gramEnd"/>
      <w:r w:rsidRPr="00BB1E09">
        <w:rPr>
          <w:rFonts w:ascii="Arial" w:hAnsi="Arial" w:cs="Arial"/>
          <w:color w:val="000000"/>
          <w:sz w:val="22"/>
          <w:szCs w:val="22"/>
        </w:rPr>
        <w:t xml:space="preserve"> official journal of the World Psychiatric Association (WPA). Available at: https://pmc.ncbi.nlm.nih.gov/articles/PMC4911781/ (Accessed: 29 November 2025).</w:t>
      </w:r>
      <w:r w:rsidRPr="00BB1E09">
        <w:rPr>
          <w:rStyle w:val="apple-converted-space"/>
          <w:rFonts w:ascii="Arial" w:hAnsi="Arial" w:cs="Arial"/>
          <w:color w:val="000000"/>
          <w:sz w:val="22"/>
          <w:szCs w:val="22"/>
        </w:rPr>
        <w:t> </w:t>
      </w:r>
    </w:p>
    <w:p w14:paraId="0E89306A" w14:textId="77777777" w:rsidR="00BB1E09" w:rsidRPr="00BB1E09" w:rsidRDefault="00BB1E09" w:rsidP="00BB1E09">
      <w:pPr>
        <w:pStyle w:val="NormalWeb"/>
        <w:ind w:left="567" w:hanging="567"/>
        <w:rPr>
          <w:rFonts w:ascii="Arial" w:hAnsi="Arial" w:cs="Arial"/>
          <w:color w:val="000000"/>
          <w:sz w:val="22"/>
          <w:szCs w:val="22"/>
        </w:rPr>
      </w:pPr>
      <w:proofErr w:type="spellStart"/>
      <w:r w:rsidRPr="00BB1E09">
        <w:rPr>
          <w:rFonts w:ascii="Arial" w:hAnsi="Arial" w:cs="Arial"/>
          <w:color w:val="000000"/>
          <w:sz w:val="22"/>
          <w:szCs w:val="22"/>
        </w:rPr>
        <w:t>Noddings</w:t>
      </w:r>
      <w:proofErr w:type="spellEnd"/>
      <w:r w:rsidRPr="00BB1E09">
        <w:rPr>
          <w:rFonts w:ascii="Arial" w:hAnsi="Arial" w:cs="Arial"/>
          <w:color w:val="000000"/>
          <w:sz w:val="22"/>
          <w:szCs w:val="22"/>
        </w:rPr>
        <w:t>, N. (1984)</w:t>
      </w:r>
      <w:r w:rsidRPr="00BB1E09">
        <w:rPr>
          <w:rStyle w:val="apple-converted-space"/>
          <w:rFonts w:ascii="Arial" w:hAnsi="Arial" w:cs="Arial"/>
          <w:color w:val="000000"/>
          <w:sz w:val="22"/>
          <w:szCs w:val="22"/>
        </w:rPr>
        <w:t> </w:t>
      </w:r>
      <w:r w:rsidRPr="00BB1E09">
        <w:rPr>
          <w:rFonts w:ascii="Arial" w:hAnsi="Arial" w:cs="Arial"/>
          <w:color w:val="000000"/>
          <w:sz w:val="22"/>
          <w:szCs w:val="22"/>
        </w:rPr>
        <w:t>Riseup,</w:t>
      </w:r>
      <w:r w:rsidRPr="00BB1E09">
        <w:rPr>
          <w:rStyle w:val="apple-converted-space"/>
          <w:rFonts w:ascii="Arial" w:hAnsi="Arial" w:cs="Arial"/>
          <w:color w:val="000000"/>
          <w:sz w:val="22"/>
          <w:szCs w:val="22"/>
        </w:rPr>
        <w:t> </w:t>
      </w:r>
      <w:r w:rsidRPr="00BB1E09">
        <w:rPr>
          <w:rFonts w:ascii="Arial" w:hAnsi="Arial" w:cs="Arial"/>
          <w:color w:val="000000"/>
          <w:sz w:val="22"/>
          <w:szCs w:val="22"/>
        </w:rPr>
        <w:t>Caring: A Feminine Approach to Ethics and Moral Education. Available at: https://we.riseup.net/assets/448802/Noddings+Caring.pdf (Accessed: 02 December 2025).</w:t>
      </w:r>
      <w:r w:rsidRPr="00BB1E09">
        <w:rPr>
          <w:rStyle w:val="apple-converted-space"/>
          <w:rFonts w:ascii="Arial" w:hAnsi="Arial" w:cs="Arial"/>
          <w:color w:val="000000"/>
          <w:sz w:val="22"/>
          <w:szCs w:val="22"/>
        </w:rPr>
        <w:t> </w:t>
      </w:r>
    </w:p>
    <w:p w14:paraId="401304DC" w14:textId="77777777" w:rsidR="00BB1E09" w:rsidRPr="00BB1E09" w:rsidRDefault="00BB1E09" w:rsidP="00BB1E09">
      <w:pPr>
        <w:pStyle w:val="NormalWeb"/>
        <w:ind w:left="567" w:hanging="567"/>
        <w:rPr>
          <w:rFonts w:ascii="Arial" w:hAnsi="Arial" w:cs="Arial"/>
          <w:color w:val="000000"/>
          <w:sz w:val="22"/>
          <w:szCs w:val="22"/>
        </w:rPr>
      </w:pPr>
      <w:r w:rsidRPr="00BB1E09">
        <w:rPr>
          <w:rFonts w:ascii="Arial" w:hAnsi="Arial" w:cs="Arial"/>
          <w:color w:val="000000"/>
          <w:sz w:val="22"/>
          <w:szCs w:val="22"/>
        </w:rPr>
        <w:t>Reeves, S.</w:t>
      </w:r>
      <w:r w:rsidRPr="00BB1E09">
        <w:rPr>
          <w:rStyle w:val="apple-converted-space"/>
          <w:rFonts w:ascii="Arial" w:hAnsi="Arial" w:cs="Arial"/>
          <w:color w:val="000000"/>
          <w:sz w:val="22"/>
          <w:szCs w:val="22"/>
        </w:rPr>
        <w:t> </w:t>
      </w:r>
      <w:r w:rsidRPr="00BB1E09">
        <w:rPr>
          <w:rFonts w:ascii="Arial" w:hAnsi="Arial" w:cs="Arial"/>
          <w:color w:val="000000"/>
          <w:sz w:val="22"/>
          <w:szCs w:val="22"/>
        </w:rPr>
        <w:t>et al.</w:t>
      </w:r>
      <w:r w:rsidRPr="00BB1E09">
        <w:rPr>
          <w:rStyle w:val="apple-converted-space"/>
          <w:rFonts w:ascii="Arial" w:hAnsi="Arial" w:cs="Arial"/>
          <w:color w:val="000000"/>
          <w:sz w:val="22"/>
          <w:szCs w:val="22"/>
        </w:rPr>
        <w:t> </w:t>
      </w:r>
      <w:r w:rsidRPr="00BB1E09">
        <w:rPr>
          <w:rFonts w:ascii="Arial" w:hAnsi="Arial" w:cs="Arial"/>
          <w:color w:val="000000"/>
          <w:sz w:val="22"/>
          <w:szCs w:val="22"/>
        </w:rPr>
        <w:t>(2016)</w:t>
      </w:r>
      <w:r w:rsidRPr="00BB1E09">
        <w:rPr>
          <w:rStyle w:val="apple-converted-space"/>
          <w:rFonts w:ascii="Arial" w:hAnsi="Arial" w:cs="Arial"/>
          <w:color w:val="000000"/>
          <w:sz w:val="22"/>
          <w:szCs w:val="22"/>
        </w:rPr>
        <w:t> </w:t>
      </w:r>
      <w:r w:rsidRPr="00BB1E09">
        <w:rPr>
          <w:rFonts w:ascii="Arial" w:hAnsi="Arial" w:cs="Arial"/>
          <w:color w:val="000000"/>
          <w:sz w:val="22"/>
          <w:szCs w:val="22"/>
        </w:rPr>
        <w:t>Interprofessional collaboration to improve professional practice and healthcare outcomes,</w:t>
      </w:r>
      <w:r w:rsidRPr="00BB1E09">
        <w:rPr>
          <w:rStyle w:val="apple-converted-space"/>
          <w:rFonts w:ascii="Arial" w:hAnsi="Arial" w:cs="Arial"/>
          <w:color w:val="000000"/>
          <w:sz w:val="22"/>
          <w:szCs w:val="22"/>
        </w:rPr>
        <w:t> </w:t>
      </w:r>
      <w:r w:rsidRPr="00BB1E09">
        <w:rPr>
          <w:rFonts w:ascii="Arial" w:hAnsi="Arial" w:cs="Arial"/>
          <w:color w:val="000000"/>
          <w:sz w:val="22"/>
          <w:szCs w:val="22"/>
        </w:rPr>
        <w:t>The Cochrane database of systematic reviews. Available at: https://pmc.ncbi.nlm.nih.gov/articles/PMC6481564/ (Accessed: 02 December 2025).</w:t>
      </w:r>
      <w:r w:rsidRPr="00BB1E09">
        <w:rPr>
          <w:rStyle w:val="apple-converted-space"/>
          <w:rFonts w:ascii="Arial" w:hAnsi="Arial" w:cs="Arial"/>
          <w:color w:val="000000"/>
          <w:sz w:val="22"/>
          <w:szCs w:val="22"/>
        </w:rPr>
        <w:t> </w:t>
      </w:r>
    </w:p>
    <w:p w14:paraId="34AE4829" w14:textId="77777777" w:rsidR="00BB1E09" w:rsidRPr="00BB1E09" w:rsidRDefault="00BB1E09" w:rsidP="00BB1E09">
      <w:pPr>
        <w:pStyle w:val="NormalWeb"/>
        <w:ind w:left="567" w:hanging="567"/>
        <w:rPr>
          <w:rFonts w:ascii="Arial" w:hAnsi="Arial" w:cs="Arial"/>
          <w:color w:val="000000"/>
          <w:sz w:val="22"/>
          <w:szCs w:val="22"/>
        </w:rPr>
      </w:pPr>
      <w:proofErr w:type="spellStart"/>
      <w:r w:rsidRPr="00BB1E09">
        <w:rPr>
          <w:rFonts w:ascii="Arial" w:hAnsi="Arial" w:cs="Arial"/>
          <w:color w:val="000000"/>
          <w:sz w:val="22"/>
          <w:szCs w:val="22"/>
        </w:rPr>
        <w:t>Tronto</w:t>
      </w:r>
      <w:proofErr w:type="spellEnd"/>
      <w:r w:rsidRPr="00BB1E09">
        <w:rPr>
          <w:rFonts w:ascii="Arial" w:hAnsi="Arial" w:cs="Arial"/>
          <w:color w:val="000000"/>
          <w:sz w:val="22"/>
          <w:szCs w:val="22"/>
        </w:rPr>
        <w:t>, J. c. (1993)</w:t>
      </w:r>
      <w:r w:rsidRPr="00BB1E09">
        <w:rPr>
          <w:rStyle w:val="apple-converted-space"/>
          <w:rFonts w:ascii="Arial" w:hAnsi="Arial" w:cs="Arial"/>
          <w:color w:val="000000"/>
          <w:sz w:val="22"/>
          <w:szCs w:val="22"/>
        </w:rPr>
        <w:t> </w:t>
      </w:r>
      <w:r w:rsidRPr="00BB1E09">
        <w:rPr>
          <w:rFonts w:ascii="Arial" w:hAnsi="Arial" w:cs="Arial"/>
          <w:color w:val="000000"/>
          <w:sz w:val="22"/>
          <w:szCs w:val="22"/>
        </w:rPr>
        <w:t xml:space="preserve">Moral - boundaries. Available at: https://syllabus.pirate.care/library/Joan C. </w:t>
      </w:r>
      <w:proofErr w:type="spellStart"/>
      <w:r w:rsidRPr="00BB1E09">
        <w:rPr>
          <w:rFonts w:ascii="Arial" w:hAnsi="Arial" w:cs="Arial"/>
          <w:color w:val="000000"/>
          <w:sz w:val="22"/>
          <w:szCs w:val="22"/>
        </w:rPr>
        <w:t>Tronto</w:t>
      </w:r>
      <w:proofErr w:type="spellEnd"/>
      <w:r w:rsidRPr="00BB1E09">
        <w:rPr>
          <w:rFonts w:ascii="Arial" w:hAnsi="Arial" w:cs="Arial"/>
          <w:color w:val="000000"/>
          <w:sz w:val="22"/>
          <w:szCs w:val="22"/>
        </w:rPr>
        <w:t>/Moral Boundaries_ A Political Argument for an Ethic of Care (416)/Moral Boundaries_ A Political Argument for - Joan C. Tronto.pdf (Accessed: 04 December 2025).</w:t>
      </w:r>
      <w:r w:rsidRPr="00BB1E09">
        <w:rPr>
          <w:rStyle w:val="apple-converted-space"/>
          <w:rFonts w:ascii="Arial" w:hAnsi="Arial" w:cs="Arial"/>
          <w:color w:val="000000"/>
          <w:sz w:val="22"/>
          <w:szCs w:val="22"/>
        </w:rPr>
        <w:t> </w:t>
      </w:r>
    </w:p>
    <w:p w14:paraId="1D131760" w14:textId="77777777" w:rsidR="00BB1E09" w:rsidRPr="00BB1E09" w:rsidRDefault="00BB1E09" w:rsidP="00BB1E09">
      <w:pPr>
        <w:pStyle w:val="NormalWeb"/>
        <w:ind w:left="567" w:hanging="567"/>
        <w:rPr>
          <w:rFonts w:ascii="Arial" w:hAnsi="Arial" w:cs="Arial"/>
          <w:color w:val="000000"/>
          <w:sz w:val="22"/>
          <w:szCs w:val="22"/>
        </w:rPr>
      </w:pPr>
      <w:proofErr w:type="spellStart"/>
      <w:r w:rsidRPr="00BB1E09">
        <w:rPr>
          <w:rFonts w:ascii="Arial" w:hAnsi="Arial" w:cs="Arial"/>
          <w:color w:val="000000"/>
          <w:sz w:val="22"/>
          <w:szCs w:val="22"/>
        </w:rPr>
        <w:lastRenderedPageBreak/>
        <w:t>Tronto</w:t>
      </w:r>
      <w:proofErr w:type="spellEnd"/>
      <w:r w:rsidRPr="00BB1E09">
        <w:rPr>
          <w:rFonts w:ascii="Arial" w:hAnsi="Arial" w:cs="Arial"/>
          <w:color w:val="000000"/>
          <w:sz w:val="22"/>
          <w:szCs w:val="22"/>
        </w:rPr>
        <w:t>, J. c. (2013)</w:t>
      </w:r>
      <w:r w:rsidRPr="00BB1E09">
        <w:rPr>
          <w:rStyle w:val="apple-converted-space"/>
          <w:rFonts w:ascii="Arial" w:hAnsi="Arial" w:cs="Arial"/>
          <w:color w:val="000000"/>
          <w:sz w:val="22"/>
          <w:szCs w:val="22"/>
        </w:rPr>
        <w:t> </w:t>
      </w:r>
      <w:r w:rsidRPr="00BB1E09">
        <w:rPr>
          <w:rFonts w:ascii="Arial" w:hAnsi="Arial" w:cs="Arial"/>
          <w:color w:val="000000"/>
          <w:sz w:val="22"/>
          <w:szCs w:val="22"/>
        </w:rPr>
        <w:t>Caring democracy. Available at: https://we.riseup.net/assets/448799/Joan+C.+Tronto+Caring+Democracy+Markets%2C+Equality%2C+and+Justice+%282013%2C+NYU+Press%29.pdf (Accessed: 03 December 2025).</w:t>
      </w:r>
      <w:r w:rsidRPr="00BB1E09">
        <w:rPr>
          <w:rStyle w:val="apple-converted-space"/>
          <w:rFonts w:ascii="Arial" w:hAnsi="Arial" w:cs="Arial"/>
          <w:color w:val="000000"/>
          <w:sz w:val="22"/>
          <w:szCs w:val="22"/>
        </w:rPr>
        <w:t> </w:t>
      </w:r>
    </w:p>
    <w:p w14:paraId="6021E2B5" w14:textId="77777777" w:rsidR="00BB1E09" w:rsidRPr="00BB1E09" w:rsidRDefault="00BB1E09" w:rsidP="00BB1E09">
      <w:pPr>
        <w:pStyle w:val="NormalWeb"/>
        <w:spacing w:line="360" w:lineRule="auto"/>
        <w:rPr>
          <w:rFonts w:ascii="Arial" w:hAnsi="Arial" w:cs="Arial"/>
          <w:color w:val="000000"/>
          <w:sz w:val="22"/>
          <w:szCs w:val="22"/>
        </w:rPr>
      </w:pPr>
    </w:p>
    <w:p w14:paraId="3F1FD9A8" w14:textId="10DE29BB" w:rsidR="004A5A64" w:rsidRPr="004A5A64" w:rsidRDefault="004A5A64" w:rsidP="004A5A64">
      <w:pPr>
        <w:spacing w:line="360" w:lineRule="auto"/>
        <w:rPr>
          <w:rFonts w:ascii="Arial" w:hAnsi="Arial" w:cs="Arial"/>
          <w:color w:val="00B0F0"/>
          <w:sz w:val="23"/>
          <w:szCs w:val="23"/>
        </w:rPr>
      </w:pPr>
    </w:p>
    <w:sectPr w:rsidR="004A5A64" w:rsidRPr="004A5A6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7E0AF" w14:textId="77777777" w:rsidR="001E330C" w:rsidRDefault="001E330C" w:rsidP="00032A5B">
      <w:pPr>
        <w:spacing w:after="0" w:line="240" w:lineRule="auto"/>
      </w:pPr>
      <w:r>
        <w:separator/>
      </w:r>
    </w:p>
  </w:endnote>
  <w:endnote w:type="continuationSeparator" w:id="0">
    <w:p w14:paraId="03075E1A" w14:textId="77777777" w:rsidR="001E330C" w:rsidRDefault="001E330C"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6813558"/>
      <w:docPartObj>
        <w:docPartGallery w:val="Page Numbers (Bottom of Page)"/>
        <w:docPartUnique/>
      </w:docPartObj>
    </w:sdtPr>
    <w:sdtContent>
      <w:p w14:paraId="74089054" w14:textId="1DDD85B7" w:rsidR="00BB1E09" w:rsidRDefault="00BB1E09" w:rsidP="00E476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422EC2" w14:textId="77777777" w:rsidR="00BB1E09" w:rsidRDefault="00BB1E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4548127"/>
      <w:docPartObj>
        <w:docPartGallery w:val="Page Numbers (Bottom of Page)"/>
        <w:docPartUnique/>
      </w:docPartObj>
    </w:sdtPr>
    <w:sdtContent>
      <w:p w14:paraId="4B8A5F81" w14:textId="78147560" w:rsidR="00BB1E09" w:rsidRDefault="00BB1E09" w:rsidP="00E476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2D8D17" w14:textId="77777777" w:rsidR="00BB1E09" w:rsidRDefault="00BB1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512CC" w14:textId="77777777" w:rsidR="001E330C" w:rsidRDefault="001E330C" w:rsidP="00032A5B">
      <w:pPr>
        <w:spacing w:after="0" w:line="240" w:lineRule="auto"/>
      </w:pPr>
      <w:r>
        <w:separator/>
      </w:r>
    </w:p>
  </w:footnote>
  <w:footnote w:type="continuationSeparator" w:id="0">
    <w:p w14:paraId="5732E4B9" w14:textId="77777777" w:rsidR="001E330C" w:rsidRDefault="001E330C"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1E330C"/>
    <w:rsid w:val="00273BF0"/>
    <w:rsid w:val="00317E3D"/>
    <w:rsid w:val="0032791E"/>
    <w:rsid w:val="003E4ED4"/>
    <w:rsid w:val="004A5A64"/>
    <w:rsid w:val="0058218C"/>
    <w:rsid w:val="006524ED"/>
    <w:rsid w:val="006A3E63"/>
    <w:rsid w:val="006D2F2D"/>
    <w:rsid w:val="006E1FF9"/>
    <w:rsid w:val="00785886"/>
    <w:rsid w:val="007F3A6A"/>
    <w:rsid w:val="009E71F3"/>
    <w:rsid w:val="00A14675"/>
    <w:rsid w:val="00BB1E09"/>
    <w:rsid w:val="00BC79FE"/>
    <w:rsid w:val="00C558B0"/>
    <w:rsid w:val="00D545BA"/>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unhideWhenUsed/>
    <w:rsid w:val="00BB1E09"/>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BB1E09"/>
  </w:style>
  <w:style w:type="character" w:styleId="Emphasis">
    <w:name w:val="Emphasis"/>
    <w:basedOn w:val="DefaultParagraphFont"/>
    <w:uiPriority w:val="20"/>
    <w:qFormat/>
    <w:rsid w:val="00BB1E09"/>
    <w:rPr>
      <w:i/>
      <w:iCs/>
    </w:rPr>
  </w:style>
  <w:style w:type="character" w:styleId="PageNumber">
    <w:name w:val="page number"/>
    <w:basedOn w:val="DefaultParagraphFont"/>
    <w:uiPriority w:val="99"/>
    <w:semiHidden/>
    <w:unhideWhenUsed/>
    <w:rsid w:val="00BB1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2486</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Saskia Green</cp:lastModifiedBy>
  <cp:revision>2</cp:revision>
  <dcterms:created xsi:type="dcterms:W3CDTF">2025-12-12T02:44:00Z</dcterms:created>
  <dcterms:modified xsi:type="dcterms:W3CDTF">2025-12-12T02:44:00Z</dcterms:modified>
</cp:coreProperties>
</file>