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center"/>
        <w:rPr>
          <w:b w:val="1"/>
          <w:bCs w:val="1"/>
          <w:sz w:val="28"/>
          <w:szCs w:val="28"/>
        </w:rPr>
      </w:pPr>
      <w:r w:rsidDel="00000000" w:rsidR="00000000" w:rsidRPr="00000000">
        <w:rPr>
          <w:rtl w:val="0"/>
        </w:rPr>
      </w:r>
    </w:p>
    <w:p w:rsidR="00000000" w:rsidDel="00000000" w:rsidP="00000000" w:rsidRDefault="00000000" w:rsidRPr="00000000" w14:paraId="00000002">
      <w:pPr>
        <w:spacing w:line="276" w:lineRule="auto"/>
        <w:jc w:val="center"/>
        <w:rPr>
          <w:b w:val="1"/>
          <w:bCs w:val="1"/>
          <w:sz w:val="28"/>
          <w:szCs w:val="28"/>
        </w:rPr>
      </w:pPr>
      <w:r w:rsidDel="00000000" w:rsidR="00000000" w:rsidRPr="00000000">
        <w:rPr>
          <w:rtl w:val="0"/>
        </w:rPr>
      </w:r>
    </w:p>
    <w:p w:rsidR="00000000" w:rsidDel="00000000" w:rsidP="00000000" w:rsidRDefault="00000000" w:rsidRPr="00000000" w14:paraId="00000003">
      <w:pPr>
        <w:spacing w:line="276" w:lineRule="auto"/>
        <w:jc w:val="center"/>
        <w:rPr>
          <w:b w:val="1"/>
          <w:bCs w:val="1"/>
          <w:sz w:val="28"/>
          <w:szCs w:val="28"/>
        </w:rPr>
      </w:pPr>
      <w:r w:rsidDel="00000000" w:rsidR="00000000" w:rsidRPr="00000000">
        <w:rPr/>
        <w:drawing>
          <wp:inline distB="0" distT="0" distL="0" distR="0">
            <wp:extent cx="2204990" cy="880230"/>
            <wp:effectExtent b="0" l="0" r="0" t="0"/>
            <wp:docPr descr="University of Wales Trinity Saint David - University Transcription Services" id="1" name="image1.png"/>
            <a:graphic>
              <a:graphicData uri="http://schemas.openxmlformats.org/drawingml/2006/picture">
                <pic:pic>
                  <pic:nvPicPr>
                    <pic:cNvPr descr="University of Wales Trinity Saint David - University Transcription Services" id="0" name="image1.png"/>
                    <pic:cNvPicPr preferRelativeResize="0"/>
                  </pic:nvPicPr>
                  <pic:blipFill>
                    <a:blip r:embed="rId6"/>
                    <a:srcRect b="0" l="0" r="0" t="0"/>
                    <a:stretch>
                      <a:fillRect/>
                    </a:stretch>
                  </pic:blipFill>
                  <pic:spPr>
                    <a:xfrm>
                      <a:off x="0" y="0"/>
                      <a:ext cx="2204990" cy="88023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line="276" w:lineRule="auto"/>
        <w:jc w:val="center"/>
        <w:rPr>
          <w:b w:val="1"/>
          <w:bCs w:val="1"/>
          <w:sz w:val="28"/>
          <w:szCs w:val="28"/>
        </w:rPr>
      </w:pPr>
      <w:r w:rsidDel="00000000" w:rsidR="00000000" w:rsidRPr="00000000">
        <w:rPr>
          <w:rtl w:val="0"/>
        </w:rPr>
      </w:r>
    </w:p>
    <w:tbl>
      <w:tblPr>
        <w:tblStyle w:val="Table1"/>
        <w:tblW w:w="7105.999999999999"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3004"/>
        <w:gridCol w:w="4102"/>
        <w:tblGridChange w:id="0">
          <w:tblGrid>
            <w:gridCol w:w="3004"/>
            <w:gridCol w:w="4102"/>
          </w:tblGrid>
        </w:tblGridChange>
      </w:tblGrid>
      <w:tr>
        <w:trPr>
          <w:cantSplit w:val="0"/>
          <w:trHeight w:val="423" w:hRule="atLeast"/>
          <w:tblHeader w:val="0"/>
        </w:trPr>
        <w:tc>
          <w:tcPr>
            <w:tcBorders>
              <w:bottom w:color="000000" w:space="0" w:sz="0" w:val="nil"/>
            </w:tcBorders>
            <w:shd w:fill="329b21" w:val="clear"/>
          </w:tcPr>
          <w:p w:rsidR="00000000" w:rsidDel="00000000" w:rsidP="00000000" w:rsidRDefault="00000000" w:rsidRPr="00000000" w14:paraId="00000005">
            <w:pPr>
              <w:jc w:val="center"/>
              <w:rPr>
                <w:color w:val="000000"/>
              </w:rPr>
            </w:pPr>
            <w:r w:rsidDel="00000000" w:rsidR="00000000" w:rsidRPr="00000000">
              <w:rPr>
                <w:color w:val="000000"/>
                <w:rtl w:val="0"/>
              </w:rPr>
              <w:t xml:space="preserve">Details</w:t>
            </w:r>
          </w:p>
        </w:tc>
        <w:tc>
          <w:tcPr>
            <w:tcBorders>
              <w:bottom w:color="000000" w:space="0" w:sz="0" w:val="nil"/>
            </w:tcBorders>
            <w:shd w:fill="329b21" w:val="clear"/>
          </w:tcPr>
          <w:p w:rsidR="00000000" w:rsidDel="00000000" w:rsidP="00000000" w:rsidRDefault="00000000" w:rsidRPr="00000000" w14:paraId="00000006">
            <w:pPr>
              <w:jc w:val="center"/>
              <w:rPr>
                <w:color w:val="000000"/>
              </w:rPr>
            </w:pPr>
            <w:r w:rsidDel="00000000" w:rsidR="00000000" w:rsidRPr="00000000">
              <w:rPr>
                <w:color w:val="000000"/>
                <w:rtl w:val="0"/>
              </w:rPr>
              <w:t xml:space="preserve">Information</w:t>
            </w:r>
          </w:p>
        </w:tc>
      </w:tr>
      <w:tr>
        <w:trPr>
          <w:cantSplit w:val="0"/>
          <w:trHeight w:val="858" w:hRule="atLeast"/>
          <w:tblHeader w:val="0"/>
        </w:trPr>
        <w:tc>
          <w:tcPr/>
          <w:p w:rsidR="00000000" w:rsidDel="00000000" w:rsidP="00000000" w:rsidRDefault="00000000" w:rsidRPr="00000000" w14:paraId="00000007">
            <w:pPr>
              <w:rPr>
                <w:color w:val="000000"/>
              </w:rPr>
            </w:pPr>
            <w:r w:rsidDel="00000000" w:rsidR="00000000" w:rsidRPr="00000000">
              <w:rPr>
                <w:color w:val="000000"/>
                <w:rtl w:val="0"/>
              </w:rPr>
              <w:t xml:space="preserve">Programme Name</w:t>
            </w:r>
          </w:p>
        </w:tc>
        <w:tc>
          <w:tcPr/>
          <w:p w:rsidR="00000000" w:rsidDel="00000000" w:rsidP="00000000" w:rsidRDefault="00000000" w:rsidRPr="00000000" w14:paraId="00000008">
            <w:pPr>
              <w:rPr>
                <w:color w:val="000000"/>
              </w:rPr>
            </w:pPr>
            <w:r w:rsidDel="00000000" w:rsidR="00000000" w:rsidRPr="00000000">
              <w:rPr>
                <w:color w:val="000000"/>
                <w:rtl w:val="0"/>
              </w:rPr>
              <w:t xml:space="preserve">Master of Business Administration (MBA)</w:t>
            </w:r>
          </w:p>
        </w:tc>
      </w:tr>
      <w:tr>
        <w:trPr>
          <w:cantSplit w:val="0"/>
          <w:trHeight w:val="858" w:hRule="atLeast"/>
          <w:tblHeader w:val="0"/>
        </w:trPr>
        <w:tc>
          <w:tcPr/>
          <w:p w:rsidR="00000000" w:rsidDel="00000000" w:rsidP="00000000" w:rsidRDefault="00000000" w:rsidRPr="00000000" w14:paraId="00000009">
            <w:pPr>
              <w:rPr>
                <w:color w:val="000000"/>
              </w:rPr>
            </w:pPr>
            <w:r w:rsidDel="00000000" w:rsidR="00000000" w:rsidRPr="00000000">
              <w:rPr>
                <w:color w:val="000000"/>
                <w:rtl w:val="0"/>
              </w:rPr>
              <w:t xml:space="preserve">Module Name and Code</w:t>
            </w:r>
          </w:p>
        </w:tc>
        <w:tc>
          <w:tcPr/>
          <w:p w:rsidR="00000000" w:rsidDel="00000000" w:rsidP="00000000" w:rsidRDefault="00000000" w:rsidRPr="00000000" w14:paraId="0000000A">
            <w:pPr>
              <w:rPr>
                <w:color w:val="000000"/>
              </w:rPr>
            </w:pPr>
            <w:r w:rsidDel="00000000" w:rsidR="00000000" w:rsidRPr="00000000">
              <w:rPr>
                <w:color w:val="000000"/>
                <w:rtl w:val="0"/>
              </w:rPr>
              <w:t xml:space="preserve">Strategic Management (LCMB7003)</w:t>
            </w:r>
          </w:p>
        </w:tc>
      </w:tr>
      <w:tr>
        <w:trPr>
          <w:cantSplit w:val="0"/>
          <w:trHeight w:val="423" w:hRule="atLeast"/>
          <w:tblHeader w:val="0"/>
        </w:trPr>
        <w:tc>
          <w:tcPr/>
          <w:p w:rsidR="00000000" w:rsidDel="00000000" w:rsidP="00000000" w:rsidRDefault="00000000" w:rsidRPr="00000000" w14:paraId="0000000B">
            <w:pPr>
              <w:rPr>
                <w:color w:val="000000"/>
              </w:rPr>
            </w:pPr>
            <w:r w:rsidDel="00000000" w:rsidR="00000000" w:rsidRPr="00000000">
              <w:rPr>
                <w:color w:val="000000"/>
                <w:rtl w:val="0"/>
              </w:rPr>
              <w:t xml:space="preserve">Assessment Name</w:t>
            </w:r>
          </w:p>
        </w:tc>
        <w:tc>
          <w:tcPr/>
          <w:p w:rsidR="00000000" w:rsidDel="00000000" w:rsidP="00000000" w:rsidRDefault="00000000" w:rsidRPr="00000000" w14:paraId="0000000C">
            <w:pPr>
              <w:rPr>
                <w:color w:val="000000"/>
              </w:rPr>
            </w:pPr>
            <w:r w:rsidDel="00000000" w:rsidR="00000000" w:rsidRPr="00000000">
              <w:rPr>
                <w:color w:val="000000"/>
                <w:rtl w:val="0"/>
              </w:rPr>
              <w:t xml:space="preserve">Individual Report </w:t>
            </w:r>
          </w:p>
        </w:tc>
      </w:tr>
      <w:tr>
        <w:trPr>
          <w:cantSplit w:val="0"/>
          <w:trHeight w:val="1292" w:hRule="atLeast"/>
          <w:tblHeader w:val="0"/>
        </w:trPr>
        <w:tc>
          <w:tcPr/>
          <w:p w:rsidR="00000000" w:rsidDel="00000000" w:rsidP="00000000" w:rsidRDefault="00000000" w:rsidRPr="00000000" w14:paraId="0000000D">
            <w:pPr>
              <w:rPr>
                <w:color w:val="000000"/>
              </w:rPr>
            </w:pPr>
            <w:r w:rsidDel="00000000" w:rsidR="00000000" w:rsidRPr="00000000">
              <w:rPr>
                <w:color w:val="000000"/>
                <w:rtl w:val="0"/>
              </w:rPr>
              <w:t xml:space="preserve">Assessment Title</w:t>
            </w:r>
          </w:p>
        </w:tc>
        <w:tc>
          <w:tcPr/>
          <w:p w:rsidR="00000000" w:rsidDel="00000000" w:rsidP="00000000" w:rsidRDefault="00000000" w:rsidRPr="00000000" w14:paraId="0000000E">
            <w:pPr>
              <w:rPr>
                <w:color w:val="000000"/>
              </w:rPr>
            </w:pPr>
            <w:r w:rsidDel="00000000" w:rsidR="00000000" w:rsidRPr="00000000">
              <w:rPr>
                <w:color w:val="000000"/>
                <w:rtl w:val="0"/>
              </w:rPr>
              <w:t xml:space="preserve">Organisational Expansion Strategy for Sainsbury’s Entry into the UAE Market</w:t>
            </w:r>
          </w:p>
        </w:tc>
      </w:tr>
      <w:tr>
        <w:trPr>
          <w:cantSplit w:val="0"/>
          <w:trHeight w:val="434" w:hRule="atLeast"/>
          <w:tblHeader w:val="0"/>
        </w:trPr>
        <w:tc>
          <w:tcPr/>
          <w:p w:rsidR="00000000" w:rsidDel="00000000" w:rsidP="00000000" w:rsidRDefault="00000000" w:rsidRPr="00000000" w14:paraId="0000000F">
            <w:pPr>
              <w:rPr>
                <w:color w:val="000000"/>
              </w:rPr>
            </w:pPr>
            <w:r w:rsidDel="00000000" w:rsidR="00000000" w:rsidRPr="00000000">
              <w:rPr>
                <w:color w:val="000000"/>
                <w:rtl w:val="0"/>
              </w:rPr>
              <w:t xml:space="preserve">Student’s Name and ID</w:t>
            </w:r>
          </w:p>
        </w:tc>
        <w:tc>
          <w:tcPr/>
          <w:p w:rsidR="00000000" w:rsidDel="00000000" w:rsidP="00000000" w:rsidRDefault="00000000" w:rsidRPr="00000000" w14:paraId="00000010">
            <w:pPr>
              <w:rPr>
                <w:color w:val="000000"/>
              </w:rPr>
            </w:pPr>
            <w:r w:rsidDel="00000000" w:rsidR="00000000" w:rsidRPr="00000000">
              <w:rPr>
                <w:color w:val="000000"/>
                <w:rtl w:val="0"/>
              </w:rPr>
              <w:t xml:space="preserve">Name: Mahfuz Ahmed Sizan </w:t>
            </w:r>
          </w:p>
          <w:p w:rsidR="00000000" w:rsidDel="00000000" w:rsidP="00000000" w:rsidRDefault="00000000" w:rsidRPr="00000000" w14:paraId="00000011">
            <w:pPr>
              <w:rPr>
                <w:color w:val="000000"/>
              </w:rPr>
            </w:pPr>
            <w:r w:rsidDel="00000000" w:rsidR="00000000" w:rsidRPr="00000000">
              <w:rPr>
                <w:color w:val="000000"/>
                <w:rtl w:val="0"/>
              </w:rPr>
              <w:t xml:space="preserve">Id 2432238</w:t>
            </w:r>
          </w:p>
        </w:tc>
      </w:tr>
      <w:tr>
        <w:trPr>
          <w:cantSplit w:val="0"/>
          <w:trHeight w:val="423" w:hRule="atLeast"/>
          <w:tblHeader w:val="0"/>
        </w:trPr>
        <w:tc>
          <w:tcPr/>
          <w:p w:rsidR="00000000" w:rsidDel="00000000" w:rsidP="00000000" w:rsidRDefault="00000000" w:rsidRPr="00000000" w14:paraId="00000012">
            <w:pPr>
              <w:rPr>
                <w:color w:val="000000"/>
              </w:rPr>
            </w:pPr>
            <w:r w:rsidDel="00000000" w:rsidR="00000000" w:rsidRPr="00000000">
              <w:rPr>
                <w:color w:val="000000"/>
                <w:rtl w:val="0"/>
              </w:rPr>
              <w:t xml:space="preserve">Date of Submission</w:t>
            </w:r>
          </w:p>
        </w:tc>
        <w:tc>
          <w:tcPr/>
          <w:p w:rsidR="00000000" w:rsidDel="00000000" w:rsidP="00000000" w:rsidRDefault="00000000" w:rsidRPr="00000000" w14:paraId="00000013">
            <w:pPr>
              <w:rPr>
                <w:color w:val="000000"/>
              </w:rPr>
            </w:pPr>
            <w:r w:rsidDel="00000000" w:rsidR="00000000" w:rsidRPr="00000000">
              <w:rPr>
                <w:color w:val="000000"/>
                <w:rtl w:val="0"/>
              </w:rPr>
              <w:t xml:space="preserve">22-12-2025</w:t>
            </w:r>
          </w:p>
        </w:tc>
      </w:tr>
      <w:tr>
        <w:trPr>
          <w:cantSplit w:val="0"/>
          <w:trHeight w:val="434" w:hRule="atLeast"/>
          <w:tblHeader w:val="0"/>
        </w:trPr>
        <w:tc>
          <w:tcPr/>
          <w:p w:rsidR="00000000" w:rsidDel="00000000" w:rsidP="00000000" w:rsidRDefault="00000000" w:rsidRPr="00000000" w14:paraId="00000014">
            <w:pPr>
              <w:rPr>
                <w:color w:val="000000"/>
              </w:rPr>
            </w:pPr>
            <w:r w:rsidDel="00000000" w:rsidR="00000000" w:rsidRPr="00000000">
              <w:rPr>
                <w:color w:val="000000"/>
                <w:rtl w:val="0"/>
              </w:rPr>
              <w:t xml:space="preserve">Word Count</w:t>
            </w:r>
          </w:p>
        </w:tc>
        <w:tc>
          <w:tcPr/>
          <w:p w:rsidR="00000000" w:rsidDel="00000000" w:rsidP="00000000" w:rsidRDefault="00000000" w:rsidRPr="00000000" w14:paraId="00000015">
            <w:pPr>
              <w:rPr>
                <w:color w:val="000000"/>
              </w:rPr>
            </w:pPr>
            <w:r w:rsidDel="00000000" w:rsidR="00000000" w:rsidRPr="00000000">
              <w:rPr>
                <w:color w:val="000000"/>
                <w:rtl w:val="0"/>
              </w:rPr>
              <w:t xml:space="preserve">5200</w:t>
            </w:r>
          </w:p>
        </w:tc>
      </w:tr>
    </w:tbl>
    <w:p w:rsidR="00000000" w:rsidDel="00000000" w:rsidP="00000000" w:rsidRDefault="00000000" w:rsidRPr="00000000" w14:paraId="00000016">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jc w:val="center"/>
        <w:rPr/>
      </w:pPr>
      <w:bookmarkStart w:colFirst="0" w:colLast="0" w:name="_jwzhvrmp6lor" w:id="0"/>
      <w:bookmarkEnd w:id="0"/>
      <w:r w:rsidDel="00000000" w:rsidR="00000000" w:rsidRPr="00000000">
        <w:rPr>
          <w:rtl w:val="0"/>
        </w:rPr>
        <w:t xml:space="preserve">Executive Summary</w:t>
      </w:r>
    </w:p>
    <w:p w:rsidR="00000000" w:rsidDel="00000000" w:rsidP="00000000" w:rsidRDefault="00000000" w:rsidRPr="00000000" w14:paraId="00000018">
      <w:pPr>
        <w:rPr/>
      </w:pPr>
      <w:r w:rsidDel="00000000" w:rsidR="00000000" w:rsidRPr="00000000">
        <w:rPr>
          <w:rtl w:val="0"/>
        </w:rPr>
        <w:t xml:space="preserve">This study is a strategy detailing how Sainsbury can venture into the grocery market in the United Arab Emirates. The company has good competencies in quality food supply, electronic systems, and effective supply chains. These advantages augur well with the UAE market, that is rapidly developing and very digital. Sainsbury also enjoys the trusted brand value to provide expatriates and affluent local customers.</w:t>
      </w:r>
    </w:p>
    <w:p w:rsidR="00000000" w:rsidDel="00000000" w:rsidP="00000000" w:rsidRDefault="00000000" w:rsidRPr="00000000" w14:paraId="00000019">
      <w:pPr>
        <w:rPr/>
      </w:pPr>
      <w:r w:rsidDel="00000000" w:rsidR="00000000" w:rsidRPr="00000000">
        <w:rPr>
          <w:rtl w:val="0"/>
        </w:rPr>
        <w:t xml:space="preserve">Through market analysis, UAE is stable, rich and dependent on tourism and online shopping. PESTEL and Five Forces instruments emphasise the high demand and also the competition intensity. Thus, to succeed and achieve long-term development in the UAE, Sainsbury needs to differentiate thoroughly. In-house, the VRIO analysis of Sainsbury identifies desirable strengths, including its Food First approach, digitalisation and decades-old brand equity, which underpins sustainable competitive advantage. </w:t>
      </w:r>
    </w:p>
    <w:p w:rsidR="00000000" w:rsidDel="00000000" w:rsidP="00000000" w:rsidRDefault="00000000" w:rsidRPr="00000000" w14:paraId="0000001A">
      <w:pPr>
        <w:rPr/>
      </w:pPr>
      <w:r w:rsidDel="00000000" w:rsidR="00000000" w:rsidRPr="00000000">
        <w:rPr>
          <w:rtl w:val="0"/>
        </w:rPr>
        <w:t xml:space="preserve">The suggested market entry alternative is a joint venture with a gradual online introduction. This minimises risk, faster adaptation to local circumstances and the development of early brand awareness prior to physical store expansion. The operational plan details a 12–36 months plan comprising online launching, creation of a regional distribution centre, store opening and target marketing. A risk register deals with market, cultural, regulatory and supply-chain risks.</w:t>
      </w:r>
    </w:p>
    <w:p w:rsidR="00000000" w:rsidDel="00000000" w:rsidP="00000000" w:rsidRDefault="00000000" w:rsidRPr="00000000" w14:paraId="0000001B">
      <w:pPr>
        <w:rPr/>
      </w:pPr>
      <w:r w:rsidDel="00000000" w:rsidR="00000000" w:rsidRPr="00000000">
        <w:rPr>
          <w:rtl w:val="0"/>
        </w:rPr>
        <w:t xml:space="preserve">A Balanced Scorecard to fit the UAE context will be used to measure performance by making sure that financial outcomes, customer satisfaction, operational efficiency and organisational learning are in line with strategic goals. In general, the suggested plan provides a logical, evidence-based route through which Sainsbury can attain sustainable development in the UAE.</w:t>
      </w: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e7b8ddk1afbi" w:id="1"/>
      <w:bookmarkEnd w:id="1"/>
      <w:r w:rsidDel="00000000" w:rsidR="00000000" w:rsidRPr="00000000">
        <w:rPr>
          <w:rtl w:val="0"/>
        </w:rPr>
        <w:t xml:space="preserve">Table of Contents</w:t>
      </w:r>
    </w:p>
    <w:sdt>
      <w:sdtPr>
        <w:id w:val="423041154"/>
        <w:docPartObj>
          <w:docPartGallery w:val="Table of Contents"/>
          <w:docPartUnique w:val="1"/>
        </w:docPartObj>
      </w:sdtPr>
      <w:sdtConten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jwzhvrmp6lo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Executive Summary</w:t>
              <w:tab/>
              <w:t xml:space="preserve">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7b8ddk1afb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3f8qejdal5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Tables</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ugp7tete4a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Figures</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2qiu03vl58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r>
          </w:hyperlink>
          <w:hyperlink w:anchor="_j2qiu03vl58w">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_j2qiu03vl58w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zfk47v21cf1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Analysis of Business Environment Factors</w:t>
              <w:tab/>
              <w:t xml:space="preserve">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76u96uc1p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Macro-Environment Analysis: PESTLE for the UAE</w:t>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8qmnvelg49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Industry Structure Analysis: Porter’s Five Forces (UAE Grocery/Retail)</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2r6mct7sq9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Internal Capability and Strategic Diagnosis (VRIO + SWOT)</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t22dzbk126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Strategy Development and Formulation</w:t>
              <w:tab/>
              <w:t xml:space="preserve">13</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5nniz80hzu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Recommended Market Entry Mode.</w:t>
              <w:tab/>
              <w:t xml:space="preserve">13</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y97xrrodr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Competitive Positioning</w:t>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kaz35z00el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Operational Plan for First 12–36 Months</w:t>
              <w:tab/>
              <w:t xml:space="preserve">14</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fjca1gy1ga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Risk Management</w:t>
              <w:tab/>
              <w:t xml:space="preserve">15</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d8f87deotn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Performance Evaluation and KPIs (Balanced Scorecard)</w:t>
              <w:tab/>
              <w:t xml:space="preserve">17</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c1wdwij9n1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Financial Perspective</w:t>
              <w:tab/>
              <w:t xml:space="preserve">18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l0qohjt6ikh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Customer Perspective</w:t>
              <w:tab/>
              <w:t xml:space="preserve">18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dk2trtp7sm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Internal Process Perspective.</w:t>
              <w:tab/>
              <w:t xml:space="preserve">18</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zv4aojufbr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Learning and Growth Perspective.</w:t>
              <w:tab/>
              <w:t xml:space="preserve">19</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wxcqic7rnv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Cadence and Corrective Reporting.</w:t>
              <w:tab/>
              <w:t xml:space="preserve">19</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s0x4njxxj0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Conclusion and Key Recommendations</w:t>
              <w:tab/>
              <w:t xml:space="preserve">20</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02if95tp60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Summary</w:t>
              <w:tab/>
              <w:t xml:space="preserve">20</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0ds52tvq9s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Expansion Timeline</w:t>
              <w:tab/>
              <w:t xml:space="preserve">20</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3s2jqhr3v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 Key Recommendations</w:t>
              <w:tab/>
              <w:t xml:space="preserve">21</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kph4xt93x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22</w:t>
            </w:r>
          </w:hyperlink>
          <w:r w:rsidDel="00000000" w:rsidR="00000000" w:rsidRPr="00000000">
            <w:rPr>
              <w:rtl w:val="0"/>
            </w:rPr>
          </w:r>
        </w:p>
        <w:p w:rsidR="00000000" w:rsidDel="00000000" w:rsidP="00000000" w:rsidRDefault="00000000" w:rsidRPr="00000000" w14:paraId="0000003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7">
      <w:pPr>
        <w:pStyle w:val="Heading1"/>
        <w:rPr/>
      </w:pPr>
      <w:bookmarkStart w:colFirst="0" w:colLast="0" w:name="_x3f8qejdal5d" w:id="2"/>
      <w:bookmarkEnd w:id="2"/>
      <w:r w:rsidDel="00000000" w:rsidR="00000000" w:rsidRPr="00000000">
        <w:rPr>
          <w:rtl w:val="0"/>
        </w:rPr>
        <w:t xml:space="preserve">Table of Tables</w:t>
      </w:r>
    </w:p>
    <w:sdt>
      <w:sdtPr>
        <w:id w:val="-1027967098"/>
        <w:docPartObj>
          <w:docPartGallery w:val="Table of Contents"/>
          <w:docPartUnique w:val="1"/>
        </w:docPartObj>
      </w:sdtPr>
      <w:sdtContent>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cur5okfp7q6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1: PESTLE Summary Table: UAE</w:t>
              <w:tab/>
              <w:t xml:space="preserve">5</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g2knfxu6rk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2: Five Forces Summary Table: UAE Grocery Market</w:t>
              <w:tab/>
              <w:t xml:space="preserve">8</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773dokwjlf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3: SWOT Summary</w:t>
              <w:tab/>
              <w:t xml:space="preserve">11</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c6wg2rpuq7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4: Risk Register Table</w:t>
              <w:tab/>
              <w:t xml:space="preserve">15</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F">
      <w:pPr>
        <w:pStyle w:val="Heading1"/>
        <w:rPr/>
      </w:pPr>
      <w:bookmarkStart w:colFirst="0" w:colLast="0" w:name="_7ugp7tete4az" w:id="3"/>
      <w:bookmarkEnd w:id="3"/>
      <w:r w:rsidDel="00000000" w:rsidR="00000000" w:rsidRPr="00000000">
        <w:rPr>
          <w:rtl w:val="0"/>
        </w:rPr>
        <w:t xml:space="preserve">Table of Figures</w:t>
      </w:r>
    </w:p>
    <w:sdt>
      <w:sdtPr>
        <w:id w:val="977164346"/>
        <w:docPartObj>
          <w:docPartGallery w:val="Table of Contents"/>
          <w:docPartUnique w:val="1"/>
        </w:docPartObj>
      </w:sdtPr>
      <w:sdtContent>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lbpgx2kifga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VRIO Framework (Made by Author)</w:t>
              <w:tab/>
              <w:t xml:space="preserve">10</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3hoxslcyah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Timeline Gantt Chart (Made by Author)</w:t>
              <w:tab/>
              <w:t xml:space="preserve">14</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f5h4y940ty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Balanced Scorecard (Made by Author)</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3">
      <w:pPr>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numPr>
          <w:ilvl w:val="0"/>
          <w:numId w:val="1"/>
        </w:numPr>
        <w:ind w:left="360" w:hanging="360"/>
        <w:rPr/>
      </w:pPr>
      <w:bookmarkStart w:colFirst="0" w:colLast="0" w:name="_j2qiu03vl58w" w:id="4"/>
      <w:bookmarkEnd w:id="4"/>
      <w:r w:rsidDel="00000000" w:rsidR="00000000" w:rsidRPr="00000000">
        <w:rPr>
          <w:rtl w:val="0"/>
        </w:rPr>
        <w:t xml:space="preserve">Introduction</w:t>
      </w:r>
    </w:p>
    <w:p w:rsidR="00000000" w:rsidDel="00000000" w:rsidP="00000000" w:rsidRDefault="00000000" w:rsidRPr="00000000" w14:paraId="00000045">
      <w:pPr>
        <w:rPr/>
      </w:pPr>
      <w:r w:rsidDel="00000000" w:rsidR="00000000" w:rsidRPr="00000000">
        <w:rPr>
          <w:rtl w:val="0"/>
        </w:rPr>
        <w:t xml:space="preserve">Sainsbury is a company of large-scale retailer in the UK, in operation since 1869. Its mission is to make good food affordable, joyful and available to customers every day (J Sainsbury plc, 2024a). Sainsbury owns a significant stake in the UK grocery market and is still expanding its clientele by building on value, quality and service touches. This development is emphasised by recent financial performance with underlying profit before tax of 701 million and retail free cash flow of 639 million (J Sainsbury plc, 2024b). These outcomes indicate the power of competing in the market and reveal the advantage of the Food First course of action that has been offered over the last few years.</w:t>
      </w:r>
    </w:p>
    <w:p w:rsidR="00000000" w:rsidDel="00000000" w:rsidP="00000000" w:rsidRDefault="00000000" w:rsidRPr="00000000" w14:paraId="00000046">
      <w:pPr>
        <w:rPr/>
      </w:pPr>
      <w:r w:rsidDel="00000000" w:rsidR="00000000" w:rsidRPr="00000000">
        <w:rPr>
          <w:rtl w:val="0"/>
        </w:rPr>
        <w:t xml:space="preserve">The firm has been reinforcing its offer with significant strategic transformations. Expanding online shopping and convenience services has been one of the important steps, and it currently serves more orders weekly. The other significant change is that of integrating Argos into the larger group, which has resulted in a better digital platform and greater convenience for customers (J Sainsbury plc, 2024a). Such strategic actions are an indication of the company's flexibility to adjust to the evolving customer behaviour and stay relevant to the market.</w:t>
      </w:r>
    </w:p>
    <w:p w:rsidR="00000000" w:rsidDel="00000000" w:rsidP="00000000" w:rsidRDefault="00000000" w:rsidRPr="00000000" w14:paraId="00000047">
      <w:pPr>
        <w:rPr/>
      </w:pPr>
      <w:r w:rsidDel="00000000" w:rsidR="00000000" w:rsidRPr="00000000">
        <w:rPr>
          <w:rtl w:val="0"/>
        </w:rPr>
        <w:t xml:space="preserve">This report is chosen due to Sainsbury, which has dependable data and is strategic with good brand recognition. Its history and performance can be analysed more or less through various strategic frameworks. The UK retail business is also among the most developed and competitive across the world, and thus, Sainsbury is a good place to study strategic management (British Retail Consortium, 2025). The dynamic nature of the company is an avenue to test its future expansion in the international markets.</w:t>
      </w:r>
    </w:p>
    <w:p w:rsidR="00000000" w:rsidDel="00000000" w:rsidP="00000000" w:rsidRDefault="00000000" w:rsidRPr="00000000" w14:paraId="00000048">
      <w:pPr>
        <w:rPr/>
      </w:pPr>
      <w:r w:rsidDel="00000000" w:rsidR="00000000" w:rsidRPr="00000000">
        <w:rPr>
          <w:rtl w:val="0"/>
        </w:rPr>
        <w:t xml:space="preserve">United Arab Emirates is deemed to be an appropriate target market to expand to. UAE population is affluent, has strong purchasing power, and has a large expatriate population that is acquainted with British food products. There is are high demand for imported goods, particularly in cities like Dubai and Abu Dhabi. International retailers also enjoy a stable regulatory climate within the country, with policies that promote foreign investment. The growth of tourism also stimulates high-quality food and grocery services, which gives the well-established brand new possibilities.</w:t>
      </w:r>
    </w:p>
    <w:p w:rsidR="00000000" w:rsidDel="00000000" w:rsidP="00000000" w:rsidRDefault="00000000" w:rsidRPr="00000000" w14:paraId="00000049">
      <w:pPr>
        <w:rPr/>
      </w:pPr>
      <w:r w:rsidDel="00000000" w:rsidR="00000000" w:rsidRPr="00000000">
        <w:rPr>
          <w:rtl w:val="0"/>
        </w:rPr>
        <w:t xml:space="preserve">This report will discuss four major areas: an overview of the company, external and internal strategic analysis, implementation strategy and performance evaluation. These parts will rely on annual reports, industry reports like Euromonitor and Statista, market news by Finance Times and insights by the company presentation. This will provide a transparent and evidence-based evaluation of Sainsbury and its expansion into the UAE market.</w:t>
      </w:r>
    </w:p>
    <w:p w:rsidR="00000000" w:rsidDel="00000000" w:rsidP="00000000" w:rsidRDefault="00000000" w:rsidRPr="00000000" w14:paraId="0000004A">
      <w:pPr>
        <w:pStyle w:val="Heading1"/>
        <w:rPr/>
      </w:pPr>
      <w:bookmarkStart w:colFirst="0" w:colLast="0" w:name="_zfk47v21cf1g" w:id="5"/>
      <w:bookmarkEnd w:id="5"/>
      <w:r w:rsidDel="00000000" w:rsidR="00000000" w:rsidRPr="00000000">
        <w:rPr>
          <w:rtl w:val="0"/>
        </w:rPr>
        <w:t xml:space="preserve">2. Analysis of Business Environment Factors</w:t>
      </w:r>
    </w:p>
    <w:p w:rsidR="00000000" w:rsidDel="00000000" w:rsidP="00000000" w:rsidRDefault="00000000" w:rsidRPr="00000000" w14:paraId="0000004B">
      <w:pPr>
        <w:pStyle w:val="Heading2"/>
        <w:rPr/>
      </w:pPr>
      <w:bookmarkStart w:colFirst="0" w:colLast="0" w:name="_576u96uc1pe" w:id="6"/>
      <w:bookmarkEnd w:id="6"/>
      <w:r w:rsidDel="00000000" w:rsidR="00000000" w:rsidRPr="00000000">
        <w:rPr>
          <w:rtl w:val="0"/>
        </w:rPr>
        <w:t xml:space="preserve">2.1 Macro-Environment Analysis: PESTLE for the UAE</w:t>
      </w:r>
    </w:p>
    <w:p w:rsidR="00000000" w:rsidDel="00000000" w:rsidP="00000000" w:rsidRDefault="00000000" w:rsidRPr="00000000" w14:paraId="0000004C">
      <w:pPr>
        <w:keepNext w:val="1"/>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cur5okfp7q6j" w:id="7"/>
      <w:bookmarkEnd w:id="7"/>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Table 1: PESTLE Summary Table: UAE</w:t>
      </w:r>
    </w:p>
    <w:tbl>
      <w:tblPr>
        <w:tblStyle w:val="Table2"/>
        <w:tblW w:w="901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883"/>
        <w:gridCol w:w="7133"/>
        <w:tblGridChange w:id="0">
          <w:tblGrid>
            <w:gridCol w:w="1883"/>
            <w:gridCol w:w="7133"/>
          </w:tblGrid>
        </w:tblGridChange>
      </w:tblGrid>
      <w:tr>
        <w:trPr>
          <w:cantSplit w:val="0"/>
          <w:tblHeader w:val="0"/>
        </w:trPr>
        <w:tc>
          <w:tcPr/>
          <w:p w:rsidR="00000000" w:rsidDel="00000000" w:rsidP="00000000" w:rsidRDefault="00000000" w:rsidRPr="00000000" w14:paraId="0000004D">
            <w:pPr>
              <w:spacing w:after="200" w:lineRule="auto"/>
              <w:rPr/>
            </w:pPr>
            <w:r w:rsidDel="00000000" w:rsidR="00000000" w:rsidRPr="00000000">
              <w:rPr>
                <w:rtl w:val="0"/>
              </w:rPr>
              <w:t xml:space="preserve">Factor</w:t>
            </w:r>
          </w:p>
        </w:tc>
        <w:tc>
          <w:tcPr/>
          <w:p w:rsidR="00000000" w:rsidDel="00000000" w:rsidP="00000000" w:rsidRDefault="00000000" w:rsidRPr="00000000" w14:paraId="0000004E">
            <w:pPr>
              <w:spacing w:after="200" w:lineRule="auto"/>
              <w:rPr/>
            </w:pPr>
            <w:r w:rsidDel="00000000" w:rsidR="00000000" w:rsidRPr="00000000">
              <w:rPr>
                <w:rtl w:val="0"/>
              </w:rPr>
              <w:t xml:space="preserve">Summary</w:t>
            </w:r>
          </w:p>
        </w:tc>
      </w:tr>
      <w:tr>
        <w:trPr>
          <w:cantSplit w:val="0"/>
          <w:tblHeader w:val="0"/>
        </w:trPr>
        <w:tc>
          <w:tcPr/>
          <w:p w:rsidR="00000000" w:rsidDel="00000000" w:rsidP="00000000" w:rsidRDefault="00000000" w:rsidRPr="00000000" w14:paraId="0000004F">
            <w:pPr>
              <w:spacing w:after="200" w:lineRule="auto"/>
              <w:rPr/>
            </w:pPr>
            <w:r w:rsidDel="00000000" w:rsidR="00000000" w:rsidRPr="00000000">
              <w:rPr>
                <w:rtl w:val="0"/>
              </w:rPr>
              <w:t xml:space="preserve">Political</w:t>
            </w:r>
          </w:p>
        </w:tc>
        <w:tc>
          <w:tcPr/>
          <w:p w:rsidR="00000000" w:rsidDel="00000000" w:rsidP="00000000" w:rsidRDefault="00000000" w:rsidRPr="00000000" w14:paraId="00000050">
            <w:pPr>
              <w:spacing w:after="200" w:lineRule="auto"/>
              <w:rPr/>
            </w:pPr>
            <w:r w:rsidDel="00000000" w:rsidR="00000000" w:rsidRPr="00000000">
              <w:rPr>
                <w:rtl w:val="0"/>
              </w:rPr>
              <w:t xml:space="preserve">The UAE maintains strong political stability and continues modernising regulations to attract foreign retail investors (Oxford Business Group, 2025). Strict halal and food safety requirements create a predictable environment for new entrants (UAE Ministry of Climate Change &amp; Environment, 2021).</w:t>
            </w:r>
          </w:p>
        </w:tc>
      </w:tr>
      <w:tr>
        <w:trPr>
          <w:cantSplit w:val="0"/>
          <w:tblHeader w:val="0"/>
        </w:trPr>
        <w:tc>
          <w:tcPr/>
          <w:p w:rsidR="00000000" w:rsidDel="00000000" w:rsidP="00000000" w:rsidRDefault="00000000" w:rsidRPr="00000000" w14:paraId="00000051">
            <w:pPr>
              <w:spacing w:after="200" w:lineRule="auto"/>
              <w:rPr/>
            </w:pPr>
            <w:r w:rsidDel="00000000" w:rsidR="00000000" w:rsidRPr="00000000">
              <w:rPr>
                <w:rtl w:val="0"/>
              </w:rPr>
              <w:t xml:space="preserve">Economic</w:t>
            </w:r>
          </w:p>
        </w:tc>
        <w:tc>
          <w:tcPr/>
          <w:p w:rsidR="00000000" w:rsidDel="00000000" w:rsidP="00000000" w:rsidRDefault="00000000" w:rsidRPr="00000000" w14:paraId="00000052">
            <w:pPr>
              <w:spacing w:after="200" w:lineRule="auto"/>
              <w:rPr/>
            </w:pPr>
            <w:r w:rsidDel="00000000" w:rsidR="00000000" w:rsidRPr="00000000">
              <w:rPr>
                <w:rtl w:val="0"/>
              </w:rPr>
              <w:t xml:space="preserve">The economy benefits from high GDP per capita and strong consumer spending that supports retail expansion (World Bank, 2025). Tourism growth and currency stability further strengthen long-term planning for international retailers (World Travel &amp; Tourism Council, 2025).</w:t>
            </w:r>
          </w:p>
        </w:tc>
      </w:tr>
      <w:tr>
        <w:trPr>
          <w:cantSplit w:val="0"/>
          <w:tblHeader w:val="0"/>
        </w:trPr>
        <w:tc>
          <w:tcPr/>
          <w:p w:rsidR="00000000" w:rsidDel="00000000" w:rsidP="00000000" w:rsidRDefault="00000000" w:rsidRPr="00000000" w14:paraId="00000053">
            <w:pPr>
              <w:spacing w:after="200" w:lineRule="auto"/>
              <w:rPr/>
            </w:pPr>
            <w:r w:rsidDel="00000000" w:rsidR="00000000" w:rsidRPr="00000000">
              <w:rPr>
                <w:rtl w:val="0"/>
              </w:rPr>
              <w:t xml:space="preserve">Social</w:t>
            </w:r>
          </w:p>
        </w:tc>
        <w:tc>
          <w:tcPr/>
          <w:p w:rsidR="00000000" w:rsidDel="00000000" w:rsidP="00000000" w:rsidRDefault="00000000" w:rsidRPr="00000000" w14:paraId="00000054">
            <w:pPr>
              <w:spacing w:after="200" w:lineRule="auto"/>
              <w:rPr/>
            </w:pPr>
            <w:r w:rsidDel="00000000" w:rsidR="00000000" w:rsidRPr="00000000">
              <w:rPr>
                <w:rtl w:val="0"/>
              </w:rPr>
              <w:t xml:space="preserve">A large expatriate population increases demand for imported British products and convenience shopping. Post-COVID behaviour shows stronger preferences for hygiene, trusted brands and online purchasing (McKinsey &amp; Company, 2021).</w:t>
            </w:r>
          </w:p>
        </w:tc>
      </w:tr>
      <w:tr>
        <w:trPr>
          <w:cantSplit w:val="0"/>
          <w:tblHeader w:val="0"/>
        </w:trPr>
        <w:tc>
          <w:tcPr/>
          <w:p w:rsidR="00000000" w:rsidDel="00000000" w:rsidP="00000000" w:rsidRDefault="00000000" w:rsidRPr="00000000" w14:paraId="00000055">
            <w:pPr>
              <w:spacing w:after="200" w:lineRule="auto"/>
              <w:rPr/>
            </w:pPr>
            <w:r w:rsidDel="00000000" w:rsidR="00000000" w:rsidRPr="00000000">
              <w:rPr>
                <w:rtl w:val="0"/>
              </w:rPr>
              <w:t xml:space="preserve">Technological</w:t>
            </w:r>
          </w:p>
        </w:tc>
        <w:tc>
          <w:tcPr/>
          <w:p w:rsidR="00000000" w:rsidDel="00000000" w:rsidP="00000000" w:rsidRDefault="00000000" w:rsidRPr="00000000" w14:paraId="00000056">
            <w:pPr>
              <w:spacing w:after="200" w:lineRule="auto"/>
              <w:rPr/>
            </w:pPr>
            <w:r w:rsidDel="00000000" w:rsidR="00000000" w:rsidRPr="00000000">
              <w:rPr>
                <w:rtl w:val="0"/>
              </w:rPr>
              <w:t xml:space="preserve">Digital adoption in the UAE is in favour of e-commerce, digital payments, and progressive retail logistics (Statista, 2023). Digital solutions help retailers enhance demand forecasting and operational effectiveness (Huber and Stuckenschmidt, 2020).</w:t>
            </w:r>
          </w:p>
        </w:tc>
      </w:tr>
      <w:tr>
        <w:trPr>
          <w:cantSplit w:val="0"/>
          <w:tblHeader w:val="0"/>
        </w:trPr>
        <w:tc>
          <w:tcPr/>
          <w:p w:rsidR="00000000" w:rsidDel="00000000" w:rsidP="00000000" w:rsidRDefault="00000000" w:rsidRPr="00000000" w14:paraId="00000057">
            <w:pPr>
              <w:spacing w:after="200" w:lineRule="auto"/>
              <w:rPr/>
            </w:pPr>
            <w:r w:rsidDel="00000000" w:rsidR="00000000" w:rsidRPr="00000000">
              <w:rPr>
                <w:rtl w:val="0"/>
              </w:rPr>
              <w:t xml:space="preserve">Legal</w:t>
            </w:r>
          </w:p>
        </w:tc>
        <w:tc>
          <w:tcPr/>
          <w:p w:rsidR="00000000" w:rsidDel="00000000" w:rsidP="00000000" w:rsidRDefault="00000000" w:rsidRPr="00000000" w14:paraId="00000058">
            <w:pPr>
              <w:spacing w:after="200" w:lineRule="auto"/>
              <w:rPr/>
            </w:pPr>
            <w:r w:rsidDel="00000000" w:rsidR="00000000" w:rsidRPr="00000000">
              <w:rPr>
                <w:rtl w:val="0"/>
              </w:rPr>
              <w:t xml:space="preserve">There is important documentation, food labelling and labour laws that require retailers to meet their operating costs. Most goods are taxed at five percent and affects pricing decisions (UAE Tax Authority, 2025).</w:t>
            </w:r>
          </w:p>
        </w:tc>
      </w:tr>
      <w:tr>
        <w:trPr>
          <w:cantSplit w:val="0"/>
          <w:tblHeader w:val="0"/>
        </w:trPr>
        <w:tc>
          <w:tcPr/>
          <w:p w:rsidR="00000000" w:rsidDel="00000000" w:rsidP="00000000" w:rsidRDefault="00000000" w:rsidRPr="00000000" w14:paraId="00000059">
            <w:pPr>
              <w:spacing w:after="200" w:lineRule="auto"/>
              <w:rPr/>
            </w:pPr>
            <w:r w:rsidDel="00000000" w:rsidR="00000000" w:rsidRPr="00000000">
              <w:rPr>
                <w:rtl w:val="0"/>
              </w:rPr>
              <w:t xml:space="preserve">Environmental</w:t>
            </w:r>
          </w:p>
        </w:tc>
        <w:tc>
          <w:tcPr/>
          <w:p w:rsidR="00000000" w:rsidDel="00000000" w:rsidP="00000000" w:rsidRDefault="00000000" w:rsidRPr="00000000" w14:paraId="0000005A">
            <w:pPr>
              <w:spacing w:after="200" w:lineRule="auto"/>
              <w:rPr/>
            </w:pPr>
            <w:r w:rsidDel="00000000" w:rsidR="00000000" w:rsidRPr="00000000">
              <w:rPr>
                <w:rtl w:val="0"/>
              </w:rPr>
              <w:t xml:space="preserve">The sustainability expectations are growing with an emphasis on policies to promote less plastic consumption and responsible sourcing. Retailers are guided to responsible and eco-friendly activities by packaging and recycling legislation (UAE Ministry and Environment, 2021).</w:t>
            </w:r>
          </w:p>
        </w:tc>
      </w:tr>
    </w:tbl>
    <w:p w:rsidR="00000000" w:rsidDel="00000000" w:rsidP="00000000" w:rsidRDefault="00000000" w:rsidRPr="00000000" w14:paraId="0000005B">
      <w:pPr>
        <w:spacing w:before="240" w:lineRule="auto"/>
        <w:rPr/>
      </w:pPr>
      <w:r w:rsidDel="00000000" w:rsidR="00000000" w:rsidRPr="00000000">
        <w:rPr>
          <w:rtl w:val="0"/>
        </w:rPr>
        <w:t xml:space="preserve">The UAE political climate is conducive and favorable to foreign retail investment (Oxford Business Group, 2025). The full foreign ownership is possible now due to government reforms prompting international retailers to invest in countries. The processes of retail licensing are public, with the governments granting licenses to grocery stores (UAE Competitiveness Centre, 2023). Halal and food safety regulations assure the imported goods against national standards (UAE Ministry Environment, 2021). The regulatory framework will provide a standard and safe environment to Sainsbury as it enters the UAE market.</w:t>
      </w:r>
    </w:p>
    <w:p w:rsidR="00000000" w:rsidDel="00000000" w:rsidP="00000000" w:rsidRDefault="00000000" w:rsidRPr="00000000" w14:paraId="0000005C">
      <w:pPr>
        <w:rPr/>
      </w:pPr>
      <w:r w:rsidDel="00000000" w:rsidR="00000000" w:rsidRPr="00000000">
        <w:rPr>
          <w:rtl w:val="0"/>
        </w:rPr>
        <w:t xml:space="preserve">The UAE economy is very robust and enjoys high consumer spending rates. National wealth increased to over USD 45,000 in the year 2023 (World Bank, 2025). In 2023, consumer expenditure rose, and it remained fuelled by population growth and new jobs (Majid Al Futtaim, 2024). Tourism keeps influencing seasonal expenditure trends, more so in the marketing of Dubai and Abu Dhabi. The number of visitors increased drastically beyond 2022 and contributed billions to the overall economy (World Travel and Tourism Council, 2025). Currency stability also promotes planning since the dirham is pegged to the US dollar. This predictability limits pricing risks and assists retailers in building long-term growth strategies.</w:t>
      </w:r>
    </w:p>
    <w:p w:rsidR="00000000" w:rsidDel="00000000" w:rsidP="00000000" w:rsidRDefault="00000000" w:rsidRPr="00000000" w14:paraId="0000005D">
      <w:pPr>
        <w:rPr/>
      </w:pPr>
      <w:r w:rsidDel="00000000" w:rsidR="00000000" w:rsidRPr="00000000">
        <w:rPr>
          <w:rtl w:val="0"/>
        </w:rPr>
        <w:t xml:space="preserve">The UAE social conditions favour the demand for imported British food products. There is a huge number of expats who inhabit primarily the larger urban regions (UAE Federal Competitiveness and Statistics Centre, 2023). A great number of expats are also keen on British grocery products and believe in their established quality standard. City living encourages the use of supermarkets and the increasing need to have fast convenience shopping. Post-COVID-19, consumer behaviour changed and preferred more hygiene with confidence in online shopping channels (McKinsey and Company, 2021). These trends pose an opportunity for Sainsbury to offer the British ranges to a wide customer base.</w:t>
      </w:r>
    </w:p>
    <w:p w:rsidR="00000000" w:rsidDel="00000000" w:rsidP="00000000" w:rsidRDefault="00000000" w:rsidRPr="00000000" w14:paraId="0000005E">
      <w:pPr>
        <w:rPr/>
      </w:pPr>
      <w:r w:rsidDel="00000000" w:rsidR="00000000" w:rsidRPr="00000000">
        <w:rPr>
          <w:rtl w:val="0"/>
        </w:rPr>
        <w:t xml:space="preserve">The UAE keeps advancing technology to boost retail operations and customer experiences. The growth of e-commerce was fast (2020-2023) because of the growth in digital adoption (Statista, 2023). The use of mobile payments is also high, as it is backed by other secure contactless technologies and government innovation policies. Retailers also find digital tools useful to predict demand better and increase the efficiency of service (Huber and Stuckenschmidt, 2020). Personalisation technologies are widespread, and retailers can design offers to varying shoppers (Riegger et al., 2021). Intense digital infrastructure will facilitate sophisticated processes, whereas AI and AR will improve in-store experiences (Wolniak, Stecuła and Aydin, 2024).</w:t>
      </w:r>
    </w:p>
    <w:p w:rsidR="00000000" w:rsidDel="00000000" w:rsidP="00000000" w:rsidRDefault="00000000" w:rsidRPr="00000000" w14:paraId="0000005F">
      <w:pPr>
        <w:rPr/>
      </w:pPr>
      <w:r w:rsidDel="00000000" w:rsidR="00000000" w:rsidRPr="00000000">
        <w:rPr>
          <w:rtl w:val="0"/>
        </w:rPr>
        <w:t xml:space="preserve">The UAE legal system demands complete adherence to import regulations and food labelling. The retailers should adhere to the labour laws that regulate the conditions of workers, their salaries and visa processes (UAE Federal Tax Authority, 2025). 5% national Value Added Tax is charged on most of the retail products. The problem of legal compliance was critical since the changes in regulations impact operational budgets and planning directly.</w:t>
      </w:r>
    </w:p>
    <w:p w:rsidR="00000000" w:rsidDel="00000000" w:rsidP="00000000" w:rsidRDefault="00000000" w:rsidRPr="00000000" w14:paraId="00000060">
      <w:pPr>
        <w:rPr/>
      </w:pPr>
      <w:r w:rsidDel="00000000" w:rsidR="00000000" w:rsidRPr="00000000">
        <w:rPr>
          <w:rtl w:val="0"/>
        </w:rPr>
        <w:t xml:space="preserve">The expectations of the environment are increasing because consumers are more interested in sustainable practices. Government policies promote responsible packing, less waste and energy-saving processes in industries. Recycling programs and packaging regulations compel businesses to reduce the use of plastic in the supply chains (UAE Ministry of Climate Change and Environment, 2021). The development of climate consciousness will impact shoppers buying more responsible brands that comply with the principles of sustainability. These advancements sustain the objectives of Sainsbury because the firm already advocates environmental awareness globally.</w:t>
      </w:r>
    </w:p>
    <w:p w:rsidR="00000000" w:rsidDel="00000000" w:rsidP="00000000" w:rsidRDefault="00000000" w:rsidRPr="00000000" w14:paraId="00000061">
      <w:pPr>
        <w:rPr/>
      </w:pPr>
      <w:r w:rsidDel="00000000" w:rsidR="00000000" w:rsidRPr="00000000">
        <w:rPr>
          <w:rtl w:val="0"/>
        </w:rPr>
        <w:t xml:space="preserve">The above findings are supported by several data points. To begin with, the UAE GDP per capita was at USD 45,000 and higher in 2023 (World Bank, 2025). Second, the number of tourists increased significantly in 2023 and added to retail expenditure (World Travel &amp; Tourism Council, 2025). Third, the proportion of e-commerce usage between 2020 and 2023 grew steadily, particularly among young adults (Statista, 2023). Fourth, post-COVID-19 consumer behaviour shifted toward putting trust in brands and shopping in safe formats (McKinsey &amp; Company, 2021). Fifth, in 2023, retail licensing reforms enhanced the ease of entry of foreign businesses (Oxford Business Group, 2025). These statistics indicate a very robust, contemporary and expanding international retail brand market.</w:t>
      </w:r>
    </w:p>
    <w:p w:rsidR="00000000" w:rsidDel="00000000" w:rsidP="00000000" w:rsidRDefault="00000000" w:rsidRPr="00000000" w14:paraId="00000062">
      <w:pPr>
        <w:pStyle w:val="Heading2"/>
        <w:rPr/>
      </w:pPr>
      <w:bookmarkStart w:colFirst="0" w:colLast="0" w:name="_v8qmnvelg49p" w:id="8"/>
      <w:bookmarkEnd w:id="8"/>
      <w:r w:rsidDel="00000000" w:rsidR="00000000" w:rsidRPr="00000000">
        <w:rPr>
          <w:rtl w:val="0"/>
        </w:rPr>
        <w:t xml:space="preserve">2.2 Industry Structure Analysis: Porter’s Five Forces (UAE Grocery/Retail)</w:t>
      </w:r>
    </w:p>
    <w:p w:rsidR="00000000" w:rsidDel="00000000" w:rsidP="00000000" w:rsidRDefault="00000000" w:rsidRPr="00000000" w14:paraId="00000063">
      <w:pPr>
        <w:keepNext w:val="1"/>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bg2knfxu6rk8" w:id="9"/>
      <w:bookmarkEnd w:id="9"/>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Table 2: Five Forces Summary Table: UAE Grocery Market</w:t>
      </w:r>
    </w:p>
    <w:tbl>
      <w:tblPr>
        <w:tblStyle w:val="Table3"/>
        <w:tblW w:w="9016.0" w:type="dxa"/>
        <w:jc w:val="left"/>
        <w:tblBorders>
          <w:top w:color="95b3d7" w:space="0" w:sz="4" w:val="single"/>
          <w:left w:color="95b3d7" w:space="0" w:sz="4" w:val="single"/>
          <w:bottom w:color="95b3d7" w:space="0" w:sz="4" w:val="single"/>
          <w:right w:color="95b3d7" w:space="0" w:sz="4" w:val="single"/>
          <w:insideH w:color="95b3d7" w:space="0" w:sz="4" w:val="single"/>
          <w:insideV w:color="95b3d7" w:space="0" w:sz="4" w:val="single"/>
        </w:tblBorders>
        <w:tblLayout w:type="fixed"/>
        <w:tblLook w:val="04A0"/>
      </w:tblPr>
      <w:tblGrid>
        <w:gridCol w:w="1864"/>
        <w:gridCol w:w="7152"/>
        <w:tblGridChange w:id="0">
          <w:tblGrid>
            <w:gridCol w:w="1864"/>
            <w:gridCol w:w="7152"/>
          </w:tblGrid>
        </w:tblGridChange>
      </w:tblGrid>
      <w:tr>
        <w:trPr>
          <w:cantSplit w:val="0"/>
          <w:tblHeader w:val="0"/>
        </w:trPr>
        <w:tc>
          <w:tcPr/>
          <w:p w:rsidR="00000000" w:rsidDel="00000000" w:rsidP="00000000" w:rsidRDefault="00000000" w:rsidRPr="00000000" w14:paraId="00000064">
            <w:pPr>
              <w:spacing w:after="200" w:lineRule="auto"/>
              <w:rPr/>
            </w:pPr>
            <w:r w:rsidDel="00000000" w:rsidR="00000000" w:rsidRPr="00000000">
              <w:rPr>
                <w:rtl w:val="0"/>
              </w:rPr>
              <w:t xml:space="preserve">Force</w:t>
            </w:r>
          </w:p>
        </w:tc>
        <w:tc>
          <w:tcPr/>
          <w:p w:rsidR="00000000" w:rsidDel="00000000" w:rsidP="00000000" w:rsidRDefault="00000000" w:rsidRPr="00000000" w14:paraId="00000065">
            <w:pPr>
              <w:spacing w:after="200" w:lineRule="auto"/>
              <w:rPr/>
            </w:pPr>
            <w:r w:rsidDel="00000000" w:rsidR="00000000" w:rsidRPr="00000000">
              <w:rPr>
                <w:rtl w:val="0"/>
              </w:rPr>
              <w:t xml:space="preserve">Summary</w:t>
            </w:r>
          </w:p>
        </w:tc>
      </w:tr>
      <w:tr>
        <w:trPr>
          <w:cantSplit w:val="0"/>
          <w:tblHeader w:val="0"/>
        </w:trPr>
        <w:tc>
          <w:tcPr/>
          <w:p w:rsidR="00000000" w:rsidDel="00000000" w:rsidP="00000000" w:rsidRDefault="00000000" w:rsidRPr="00000000" w14:paraId="00000066">
            <w:pPr>
              <w:spacing w:after="200" w:lineRule="auto"/>
              <w:rPr/>
            </w:pPr>
            <w:r w:rsidDel="00000000" w:rsidR="00000000" w:rsidRPr="00000000">
              <w:rPr>
                <w:rtl w:val="0"/>
              </w:rPr>
              <w:t xml:space="preserve">Competitive Rivalry</w:t>
            </w:r>
          </w:p>
        </w:tc>
        <w:tc>
          <w:tcPr/>
          <w:p w:rsidR="00000000" w:rsidDel="00000000" w:rsidP="00000000" w:rsidRDefault="00000000" w:rsidRPr="00000000" w14:paraId="00000067">
            <w:pPr>
              <w:spacing w:after="200" w:lineRule="auto"/>
              <w:rPr/>
            </w:pPr>
            <w:r w:rsidDel="00000000" w:rsidR="00000000" w:rsidRPr="00000000">
              <w:rPr>
                <w:rtl w:val="0"/>
              </w:rPr>
              <w:t xml:space="preserve">Rivalry is strong with major players like Carrefour (Euromonitor International, 2025), Lulu (Lulu Retail, 2025) and Spinneys (Spinneys, 2024). Competition increased after COVID-19 due to value and convenience demands (McKinsey &amp; Company, 2021).</w:t>
            </w:r>
          </w:p>
        </w:tc>
      </w:tr>
      <w:tr>
        <w:trPr>
          <w:cantSplit w:val="0"/>
          <w:tblHeader w:val="0"/>
        </w:trPr>
        <w:tc>
          <w:tcPr/>
          <w:p w:rsidR="00000000" w:rsidDel="00000000" w:rsidP="00000000" w:rsidRDefault="00000000" w:rsidRPr="00000000" w14:paraId="00000068">
            <w:pPr>
              <w:spacing w:after="200" w:lineRule="auto"/>
              <w:rPr/>
            </w:pPr>
            <w:r w:rsidDel="00000000" w:rsidR="00000000" w:rsidRPr="00000000">
              <w:rPr>
                <w:rtl w:val="0"/>
              </w:rPr>
              <w:t xml:space="preserve">Buyer Power</w:t>
            </w:r>
          </w:p>
        </w:tc>
        <w:tc>
          <w:tcPr/>
          <w:p w:rsidR="00000000" w:rsidDel="00000000" w:rsidP="00000000" w:rsidRDefault="00000000" w:rsidRPr="00000000" w14:paraId="00000069">
            <w:pPr>
              <w:spacing w:after="200" w:lineRule="auto"/>
              <w:rPr/>
            </w:pPr>
            <w:r w:rsidDel="00000000" w:rsidR="00000000" w:rsidRPr="00000000">
              <w:rPr>
                <w:rtl w:val="0"/>
              </w:rPr>
              <w:t xml:space="preserve">Buyer power is moderate to high because shoppers compare prices and expect fast digital services (McKinsey &amp; Company, 2021). Consumers react quickly to price shifts during seasonal periods (Mastercard Services, 2025).</w:t>
            </w:r>
          </w:p>
        </w:tc>
      </w:tr>
      <w:tr>
        <w:trPr>
          <w:cantSplit w:val="0"/>
          <w:tblHeader w:val="0"/>
        </w:trPr>
        <w:tc>
          <w:tcPr/>
          <w:p w:rsidR="00000000" w:rsidDel="00000000" w:rsidP="00000000" w:rsidRDefault="00000000" w:rsidRPr="00000000" w14:paraId="0000006A">
            <w:pPr>
              <w:spacing w:after="200" w:lineRule="auto"/>
              <w:rPr/>
            </w:pPr>
            <w:r w:rsidDel="00000000" w:rsidR="00000000" w:rsidRPr="00000000">
              <w:rPr>
                <w:rtl w:val="0"/>
              </w:rPr>
              <w:t xml:space="preserve">Supplier Power</w:t>
            </w:r>
          </w:p>
        </w:tc>
        <w:tc>
          <w:tcPr/>
          <w:p w:rsidR="00000000" w:rsidDel="00000000" w:rsidP="00000000" w:rsidRDefault="00000000" w:rsidRPr="00000000" w14:paraId="0000006B">
            <w:pPr>
              <w:spacing w:after="200" w:lineRule="auto"/>
              <w:rPr/>
            </w:pPr>
            <w:r w:rsidDel="00000000" w:rsidR="00000000" w:rsidRPr="00000000">
              <w:rPr>
                <w:rtl w:val="0"/>
              </w:rPr>
              <w:t xml:space="preserve">Supplier power varies due to heavy dependence on imports and certification requirements (Mordor Intelligence, 2025). Large retailers gain leverage through scale advantages.</w:t>
            </w:r>
          </w:p>
        </w:tc>
      </w:tr>
      <w:tr>
        <w:trPr>
          <w:cantSplit w:val="0"/>
          <w:tblHeader w:val="0"/>
        </w:trPr>
        <w:tc>
          <w:tcPr/>
          <w:p w:rsidR="00000000" w:rsidDel="00000000" w:rsidP="00000000" w:rsidRDefault="00000000" w:rsidRPr="00000000" w14:paraId="0000006C">
            <w:pPr>
              <w:spacing w:after="200" w:lineRule="auto"/>
              <w:rPr/>
            </w:pPr>
            <w:r w:rsidDel="00000000" w:rsidR="00000000" w:rsidRPr="00000000">
              <w:rPr>
                <w:rtl w:val="0"/>
              </w:rPr>
              <w:t xml:space="preserve">Threat of New Entrants</w:t>
            </w:r>
          </w:p>
        </w:tc>
        <w:tc>
          <w:tcPr/>
          <w:p w:rsidR="00000000" w:rsidDel="00000000" w:rsidP="00000000" w:rsidRDefault="00000000" w:rsidRPr="00000000" w14:paraId="0000006D">
            <w:pPr>
              <w:spacing w:after="200" w:lineRule="auto"/>
              <w:rPr/>
            </w:pPr>
            <w:r w:rsidDel="00000000" w:rsidR="00000000" w:rsidRPr="00000000">
              <w:rPr>
                <w:rtl w:val="0"/>
              </w:rPr>
              <w:t xml:space="preserve">Entry threat is moderate; partnerships support entry, but capital demands remain high (Oxford Business Group, 2025).</w:t>
            </w:r>
          </w:p>
        </w:tc>
      </w:tr>
      <w:tr>
        <w:trPr>
          <w:cantSplit w:val="0"/>
          <w:tblHeader w:val="0"/>
        </w:trPr>
        <w:tc>
          <w:tcPr/>
          <w:p w:rsidR="00000000" w:rsidDel="00000000" w:rsidP="00000000" w:rsidRDefault="00000000" w:rsidRPr="00000000" w14:paraId="0000006E">
            <w:pPr>
              <w:spacing w:after="200" w:lineRule="auto"/>
              <w:rPr/>
            </w:pPr>
            <w:r w:rsidDel="00000000" w:rsidR="00000000" w:rsidRPr="00000000">
              <w:rPr>
                <w:rtl w:val="0"/>
              </w:rPr>
              <w:t xml:space="preserve">Threat of Substitutes</w:t>
            </w:r>
          </w:p>
        </w:tc>
        <w:tc>
          <w:tcPr/>
          <w:p w:rsidR="00000000" w:rsidDel="00000000" w:rsidP="00000000" w:rsidRDefault="00000000" w:rsidRPr="00000000" w14:paraId="0000006F">
            <w:pPr>
              <w:spacing w:after="200" w:lineRule="auto"/>
              <w:rPr/>
            </w:pPr>
            <w:r w:rsidDel="00000000" w:rsidR="00000000" w:rsidRPr="00000000">
              <w:rPr>
                <w:rtl w:val="0"/>
              </w:rPr>
              <w:t xml:space="preserve">Substitutes are growing due to rapid online grocery expansion and mobile commerce growth (Statista, 2023).</w:t>
            </w:r>
          </w:p>
        </w:tc>
      </w:tr>
    </w:tbl>
    <w:p w:rsidR="00000000" w:rsidDel="00000000" w:rsidP="00000000" w:rsidRDefault="00000000" w:rsidRPr="00000000" w14:paraId="00000070">
      <w:pPr>
        <w:rPr/>
      </w:pPr>
      <w:r w:rsidDel="00000000" w:rsidR="00000000" w:rsidRPr="00000000">
        <w:rPr>
          <w:rtl w:val="0"/>
        </w:rPr>
        <w:t xml:space="preserve">The UAE grocery market poses firm competition with a number of prominent competitors. Carrefour is still among the largest operators providing extensive national coverage through hypermarkets and online (Euromonitor International, 2025). Hypermarkets and neighbourhood stores that offer competitive local and imported products are also a significant part of Lulu Group (Lulu Retail, 2025). Spinneys serves a high-end market and specialises in high-quality imported goods, many of British origin (Spinneys, 2024). COVID-19 elevated competition as consumers required better convenience and higher value in their shopping preferences (McKinsey &amp; Company, 2021). Competition remains high with retailers focusing on promotions, digital solutions and powerful loyalty programmes.</w:t>
      </w:r>
    </w:p>
    <w:p w:rsidR="00000000" w:rsidDel="00000000" w:rsidP="00000000" w:rsidRDefault="00000000" w:rsidRPr="00000000" w14:paraId="00000071">
      <w:pPr>
        <w:rPr/>
      </w:pPr>
      <w:r w:rsidDel="00000000" w:rsidR="00000000" w:rsidRPr="00000000">
        <w:rPr>
          <w:rtl w:val="0"/>
        </w:rPr>
        <w:t xml:space="preserve">The buyer power is moderate to high due to the availability of many retail outlets in the area. Customers shop around frequently and select retailers who are convenient, have quality goods and dependable online delivery. In studies, UAE consumers expect powerful online services and expedited delivery choices when making purchases (McKinsey and Company, 2021). Intense consumer awareness puts pressure on the retail outlets to maintain competitive prices in all categories. The results of SpendingPulse indicate that customers are sensitive to changes in prices, particularly in major seasonal times (Mastercard Services, 2025). The behaviour empowers buyers concerning promotional directions and prices.</w:t>
      </w:r>
    </w:p>
    <w:p w:rsidR="00000000" w:rsidDel="00000000" w:rsidP="00000000" w:rsidRDefault="00000000" w:rsidRPr="00000000" w14:paraId="00000072">
      <w:pPr>
        <w:rPr/>
      </w:pPr>
      <w:r w:rsidDel="00000000" w:rsidR="00000000" w:rsidRPr="00000000">
        <w:rPr>
          <w:rtl w:val="0"/>
        </w:rPr>
        <w:t xml:space="preserve">The supplier power differs in product lines since there is limited agricultural production locally. The reliance on imports among many food retailers boosts the dependence on global suppliers and logistics (Mordor Intelligence, 2025). Certification and import regulations enhance supplier control since retailers have to collaborate with accredited partners. But the sheer size of such retail stores as Carrefour and Lulu accords leverages on scale and bargaining power. Premium segments have greater supplier power since high-quality brands tend to limit the channel of distribution with care.</w:t>
      </w:r>
    </w:p>
    <w:p w:rsidR="00000000" w:rsidDel="00000000" w:rsidP="00000000" w:rsidRDefault="00000000" w:rsidRPr="00000000" w14:paraId="00000073">
      <w:pPr>
        <w:rPr/>
      </w:pPr>
      <w:r w:rsidDel="00000000" w:rsidR="00000000" w:rsidRPr="00000000">
        <w:rPr>
          <w:rtl w:val="0"/>
        </w:rPr>
        <w:t xml:space="preserve">The danger of entry is moderate in the UAE grocery market. Market is open to foreign brands, especially by franchising and joint-venture contracts, where the risks are minimal (Oxford Business Group, 2025). Large capital requirements in logistics, store development and compliance hamper smaller entrants. Competitors already run well-established networks, making it difficult to attract new entrants into the business with instant nationwide coverage.</w:t>
      </w:r>
    </w:p>
    <w:p w:rsidR="00000000" w:rsidDel="00000000" w:rsidP="00000000" w:rsidRDefault="00000000" w:rsidRPr="00000000" w14:paraId="00000074">
      <w:pPr>
        <w:rPr/>
      </w:pPr>
      <w:r w:rsidDel="00000000" w:rsidR="00000000" w:rsidRPr="00000000">
        <w:rPr>
          <w:rtl w:val="0"/>
        </w:rPr>
        <w:t xml:space="preserve">Threats include substitutes via the increasing online grocery channels. Online shopping gained momentum following COVID-19 because of mobility commerce and anticipation of ease of use by customers (Statista, 2023). Customers can buy the groceries in the delivery platforms and retailer apps without visiting the stores. Shoppers are embracing one of these changes by adopting a digital and physical channel mix, which minimises the physical store traffic (McKinsey &amp; Company, 2021).</w:t>
      </w:r>
    </w:p>
    <w:p w:rsidR="00000000" w:rsidDel="00000000" w:rsidP="00000000" w:rsidRDefault="00000000" w:rsidRPr="00000000" w14:paraId="00000075">
      <w:pPr>
        <w:rPr/>
      </w:pPr>
      <w:r w:rsidDel="00000000" w:rsidR="00000000" w:rsidRPr="00000000">
        <w:rPr>
          <w:rtl w:val="0"/>
        </w:rPr>
        <w:t xml:space="preserve">All in all, the UAE grocery industry is still competitive yet appealing to solid foreign retailers.</w:t>
      </w:r>
    </w:p>
    <w:p w:rsidR="00000000" w:rsidDel="00000000" w:rsidP="00000000" w:rsidRDefault="00000000" w:rsidRPr="00000000" w14:paraId="00000076">
      <w:pPr>
        <w:pStyle w:val="Heading2"/>
        <w:rPr/>
      </w:pPr>
      <w:bookmarkStart w:colFirst="0" w:colLast="0" w:name="_32r6mct7sq9e" w:id="10"/>
      <w:bookmarkEnd w:id="10"/>
      <w:r w:rsidDel="00000000" w:rsidR="00000000" w:rsidRPr="00000000">
        <w:rPr>
          <w:rtl w:val="0"/>
        </w:rPr>
        <w:t xml:space="preserve">2.3 Internal Capability and Strategic Diagnosis (VRIO + SWOT)</w:t>
      </w:r>
    </w:p>
    <w:p w:rsidR="00000000" w:rsidDel="00000000" w:rsidP="00000000" w:rsidRDefault="00000000" w:rsidRPr="00000000" w14:paraId="00000077">
      <w:pPr>
        <w:keepNext w:val="1"/>
        <w:rPr/>
      </w:pPr>
      <w:r w:rsidDel="00000000" w:rsidR="00000000" w:rsidRPr="00000000">
        <w:rPr/>
        <w:drawing>
          <wp:inline distB="0" distT="0" distL="0" distR="0">
            <wp:extent cx="5594035" cy="4209240"/>
            <wp:effectExtent b="0" l="0" r="0" t="0"/>
            <wp:docPr id="3" name="image3.png"/>
            <a:graphic>
              <a:graphicData uri="http://schemas.openxmlformats.org/drawingml/2006/picture">
                <pic:pic>
                  <pic:nvPicPr>
                    <pic:cNvPr id="0" name="image3.png"/>
                    <pic:cNvPicPr preferRelativeResize="0"/>
                  </pic:nvPicPr>
                  <pic:blipFill>
                    <a:blip r:embed="rId7"/>
                    <a:srcRect b="13029" l="50934" r="4891" t="27880"/>
                    <a:stretch>
                      <a:fillRect/>
                    </a:stretch>
                  </pic:blipFill>
                  <pic:spPr>
                    <a:xfrm>
                      <a:off x="0" y="0"/>
                      <a:ext cx="5594035" cy="420924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bCs w:val="1"/>
          <w:i w:val="1"/>
          <w:iCs w:val="1"/>
          <w:smallCaps w:val="0"/>
          <w:strike w:val="0"/>
          <w:color w:val="000000"/>
          <w:sz w:val="22"/>
          <w:szCs w:val="22"/>
          <w:u w:val="none"/>
          <w:shd w:fill="auto" w:val="clear"/>
          <w:vertAlign w:val="baseline"/>
        </w:rPr>
      </w:pPr>
      <w:bookmarkStart w:colFirst="0" w:colLast="0" w:name="_lbpgx2kifgag" w:id="11"/>
      <w:bookmarkEnd w:id="11"/>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1: VRIO Framework (Made by Author)</w:t>
      </w: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The resources of Sainsbury are of high strength, which helps it with its competitive advantage in highly competitive global markets. The VRIO framework uses these resources by looking at the value, rarity, inimitability and organisational support (Barney, 1991). The brand name of Sainsbury is a long-term value since the customers are assured of quality and service orientation. This trust presents the company with a constant earner as it expands into new foreign markets (J Sainsbury plc, 2024). The brand is not entirely uncommon worldwide, but is unique among the key retailers in Britain. Branding can be emulated by competitors; a reputation built over decades can hardly be entirely imitated (Barney, 1991).</w:t>
      </w:r>
    </w:p>
    <w:p w:rsidR="00000000" w:rsidDel="00000000" w:rsidP="00000000" w:rsidRDefault="00000000" w:rsidRPr="00000000" w14:paraId="0000007A">
      <w:pPr>
        <w:rPr/>
      </w:pPr>
      <w:r w:rsidDel="00000000" w:rsidR="00000000" w:rsidRPr="00000000">
        <w:rPr>
          <w:rtl w:val="0"/>
        </w:rPr>
        <w:t xml:space="preserve">The best food retailing experience with trusted supply chain management is the strength of Sainsbury's competence. Core competencies are bundles of skills and technologies which offer specific customer benefits (Prahalad and Hamel, 1990). This firm employs extensive product expertise, reliable sourcing, as well as developed logistics to ensure effective operations. The competences are valuable in importing UK goods to countries with strict import policies. They also help to provide notable differentiation by way of uniform quality in deeply competitive environments (J Sainsbury plc, 2024). Massive investment and organisational learning are necessary to achieve full replication (Prahalad and Hamel, 1990).</w:t>
      </w:r>
    </w:p>
    <w:p w:rsidR="00000000" w:rsidDel="00000000" w:rsidP="00000000" w:rsidRDefault="00000000" w:rsidRPr="00000000" w14:paraId="0000007B">
      <w:pPr>
        <w:rPr/>
      </w:pPr>
      <w:r w:rsidDel="00000000" w:rsidR="00000000" w:rsidRPr="00000000">
        <w:rPr>
          <w:rtl w:val="0"/>
        </w:rPr>
        <w:t xml:space="preserve">Another internal strength that would be part of Sainsbury's overall strategy is digital capability. Digital capability assists companies to adapt rapidly to evolving market demand (Teece, 2014). Online delivery and customer data investments increase the productivity of the service and products availability. These strengths are critical in those markets where digital uptake and booming online grocery are high. Retailers are forced to intensify online business in order to stay competitive amidst the hybrid landscape (Fisher and Gallino, 2024).</w:t>
      </w:r>
    </w:p>
    <w:p w:rsidR="00000000" w:rsidDel="00000000" w:rsidP="00000000" w:rsidRDefault="00000000" w:rsidRPr="00000000" w14:paraId="0000007C">
      <w:pPr>
        <w:rPr/>
      </w:pPr>
      <w:r w:rsidDel="00000000" w:rsidR="00000000" w:rsidRPr="00000000">
        <w:rPr>
          <w:rtl w:val="0"/>
        </w:rPr>
        <w:t xml:space="preserve">Vrion functions also enhance the VRIO performance since practical structures enable the resources to generate prolonged value. Food First plan of Sainsbury aligns operations and supply chains on the organisational level (J Sainsbury plc, 2024). This consistency helps the company remain effective and receptive and keeps the experiences of customers constant across store formats.</w:t>
      </w:r>
    </w:p>
    <w:p w:rsidR="00000000" w:rsidDel="00000000" w:rsidP="00000000" w:rsidRDefault="00000000" w:rsidRPr="00000000" w14:paraId="0000007D">
      <w:pPr>
        <w:rPr>
          <w:b w:val="1"/>
          <w:bCs w:val="1"/>
        </w:rPr>
      </w:pPr>
      <w:r w:rsidDel="00000000" w:rsidR="00000000" w:rsidRPr="00000000">
        <w:rPr>
          <w:b w:val="1"/>
          <w:bCs w:val="1"/>
          <w:rtl w:val="0"/>
        </w:rPr>
        <w:t xml:space="preserve">SWOT Synthesis</w:t>
      </w:r>
    </w:p>
    <w:p w:rsidR="00000000" w:rsidDel="00000000" w:rsidP="00000000" w:rsidRDefault="00000000" w:rsidRPr="00000000" w14:paraId="0000007E">
      <w:pPr>
        <w:keepNext w:val="1"/>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k773dokwjlfa" w:id="12"/>
      <w:bookmarkEnd w:id="12"/>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Table 3: SWOT Summary</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1790"/>
        <w:gridCol w:w="7226"/>
        <w:tblGridChange w:id="0">
          <w:tblGrid>
            <w:gridCol w:w="1790"/>
            <w:gridCol w:w="7226"/>
          </w:tblGrid>
        </w:tblGridChange>
      </w:tblGrid>
      <w:tr>
        <w:trPr>
          <w:cantSplit w:val="0"/>
          <w:tblHeader w:val="0"/>
        </w:trPr>
        <w:tc>
          <w:tcPr>
            <w:tcBorders>
              <w:top w:color="000000" w:space="0" w:sz="0" w:val="nil"/>
              <w:left w:color="000000" w:space="0" w:sz="0" w:val="nil"/>
              <w:right w:color="000000" w:space="0" w:sz="0" w:val="nil"/>
            </w:tcBorders>
          </w:tcPr>
          <w:p w:rsidR="00000000" w:rsidDel="00000000" w:rsidP="00000000" w:rsidRDefault="00000000" w:rsidRPr="00000000" w14:paraId="0000007F">
            <w:pPr>
              <w:spacing w:after="200" w:lineRule="auto"/>
              <w:rPr/>
            </w:pPr>
            <w:r w:rsidDel="00000000" w:rsidR="00000000" w:rsidRPr="00000000">
              <w:rPr>
                <w:rtl w:val="0"/>
              </w:rPr>
              <w:t xml:space="preserve">Category</w:t>
            </w:r>
          </w:p>
        </w:tc>
        <w:tc>
          <w:tcPr>
            <w:tcBorders>
              <w:top w:color="000000" w:space="0" w:sz="0" w:val="nil"/>
              <w:left w:color="000000" w:space="0" w:sz="0" w:val="nil"/>
              <w:right w:color="000000" w:space="0" w:sz="0" w:val="nil"/>
            </w:tcBorders>
          </w:tcPr>
          <w:p w:rsidR="00000000" w:rsidDel="00000000" w:rsidP="00000000" w:rsidRDefault="00000000" w:rsidRPr="00000000" w14:paraId="00000080">
            <w:pPr>
              <w:spacing w:after="200" w:lineRule="auto"/>
              <w:rPr/>
            </w:pPr>
            <w:r w:rsidDel="00000000" w:rsidR="00000000" w:rsidRPr="00000000">
              <w:rPr>
                <w:rtl w:val="0"/>
              </w:rPr>
              <w:t xml:space="preserve">Summary (with citations)</w:t>
            </w:r>
          </w:p>
        </w:tc>
      </w:tr>
      <w:tr>
        <w:trPr>
          <w:cantSplit w:val="0"/>
          <w:tblHeader w:val="0"/>
        </w:trPr>
        <w:tc>
          <w:tcPr>
            <w:tcBorders>
              <w:left w:color="000000" w:space="0" w:sz="0" w:val="nil"/>
            </w:tcBorders>
          </w:tcPr>
          <w:p w:rsidR="00000000" w:rsidDel="00000000" w:rsidP="00000000" w:rsidRDefault="00000000" w:rsidRPr="00000000" w14:paraId="00000081">
            <w:pPr>
              <w:spacing w:after="200" w:lineRule="auto"/>
              <w:rPr/>
            </w:pPr>
            <w:r w:rsidDel="00000000" w:rsidR="00000000" w:rsidRPr="00000000">
              <w:rPr>
                <w:rtl w:val="0"/>
              </w:rPr>
              <w:t xml:space="preserve">Strengths</w:t>
            </w:r>
          </w:p>
        </w:tc>
        <w:tc>
          <w:tcPr/>
          <w:p w:rsidR="00000000" w:rsidDel="00000000" w:rsidP="00000000" w:rsidRDefault="00000000" w:rsidRPr="00000000" w14:paraId="00000082">
            <w:pPr>
              <w:spacing w:after="200" w:lineRule="auto"/>
              <w:rPr/>
            </w:pPr>
            <w:r w:rsidDel="00000000" w:rsidR="00000000" w:rsidRPr="00000000">
              <w:rPr>
                <w:rtl w:val="0"/>
              </w:rPr>
              <w:t xml:space="preserve">Strong brand reputation, high food expertise, advanced online capabilities, and efficient supply chains create favourable conditions for international expansion (Whittington et al., 2023; Fisher and Gallino, 2024).</w:t>
            </w:r>
          </w:p>
        </w:tc>
      </w:tr>
      <w:tr>
        <w:trPr>
          <w:cantSplit w:val="0"/>
          <w:tblHeader w:val="0"/>
        </w:trPr>
        <w:tc>
          <w:tcPr>
            <w:tcBorders>
              <w:left w:color="000000" w:space="0" w:sz="0" w:val="nil"/>
            </w:tcBorders>
          </w:tcPr>
          <w:p w:rsidR="00000000" w:rsidDel="00000000" w:rsidP="00000000" w:rsidRDefault="00000000" w:rsidRPr="00000000" w14:paraId="00000083">
            <w:pPr>
              <w:spacing w:after="200" w:lineRule="auto"/>
              <w:rPr/>
            </w:pPr>
            <w:r w:rsidDel="00000000" w:rsidR="00000000" w:rsidRPr="00000000">
              <w:rPr>
                <w:rtl w:val="0"/>
              </w:rPr>
              <w:t xml:space="preserve">Weaknesses</w:t>
            </w:r>
          </w:p>
        </w:tc>
        <w:tc>
          <w:tcPr/>
          <w:p w:rsidR="00000000" w:rsidDel="00000000" w:rsidP="00000000" w:rsidRDefault="00000000" w:rsidRPr="00000000" w14:paraId="00000084">
            <w:pPr>
              <w:spacing w:after="200" w:lineRule="auto"/>
              <w:rPr/>
            </w:pPr>
            <w:r w:rsidDel="00000000" w:rsidR="00000000" w:rsidRPr="00000000">
              <w:rPr>
                <w:rtl w:val="0"/>
              </w:rPr>
              <w:t xml:space="preserve">Limited global presence and dependence on UK-centric logistics require significant investment and adaptation. Strong international competitors may hinder initial market penetration; cultural and operational adjustments are essential (Teece, 2014).</w:t>
            </w:r>
          </w:p>
        </w:tc>
      </w:tr>
      <w:tr>
        <w:trPr>
          <w:cantSplit w:val="0"/>
          <w:tblHeader w:val="0"/>
        </w:trPr>
        <w:tc>
          <w:tcPr>
            <w:tcBorders>
              <w:left w:color="000000" w:space="0" w:sz="0" w:val="nil"/>
            </w:tcBorders>
          </w:tcPr>
          <w:p w:rsidR="00000000" w:rsidDel="00000000" w:rsidP="00000000" w:rsidRDefault="00000000" w:rsidRPr="00000000" w14:paraId="00000085">
            <w:pPr>
              <w:spacing w:after="200" w:lineRule="auto"/>
              <w:rPr/>
            </w:pPr>
            <w:r w:rsidDel="00000000" w:rsidR="00000000" w:rsidRPr="00000000">
              <w:rPr>
                <w:rtl w:val="0"/>
              </w:rPr>
              <w:t xml:space="preserve">Opportunities</w:t>
            </w:r>
          </w:p>
        </w:tc>
        <w:tc>
          <w:tcPr/>
          <w:p w:rsidR="00000000" w:rsidDel="00000000" w:rsidP="00000000" w:rsidRDefault="00000000" w:rsidRPr="00000000" w14:paraId="00000086">
            <w:pPr>
              <w:spacing w:after="200" w:lineRule="auto"/>
              <w:rPr/>
            </w:pPr>
            <w:r w:rsidDel="00000000" w:rsidR="00000000" w:rsidRPr="00000000">
              <w:rPr>
                <w:rtl w:val="0"/>
              </w:rPr>
              <w:t xml:space="preserve">Rising demand for quality imported foods, expanding online grocery markets, and expatriate communities align with Sainsbury’s trusted sourcing and British brand identity (J Sainsbury plc, 2024; Fisher and Gallino, 2024).</w:t>
            </w:r>
          </w:p>
        </w:tc>
      </w:tr>
      <w:tr>
        <w:trPr>
          <w:cantSplit w:val="0"/>
          <w:tblHeader w:val="0"/>
        </w:trPr>
        <w:tc>
          <w:tcPr>
            <w:tcBorders>
              <w:left w:color="000000" w:space="0" w:sz="0" w:val="nil"/>
              <w:bottom w:color="000000" w:space="0" w:sz="0" w:val="nil"/>
            </w:tcBorders>
          </w:tcPr>
          <w:p w:rsidR="00000000" w:rsidDel="00000000" w:rsidP="00000000" w:rsidRDefault="00000000" w:rsidRPr="00000000" w14:paraId="00000087">
            <w:pPr>
              <w:spacing w:after="200" w:lineRule="auto"/>
              <w:rPr/>
            </w:pPr>
            <w:r w:rsidDel="00000000" w:rsidR="00000000" w:rsidRPr="00000000">
              <w:rPr>
                <w:rtl w:val="0"/>
              </w:rPr>
              <w:t xml:space="preserve">Threats</w:t>
            </w:r>
          </w:p>
        </w:tc>
        <w:tc>
          <w:tcPr/>
          <w:p w:rsidR="00000000" w:rsidDel="00000000" w:rsidP="00000000" w:rsidRDefault="00000000" w:rsidRPr="00000000" w14:paraId="00000088">
            <w:pPr>
              <w:spacing w:after="200" w:lineRule="auto"/>
              <w:rPr/>
            </w:pPr>
            <w:r w:rsidDel="00000000" w:rsidR="00000000" w:rsidRPr="00000000">
              <w:rPr>
                <w:rtl w:val="0"/>
              </w:rPr>
              <w:t xml:space="preserve">Intense competition, shifting consumer preferences, supply chain vulnerabilities, and potential regulatory changes pose risks, though dynamic capabilities can reduce long-term impact (Teece, 2014).</w:t>
            </w:r>
          </w:p>
        </w:tc>
      </w:tr>
    </w:tbl>
    <w:p w:rsidR="00000000" w:rsidDel="00000000" w:rsidP="00000000" w:rsidRDefault="00000000" w:rsidRPr="00000000" w14:paraId="00000089">
      <w:pPr>
        <w:spacing w:before="240" w:lineRule="auto"/>
        <w:rPr/>
      </w:pPr>
      <w:r w:rsidDel="00000000" w:rsidR="00000000" w:rsidRPr="00000000">
        <w:rPr>
          <w:rtl w:val="0"/>
        </w:rPr>
        <w:t xml:space="preserve">SWOT is a strategy of integrating internal capabilities with the external environment to plan an entry strategy in the market. It assists in condensing the location of an organisation, and it also aids in better decisions, during ambitious planning (Whittington et al., 2023). The brand, excellent food knowledge, online capability and supply chains are some of the strengths of Sainsbury. These strengths offer profitable international market entry opportunities into the international markets that appreciate British food products. High digital prowess also helps to expand in areas where e-commerce is rapidly growing (Fisher and Gallino, 2024).</w:t>
      </w:r>
    </w:p>
    <w:p w:rsidR="00000000" w:rsidDel="00000000" w:rsidP="00000000" w:rsidRDefault="00000000" w:rsidRPr="00000000" w14:paraId="0000008A">
      <w:pPr>
        <w:rPr/>
      </w:pPr>
      <w:r w:rsidDel="00000000" w:rsidR="00000000" w:rsidRPr="00000000">
        <w:rPr>
          <w:rtl w:val="0"/>
        </w:rPr>
        <w:t xml:space="preserve">The main weaknesses are related to a lack of global presence and reliance on UK-oriented logistics in Sainsbury's. New markets need substantial investment and adaptation to the local conditions. Existing international rivals, such as Carrefour or Lulu, already have extensive networks that can potentially disrupt initial expansion. The firm will have to modify its operations to suit the global standards and cultural demands. Such changes demand dynamic adaptability to enable long-term performance (Teece, 2014).</w:t>
      </w:r>
    </w:p>
    <w:p w:rsidR="00000000" w:rsidDel="00000000" w:rsidP="00000000" w:rsidRDefault="00000000" w:rsidRPr="00000000" w14:paraId="0000008B">
      <w:pPr>
        <w:rPr/>
      </w:pPr>
      <w:r w:rsidDel="00000000" w:rsidR="00000000" w:rsidRPr="00000000">
        <w:rPr>
          <w:rtl w:val="0"/>
        </w:rPr>
        <w:t xml:space="preserve">The opportunities are high demand for quality imported foods, growth of online groceries and vibrant expatriate communities. These market opportunities match the trusted sourcing and product quality at Sainsbury. Another way that lets the firm differentiate is its solid British brand identity (J Sainsbury plc, 2024). Digital retail transformation allows Sainsbury's to apply sophisticated technologies to address evolving expectations (Fisher and Gallino, 2024).</w:t>
      </w:r>
    </w:p>
    <w:p w:rsidR="00000000" w:rsidDel="00000000" w:rsidP="00000000" w:rsidRDefault="00000000" w:rsidRPr="00000000" w14:paraId="0000008C">
      <w:pPr>
        <w:rPr/>
      </w:pPr>
      <w:r w:rsidDel="00000000" w:rsidR="00000000" w:rsidRPr="00000000">
        <w:rPr>
          <w:rtl w:val="0"/>
        </w:rPr>
        <w:t xml:space="preserve">The major threats are intense competition, changes in preference and supply chain risks. Companies should be ready for new regulations on imports or retail. Dynamic capabilities can lessen the long-term effects of such threats (Teece, 2014).</w:t>
      </w:r>
    </w:p>
    <w:p w:rsidR="00000000" w:rsidDel="00000000" w:rsidP="00000000" w:rsidRDefault="00000000" w:rsidRPr="00000000" w14:paraId="0000008D">
      <w:pPr>
        <w:pStyle w:val="Heading1"/>
        <w:rPr/>
      </w:pPr>
      <w:bookmarkStart w:colFirst="0" w:colLast="0" w:name="_ct22dzbk126r" w:id="13"/>
      <w:bookmarkEnd w:id="13"/>
      <w:r w:rsidDel="00000000" w:rsidR="00000000" w:rsidRPr="00000000">
        <w:rPr>
          <w:rtl w:val="0"/>
        </w:rPr>
        <w:t xml:space="preserve">3. Strategy Development and Formulation</w:t>
      </w:r>
    </w:p>
    <w:p w:rsidR="00000000" w:rsidDel="00000000" w:rsidP="00000000" w:rsidRDefault="00000000" w:rsidRPr="00000000" w14:paraId="0000008E">
      <w:pPr>
        <w:rPr/>
      </w:pPr>
      <w:r w:rsidDel="00000000" w:rsidR="00000000" w:rsidRPr="00000000">
        <w:rPr>
          <w:rtl w:val="0"/>
        </w:rPr>
        <w:t xml:space="preserve">Sainsbury needs specific strategic guidelines that can direct its intended move into the UAE market. Strategic goals should be in the SMART format, i.e. goals should be specific, measurable, achievable, relevant and time-based (Kaplan and Norton, 1996). An appropriate goal is attaining a three percent market share in Dubai in three years. The other goal is to achieve a two percent market share in Abu Dhabi within the same period. By the close of the third year, the firm ought to aim at 10,000 online grocery orders every month with a great fashion of digital adoption (Mintel, 2025). UAE operations would also help in establishing a performance target, which would be a revenue of £120 million within three years. These goals contribute to a clear growth focus and go along with market opportunities outlined above (J Sainsbury plc, 2022).</w:t>
      </w:r>
    </w:p>
    <w:p w:rsidR="00000000" w:rsidDel="00000000" w:rsidP="00000000" w:rsidRDefault="00000000" w:rsidRPr="00000000" w14:paraId="0000008F">
      <w:pPr>
        <w:pStyle w:val="Heading2"/>
        <w:rPr/>
      </w:pPr>
      <w:bookmarkStart w:colFirst="0" w:colLast="0" w:name="_b5nniz80hzu2" w:id="14"/>
      <w:bookmarkEnd w:id="14"/>
      <w:r w:rsidDel="00000000" w:rsidR="00000000" w:rsidRPr="00000000">
        <w:rPr>
          <w:rtl w:val="0"/>
        </w:rPr>
        <w:t xml:space="preserve">3.1 Recommended Market Entry Mode.</w:t>
      </w:r>
    </w:p>
    <w:p w:rsidR="00000000" w:rsidDel="00000000" w:rsidP="00000000" w:rsidRDefault="00000000" w:rsidRPr="00000000" w14:paraId="00000090">
      <w:pPr>
        <w:rPr/>
      </w:pPr>
      <w:r w:rsidDel="00000000" w:rsidR="00000000" w:rsidRPr="00000000">
        <w:rPr>
          <w:rtl w:val="0"/>
        </w:rPr>
        <w:t xml:space="preserve">The suggested entry strategy of Sainsbury is local joint venture, as well as gradual online launch. Joint venture reduces the financial risk and will facilitate quicker access to local knowledge and distribution channels. According to transaction-cost economics, firms adopt governance arrangements that minimise uncertainty and limit external contracting risks (Williamson, 1979). The UAE market has distinctive regulatory habits and cultural demands that prefer collaboration with established local organisations. Joint venture enhances cultural fit and minimises mistakes brought about by remote decision-making (Ghemawat, 2001). It is also used to deal with supply chain uncertainty and import demands relating to the food retail business. Phased online entry will enable Sainsbury to create brand awareness at minimal expense prior to the physical stores. Online-first growth is also in line with increasing digital grocery behaviour in international markets (Mintel, 2025). This combination is well-balanced control, less risk and increased development of capabilities over time.</w:t>
      </w:r>
    </w:p>
    <w:p w:rsidR="00000000" w:rsidDel="00000000" w:rsidP="00000000" w:rsidRDefault="00000000" w:rsidRPr="00000000" w14:paraId="00000091">
      <w:pPr>
        <w:pStyle w:val="Heading2"/>
        <w:rPr/>
      </w:pPr>
      <w:bookmarkStart w:colFirst="0" w:colLast="0" w:name="_3y97xrrodri" w:id="15"/>
      <w:bookmarkEnd w:id="15"/>
      <w:r w:rsidDel="00000000" w:rsidR="00000000" w:rsidRPr="00000000">
        <w:rPr>
          <w:rtl w:val="0"/>
        </w:rPr>
        <w:t xml:space="preserve">3.2 Competitive Positioning</w:t>
      </w:r>
    </w:p>
    <w:p w:rsidR="00000000" w:rsidDel="00000000" w:rsidP="00000000" w:rsidRDefault="00000000" w:rsidRPr="00000000" w14:paraId="00000092">
      <w:pPr>
        <w:rPr/>
      </w:pPr>
      <w:r w:rsidDel="00000000" w:rsidR="00000000" w:rsidRPr="00000000">
        <w:rPr>
          <w:rtl w:val="0"/>
        </w:rPr>
        <w:t xml:space="preserve">The competitive positioning by Sainsbury in the UAE must be based on differentiation, but not on cost leadership. According to Porter, firms should select definite strategic positions in order to compete favourably within competitive industries (Porter, 1980). Sainsbury should emphasise the quality of British products, the reliability of sourcing and healthy own-label collections. Retailers have found that private labels are potent instruments due to their quality and larger margins (Redseer, 2024). By its own label brands, Sainsbury can provide a high value at affordable prices. The pricing approach must be high-end and also competitive that considering the quality of products, and yet affordable by expatriates and local consumers. The assortment strategy should consist of British staples, localised favourites and products that are halal certified to satisfy broader cultural demands. Trusted halal products will enhance relevance in the diverse cultural setting of the UAE (Redseer, 2024). This stance enables Sainsbury to stand out among the current retailers with its recognised British identity.</w:t>
      </w:r>
    </w:p>
    <w:p w:rsidR="00000000" w:rsidDel="00000000" w:rsidP="00000000" w:rsidRDefault="00000000" w:rsidRPr="00000000" w14:paraId="00000093">
      <w:pPr>
        <w:pStyle w:val="Heading2"/>
        <w:rPr/>
      </w:pPr>
      <w:bookmarkStart w:colFirst="0" w:colLast="0" w:name="_pkaz35z00elg" w:id="16"/>
      <w:bookmarkEnd w:id="16"/>
      <w:r w:rsidDel="00000000" w:rsidR="00000000" w:rsidRPr="00000000">
        <w:rPr>
          <w:rtl w:val="0"/>
        </w:rPr>
        <w:t xml:space="preserve">3.3 Operational Plan for First 12–36 Months</w:t>
      </w:r>
    </w:p>
    <w:p w:rsidR="00000000" w:rsidDel="00000000" w:rsidP="00000000" w:rsidRDefault="00000000" w:rsidRPr="00000000" w14:paraId="00000094">
      <w:pPr>
        <w:keepNext w:val="1"/>
        <w:rPr/>
      </w:pPr>
      <w:r w:rsidDel="00000000" w:rsidR="00000000" w:rsidRPr="00000000">
        <w:rPr/>
        <w:drawing>
          <wp:inline distB="0" distT="0" distL="0" distR="0">
            <wp:extent cx="5717656" cy="2980051"/>
            <wp:effectExtent b="0" l="0" r="0" t="0"/>
            <wp:docPr id="2" name="image2.png"/>
            <a:graphic>
              <a:graphicData uri="http://schemas.openxmlformats.org/drawingml/2006/picture">
                <pic:pic>
                  <pic:nvPicPr>
                    <pic:cNvPr id="0" name="image2.png"/>
                    <pic:cNvPicPr preferRelativeResize="0"/>
                  </pic:nvPicPr>
                  <pic:blipFill>
                    <a:blip r:embed="rId8"/>
                    <a:srcRect b="7031" l="32905" r="4387" t="34863"/>
                    <a:stretch>
                      <a:fillRect/>
                    </a:stretch>
                  </pic:blipFill>
                  <pic:spPr>
                    <a:xfrm>
                      <a:off x="0" y="0"/>
                      <a:ext cx="5717656" cy="2980051"/>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t3hoxslcyahm" w:id="17"/>
      <w:bookmarkEnd w:id="17"/>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2: Timeline Gantt Chart (Made by Author)</w:t>
      </w:r>
    </w:p>
    <w:p w:rsidR="00000000" w:rsidDel="00000000" w:rsidP="00000000" w:rsidRDefault="00000000" w:rsidRPr="00000000" w14:paraId="00000096">
      <w:pPr>
        <w:rPr/>
      </w:pPr>
      <w:r w:rsidDel="00000000" w:rsidR="00000000" w:rsidRPr="00000000">
        <w:rPr>
          <w:rtl w:val="0"/>
        </w:rPr>
        <w:t xml:space="preserve">The operational plan should facilitate growth and market entry. The strategy will start with a gradual online introduction in the initial twelve months. Online businesses need a local distribution centre, effective importing alliances, and complete localisation of online sites. Such elements promote trusted grocery delivery systems, which are gaining momentum throughout the world (Mintel, 2025). By month twelve, Sainsbury’s is to open its first physical superstore in Dubai, with the help of smaller convenience stores by month eighteen. This incremental strategy is indicative of diversification strategy principles that focus on a slow entry into new markets (Ansoff, 1957). The store formats should be based on Sainsbury's global standards, but the products, packaging and labelling should be adjusted to suit the UAE market.</w:t>
      </w:r>
    </w:p>
    <w:p w:rsidR="00000000" w:rsidDel="00000000" w:rsidP="00000000" w:rsidRDefault="00000000" w:rsidRPr="00000000" w14:paraId="00000097">
      <w:pPr>
        <w:rPr/>
      </w:pPr>
      <w:r w:rsidDel="00000000" w:rsidR="00000000" w:rsidRPr="00000000">
        <w:rPr>
          <w:rtl w:val="0"/>
        </w:rPr>
        <w:t xml:space="preserve">The supply chain operations must be based on a regional distribution centre linked with approved import partners. Temperature-controlled transportation, halal inspection and good inventory should also be incorporated in logistics planning. Recruitment of staff should focus on the local hiring with employee training that imparts Sainsbury's service standards and food hygiene expectations. Training also mitigates cultural misunderstanding and enables enhancement of customer interest (Ghemawat, 2001). Arabic-English navigation, localised payment systems and personalised offers should be digitalised. Retail research points out that customers react well to relevant and personalised online information (Harvard Business Review, 2025). These insights can help Sainsbury develop campaigns that appeal to expatriates and the UAE nationals.</w:t>
      </w:r>
    </w:p>
    <w:p w:rsidR="00000000" w:rsidDel="00000000" w:rsidP="00000000" w:rsidRDefault="00000000" w:rsidRPr="00000000" w14:paraId="00000098">
      <w:pPr>
        <w:rPr/>
      </w:pPr>
      <w:r w:rsidDel="00000000" w:rsidR="00000000" w:rsidRPr="00000000">
        <w:rPr>
          <w:rtl w:val="0"/>
        </w:rPr>
        <w:t xml:space="preserve">The marketing campaign should start with a powerful online advertising among expatriate groups accustomed to the British retail names. Before physical stores are opened, social media campaigns and influencer partnerships will help build trust. Once open, Sainsbury’s must launch seasonal UAE-based offers associated with national holidays and tourism rhythms. The company is also able to show its sustainability pledges that are attractive to an increasingly environmentally aware consumer base. This communication strategy helps in long-term customer loyalty and successful differentiation.</w:t>
      </w:r>
    </w:p>
    <w:p w:rsidR="00000000" w:rsidDel="00000000" w:rsidP="00000000" w:rsidRDefault="00000000" w:rsidRPr="00000000" w14:paraId="00000099">
      <w:pPr>
        <w:pStyle w:val="Heading2"/>
        <w:rPr/>
      </w:pPr>
      <w:bookmarkStart w:colFirst="0" w:colLast="0" w:name="_xfjca1gy1gal" w:id="18"/>
      <w:bookmarkEnd w:id="18"/>
      <w:r w:rsidDel="00000000" w:rsidR="00000000" w:rsidRPr="00000000">
        <w:rPr>
          <w:rtl w:val="0"/>
        </w:rPr>
        <w:t xml:space="preserve">3.4 Risk Management</w:t>
      </w:r>
    </w:p>
    <w:p w:rsidR="00000000" w:rsidDel="00000000" w:rsidP="00000000" w:rsidRDefault="00000000" w:rsidRPr="00000000" w14:paraId="0000009A">
      <w:pPr>
        <w:keepNext w:val="1"/>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8c6wg2rpuq75" w:id="19"/>
      <w:bookmarkEnd w:id="19"/>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Table 4: Risk Register Table</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2303"/>
        <w:gridCol w:w="3664"/>
        <w:gridCol w:w="3049"/>
        <w:tblGridChange w:id="0">
          <w:tblGrid>
            <w:gridCol w:w="2303"/>
            <w:gridCol w:w="3664"/>
            <w:gridCol w:w="3049"/>
          </w:tblGrid>
        </w:tblGridChange>
      </w:tblGrid>
      <w:tr>
        <w:trPr>
          <w:cantSplit w:val="0"/>
          <w:tblHeader w:val="0"/>
        </w:trPr>
        <w:tc>
          <w:tcPr>
            <w:tcBorders>
              <w:top w:color="000000" w:space="0" w:sz="0" w:val="nil"/>
              <w:left w:color="000000" w:space="0" w:sz="0" w:val="nil"/>
              <w:right w:color="000000" w:space="0" w:sz="0" w:val="nil"/>
            </w:tcBorders>
          </w:tcPr>
          <w:p w:rsidR="00000000" w:rsidDel="00000000" w:rsidP="00000000" w:rsidRDefault="00000000" w:rsidRPr="00000000" w14:paraId="0000009B">
            <w:pPr>
              <w:spacing w:after="200" w:lineRule="auto"/>
              <w:rPr/>
            </w:pPr>
            <w:r w:rsidDel="00000000" w:rsidR="00000000" w:rsidRPr="00000000">
              <w:rPr>
                <w:rtl w:val="0"/>
              </w:rPr>
              <w:t xml:space="preserve">Risk</w:t>
            </w:r>
          </w:p>
        </w:tc>
        <w:tc>
          <w:tcPr>
            <w:tcBorders>
              <w:top w:color="000000" w:space="0" w:sz="0" w:val="nil"/>
              <w:left w:color="000000" w:space="0" w:sz="0" w:val="nil"/>
              <w:right w:color="000000" w:space="0" w:sz="0" w:val="nil"/>
            </w:tcBorders>
          </w:tcPr>
          <w:p w:rsidR="00000000" w:rsidDel="00000000" w:rsidP="00000000" w:rsidRDefault="00000000" w:rsidRPr="00000000" w14:paraId="0000009C">
            <w:pPr>
              <w:spacing w:after="200" w:lineRule="auto"/>
              <w:rPr/>
            </w:pPr>
            <w:r w:rsidDel="00000000" w:rsidR="00000000" w:rsidRPr="00000000">
              <w:rPr>
                <w:rtl w:val="0"/>
              </w:rPr>
              <w:t xml:space="preserve">Description (with citation)</w:t>
            </w:r>
          </w:p>
        </w:tc>
        <w:tc>
          <w:tcPr>
            <w:tcBorders>
              <w:top w:color="000000" w:space="0" w:sz="0" w:val="nil"/>
              <w:left w:color="000000" w:space="0" w:sz="0" w:val="nil"/>
              <w:right w:color="000000" w:space="0" w:sz="0" w:val="nil"/>
            </w:tcBorders>
          </w:tcPr>
          <w:p w:rsidR="00000000" w:rsidDel="00000000" w:rsidP="00000000" w:rsidRDefault="00000000" w:rsidRPr="00000000" w14:paraId="0000009D">
            <w:pPr>
              <w:spacing w:after="200" w:lineRule="auto"/>
              <w:rPr/>
            </w:pPr>
            <w:r w:rsidDel="00000000" w:rsidR="00000000" w:rsidRPr="00000000">
              <w:rPr>
                <w:rtl w:val="0"/>
              </w:rPr>
              <w:t xml:space="preserve">Mitigation Strategy (with citation)</w:t>
            </w:r>
          </w:p>
        </w:tc>
      </w:tr>
      <w:tr>
        <w:trPr>
          <w:cantSplit w:val="0"/>
          <w:tblHeader w:val="0"/>
        </w:trPr>
        <w:tc>
          <w:tcPr>
            <w:tcBorders>
              <w:left w:color="000000" w:space="0" w:sz="0" w:val="nil"/>
            </w:tcBorders>
          </w:tcPr>
          <w:p w:rsidR="00000000" w:rsidDel="00000000" w:rsidP="00000000" w:rsidRDefault="00000000" w:rsidRPr="00000000" w14:paraId="0000009E">
            <w:pPr>
              <w:spacing w:after="200" w:lineRule="auto"/>
              <w:rPr/>
            </w:pPr>
            <w:r w:rsidDel="00000000" w:rsidR="00000000" w:rsidRPr="00000000">
              <w:rPr>
                <w:rtl w:val="0"/>
              </w:rPr>
              <w:t xml:space="preserve">1. Market Entry Failure</w:t>
            </w:r>
          </w:p>
        </w:tc>
        <w:tc>
          <w:tcPr/>
          <w:p w:rsidR="00000000" w:rsidDel="00000000" w:rsidP="00000000" w:rsidRDefault="00000000" w:rsidRPr="00000000" w14:paraId="0000009F">
            <w:pPr>
              <w:spacing w:after="200" w:lineRule="auto"/>
              <w:rPr/>
            </w:pPr>
            <w:r w:rsidDel="00000000" w:rsidR="00000000" w:rsidRPr="00000000">
              <w:rPr>
                <w:rtl w:val="0"/>
              </w:rPr>
              <w:t xml:space="preserve">Low customer adoption or strong competition may hinder initial market presence (Steinhhauser, Paula, and de Macedo-Soares, 2021).</w:t>
            </w:r>
          </w:p>
        </w:tc>
        <w:tc>
          <w:tcPr/>
          <w:p w:rsidR="00000000" w:rsidDel="00000000" w:rsidP="00000000" w:rsidRDefault="00000000" w:rsidRPr="00000000" w14:paraId="000000A0">
            <w:pPr>
              <w:spacing w:after="200" w:lineRule="auto"/>
              <w:rPr/>
            </w:pPr>
            <w:r w:rsidDel="00000000" w:rsidR="00000000" w:rsidRPr="00000000">
              <w:rPr>
                <w:rtl w:val="0"/>
              </w:rPr>
              <w:t xml:space="preserve">Start with an online-first approach to reduce costs and test performance before full rollout (Ansoff, 1957).</w:t>
            </w:r>
          </w:p>
        </w:tc>
      </w:tr>
      <w:tr>
        <w:trPr>
          <w:cantSplit w:val="0"/>
          <w:tblHeader w:val="0"/>
        </w:trPr>
        <w:tc>
          <w:tcPr>
            <w:tcBorders>
              <w:left w:color="000000" w:space="0" w:sz="0" w:val="nil"/>
            </w:tcBorders>
          </w:tcPr>
          <w:p w:rsidR="00000000" w:rsidDel="00000000" w:rsidP="00000000" w:rsidRDefault="00000000" w:rsidRPr="00000000" w14:paraId="000000A1">
            <w:pPr>
              <w:spacing w:after="200" w:lineRule="auto"/>
              <w:rPr/>
            </w:pPr>
            <w:r w:rsidDel="00000000" w:rsidR="00000000" w:rsidRPr="00000000">
              <w:rPr>
                <w:rtl w:val="0"/>
              </w:rPr>
              <w:t xml:space="preserve">2. Partner Misalignment</w:t>
            </w:r>
          </w:p>
        </w:tc>
        <w:tc>
          <w:tcPr/>
          <w:p w:rsidR="00000000" w:rsidDel="00000000" w:rsidP="00000000" w:rsidRDefault="00000000" w:rsidRPr="00000000" w14:paraId="000000A2">
            <w:pPr>
              <w:spacing w:after="200" w:lineRule="auto"/>
              <w:rPr/>
            </w:pPr>
            <w:r w:rsidDel="00000000" w:rsidR="00000000" w:rsidRPr="00000000">
              <w:rPr>
                <w:rtl w:val="0"/>
              </w:rPr>
              <w:t xml:space="preserve">Joint-venture partners may have conflicting goals, weakening governance (Steinhhauser et al., 2021).</w:t>
            </w:r>
          </w:p>
        </w:tc>
        <w:tc>
          <w:tcPr/>
          <w:p w:rsidR="00000000" w:rsidDel="00000000" w:rsidP="00000000" w:rsidRDefault="00000000" w:rsidRPr="00000000" w14:paraId="000000A3">
            <w:pPr>
              <w:spacing w:after="200" w:lineRule="auto"/>
              <w:rPr/>
            </w:pPr>
            <w:r w:rsidDel="00000000" w:rsidR="00000000" w:rsidRPr="00000000">
              <w:rPr>
                <w:rtl w:val="0"/>
              </w:rPr>
              <w:t xml:space="preserve">Use clear contracts, performance metrics and structured reporting to minimise conflict (Williamson, 1979).</w:t>
            </w:r>
          </w:p>
        </w:tc>
      </w:tr>
      <w:tr>
        <w:trPr>
          <w:cantSplit w:val="0"/>
          <w:tblHeader w:val="0"/>
        </w:trPr>
        <w:tc>
          <w:tcPr>
            <w:tcBorders>
              <w:left w:color="000000" w:space="0" w:sz="0" w:val="nil"/>
            </w:tcBorders>
          </w:tcPr>
          <w:p w:rsidR="00000000" w:rsidDel="00000000" w:rsidP="00000000" w:rsidRDefault="00000000" w:rsidRPr="00000000" w14:paraId="000000A4">
            <w:pPr>
              <w:spacing w:after="200" w:lineRule="auto"/>
              <w:rPr/>
            </w:pPr>
            <w:r w:rsidDel="00000000" w:rsidR="00000000" w:rsidRPr="00000000">
              <w:rPr>
                <w:rtl w:val="0"/>
              </w:rPr>
              <w:t xml:space="preserve">3. Currency &amp; Supply Chain Exposure</w:t>
            </w:r>
          </w:p>
        </w:tc>
        <w:tc>
          <w:tcPr/>
          <w:p w:rsidR="00000000" w:rsidDel="00000000" w:rsidP="00000000" w:rsidRDefault="00000000" w:rsidRPr="00000000" w14:paraId="000000A5">
            <w:pPr>
              <w:spacing w:after="200" w:lineRule="auto"/>
              <w:rPr/>
            </w:pPr>
            <w:r w:rsidDel="00000000" w:rsidR="00000000" w:rsidRPr="00000000">
              <w:rPr>
                <w:rtl w:val="0"/>
              </w:rPr>
              <w:t xml:space="preserve">Exchange rate volatility and import dependence may raise costs (Steinhhauser et al., 2021).</w:t>
            </w:r>
          </w:p>
        </w:tc>
        <w:tc>
          <w:tcPr/>
          <w:p w:rsidR="00000000" w:rsidDel="00000000" w:rsidP="00000000" w:rsidRDefault="00000000" w:rsidRPr="00000000" w14:paraId="000000A6">
            <w:pPr>
              <w:spacing w:after="200" w:lineRule="auto"/>
              <w:rPr/>
            </w:pPr>
            <w:r w:rsidDel="00000000" w:rsidR="00000000" w:rsidRPr="00000000">
              <w:rPr>
                <w:rtl w:val="0"/>
              </w:rPr>
              <w:t xml:space="preserve">Secure stable supplier contracts and increase local sourcing where feasible.</w:t>
            </w:r>
          </w:p>
        </w:tc>
      </w:tr>
      <w:tr>
        <w:trPr>
          <w:cantSplit w:val="0"/>
          <w:tblHeader w:val="0"/>
        </w:trPr>
        <w:tc>
          <w:tcPr>
            <w:tcBorders>
              <w:left w:color="000000" w:space="0" w:sz="0" w:val="nil"/>
            </w:tcBorders>
          </w:tcPr>
          <w:p w:rsidR="00000000" w:rsidDel="00000000" w:rsidP="00000000" w:rsidRDefault="00000000" w:rsidRPr="00000000" w14:paraId="000000A7">
            <w:pPr>
              <w:spacing w:after="200" w:lineRule="auto"/>
              <w:rPr/>
            </w:pPr>
            <w:r w:rsidDel="00000000" w:rsidR="00000000" w:rsidRPr="00000000">
              <w:rPr>
                <w:rtl w:val="0"/>
              </w:rPr>
              <w:t xml:space="preserve">4. Cultural Incompatibility</w:t>
            </w:r>
          </w:p>
        </w:tc>
        <w:tc>
          <w:tcPr/>
          <w:p w:rsidR="00000000" w:rsidDel="00000000" w:rsidP="00000000" w:rsidRDefault="00000000" w:rsidRPr="00000000" w14:paraId="000000A8">
            <w:pPr>
              <w:spacing w:after="200" w:lineRule="auto"/>
              <w:rPr/>
            </w:pPr>
            <w:r w:rsidDel="00000000" w:rsidR="00000000" w:rsidRPr="00000000">
              <w:rPr>
                <w:rtl w:val="0"/>
              </w:rPr>
              <w:t xml:space="preserve">Misalignment with local norms may reduce customer loyalty and marketing effectiveness (Ghemawat, 2001).</w:t>
            </w:r>
          </w:p>
        </w:tc>
        <w:tc>
          <w:tcPr/>
          <w:p w:rsidR="00000000" w:rsidDel="00000000" w:rsidP="00000000" w:rsidRDefault="00000000" w:rsidRPr="00000000" w14:paraId="000000A9">
            <w:pPr>
              <w:spacing w:after="200" w:lineRule="auto"/>
              <w:rPr/>
            </w:pPr>
            <w:r w:rsidDel="00000000" w:rsidR="00000000" w:rsidRPr="00000000">
              <w:rPr>
                <w:rtl w:val="0"/>
              </w:rPr>
              <w:t xml:space="preserve">Conduct local market research and provide cultural training for staff to ensure relevance.</w:t>
            </w:r>
          </w:p>
        </w:tc>
      </w:tr>
      <w:tr>
        <w:trPr>
          <w:cantSplit w:val="0"/>
          <w:tblHeader w:val="0"/>
        </w:trPr>
        <w:tc>
          <w:tcPr>
            <w:tcBorders>
              <w:left w:color="000000" w:space="0" w:sz="0" w:val="nil"/>
              <w:bottom w:color="000000" w:space="0" w:sz="0" w:val="nil"/>
            </w:tcBorders>
          </w:tcPr>
          <w:p w:rsidR="00000000" w:rsidDel="00000000" w:rsidP="00000000" w:rsidRDefault="00000000" w:rsidRPr="00000000" w14:paraId="000000AA">
            <w:pPr>
              <w:spacing w:after="200" w:lineRule="auto"/>
              <w:rPr/>
            </w:pPr>
            <w:r w:rsidDel="00000000" w:rsidR="00000000" w:rsidRPr="00000000">
              <w:rPr>
                <w:rtl w:val="0"/>
              </w:rPr>
              <w:t xml:space="preserve">5. Regulatory &amp; Compliance Risk</w:t>
            </w:r>
          </w:p>
        </w:tc>
        <w:tc>
          <w:tcPr/>
          <w:p w:rsidR="00000000" w:rsidDel="00000000" w:rsidP="00000000" w:rsidRDefault="00000000" w:rsidRPr="00000000" w14:paraId="000000AB">
            <w:pPr>
              <w:spacing w:after="200" w:lineRule="auto"/>
              <w:rPr/>
            </w:pPr>
            <w:r w:rsidDel="00000000" w:rsidR="00000000" w:rsidRPr="00000000">
              <w:rPr>
                <w:rtl w:val="0"/>
              </w:rPr>
              <w:t xml:space="preserve">Requirements for halal certification, food labelling and import duties can affect operations (Harvard Business Review, 2025).</w:t>
            </w:r>
          </w:p>
        </w:tc>
        <w:tc>
          <w:tcPr/>
          <w:p w:rsidR="00000000" w:rsidDel="00000000" w:rsidP="00000000" w:rsidRDefault="00000000" w:rsidRPr="00000000" w14:paraId="000000AC">
            <w:pPr>
              <w:spacing w:after="200" w:lineRule="auto"/>
              <w:rPr/>
            </w:pPr>
            <w:r w:rsidDel="00000000" w:rsidR="00000000" w:rsidRPr="00000000">
              <w:rPr>
                <w:rtl w:val="0"/>
              </w:rPr>
              <w:t xml:space="preserve">Regular compliance audits and collaboration with experienced local advisers.</w:t>
            </w:r>
          </w:p>
        </w:tc>
      </w:tr>
    </w:tbl>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Effective international expansion requires risk management. The study of internationalisation indicates that companies need to assess external risks and design powerful mitigation mechanisms to safeguard performance (Steinhäuser, Paula and de Macedo-Soares, 2021). There are five key risks that Sainsbury needs to prioritise.</w:t>
      </w:r>
    </w:p>
    <w:p w:rsidR="00000000" w:rsidDel="00000000" w:rsidP="00000000" w:rsidRDefault="00000000" w:rsidRPr="00000000" w14:paraId="000000AF">
      <w:pPr>
        <w:rPr/>
      </w:pPr>
      <w:r w:rsidDel="00000000" w:rsidR="00000000" w:rsidRPr="00000000">
        <w:rPr>
          <w:rtl w:val="0"/>
        </w:rPr>
        <w:t xml:space="preserve">Market entry failure due to low adoption of customers or intense competition is the first risk. The mitigation plan is initially going online to minimise exposure to costs and permit performance testing prior to full investment (Ansoff, 1957). The second risk is the partner misalignment in the joint venture. Clarity of contract arrangement, performance measures and reporting systems is able to minimise conflict and guard the quality of governance (Williamson, 1979).</w:t>
      </w:r>
    </w:p>
    <w:p w:rsidR="00000000" w:rsidDel="00000000" w:rsidP="00000000" w:rsidRDefault="00000000" w:rsidRPr="00000000" w14:paraId="000000B0">
      <w:pPr>
        <w:rPr/>
      </w:pPr>
      <w:r w:rsidDel="00000000" w:rsidR="00000000" w:rsidRPr="00000000">
        <w:rPr>
          <w:rtl w:val="0"/>
        </w:rPr>
        <w:t xml:space="preserve">The third risk is the currency exposure, especially the cost of imports and global supply volatility. Sainsbury can address this risk by signing stable supplier contracts and considering sourcing locally where possible. The fourth threat is the cultural incompatibility, which influences marketing results and customer loyalty. Sainsbury should employ local market research and cultural training programmes to increase product relevance and decrease the level of misunderstanding (Ghemawat, 2001).</w:t>
      </w:r>
    </w:p>
    <w:p w:rsidR="00000000" w:rsidDel="00000000" w:rsidP="00000000" w:rsidRDefault="00000000" w:rsidRPr="00000000" w14:paraId="000000B1">
      <w:pPr>
        <w:rPr/>
      </w:pPr>
      <w:r w:rsidDel="00000000" w:rsidR="00000000" w:rsidRPr="00000000">
        <w:rPr>
          <w:rtl w:val="0"/>
        </w:rPr>
        <w:t xml:space="preserve">The fifth risk relates to regulatory and compliance issues related to halal certification, food labelling and importation duties. Regulatory accuracy and operational stability can be assisted by regular compliance audits and cooperation with local experienced advisers (Harvard Business Review, 2025).</w:t>
      </w:r>
    </w:p>
    <w:p w:rsidR="00000000" w:rsidDel="00000000" w:rsidP="00000000" w:rsidRDefault="00000000" w:rsidRPr="00000000" w14:paraId="000000B2">
      <w:pPr>
        <w:rPr/>
      </w:pPr>
      <w:r w:rsidDel="00000000" w:rsidR="00000000" w:rsidRPr="00000000">
        <w:rPr>
          <w:rtl w:val="0"/>
        </w:rPr>
        <w:t xml:space="preserve">This proposal is an evidence-based and balanced plan that justifies the entry of Sainsbury into the UAE market. Long-term competitive success is favored by clear SMART goals, a joint venture entry mode, and differentiation. The business strategy fits the market environment and promotes online as well as physical expansion. Risk management enhances performance and safeguards investment in the initial stages of international expansion. All these combines to make the international expansion of Sainsbury sustainable in the long-term.</w:t>
      </w:r>
    </w:p>
    <w:p w:rsidR="00000000" w:rsidDel="00000000" w:rsidP="00000000" w:rsidRDefault="00000000" w:rsidRPr="00000000" w14:paraId="000000B3">
      <w:pPr>
        <w:pStyle w:val="Heading1"/>
        <w:rPr/>
      </w:pPr>
      <w:bookmarkStart w:colFirst="0" w:colLast="0" w:name="_td8f87deotnm" w:id="20"/>
      <w:bookmarkEnd w:id="20"/>
      <w:r w:rsidDel="00000000" w:rsidR="00000000" w:rsidRPr="00000000">
        <w:rPr>
          <w:rtl w:val="0"/>
        </w:rPr>
        <w:t xml:space="preserve">4. Performance Evaluation and KPIs (Balanced Scorecard)</w:t>
      </w:r>
    </w:p>
    <w:p w:rsidR="00000000" w:rsidDel="00000000" w:rsidP="00000000" w:rsidRDefault="00000000" w:rsidRPr="00000000" w14:paraId="000000B4">
      <w:pPr>
        <w:keepNext w:val="1"/>
        <w:jc w:val="center"/>
        <w:rPr/>
      </w:pPr>
      <w:r w:rsidDel="00000000" w:rsidR="00000000" w:rsidRPr="00000000">
        <w:rPr/>
        <w:drawing>
          <wp:inline distB="0" distT="0" distL="0" distR="0">
            <wp:extent cx="5186391" cy="3152303"/>
            <wp:effectExtent b="0" l="0" r="0" t="0"/>
            <wp:docPr id="4" name="image4.png"/>
            <a:graphic>
              <a:graphicData uri="http://schemas.openxmlformats.org/drawingml/2006/picture">
                <pic:pic>
                  <pic:nvPicPr>
                    <pic:cNvPr id="0" name="image4.png"/>
                    <pic:cNvPicPr preferRelativeResize="0"/>
                  </pic:nvPicPr>
                  <pic:blipFill>
                    <a:blip r:embed="rId9"/>
                    <a:srcRect b="11166" l="32462" r="13582" t="30531"/>
                    <a:stretch>
                      <a:fillRect/>
                    </a:stretch>
                  </pic:blipFill>
                  <pic:spPr>
                    <a:xfrm>
                      <a:off x="0" y="0"/>
                      <a:ext cx="5186391" cy="3152303"/>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2"/>
          <w:szCs w:val="22"/>
          <w:u w:val="none"/>
          <w:shd w:fill="auto" w:val="clear"/>
          <w:vertAlign w:val="baseline"/>
        </w:rPr>
      </w:pPr>
      <w:bookmarkStart w:colFirst="0" w:colLast="0" w:name="_3f5h4y940ty5" w:id="21"/>
      <w:bookmarkEnd w:id="21"/>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Figure 3: Balanced Scorecard (Made by Author)</w:t>
      </w:r>
    </w:p>
    <w:p w:rsidR="00000000" w:rsidDel="00000000" w:rsidP="00000000" w:rsidRDefault="00000000" w:rsidRPr="00000000" w14:paraId="000000B6">
      <w:pPr>
        <w:rPr/>
      </w:pPr>
      <w:r w:rsidDel="00000000" w:rsidR="00000000" w:rsidRPr="00000000">
        <w:rPr>
          <w:rtl w:val="0"/>
        </w:rPr>
        <w:t xml:space="preserve">Sainsbury needs a clear performance system to gauge success in the competitive market of UAE. The Balanced Scorecard connects strategy and quantifiable results in the four combined perspectives (Kaplan and Norton, 2000). It assists managers to determine performance drivers and aligning activities to long-term strategic goals. The structured scorecard enhances communication and promotes ongoing learning in varied working teams. These advantages are particularly useful in the new and challenging foreign retail markets.</w:t>
      </w:r>
    </w:p>
    <w:p w:rsidR="00000000" w:rsidDel="00000000" w:rsidP="00000000" w:rsidRDefault="00000000" w:rsidRPr="00000000" w14:paraId="000000B7">
      <w:pPr>
        <w:pStyle w:val="Heading2"/>
        <w:rPr/>
      </w:pPr>
      <w:bookmarkStart w:colFirst="0" w:colLast="0" w:name="_cc1wdwij9n11" w:id="22"/>
      <w:bookmarkEnd w:id="22"/>
      <w:r w:rsidDel="00000000" w:rsidR="00000000" w:rsidRPr="00000000">
        <w:rPr>
          <w:rtl w:val="0"/>
        </w:rPr>
        <w:t xml:space="preserve">4.1 Financial Perspective</w:t>
      </w:r>
    </w:p>
    <w:p w:rsidR="00000000" w:rsidDel="00000000" w:rsidP="00000000" w:rsidRDefault="00000000" w:rsidRPr="00000000" w14:paraId="000000B8">
      <w:pPr>
        <w:rPr/>
      </w:pPr>
      <w:r w:rsidDel="00000000" w:rsidR="00000000" w:rsidRPr="00000000">
        <w:rPr>
          <w:rtl w:val="0"/>
        </w:rPr>
        <w:t xml:space="preserve">The financial view dwells on revenue growth, profitability and the investment performance in the UAE operations. To evaluate the stability of demand and market acceptance, Sainsbury should measure the quarterly UAE revenue growth. The gross margin analysis is indispensable since it indicates the profitability of products and good pricing force (Ignitiv, 2025). Return on investment is used to measure the efficiency of expansion and long-term generation of value. Estimates of payback period indicate the rate at which initial entry costs are repaid (Eccles, 1991).</w:t>
      </w:r>
    </w:p>
    <w:p w:rsidR="00000000" w:rsidDel="00000000" w:rsidP="00000000" w:rsidRDefault="00000000" w:rsidRPr="00000000" w14:paraId="000000B9">
      <w:pPr>
        <w:pStyle w:val="Heading2"/>
        <w:rPr/>
      </w:pPr>
      <w:bookmarkStart w:colFirst="0" w:colLast="0" w:name="_l0qohjt6ikh7" w:id="23"/>
      <w:bookmarkEnd w:id="23"/>
      <w:r w:rsidDel="00000000" w:rsidR="00000000" w:rsidRPr="00000000">
        <w:rPr>
          <w:rtl w:val="0"/>
        </w:rPr>
        <w:t xml:space="preserve">4.2 Customer Perspective</w:t>
      </w:r>
    </w:p>
    <w:p w:rsidR="00000000" w:rsidDel="00000000" w:rsidP="00000000" w:rsidRDefault="00000000" w:rsidRPr="00000000" w14:paraId="000000BA">
      <w:pPr>
        <w:rPr/>
      </w:pPr>
      <w:r w:rsidDel="00000000" w:rsidR="00000000" w:rsidRPr="00000000">
        <w:rPr>
          <w:rtl w:val="0"/>
        </w:rPr>
        <w:t xml:space="preserve">The customer view evaluates satisfaction, loyalty and general relevance in the competitive grocery market. Dubai and Abu Dhabi city-level market share reflects competitive strength at core locations. Net Promoter Score is a metric of customer loyalty and recommendation of the Sainsbury brand (Bain and Company, 2025). Repeat purchasing, positive word of mouth and sustainable growth are backed by high satisfaction and loyalty. Combined, these indicators assist Sainsbury in streamlining the offerings and building relationships in UAE. High NPS scores usually indicate trust, quality of service and products. The cost of acquiring customers should also be tracked, as it determines the marketing policy and future expansion. Knowledge of customer performance can assist Sainsbury in tailoring assortments, pricing and service policies to each region in the UAE (Ignitiv, 2025). A combination of these indicators demonstrates customer attraction and retention of the company.</w:t>
      </w:r>
    </w:p>
    <w:p w:rsidR="00000000" w:rsidDel="00000000" w:rsidP="00000000" w:rsidRDefault="00000000" w:rsidRPr="00000000" w14:paraId="000000BB">
      <w:pPr>
        <w:pStyle w:val="Heading2"/>
        <w:rPr/>
      </w:pPr>
      <w:bookmarkStart w:colFirst="0" w:colLast="0" w:name="_idk2trtp7sm9" w:id="24"/>
      <w:bookmarkEnd w:id="24"/>
      <w:r w:rsidDel="00000000" w:rsidR="00000000" w:rsidRPr="00000000">
        <w:rPr>
          <w:rtl w:val="0"/>
        </w:rPr>
        <w:t xml:space="preserve">4.3 Internal Process Perspective.</w:t>
      </w:r>
    </w:p>
    <w:p w:rsidR="00000000" w:rsidDel="00000000" w:rsidP="00000000" w:rsidRDefault="00000000" w:rsidRPr="00000000" w14:paraId="000000BC">
      <w:pPr>
        <w:rPr/>
      </w:pPr>
      <w:r w:rsidDel="00000000" w:rsidR="00000000" w:rsidRPr="00000000">
        <w:rPr>
          <w:rtl w:val="0"/>
        </w:rPr>
        <w:t xml:space="preserve">Internal processes also affect efficiency, reliability and consistency of operations. Sainsbury should also quantify the lead time in the supply chain to ensure fast and safe delivery of imported merchandise. Studies indicate that robust supply chain KPIs promote sustainability and control of operations (Yurtay et al., 2023). The level of stock in the store has to be high, as low stocks lead to low customer satisfaction and sales. It should also measure the online fulfilment time as digital orders keep increasing in most markets (Ignitiv, 2025). The accelerated fulfilment raises customer trust and builds an online brand. These process KPIs will make sure that Sainsbury delivers the same value to its stores in all formats and online.</w:t>
      </w:r>
    </w:p>
    <w:p w:rsidR="00000000" w:rsidDel="00000000" w:rsidP="00000000" w:rsidRDefault="00000000" w:rsidRPr="00000000" w14:paraId="000000BD">
      <w:pPr>
        <w:pStyle w:val="Heading2"/>
        <w:rPr/>
      </w:pPr>
      <w:bookmarkStart w:colFirst="0" w:colLast="0" w:name="_2zv4aojufbru" w:id="25"/>
      <w:bookmarkEnd w:id="25"/>
      <w:r w:rsidDel="00000000" w:rsidR="00000000" w:rsidRPr="00000000">
        <w:rPr>
          <w:rtl w:val="0"/>
        </w:rPr>
        <w:t xml:space="preserve">4.4 Learning and Growth Perspective.</w:t>
      </w:r>
    </w:p>
    <w:p w:rsidR="00000000" w:rsidDel="00000000" w:rsidP="00000000" w:rsidRDefault="00000000" w:rsidRPr="00000000" w14:paraId="000000BE">
      <w:pPr>
        <w:rPr/>
      </w:pPr>
      <w:r w:rsidDel="00000000" w:rsidR="00000000" w:rsidRPr="00000000">
        <w:rPr>
          <w:rtl w:val="0"/>
        </w:rPr>
        <w:t xml:space="preserve">Learning and growth perspective leads to building capacity and long-term betterment. Sainsbury should monitor local employee retention to gauge stability and engagement at the workplace. Good training and cultural integration practices are also reflected in the retention rates (KPI Depot, 2025). Monitoring the completion of management training helps store leaders to be aware of service standards and operational expectations. The level of digital adoption must be gauged since high digital presence enhances productivity and consumer experience (Ignitiv, 2025). These indicators facilitate constant improvement and enable the organisation to create effective teams within the UAE market.</w:t>
      </w:r>
    </w:p>
    <w:p w:rsidR="00000000" w:rsidDel="00000000" w:rsidP="00000000" w:rsidRDefault="00000000" w:rsidRPr="00000000" w14:paraId="000000BF">
      <w:pPr>
        <w:pStyle w:val="Heading2"/>
        <w:rPr/>
      </w:pPr>
      <w:bookmarkStart w:colFirst="0" w:colLast="0" w:name="_1wxcqic7rnvw" w:id="26"/>
      <w:bookmarkEnd w:id="26"/>
      <w:r w:rsidDel="00000000" w:rsidR="00000000" w:rsidRPr="00000000">
        <w:rPr>
          <w:rtl w:val="0"/>
        </w:rPr>
        <w:t xml:space="preserve">4.5 Cadence and Corrective Reporting.</w:t>
      </w:r>
    </w:p>
    <w:p w:rsidR="00000000" w:rsidDel="00000000" w:rsidP="00000000" w:rsidRDefault="00000000" w:rsidRPr="00000000" w14:paraId="000000C0">
      <w:pPr>
        <w:rPr/>
      </w:pPr>
      <w:r w:rsidDel="00000000" w:rsidR="00000000" w:rsidRPr="00000000">
        <w:rPr>
          <w:rtl w:val="0"/>
        </w:rPr>
        <w:t xml:space="preserve">Operational KPIs should report performance results on a monthly basis and financial KPIs on a quarterly basis. The principles of Balanced Scorecard suggest periodic reporting schedules since periodic reviews make strategy implementation stronger (Kaplan and Norton, 2000). Store managers must report internal processes and learning measures, whereas regional directors deal with customer and financial results. Every KPI should have a specific limit, e.g. minimum stock levels or required NPS scores. When the performance is lower than desired, managers provide corrective measures such as changing staffing, changing promotions, or increasing supply chain plans (Eccles, 1991). This is an organised reaction, which will result in rapid recovery and sustained improvement.</w:t>
      </w:r>
    </w:p>
    <w:p w:rsidR="00000000" w:rsidDel="00000000" w:rsidP="00000000" w:rsidRDefault="00000000" w:rsidRPr="00000000" w14:paraId="000000C1">
      <w:pPr>
        <w:rPr/>
      </w:pPr>
      <w:r w:rsidDel="00000000" w:rsidR="00000000" w:rsidRPr="00000000">
        <w:rPr>
          <w:rtl w:val="0"/>
        </w:rPr>
        <w:t xml:space="preserve">Balanced Scorecard will give Sainsbury a viable and holistic assessment of the UAE. It integrates financial success, customer satisfaction, internal efficiency and organisational learning into a single system. The method facilitates its long-term expansion and enhances decision-making as the firm develops a presence in the UAE grocery market.</w:t>
      </w:r>
    </w:p>
    <w:p w:rsidR="00000000" w:rsidDel="00000000" w:rsidP="00000000" w:rsidRDefault="00000000" w:rsidRPr="00000000" w14:paraId="000000C2">
      <w:pPr>
        <w:pStyle w:val="Heading1"/>
        <w:rPr/>
      </w:pPr>
      <w:bookmarkStart w:colFirst="0" w:colLast="0" w:name="_hs0x4njxxj0u" w:id="27"/>
      <w:bookmarkEnd w:id="27"/>
      <w:r w:rsidDel="00000000" w:rsidR="00000000" w:rsidRPr="00000000">
        <w:rPr>
          <w:rtl w:val="0"/>
        </w:rPr>
        <w:t xml:space="preserve">5. Conclusion and Key Recommendations </w:t>
      </w:r>
    </w:p>
    <w:p w:rsidR="00000000" w:rsidDel="00000000" w:rsidP="00000000" w:rsidRDefault="00000000" w:rsidRPr="00000000" w14:paraId="000000C3">
      <w:pPr>
        <w:pStyle w:val="Heading2"/>
        <w:rPr/>
      </w:pPr>
      <w:bookmarkStart w:colFirst="0" w:colLast="0" w:name="_p02if95tp60o" w:id="28"/>
      <w:bookmarkEnd w:id="28"/>
      <w:r w:rsidDel="00000000" w:rsidR="00000000" w:rsidRPr="00000000">
        <w:rPr>
          <w:rtl w:val="0"/>
        </w:rPr>
        <w:t xml:space="preserve">5.1 Summary</w:t>
      </w:r>
    </w:p>
    <w:p w:rsidR="00000000" w:rsidDel="00000000" w:rsidP="00000000" w:rsidRDefault="00000000" w:rsidRPr="00000000" w14:paraId="000000C4">
      <w:pPr>
        <w:rPr/>
      </w:pPr>
      <w:r w:rsidDel="00000000" w:rsidR="00000000" w:rsidRPr="00000000">
        <w:rPr>
          <w:rtl w:val="0"/>
        </w:rPr>
        <w:t xml:space="preserve">This report has shown a clear and practical expansion strategy of Sainsbury's in the UAE market. The UAE has good growth potential, increasing digital use and a variety of customers. The entry is successful because Sainsbury has strengths in terms of food quality, logistics and online services. The suggested solution will entail a joint venture with a gradual online roll-out so that there is less risk and better local learning. This plan will assist it in determining the demand trends before it opens the physical stores. It also helps in proper investment management at an early stage of expansion.</w:t>
      </w:r>
    </w:p>
    <w:p w:rsidR="00000000" w:rsidDel="00000000" w:rsidP="00000000" w:rsidRDefault="00000000" w:rsidRPr="00000000" w14:paraId="000000C5">
      <w:pPr>
        <w:rPr/>
      </w:pPr>
      <w:r w:rsidDel="00000000" w:rsidR="00000000" w:rsidRPr="00000000">
        <w:rPr>
          <w:rtl w:val="0"/>
        </w:rPr>
        <w:t xml:space="preserve">The intended plan seeks to attain a steady sales growth and brand awareness in three years. The online phase will be followed by physical stores when clear insight into the behaviour of customers is provided. A distribution centre will be used in the region to enhance control of the stock and availability. It will help to satisfy cultural expectations because of local product adaptation and gain more customers' trust. These measures are a realistic and sustainable international expansion plan.</w:t>
      </w:r>
    </w:p>
    <w:p w:rsidR="00000000" w:rsidDel="00000000" w:rsidP="00000000" w:rsidRDefault="00000000" w:rsidRPr="00000000" w14:paraId="000000C6">
      <w:pPr>
        <w:pStyle w:val="Heading2"/>
        <w:rPr/>
      </w:pPr>
      <w:bookmarkStart w:colFirst="0" w:colLast="0" w:name="_q0ds52tvq9s2" w:id="29"/>
      <w:bookmarkEnd w:id="29"/>
      <w:r w:rsidDel="00000000" w:rsidR="00000000" w:rsidRPr="00000000">
        <w:rPr>
          <w:rtl w:val="0"/>
        </w:rPr>
        <w:t xml:space="preserve">5.2 Expansion Timeline</w:t>
      </w:r>
    </w:p>
    <w:p w:rsidR="00000000" w:rsidDel="00000000" w:rsidP="00000000" w:rsidRDefault="00000000" w:rsidRPr="00000000" w14:paraId="000000C7">
      <w:pPr>
        <w:rPr>
          <w:b w:val="1"/>
          <w:bCs w:val="1"/>
        </w:rPr>
      </w:pPr>
      <w:r w:rsidDel="00000000" w:rsidR="00000000" w:rsidRPr="00000000">
        <w:rPr>
          <w:b w:val="1"/>
          <w:bCs w:val="1"/>
          <w:rtl w:val="0"/>
        </w:rPr>
        <w:t xml:space="preserve">Months 1–12</w:t>
      </w:r>
    </w:p>
    <w:p w:rsidR="00000000" w:rsidDel="00000000" w:rsidP="00000000" w:rsidRDefault="00000000" w:rsidRPr="00000000" w14:paraId="000000C8">
      <w:pPr>
        <w:rPr/>
      </w:pPr>
      <w:r w:rsidDel="00000000" w:rsidR="00000000" w:rsidRPr="00000000">
        <w:rPr>
          <w:rtl w:val="0"/>
        </w:rPr>
        <w:t xml:space="preserve">Sainsbury enters the online business in Dubai and localises the entire platform. To help achieve the occurrence of early fulfilment as the company establishes a long-term distribution hub, a temporary partner in the logistics is employed. Market testing is initiated through specific promotions and tracking the delivery performance.</w:t>
      </w:r>
    </w:p>
    <w:p w:rsidR="00000000" w:rsidDel="00000000" w:rsidP="00000000" w:rsidRDefault="00000000" w:rsidRPr="00000000" w14:paraId="000000C9">
      <w:pPr>
        <w:rPr>
          <w:b w:val="1"/>
          <w:bCs w:val="1"/>
        </w:rPr>
      </w:pPr>
      <w:r w:rsidDel="00000000" w:rsidR="00000000" w:rsidRPr="00000000">
        <w:rPr>
          <w:b w:val="1"/>
          <w:bCs w:val="1"/>
          <w:rtl w:val="0"/>
        </w:rPr>
        <w:t xml:space="preserve">Months 12–24</w:t>
      </w:r>
    </w:p>
    <w:p w:rsidR="00000000" w:rsidDel="00000000" w:rsidP="00000000" w:rsidRDefault="00000000" w:rsidRPr="00000000" w14:paraId="000000CA">
      <w:pPr>
        <w:rPr/>
      </w:pPr>
      <w:r w:rsidDel="00000000" w:rsidR="00000000" w:rsidRPr="00000000">
        <w:rPr>
          <w:rtl w:val="0"/>
        </w:rPr>
        <w:t xml:space="preserve">The business launches its first superstore in Dubai as it goes on with online expansion. Recruitment and training are required to assist in-store operations. Other convenience stores can be established depending on the sales in busy residential locations.</w:t>
      </w:r>
    </w:p>
    <w:p w:rsidR="00000000" w:rsidDel="00000000" w:rsidP="00000000" w:rsidRDefault="00000000" w:rsidRPr="00000000" w14:paraId="000000CB">
      <w:pPr>
        <w:rPr>
          <w:b w:val="1"/>
          <w:bCs w:val="1"/>
        </w:rPr>
      </w:pPr>
      <w:r w:rsidDel="00000000" w:rsidR="00000000" w:rsidRPr="00000000">
        <w:rPr>
          <w:b w:val="1"/>
          <w:bCs w:val="1"/>
          <w:rtl w:val="0"/>
        </w:rPr>
        <w:t xml:space="preserve">Months 24–36</w:t>
      </w:r>
    </w:p>
    <w:p w:rsidR="00000000" w:rsidDel="00000000" w:rsidP="00000000" w:rsidRDefault="00000000" w:rsidRPr="00000000" w14:paraId="000000CC">
      <w:pPr>
        <w:rPr/>
      </w:pPr>
      <w:r w:rsidDel="00000000" w:rsidR="00000000" w:rsidRPr="00000000">
        <w:rPr>
          <w:rtl w:val="0"/>
        </w:rPr>
        <w:t xml:space="preserve">A regional distribution hub is set up on a permanent basis. The range of products is increased with local products and seasonal divisions. It is marketing that is based on loyalty programmes and more engagement with the community. The planning of Abu Dhabi's entry is also initiated on the basis of previous performance.</w:t>
      </w:r>
    </w:p>
    <w:p w:rsidR="00000000" w:rsidDel="00000000" w:rsidP="00000000" w:rsidRDefault="00000000" w:rsidRPr="00000000" w14:paraId="000000CD">
      <w:pPr>
        <w:pStyle w:val="Heading2"/>
        <w:rPr/>
      </w:pPr>
      <w:bookmarkStart w:colFirst="0" w:colLast="0" w:name="_53s2jqhr3vf" w:id="30"/>
      <w:bookmarkEnd w:id="30"/>
      <w:r w:rsidDel="00000000" w:rsidR="00000000" w:rsidRPr="00000000">
        <w:rPr>
          <w:rtl w:val="0"/>
        </w:rPr>
        <w:t xml:space="preserve">5.3 Key Recommendations</w:t>
      </w:r>
    </w:p>
    <w:p w:rsidR="00000000" w:rsidDel="00000000" w:rsidP="00000000" w:rsidRDefault="00000000" w:rsidRPr="00000000" w14:paraId="000000C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Finalise joint venture partner.</w:t>
      </w:r>
    </w:p>
    <w:p w:rsidR="00000000" w:rsidDel="00000000" w:rsidP="00000000" w:rsidRDefault="00000000" w:rsidRPr="00000000" w14:paraId="000000CF">
      <w:pPr>
        <w:ind w:left="-360" w:firstLine="360"/>
        <w:rPr/>
      </w:pPr>
      <w:r w:rsidDel="00000000" w:rsidR="00000000" w:rsidRPr="00000000">
        <w:rPr>
          <w:rtl w:val="0"/>
        </w:rPr>
        <w:t xml:space="preserve">Select a partner that has a good retail background and sound regulatory expertise.</w:t>
      </w:r>
    </w:p>
    <w:p w:rsidR="00000000" w:rsidDel="00000000" w:rsidP="00000000" w:rsidRDefault="00000000" w:rsidRPr="00000000" w14:paraId="000000D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Introduce online-first operations in Dubai.</w:t>
      </w:r>
    </w:p>
    <w:p w:rsidR="00000000" w:rsidDel="00000000" w:rsidP="00000000" w:rsidRDefault="00000000" w:rsidRPr="00000000" w14:paraId="000000D1">
      <w:pPr>
        <w:ind w:left="-360" w:firstLine="360"/>
        <w:rPr/>
      </w:pPr>
      <w:r w:rsidDel="00000000" w:rsidR="00000000" w:rsidRPr="00000000">
        <w:rPr>
          <w:rtl w:val="0"/>
        </w:rPr>
        <w:t xml:space="preserve">Online sales will help to test the demand and develop the initial brand awareness.</w:t>
      </w:r>
    </w:p>
    <w:p w:rsidR="00000000" w:rsidDel="00000000" w:rsidP="00000000" w:rsidRDefault="00000000" w:rsidRPr="00000000" w14:paraId="000000D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Obtain a regional distribution centre.</w:t>
      </w:r>
    </w:p>
    <w:p w:rsidR="00000000" w:rsidDel="00000000" w:rsidP="00000000" w:rsidRDefault="00000000" w:rsidRPr="00000000" w14:paraId="000000D3">
      <w:pPr>
        <w:ind w:left="-360" w:firstLine="360"/>
        <w:rPr/>
      </w:pPr>
      <w:r w:rsidDel="00000000" w:rsidR="00000000" w:rsidRPr="00000000">
        <w:rPr>
          <w:rtl w:val="0"/>
        </w:rPr>
        <w:t xml:space="preserve">Assure effective imports, halal inspections and availability of products.</w:t>
      </w:r>
    </w:p>
    <w:p w:rsidR="00000000" w:rsidDel="00000000" w:rsidP="00000000" w:rsidRDefault="00000000" w:rsidRPr="00000000" w14:paraId="000000D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Localise the product range</w:t>
      </w:r>
    </w:p>
    <w:p w:rsidR="00000000" w:rsidDel="00000000" w:rsidP="00000000" w:rsidRDefault="00000000" w:rsidRPr="00000000" w14:paraId="000000D5">
      <w:pPr>
        <w:rPr/>
      </w:pPr>
      <w:r w:rsidDel="00000000" w:rsidR="00000000" w:rsidRPr="00000000">
        <w:rPr>
          <w:rtl w:val="0"/>
        </w:rPr>
        <w:t xml:space="preserve">It is to provide British favourites, domestic products and halal certified products to suit UAE demands.</w:t>
      </w:r>
    </w:p>
    <w:p w:rsidR="00000000" w:rsidDel="00000000" w:rsidP="00000000" w:rsidRDefault="00000000" w:rsidRPr="00000000" w14:paraId="000000D6">
      <w:pPr>
        <w:rPr/>
      </w:pPr>
      <w:r w:rsidDel="00000000" w:rsidR="00000000" w:rsidRPr="00000000">
        <w:rPr>
          <w:rtl w:val="0"/>
        </w:rPr>
        <w:t xml:space="preserve">These suggestions will steer Sainsbury over the initial 12 to 36 months and ensure success in the long-term in the UAE market.</w:t>
      </w:r>
      <w:r w:rsidDel="00000000" w:rsidR="00000000" w:rsidRPr="00000000">
        <w:br w:type="page"/>
      </w:r>
      <w:r w:rsidDel="00000000" w:rsidR="00000000" w:rsidRPr="00000000">
        <w:rPr>
          <w:rtl w:val="0"/>
        </w:rPr>
      </w:r>
    </w:p>
    <w:p w:rsidR="00000000" w:rsidDel="00000000" w:rsidP="00000000" w:rsidRDefault="00000000" w:rsidRPr="00000000" w14:paraId="000000D7">
      <w:pPr>
        <w:pStyle w:val="Heading1"/>
        <w:rPr/>
      </w:pPr>
      <w:bookmarkStart w:colFirst="0" w:colLast="0" w:name="_tkph4xt93xp" w:id="31"/>
      <w:bookmarkEnd w:id="31"/>
      <w:r w:rsidDel="00000000" w:rsidR="00000000" w:rsidRPr="00000000">
        <w:rPr>
          <w:rtl w:val="0"/>
        </w:rPr>
        <w:t xml:space="preserve">References</w:t>
      </w:r>
    </w:p>
    <w:p w:rsidR="00000000" w:rsidDel="00000000" w:rsidP="00000000" w:rsidRDefault="00000000" w:rsidRPr="00000000" w14:paraId="000000D8">
      <w:pPr>
        <w:rPr/>
      </w:pPr>
      <w:r w:rsidDel="00000000" w:rsidR="00000000" w:rsidRPr="00000000">
        <w:rPr>
          <w:rtl w:val="0"/>
        </w:rPr>
        <w:t xml:space="preserve">Alabdullah, T.T.Y. (2023) ‘Capital market companies in the UAE: Determinants and factors affecting the performance of listed UAE companies.’ Current Advanced Research On Sharia Finance And Economic Worldwide, 3(1), pp.1-18.</w:t>
      </w:r>
    </w:p>
    <w:p w:rsidR="00000000" w:rsidDel="00000000" w:rsidP="00000000" w:rsidRDefault="00000000" w:rsidRPr="00000000" w14:paraId="000000D9">
      <w:pPr>
        <w:rPr/>
      </w:pPr>
      <w:r w:rsidDel="00000000" w:rsidR="00000000" w:rsidRPr="00000000">
        <w:rPr>
          <w:rtl w:val="0"/>
        </w:rPr>
        <w:t xml:space="preserve">Alabdullah, T.T.Y. (2023) Capital market companies in the UAE: Determinants and factors affecting the performance of listed UAE companies. Current Advanced Research on Sharia Finance and Economic Worldwide, 3(1), pp. 1–18.</w:t>
      </w:r>
    </w:p>
    <w:p w:rsidR="00000000" w:rsidDel="00000000" w:rsidP="00000000" w:rsidRDefault="00000000" w:rsidRPr="00000000" w14:paraId="000000DA">
      <w:pPr>
        <w:rPr/>
      </w:pPr>
      <w:r w:rsidDel="00000000" w:rsidR="00000000" w:rsidRPr="00000000">
        <w:rPr>
          <w:rtl w:val="0"/>
        </w:rPr>
        <w:t xml:space="preserve">Anon. (2025) Consumer Trends in Online Grocery Retail. Mintel. Available at: https://www.mintel.com/insights/retail/consumer-trends-in-online-grocery-retail/ (Accessed: [date you accessed]).</w:t>
      </w:r>
    </w:p>
    <w:p w:rsidR="00000000" w:rsidDel="00000000" w:rsidP="00000000" w:rsidRDefault="00000000" w:rsidRPr="00000000" w14:paraId="000000DB">
      <w:pPr>
        <w:rPr/>
      </w:pPr>
      <w:r w:rsidDel="00000000" w:rsidR="00000000" w:rsidRPr="00000000">
        <w:rPr>
          <w:rtl w:val="0"/>
        </w:rPr>
        <w:t xml:space="preserve">Ansoff, H. I. (1957) ‘Strategies for Diversification’, Harvard Business Review, 35(5), pp. 113–124. Available at: https://ia903104.us.archive.org/32/items/strategiesfordiversificationansoff1957hbr/Strategies%20for%20Diversification-Ansoff1957-HBR.pdf (Accessed: [date you accessed]).</w:t>
      </w:r>
    </w:p>
    <w:p w:rsidR="00000000" w:rsidDel="00000000" w:rsidP="00000000" w:rsidRDefault="00000000" w:rsidRPr="00000000" w14:paraId="000000DC">
      <w:pPr>
        <w:rPr/>
      </w:pPr>
      <w:r w:rsidDel="00000000" w:rsidR="00000000" w:rsidRPr="00000000">
        <w:rPr>
          <w:rtl w:val="0"/>
        </w:rPr>
        <w:t xml:space="preserve">Bain and Company. 2025. Net Promoter System®. https://www.bain.com/consulting-services/customer-strategy-and-marketing/net-promoter-score-system/ (accessed December 7, 2025).</w:t>
      </w:r>
    </w:p>
    <w:p w:rsidR="00000000" w:rsidDel="00000000" w:rsidP="00000000" w:rsidRDefault="00000000" w:rsidRPr="00000000" w14:paraId="000000DD">
      <w:pPr>
        <w:rPr/>
      </w:pPr>
      <w:r w:rsidDel="00000000" w:rsidR="00000000" w:rsidRPr="00000000">
        <w:rPr>
          <w:rtl w:val="0"/>
        </w:rPr>
        <w:t xml:space="preserve">Barney, J. B. (1991) ‘Firm Resources and Sustained Competitive Advantage’, Journal of Service Science, Management, 17Engineering, and Technology 14(1), pp. 99–1201–21. doi: 10.1177/014920639101700108https://doi.org/10.4018/ijssmet.330018.</w:t>
      </w:r>
    </w:p>
    <w:p w:rsidR="00000000" w:rsidDel="00000000" w:rsidP="00000000" w:rsidRDefault="00000000" w:rsidRPr="00000000" w14:paraId="000000DE">
      <w:pPr>
        <w:rPr/>
      </w:pPr>
      <w:r w:rsidDel="00000000" w:rsidR="00000000" w:rsidRPr="00000000">
        <w:rPr>
          <w:rtl w:val="0"/>
        </w:rPr>
        <w:t xml:space="preserve">British Retail Consortium (2025) </w:t>
      </w:r>
      <w:r w:rsidDel="00000000" w:rsidR="00000000" w:rsidRPr="00000000">
        <w:rPr>
          <w:i w:val="1"/>
          <w:iCs w:val="1"/>
          <w:rtl w:val="0"/>
        </w:rPr>
        <w:t xml:space="preserve">Retail in Numbers</w:t>
      </w:r>
      <w:r w:rsidDel="00000000" w:rsidR="00000000" w:rsidRPr="00000000">
        <w:rPr>
          <w:rtl w:val="0"/>
        </w:rPr>
        <w:t xml:space="preserve">. Available at: </w:t>
      </w:r>
      <w:hyperlink r:id="rId10">
        <w:r w:rsidDel="00000000" w:rsidR="00000000" w:rsidRPr="00000000">
          <w:rPr>
            <w:color w:val="0000ff"/>
            <w:u w:val="single"/>
            <w:rtl w:val="0"/>
          </w:rPr>
          <w:t xml:space="preserve">https://brc.org.uk/market-intelligence/retail-in-numbers/</w:t>
        </w:r>
      </w:hyperlink>
      <w:r w:rsidDel="00000000" w:rsidR="00000000" w:rsidRPr="00000000">
        <w:rPr>
          <w:rtl w:val="0"/>
        </w:rPr>
        <w:t xml:space="preserve"> (Accessed: 8 December 2025).</w:t>
      </w:r>
    </w:p>
    <w:p w:rsidR="00000000" w:rsidDel="00000000" w:rsidP="00000000" w:rsidRDefault="00000000" w:rsidRPr="00000000" w14:paraId="000000DF">
      <w:pPr>
        <w:rPr/>
      </w:pPr>
      <w:r w:rsidDel="00000000" w:rsidR="00000000" w:rsidRPr="00000000">
        <w:rPr>
          <w:rtl w:val="0"/>
        </w:rPr>
        <w:t xml:space="preserve">Eccles, R. G. (1991) ‘The Performance Measurement Manifesto’, Harvard Business Review, 69(1), pp. 131–137. Available at: https://hbr.org/1991/01/the-performance-measurement-manifesto</w:t>
      </w:r>
    </w:p>
    <w:p w:rsidR="00000000" w:rsidDel="00000000" w:rsidP="00000000" w:rsidRDefault="00000000" w:rsidRPr="00000000" w14:paraId="000000E0">
      <w:pPr>
        <w:rPr/>
      </w:pPr>
      <w:r w:rsidDel="00000000" w:rsidR="00000000" w:rsidRPr="00000000">
        <w:rPr>
          <w:rtl w:val="0"/>
        </w:rPr>
        <w:t xml:space="preserve">Euromonitor International (2025) Retail in the United Arab Emirates. Available at: https://www.euromonitor.com/retail-in-the-united-arab-emirates/report (Accessed: 07 December 2025).</w:t>
      </w:r>
    </w:p>
    <w:p w:rsidR="00000000" w:rsidDel="00000000" w:rsidP="00000000" w:rsidRDefault="00000000" w:rsidRPr="00000000" w14:paraId="000000E1">
      <w:pPr>
        <w:rPr/>
      </w:pPr>
      <w:r w:rsidDel="00000000" w:rsidR="00000000" w:rsidRPr="00000000">
        <w:rPr>
          <w:rtl w:val="0"/>
        </w:rPr>
        <w:t xml:space="preserve">Financial Times (2021) ‘Title of article’, Financial Times, Day Month. Available at: </w:t>
      </w:r>
      <w:hyperlink r:id="rId11">
        <w:r w:rsidDel="00000000" w:rsidR="00000000" w:rsidRPr="00000000">
          <w:rPr>
            <w:color w:val="0000ff"/>
            <w:u w:val="single"/>
            <w:rtl w:val="0"/>
          </w:rPr>
          <w:t xml:space="preserve">https://www.ft.com/content/268725a4-e965-4f5e-94bf-3a2d3ca5d334</w:t>
        </w:r>
      </w:hyperlink>
      <w:r w:rsidDel="00000000" w:rsidR="00000000" w:rsidRPr="00000000">
        <w:rPr>
          <w:rtl w:val="0"/>
        </w:rPr>
        <w:t xml:space="preserve"> (Accessed: 8 December 2025).</w:t>
      </w:r>
    </w:p>
    <w:p w:rsidR="00000000" w:rsidDel="00000000" w:rsidP="00000000" w:rsidRDefault="00000000" w:rsidRPr="00000000" w14:paraId="000000E2">
      <w:pPr>
        <w:rPr/>
      </w:pPr>
      <w:r w:rsidDel="00000000" w:rsidR="00000000" w:rsidRPr="00000000">
        <w:rPr>
          <w:rtl w:val="0"/>
        </w:rPr>
        <w:t xml:space="preserve">Fisher, M. and Gallino, S. (2024) ‘How Grocery Stores Should Respond to the Growth of Online Markets’, Harvard Business Review, 31 July. Available at: https://hbr.org/2024/07/how-grocery-stores-should-respond-to-the-growth-of-online-markets (Accessed: 7 December 2025).</w:t>
      </w:r>
    </w:p>
    <w:p w:rsidR="00000000" w:rsidDel="00000000" w:rsidP="00000000" w:rsidRDefault="00000000" w:rsidRPr="00000000" w14:paraId="000000E3">
      <w:pPr>
        <w:rPr/>
      </w:pPr>
      <w:r w:rsidDel="00000000" w:rsidR="00000000" w:rsidRPr="00000000">
        <w:rPr>
          <w:rtl w:val="0"/>
        </w:rPr>
        <w:t xml:space="preserve">Ghemawat, P. (2001) ‘Distance Still Matters: The Hard Reality of Global Expansion’, Harvard Business Review, 79(8), pp. 137–147. Available at: https://hbr.org/2001/09/distance-still-matters-the-hard-reality-of-global-expansion (Accessed: 7 December 2025).</w:t>
      </w:r>
    </w:p>
    <w:p w:rsidR="00000000" w:rsidDel="00000000" w:rsidP="00000000" w:rsidRDefault="00000000" w:rsidRPr="00000000" w14:paraId="000000E4">
      <w:pPr>
        <w:rPr/>
      </w:pPr>
      <w:r w:rsidDel="00000000" w:rsidR="00000000" w:rsidRPr="00000000">
        <w:rPr>
          <w:rtl w:val="0"/>
        </w:rPr>
        <w:t xml:space="preserve">Harvard Business Review (2025) ‘Retail and consumer goods’, Harvard Business Review. Available at: https://hbr.org/topic/industry/retail-and-consumer-goods (Accessed: 7 December 2025).</w:t>
      </w:r>
    </w:p>
    <w:p w:rsidR="00000000" w:rsidDel="00000000" w:rsidP="00000000" w:rsidRDefault="00000000" w:rsidRPr="00000000" w14:paraId="000000E5">
      <w:pPr>
        <w:rPr/>
      </w:pPr>
      <w:r w:rsidDel="00000000" w:rsidR="00000000" w:rsidRPr="00000000">
        <w:rPr>
          <w:rtl w:val="0"/>
        </w:rPr>
        <w:t xml:space="preserve">Huber, J. and Stuckenschmidt, H. (2020) ‘Daily retail demand forecasting using machine learning with emphasis on calendric special days’. International Journal of Forecasting 36(4), pp. 1420–1438. doi: https://doi.org/10.1016/j.ijforecast.2020.02.005.</w:t>
      </w:r>
    </w:p>
    <w:p w:rsidR="00000000" w:rsidDel="00000000" w:rsidP="00000000" w:rsidRDefault="00000000" w:rsidRPr="00000000" w14:paraId="000000E6">
      <w:pPr>
        <w:rPr/>
      </w:pPr>
      <w:r w:rsidDel="00000000" w:rsidR="00000000" w:rsidRPr="00000000">
        <w:rPr>
          <w:rtl w:val="0"/>
        </w:rPr>
        <w:t xml:space="preserve">Ignitiv (2025) 7 Key Metrics to Track for Omnichannel Retail Success. 4 December. Available at: https://www.ignitiv.com/omnichannel-retail-success-kpis/ (Accessed: 7 December 2025).</w:t>
      </w:r>
    </w:p>
    <w:p w:rsidR="00000000" w:rsidDel="00000000" w:rsidP="00000000" w:rsidRDefault="00000000" w:rsidRPr="00000000" w14:paraId="000000E7">
      <w:pPr>
        <w:rPr/>
      </w:pPr>
      <w:r w:rsidDel="00000000" w:rsidR="00000000" w:rsidRPr="00000000">
        <w:rPr>
          <w:rtl w:val="0"/>
        </w:rPr>
        <w:t xml:space="preserve">J Sainsbury plc (2022) Preliminary Results for the 52 weeks ended 5 March 2022. Sainsbury’s. Available at: https://corporate.sainsburys.co.uk/media/jugigddo/j-sainsbury-plc-prelims-results-2122-statement.pdf (Accessed: 7 December 2025).</w:t>
      </w:r>
    </w:p>
    <w:p w:rsidR="00000000" w:rsidDel="00000000" w:rsidP="00000000" w:rsidRDefault="00000000" w:rsidRPr="00000000" w14:paraId="000000E8">
      <w:pPr>
        <w:rPr/>
      </w:pPr>
      <w:r w:rsidDel="00000000" w:rsidR="00000000" w:rsidRPr="00000000">
        <w:rPr>
          <w:rtl w:val="0"/>
        </w:rPr>
        <w:t xml:space="preserve">J Sainsbury plc (2024) </w:t>
      </w:r>
      <w:r w:rsidDel="00000000" w:rsidR="00000000" w:rsidRPr="00000000">
        <w:rPr>
          <w:i w:val="1"/>
          <w:iCs w:val="1"/>
          <w:rtl w:val="0"/>
        </w:rPr>
        <w:t xml:space="preserve">Annual Report and Financial Statements 2024</w:t>
      </w:r>
      <w:r w:rsidDel="00000000" w:rsidR="00000000" w:rsidRPr="00000000">
        <w:rPr>
          <w:rtl w:val="0"/>
        </w:rPr>
        <w:t xml:space="preserve">. [online] London: J Sainsbury plc. Available at: </w:t>
      </w:r>
      <w:hyperlink r:id="rId12">
        <w:r w:rsidDel="00000000" w:rsidR="00000000" w:rsidRPr="00000000">
          <w:rPr>
            <w:color w:val="0000ff"/>
            <w:u w:val="single"/>
            <w:rtl w:val="0"/>
          </w:rPr>
          <w:t xml:space="preserve">https://corporate.sainsburys.co.uk/media/n3bdgevz/sainsbury-annual-report-and-financial-statements-2024.pdf</w:t>
        </w:r>
      </w:hyperlink>
      <w:r w:rsidDel="00000000" w:rsidR="00000000" w:rsidRPr="00000000">
        <w:rPr>
          <w:rtl w:val="0"/>
        </w:rPr>
        <w:t xml:space="preserve"> (Accessed: 8 December 2025).</w:t>
      </w:r>
    </w:p>
    <w:p w:rsidR="00000000" w:rsidDel="00000000" w:rsidP="00000000" w:rsidRDefault="00000000" w:rsidRPr="00000000" w14:paraId="000000E9">
      <w:pPr>
        <w:rPr/>
      </w:pPr>
      <w:r w:rsidDel="00000000" w:rsidR="00000000" w:rsidRPr="00000000">
        <w:rPr>
          <w:rtl w:val="0"/>
        </w:rPr>
        <w:t xml:space="preserve">J Sainsbury plc (2024) </w:t>
      </w:r>
      <w:r w:rsidDel="00000000" w:rsidR="00000000" w:rsidRPr="00000000">
        <w:rPr>
          <w:i w:val="1"/>
          <w:iCs w:val="1"/>
          <w:rtl w:val="0"/>
        </w:rPr>
        <w:t xml:space="preserve">J Sainsbury plc Strategy Overview Presentation</w:t>
      </w:r>
      <w:r w:rsidDel="00000000" w:rsidR="00000000" w:rsidRPr="00000000">
        <w:rPr>
          <w:rtl w:val="0"/>
        </w:rPr>
        <w:t xml:space="preserve">. [online] London: J Sainsbury plc. Available at: </w:t>
      </w:r>
      <w:hyperlink r:id="rId13">
        <w:r w:rsidDel="00000000" w:rsidR="00000000" w:rsidRPr="00000000">
          <w:rPr>
            <w:color w:val="0000ff"/>
            <w:u w:val="single"/>
            <w:rtl w:val="0"/>
          </w:rPr>
          <w:t xml:space="preserve">https://corporate.sainsburys.co.uk/media/0qvfwz2x/j-sainsbury-plc-strategy-overview-presentation.pdf</w:t>
        </w:r>
      </w:hyperlink>
      <w:r w:rsidDel="00000000" w:rsidR="00000000" w:rsidRPr="00000000">
        <w:rPr>
          <w:rtl w:val="0"/>
        </w:rPr>
        <w:t xml:space="preserve"> (Accessed: 8 December 2025).</w:t>
      </w:r>
    </w:p>
    <w:p w:rsidR="00000000" w:rsidDel="00000000" w:rsidP="00000000" w:rsidRDefault="00000000" w:rsidRPr="00000000" w14:paraId="000000EA">
      <w:pPr>
        <w:rPr/>
      </w:pPr>
      <w:r w:rsidDel="00000000" w:rsidR="00000000" w:rsidRPr="00000000">
        <w:rPr>
          <w:rtl w:val="0"/>
        </w:rPr>
        <w:t xml:space="preserve">J Sainsbury plc (2024) Our strategy. Available at: https://corporate.sainsburys.co.uk/about-us/our-strategy/ (Accessed: 7 December 2025).</w:t>
      </w:r>
    </w:p>
    <w:p w:rsidR="00000000" w:rsidDel="00000000" w:rsidP="00000000" w:rsidRDefault="00000000" w:rsidRPr="00000000" w14:paraId="000000EB">
      <w:pPr>
        <w:rPr/>
      </w:pPr>
      <w:r w:rsidDel="00000000" w:rsidR="00000000" w:rsidRPr="00000000">
        <w:rPr>
          <w:rtl w:val="0"/>
        </w:rPr>
        <w:t xml:space="preserve">Kaplan, R. S. and Norton, D. P. (2000) The Strategy-Focused Organization: How Balanced Scorecard Companies Thrive in the New Business Environment. Boston, MA: Harvard Business School Press. Available at: https://www.hbs.edu/faculty/Pages/item.aspx?num=5595 </w:t>
      </w:r>
    </w:p>
    <w:p w:rsidR="00000000" w:rsidDel="00000000" w:rsidP="00000000" w:rsidRDefault="00000000" w:rsidRPr="00000000" w14:paraId="000000EC">
      <w:pPr>
        <w:rPr/>
      </w:pPr>
      <w:r w:rsidDel="00000000" w:rsidR="00000000" w:rsidRPr="00000000">
        <w:rPr>
          <w:rtl w:val="0"/>
        </w:rPr>
        <w:t xml:space="preserve">Kaplan, R.S. and Norton, D.P. (1996) The Balanced Scorecard: Translating Strategy into Action. Boston, MA: Harvard Business School Press. https://www.hbs.edu/faculty/Pages/item.aspx?num=8831 </w:t>
      </w:r>
    </w:p>
    <w:p w:rsidR="00000000" w:rsidDel="00000000" w:rsidP="00000000" w:rsidRDefault="00000000" w:rsidRPr="00000000" w14:paraId="000000ED">
      <w:pPr>
        <w:rPr/>
      </w:pPr>
      <w:r w:rsidDel="00000000" w:rsidR="00000000" w:rsidRPr="00000000">
        <w:rPr>
          <w:rtl w:val="0"/>
        </w:rPr>
        <w:t xml:space="preserve">KPI Depot (2025) ISO 9001 KPIs &amp; Benchmarks. Available at: https://kpidepot.com/kpi-operations/iso-9001-318 (Accessed: 7 December 2025).</w:t>
      </w:r>
    </w:p>
    <w:p w:rsidR="00000000" w:rsidDel="00000000" w:rsidP="00000000" w:rsidRDefault="00000000" w:rsidRPr="00000000" w14:paraId="000000EE">
      <w:pPr>
        <w:rPr/>
      </w:pPr>
      <w:r w:rsidDel="00000000" w:rsidR="00000000" w:rsidRPr="00000000">
        <w:rPr>
          <w:rtl w:val="0"/>
        </w:rPr>
        <w:t xml:space="preserve">Lulu Retail (2025) Investment Highlights. Available at: https://www.luluretail.com/investors/investment-highlights/ (Accessed: 7 December 2025). </w:t>
      </w:r>
    </w:p>
    <w:p w:rsidR="00000000" w:rsidDel="00000000" w:rsidP="00000000" w:rsidRDefault="00000000" w:rsidRPr="00000000" w14:paraId="000000EF">
      <w:pPr>
        <w:rPr/>
      </w:pPr>
      <w:r w:rsidDel="00000000" w:rsidR="00000000" w:rsidRPr="00000000">
        <w:rPr>
          <w:rtl w:val="0"/>
        </w:rPr>
        <w:t xml:space="preserve">Majid Al Futtaim Consumer and Business Insights (2024) State of the UAE Retail Economy: A Perspective Based on Full-Year Market Data and Consumer Behaviour. [online] Majid Al Futtaim. Available at: https://www.majidalfuttaim.com/docs/default-source/reports/maf_retaileconomyq423.pdf (Accessed: 7 Dec. 2025).</w:t>
      </w:r>
    </w:p>
    <w:p w:rsidR="00000000" w:rsidDel="00000000" w:rsidP="00000000" w:rsidRDefault="00000000" w:rsidRPr="00000000" w14:paraId="000000F0">
      <w:pPr>
        <w:rPr/>
      </w:pPr>
      <w:r w:rsidDel="00000000" w:rsidR="00000000" w:rsidRPr="00000000">
        <w:rPr>
          <w:rtl w:val="0"/>
        </w:rPr>
        <w:t xml:space="preserve">Mastercard Services (2025) Mastercard SpendingPulse™ for retail. Available at: https://www.mastercardservices.com/en/capabilities/spendingpulse/retail?campaign_id=701UH000006jT7FYAU&amp;channel=sep&amp;cmp=2024.q1.rca-sem-spendingpulse-competitor.nielsen%20retail%20data&amp;keyword=nielsen%20retail%20data&amp;gad_source=1&amp;gad_campaignid=21116801278&amp;gbraid=0AAAAADR5mseZR46l6jjNXYGeAs1JDDIHO (Accessed: 7 December 2025).</w:t>
      </w:r>
    </w:p>
    <w:p w:rsidR="00000000" w:rsidDel="00000000" w:rsidP="00000000" w:rsidRDefault="00000000" w:rsidRPr="00000000" w14:paraId="000000F1">
      <w:pPr>
        <w:rPr/>
      </w:pPr>
      <w:r w:rsidDel="00000000" w:rsidR="00000000" w:rsidRPr="00000000">
        <w:rPr>
          <w:rtl w:val="0"/>
        </w:rPr>
        <w:t xml:space="preserve">McKinsey &amp; Company (2021) ‘How COVID-19 changed consumer behaviour’, McKinsey Insights. https://www.mckinsey.com/~/media/mckinsey/industries/retail/our%20insights/how%20covid%2019%20is%20changing%20consumer%20behavior%20now%20and%20forever/how-covid-19-is-changing-consumer-behaviornow-and-forever.pdf </w:t>
      </w:r>
    </w:p>
    <w:p w:rsidR="00000000" w:rsidDel="00000000" w:rsidP="00000000" w:rsidRDefault="00000000" w:rsidRPr="00000000" w14:paraId="000000F2">
      <w:pPr>
        <w:rPr/>
      </w:pPr>
      <w:r w:rsidDel="00000000" w:rsidR="00000000" w:rsidRPr="00000000">
        <w:rPr>
          <w:rtl w:val="0"/>
        </w:rPr>
        <w:t xml:space="preserve">Mordor Intelligence (2025) United Arab Emirates Food Products Market Size &amp; Share Analysis - Growth Trends And Forecast (2025-2030). Available at: </w:t>
      </w:r>
      <w:hyperlink r:id="rId14">
        <w:r w:rsidDel="00000000" w:rsidR="00000000" w:rsidRPr="00000000">
          <w:rPr>
            <w:color w:val="0000ff"/>
            <w:u w:val="single"/>
            <w:rtl w:val="0"/>
          </w:rPr>
          <w:t xml:space="preserve">https://www.mordorintelligence.com/industry-reports/united-arab-emirates-food-products-market</w:t>
        </w:r>
      </w:hyperlink>
      <w:r w:rsidDel="00000000" w:rsidR="00000000" w:rsidRPr="00000000">
        <w:rPr>
          <w:rtl w:val="0"/>
        </w:rPr>
        <w:t xml:space="preserve">  (Accessed: 7 December 2025).</w:t>
      </w:r>
    </w:p>
    <w:p w:rsidR="00000000" w:rsidDel="00000000" w:rsidP="00000000" w:rsidRDefault="00000000" w:rsidRPr="00000000" w14:paraId="000000F3">
      <w:pPr>
        <w:rPr/>
      </w:pPr>
      <w:r w:rsidDel="00000000" w:rsidR="00000000" w:rsidRPr="00000000">
        <w:rPr>
          <w:rtl w:val="0"/>
        </w:rPr>
        <w:t xml:space="preserve">Oxford Business Group (2025) UAE: Abu Dhabi. Available at: https://oxfordbusinessgroup.com/country/uae-abu-dhabi/ (Accessed: 7 December 2025).</w:t>
      </w:r>
    </w:p>
    <w:p w:rsidR="00000000" w:rsidDel="00000000" w:rsidP="00000000" w:rsidRDefault="00000000" w:rsidRPr="00000000" w14:paraId="000000F4">
      <w:pPr>
        <w:rPr/>
      </w:pPr>
      <w:r w:rsidDel="00000000" w:rsidR="00000000" w:rsidRPr="00000000">
        <w:rPr>
          <w:rtl w:val="0"/>
        </w:rPr>
        <w:t xml:space="preserve">Porter, M.E. (1980) Competitive Strategy: Techniques for Analyzing Industries and Competitors. New York: Free Press. https://www.hbs.edu/faculty/Pages/item.aspx?num=195 </w:t>
      </w:r>
    </w:p>
    <w:p w:rsidR="00000000" w:rsidDel="00000000" w:rsidP="00000000" w:rsidRDefault="00000000" w:rsidRPr="00000000" w14:paraId="000000F5">
      <w:pPr>
        <w:rPr/>
      </w:pPr>
      <w:r w:rsidDel="00000000" w:rsidR="00000000" w:rsidRPr="00000000">
        <w:rPr>
          <w:rtl w:val="0"/>
        </w:rPr>
        <w:t xml:space="preserve">Prahalad, C. K. and Hamel, G. (1990) ‘The Core Competence of the Corporation’, Harvard Business Review, May–June, pp. 79–91. Available at: https://hbr.org/1990/05/the-core-competence-of-the-corporation (Accessed: 7 December 2025).</w:t>
      </w:r>
    </w:p>
    <w:p w:rsidR="00000000" w:rsidDel="00000000" w:rsidP="00000000" w:rsidRDefault="00000000" w:rsidRPr="00000000" w14:paraId="000000F6">
      <w:pPr>
        <w:rPr/>
      </w:pPr>
      <w:r w:rsidDel="00000000" w:rsidR="00000000" w:rsidRPr="00000000">
        <w:rPr>
          <w:rtl w:val="0"/>
        </w:rPr>
        <w:t xml:space="preserve">PricewaterhouseCoopers (PwC) (2025) Middle East, “Retail and Consumer,” PwC https://www.pwc.com/m1/en/industries/consumer-markets/retail-and-consumer.html.</w:t>
      </w:r>
    </w:p>
    <w:p w:rsidR="00000000" w:rsidDel="00000000" w:rsidP="00000000" w:rsidRDefault="00000000" w:rsidRPr="00000000" w14:paraId="000000F7">
      <w:pPr>
        <w:rPr/>
      </w:pPr>
      <w:r w:rsidDel="00000000" w:rsidR="00000000" w:rsidRPr="00000000">
        <w:rPr>
          <w:rtl w:val="0"/>
        </w:rPr>
        <w:t xml:space="preserve">Redseer (2024) Private Labels: Driving Power Shift from Brands to Retailers. Available at: https://redseer.com/articles/private-labels-unlocking-profitability-for-uae-grocery-retailers/ (Accessed: 7 December 2025).</w:t>
      </w:r>
    </w:p>
    <w:p w:rsidR="00000000" w:rsidDel="00000000" w:rsidP="00000000" w:rsidRDefault="00000000" w:rsidRPr="00000000" w14:paraId="000000F8">
      <w:pPr>
        <w:rPr/>
      </w:pPr>
      <w:r w:rsidDel="00000000" w:rsidR="00000000" w:rsidRPr="00000000">
        <w:rPr>
          <w:rtl w:val="0"/>
        </w:rPr>
        <w:t xml:space="preserve">Riegger, A.-S., Klein, J.F., Merfeld, K. and Henkel, S. (2021) ‘Technology-enabled Personalization in Retail stores: Understanding Drivers and Barriers’. Journal of Business Research 123(1), pp. 140–155. Available at: https://www.sciencedirect.com/science/article/pii/S0148296320306214.</w:t>
      </w:r>
    </w:p>
    <w:p w:rsidR="00000000" w:rsidDel="00000000" w:rsidP="00000000" w:rsidRDefault="00000000" w:rsidRPr="00000000" w14:paraId="000000F9">
      <w:pPr>
        <w:rPr/>
      </w:pPr>
      <w:r w:rsidDel="00000000" w:rsidR="00000000" w:rsidRPr="00000000">
        <w:rPr>
          <w:rtl w:val="0"/>
        </w:rPr>
        <w:t xml:space="preserve">Spinneys 1961 Holding PLC (2024) Spinneys Integrated Report 2024 [PDF]. Available at: https://investors.spinneys.com/pdf/annual-report/Spinneys_Integrated%20Report%202024_English.pdf  (Accessed: 7 December 2025).</w:t>
      </w:r>
    </w:p>
    <w:p w:rsidR="00000000" w:rsidDel="00000000" w:rsidP="00000000" w:rsidRDefault="00000000" w:rsidRPr="00000000" w14:paraId="000000FA">
      <w:pPr>
        <w:rPr/>
      </w:pPr>
      <w:r w:rsidDel="00000000" w:rsidR="00000000" w:rsidRPr="00000000">
        <w:rPr>
          <w:rtl w:val="0"/>
        </w:rPr>
        <w:t xml:space="preserve">Statista (2023) ‘E-commerce market in the United Arab Emirates — statistics &amp; facts’, Statista. https://www.statista.com/topics/7072/e-commerce-in-the-united-arab-emirates/?srsltid=AfmBOorgSotolVM28snKv78A6_H3YmqN8tOfUxw170TkOTSj0ybSb38P#topicOverview </w:t>
      </w:r>
    </w:p>
    <w:p w:rsidR="00000000" w:rsidDel="00000000" w:rsidP="00000000" w:rsidRDefault="00000000" w:rsidRPr="00000000" w14:paraId="000000FB">
      <w:pPr>
        <w:rPr/>
      </w:pPr>
      <w:r w:rsidDel="00000000" w:rsidR="00000000" w:rsidRPr="00000000">
        <w:rPr>
          <w:rtl w:val="0"/>
        </w:rPr>
        <w:t xml:space="preserve">Steinhäuser, V.P.S., Paula, F.D.O. and de Macedo-Soares, T.D.L.V.A. (2021) ‘Internationalization of SMEs: a systematic review of 20 years of research.’ Journal of International Entrepreneurship, 19(2), pp.164-195.</w:t>
      </w:r>
    </w:p>
    <w:p w:rsidR="00000000" w:rsidDel="00000000" w:rsidP="00000000" w:rsidRDefault="00000000" w:rsidRPr="00000000" w14:paraId="000000FC">
      <w:pPr>
        <w:rPr/>
      </w:pPr>
      <w:r w:rsidDel="00000000" w:rsidR="00000000" w:rsidRPr="00000000">
        <w:rPr>
          <w:rtl w:val="0"/>
        </w:rPr>
        <w:t xml:space="preserve">Teece, D. J. (2014) ‘The foundations of enterprise performance: Dynamic and ordinary capabilities in an (economic) theory of firms’, Academy of Management Perspectives, 28(4), pp. 328–352. Available at: https://www.jstor.org/stable/43822373 (Accessed: 7 December 2025).</w:t>
      </w:r>
    </w:p>
    <w:p w:rsidR="00000000" w:rsidDel="00000000" w:rsidP="00000000" w:rsidRDefault="00000000" w:rsidRPr="00000000" w14:paraId="000000FD">
      <w:pPr>
        <w:rPr/>
      </w:pPr>
      <w:r w:rsidDel="00000000" w:rsidR="00000000" w:rsidRPr="00000000">
        <w:rPr>
          <w:rtl w:val="0"/>
        </w:rPr>
        <w:t xml:space="preserve">UAE Federal Competitiveness and Statistics Centre (2023). UAE Economic Indicators 2023. Abu Dhabi: UAE Government. https://fcsc.gov.ae/#:~:text=Agriculture%2C%20Envionment%20and%20Energy,Regionally</w:t>
      </w:r>
    </w:p>
    <w:p w:rsidR="00000000" w:rsidDel="00000000" w:rsidP="00000000" w:rsidRDefault="00000000" w:rsidRPr="00000000" w14:paraId="000000FE">
      <w:pPr>
        <w:rPr/>
      </w:pPr>
      <w:r w:rsidDel="00000000" w:rsidR="00000000" w:rsidRPr="00000000">
        <w:rPr>
          <w:rtl w:val="0"/>
        </w:rPr>
        <w:t xml:space="preserve">UAE Federal Tax Authority (2025) Value Added Tax (VAT). Available at: https://u.ae/en/information-and-services/finance-and-investment/taxation/vat/valueaddedtaxvat (Accessed: 07 December 2025).</w:t>
      </w:r>
    </w:p>
    <w:p w:rsidR="00000000" w:rsidDel="00000000" w:rsidP="00000000" w:rsidRDefault="00000000" w:rsidRPr="00000000" w14:paraId="000000FF">
      <w:pPr>
        <w:rPr/>
      </w:pPr>
      <w:r w:rsidDel="00000000" w:rsidR="00000000" w:rsidRPr="00000000">
        <w:rPr>
          <w:rtl w:val="0"/>
        </w:rPr>
        <w:t xml:space="preserve">UAE Ministry of Climate Change &amp; Environment (2021) Food Safety and Halal Standards Guidelines. Abu Dhabi: MoCCAE. Available at: https://www.moccae.gov.ae/en/knowledge/food-safety [Accessed 7 December 2025].</w:t>
      </w:r>
    </w:p>
    <w:p w:rsidR="00000000" w:rsidDel="00000000" w:rsidP="00000000" w:rsidRDefault="00000000" w:rsidRPr="00000000" w14:paraId="00000100">
      <w:pPr>
        <w:rPr/>
      </w:pPr>
      <w:r w:rsidDel="00000000" w:rsidR="00000000" w:rsidRPr="00000000">
        <w:rPr>
          <w:rtl w:val="0"/>
        </w:rPr>
        <w:t xml:space="preserve">Whittington, R., Angwin, D., Regnér, P., Johnson, G. and Scholes, K. (2023) Exploring Strategy: Text and Cases. 13th edn. Harlow: Pearson Education Limited. Available at: https://www.pearson.com/en-au/media/g10dyvte/9781292428741_sample.pdf (Accessed: 7 December 2025).</w:t>
      </w:r>
    </w:p>
    <w:p w:rsidR="00000000" w:rsidDel="00000000" w:rsidP="00000000" w:rsidRDefault="00000000" w:rsidRPr="00000000" w14:paraId="00000101">
      <w:pPr>
        <w:rPr/>
      </w:pPr>
      <w:r w:rsidDel="00000000" w:rsidR="00000000" w:rsidRPr="00000000">
        <w:rPr>
          <w:rtl w:val="0"/>
        </w:rPr>
        <w:t xml:space="preserve">Williamson, O.E. (1979) ‘Transaction-cost economics: the governance of contractual relations’, Journal of Law and Economics, 22(2), pp. 233–261. https://josephmahoney.web.illinois.edu/BA549_Fall%202010/Session%203/Williamson%20(1979).pdf </w:t>
      </w:r>
    </w:p>
    <w:p w:rsidR="00000000" w:rsidDel="00000000" w:rsidP="00000000" w:rsidRDefault="00000000" w:rsidRPr="00000000" w14:paraId="00000102">
      <w:pPr>
        <w:rPr/>
      </w:pPr>
      <w:r w:rsidDel="00000000" w:rsidR="00000000" w:rsidRPr="00000000">
        <w:rPr>
          <w:rtl w:val="0"/>
        </w:rPr>
        <w:t xml:space="preserve">Wolniak, R., Stecuła, K. and Aydın, B. (2024) ‘Digital Transformation of Grocery In-Store Shopping-Scanners, Artificial Intelligence, Augmented Reality and Beyond: a Review’. Foods 13(18), p. 2948. doi: https://doi.org/10.3390/foods13182948.</w:t>
      </w:r>
    </w:p>
    <w:p w:rsidR="00000000" w:rsidDel="00000000" w:rsidP="00000000" w:rsidRDefault="00000000" w:rsidRPr="00000000" w14:paraId="00000103">
      <w:pPr>
        <w:rPr/>
      </w:pPr>
      <w:r w:rsidDel="00000000" w:rsidR="00000000" w:rsidRPr="00000000">
        <w:rPr>
          <w:rtl w:val="0"/>
        </w:rPr>
        <w:t xml:space="preserve">World Bank. (2025) United Arab Emirates. World Development Indicators. Available at: https://data.worldbank.org/country/united-arab-emirates (Accessed: 7 December 2025).</w:t>
      </w:r>
    </w:p>
    <w:p w:rsidR="00000000" w:rsidDel="00000000" w:rsidP="00000000" w:rsidRDefault="00000000" w:rsidRPr="00000000" w14:paraId="00000104">
      <w:pPr>
        <w:rPr/>
      </w:pPr>
      <w:r w:rsidDel="00000000" w:rsidR="00000000" w:rsidRPr="00000000">
        <w:rPr>
          <w:rtl w:val="0"/>
        </w:rPr>
        <w:t xml:space="preserve">World Travel &amp; Tourism Council. (2025) United Arab Emirates (UAE) Travel &amp; Tourism Economic Impact Research. [online] Available at: https://researchhub.wttc.org/product/united-arab-emirates-economic-impact-report (Accessed: 7 Dec. 2025).</w:t>
      </w:r>
    </w:p>
    <w:p w:rsidR="00000000" w:rsidDel="00000000" w:rsidP="00000000" w:rsidRDefault="00000000" w:rsidRPr="00000000" w14:paraId="00000105">
      <w:pPr>
        <w:rPr/>
      </w:pPr>
      <w:r w:rsidDel="00000000" w:rsidR="00000000" w:rsidRPr="00000000">
        <w:rPr>
          <w:rtl w:val="0"/>
        </w:rPr>
        <w:t xml:space="preserve">Yurtay, Y., Yurtay, N., Demirci, H., Zaimoglu, E.A. and Göksu, A. (2023) Improvement and implementation of sustainable key performance indicators in supply chain management: The case of a furniture firm. Ieee Access, 11, pp.41913-41927.</w:t>
      </w:r>
    </w:p>
    <w:sectPr>
      <w:footerReference r:id="rId15" w:type="default"/>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lineRule="auto"/>
    </w:pPr>
    <w:rPr>
      <w:b w:val="1"/>
      <w:bCs w:val="1"/>
      <w:color w:val="000000"/>
      <w:sz w:val="28"/>
      <w:szCs w:val="28"/>
    </w:rPr>
  </w:style>
  <w:style w:type="paragraph" w:styleId="Heading2">
    <w:name w:val="heading 2"/>
    <w:basedOn w:val="Normal"/>
    <w:next w:val="Normal"/>
    <w:pPr>
      <w:keepNext w:val="1"/>
      <w:keepLines w:val="1"/>
      <w:spacing w:after="120" w:before="120" w:lineRule="auto"/>
    </w:pPr>
    <w:rPr>
      <w:b w:val="1"/>
      <w:bCs w:val="1"/>
      <w:color w:val="000000"/>
      <w:sz w:val="26"/>
      <w:szCs w:val="26"/>
    </w:rPr>
  </w:style>
  <w:style w:type="paragraph" w:styleId="Heading3">
    <w:name w:val="heading 3"/>
    <w:basedOn w:val="Normal"/>
    <w:next w:val="Normal"/>
    <w:pPr>
      <w:keepNext w:val="1"/>
      <w:keepLines w:val="1"/>
      <w:spacing w:after="80" w:before="160" w:lineRule="auto"/>
    </w:pPr>
    <w:rPr>
      <w:b w:val="1"/>
      <w:bCs w:val="1"/>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366091"/>
    </w:rPr>
  </w:style>
  <w:style w:type="paragraph" w:styleId="Heading5">
    <w:name w:val="heading 5"/>
    <w:basedOn w:val="Normal"/>
    <w:next w:val="Normal"/>
    <w:pPr>
      <w:keepNext w:val="1"/>
      <w:keepLines w:val="1"/>
      <w:spacing w:after="40" w:before="80" w:lineRule="auto"/>
    </w:pPr>
    <w:rPr>
      <w:rFonts w:ascii="Calibri" w:cs="Calibri" w:eastAsia="Calibri" w:hAnsi="Calibri"/>
      <w:color w:val="366091"/>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0" w:lineRule="auto"/>
    </w:pPr>
    <w:rPr>
      <w:sz w:val="44"/>
      <w:szCs w:val="44"/>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pPr>
      <w:spacing w:after="0" w:line="240" w:lineRule="auto"/>
    </w:pPr>
    <w:rPr>
      <w:color w:val="76923c"/>
    </w:rPr>
    <w:tblPr>
      <w:tblStyleRowBandSize w:val="1"/>
      <w:tblStyleColBandSize w:val="1"/>
      <w:tblCellMar>
        <w:top w:w="0.0" w:type="dxa"/>
        <w:left w:w="108.0" w:type="dxa"/>
        <w:bottom w:w="0.0" w:type="dxa"/>
        <w:right w:w="108.0" w:type="dxa"/>
      </w:tblCellMar>
    </w:tblPr>
    <w:tblStylePr w:type="band1Horz">
      <w:tcPr>
        <w:shd w:fill="ebf1dd" w:val="clear"/>
      </w:tcPr>
    </w:tblStylePr>
    <w:tblStylePr w:type="band1Vert">
      <w:tcPr>
        <w:shd w:fill="ebf1dd" w:val="clear"/>
      </w:tcPr>
    </w:tblStylePr>
    <w:tblStylePr w:type="firstCol">
      <w:rPr>
        <w:b w:val="1"/>
        <w:bCs w:val="1"/>
      </w:rPr>
    </w:tblStylePr>
    <w:tblStylePr w:type="firstRow">
      <w:rPr>
        <w:b w:val="1"/>
        <w:bCs w:val="1"/>
      </w:rPr>
      <w:tcPr>
        <w:tcBorders>
          <w:bottom w:color="c2d69b" w:space="0" w:sz="12" w:val="single"/>
        </w:tcBorders>
      </w:tcPr>
    </w:tblStylePr>
    <w:tblStylePr w:type="lastCol">
      <w:rPr>
        <w:b w:val="1"/>
        <w:bCs w:val="1"/>
      </w:rPr>
    </w:tblStylePr>
    <w:tblStylePr w:type="lastRow">
      <w:rPr>
        <w:b w:val="1"/>
        <w:bCs w:val="1"/>
      </w:rPr>
      <w:tcPr>
        <w:tcBorders>
          <w:top w:color="c2d69b"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rPr>
        <w:b w:val="1"/>
        <w:bCs w:val="1"/>
      </w:rPr>
    </w:tblStylePr>
    <w:tblStylePr w:type="firstRow">
      <w:rPr>
        <w:b w:val="1"/>
        <w:bCs w:val="1"/>
        <w:color w:val="ffffff"/>
      </w:rPr>
      <w:tcPr>
        <w:tcBorders>
          <w:top w:color="4f81bd" w:space="0" w:sz="4" w:val="single"/>
          <w:left w:color="4f81bd" w:space="0" w:sz="4" w:val="single"/>
          <w:bottom w:color="4f81bd" w:space="0" w:sz="4" w:val="single"/>
          <w:right w:color="4f81bd" w:space="0" w:sz="4" w:val="single"/>
          <w:insideH w:color="000000" w:space="0" w:sz="0" w:val="nil"/>
          <w:insideV w:color="000000" w:space="0" w:sz="0" w:val="nil"/>
        </w:tcBorders>
        <w:shd w:fill="4f81bd" w:val="clear"/>
      </w:tcPr>
    </w:tblStylePr>
    <w:tblStylePr w:type="lastCol">
      <w:rPr>
        <w:b w:val="1"/>
        <w:bCs w:val="1"/>
      </w:rPr>
    </w:tblStylePr>
    <w:tblStylePr w:type="lastRow">
      <w:rPr>
        <w:b w:val="1"/>
        <w:bCs w:val="1"/>
      </w:rPr>
      <w:tcPr>
        <w:tcBorders>
          <w:top w:color="4f81bd"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be5f1" w:val="clear"/>
      </w:tcPr>
    </w:tblStylePr>
    <w:tblStylePr w:type="band1Vert">
      <w:tcPr>
        <w:shd w:fill="dbe5f1" w:val="clear"/>
      </w:tcPr>
    </w:tblStylePr>
    <w:tblStylePr w:type="firstCol">
      <w:rPr>
        <w:b w:val="1"/>
        <w:bCs w:val="1"/>
      </w:rPr>
    </w:tblStylePr>
    <w:tblStylePr w:type="firstRow">
      <w:rPr>
        <w:b w:val="1"/>
        <w:bCs w:val="1"/>
        <w:color w:val="ffffff"/>
      </w:rPr>
      <w:tcPr>
        <w:tcBorders>
          <w:top w:color="4f81bd" w:space="0" w:sz="4" w:val="single"/>
          <w:left w:color="4f81bd" w:space="0" w:sz="4" w:val="single"/>
          <w:bottom w:color="4f81bd" w:space="0" w:sz="4" w:val="single"/>
          <w:right w:color="4f81bd" w:space="0" w:sz="4" w:val="single"/>
          <w:insideH w:color="000000" w:space="0" w:sz="0" w:val="nil"/>
          <w:insideV w:color="000000" w:space="0" w:sz="0" w:val="nil"/>
        </w:tcBorders>
        <w:shd w:fill="4f81bd" w:val="clear"/>
      </w:tcPr>
    </w:tblStylePr>
    <w:tblStylePr w:type="lastCol">
      <w:rPr>
        <w:b w:val="1"/>
        <w:bCs w:val="1"/>
      </w:rPr>
    </w:tblStylePr>
    <w:tblStylePr w:type="lastRow">
      <w:rPr>
        <w:b w:val="1"/>
        <w:bCs w:val="1"/>
      </w:rPr>
      <w:tcPr>
        <w:tcBorders>
          <w:top w:color="4f81bd" w:space="0" w:sz="4" w:val="single"/>
        </w:tcBorders>
      </w:tcPr>
    </w:tblStylePr>
  </w:style>
  <w:style w:type="table" w:styleId="Table4">
    <w:basedOn w:val="TableNormal"/>
    <w:pPr>
      <w:spacing w:after="0" w:line="240" w:lineRule="auto"/>
    </w:pPr>
    <w:tblPr>
      <w:tblStyleRowBandSize w:val="1"/>
      <w:tblStyleColBandSize w:val="1"/>
      <w:tblCellMar>
        <w:top w:w="0.0" w:type="dxa"/>
        <w:left w:w="115.0" w:type="dxa"/>
        <w:bottom w:w="0.0" w:type="dxa"/>
        <w:right w:w="115.0" w:type="dxa"/>
      </w:tblCellMar>
    </w:tblPr>
    <w:tcPr>
      <w:shd w:fill="dbeef3" w:val="clear"/>
    </w:tcPr>
    <w:tblStylePr w:type="band1Horz">
      <w:tcPr>
        <w:shd w:fill="b7dde8" w:val="clear"/>
      </w:tcPr>
    </w:tblStylePr>
    <w:tblStylePr w:type="band1Vert">
      <w:tcPr>
        <w:shd w:fill="b7dde8"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bacc6"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bacc6"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bacc6"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bacc6" w:val="clear"/>
      </w:tcPr>
    </w:tblStylePr>
  </w:style>
  <w:style w:type="table" w:styleId="Table5">
    <w:basedOn w:val="TableNormal"/>
    <w:pPr>
      <w:spacing w:after="0" w:line="240" w:lineRule="auto"/>
    </w:pPr>
    <w:tblPr>
      <w:tblStyleRowBandSize w:val="1"/>
      <w:tblStyleColBandSize w:val="1"/>
      <w:tblCellMar>
        <w:top w:w="0.0" w:type="dxa"/>
        <w:left w:w="115.0" w:type="dxa"/>
        <w:bottom w:w="0.0" w:type="dxa"/>
        <w:right w:w="115.0" w:type="dxa"/>
      </w:tblCellMar>
    </w:tblPr>
    <w:tcPr>
      <w:shd w:fill="f2dcdb" w:val="clear"/>
    </w:tcPr>
    <w:tblStylePr w:type="band1Horz">
      <w:tcPr>
        <w:shd w:fill="e5b9b7" w:val="clear"/>
      </w:tcPr>
    </w:tblStylePr>
    <w:tblStylePr w:type="band1Vert">
      <w:tcPr>
        <w:shd w:fill="e5b9b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c0504d"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c0504d"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c0504d"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c0504d" w:val="clear"/>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www.ft.com/content/268725a4-e965-4f5e-94bf-3a2d3ca5d334" TargetMode="External"/><Relationship Id="rId10" Type="http://schemas.openxmlformats.org/officeDocument/2006/relationships/hyperlink" Target="https://brc.org.uk/market-intelligence/retail-in-numbers/?utm_source=chatgpt.com" TargetMode="External"/><Relationship Id="rId13" Type="http://schemas.openxmlformats.org/officeDocument/2006/relationships/hyperlink" Target="https://corporate.sainsburys.co.uk/media/0qvfwz2x/j-sainsbury-plc-strategy-overview-presentation.pdf?utm_source=chatgpt.com" TargetMode="External"/><Relationship Id="rId12" Type="http://schemas.openxmlformats.org/officeDocument/2006/relationships/hyperlink" Target="https://corporate.sainsburys.co.uk/media/n3bdgevz/sainsbury-annual-report-and-financial-statements-2024.pdf?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footer" Target="footer1.xml"/><Relationship Id="rId14" Type="http://schemas.openxmlformats.org/officeDocument/2006/relationships/hyperlink" Target="https://www.mordorintelligence.com/industry-reports/united-arab-emirates-food-products-market"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