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jc w:val="center"/>
        <w:rPr/>
      </w:pPr>
      <w:bookmarkStart w:colFirst="0" w:colLast="0" w:name="_1i27b5z5kz8k" w:id="0"/>
      <w:bookmarkEnd w:id="0"/>
      <w:r w:rsidDel="00000000" w:rsidR="00000000" w:rsidRPr="00000000">
        <w:rPr>
          <w:rtl w:val="0"/>
        </w:rPr>
        <w:t xml:space="preserve">Reform of Homicide</w:t>
      </w:r>
    </w:p>
    <w:p w:rsidR="00000000" w:rsidDel="00000000" w:rsidP="00000000" w:rsidRDefault="00000000" w:rsidRPr="00000000" w14:paraId="00000002">
      <w:pPr>
        <w:rPr>
          <w:b w:val="1"/>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Homicide is one of the most complex categories of criminal offences. Murder is one of the biggest and most serious forms of homicide where one person unlawfully kills another human being under the Queen’s peace with the intention to kill or to cause grievous bodily harm. Another criminal offence under the homicide category would be manslaughter, which can be voluntary or involuntary.</w:t>
      </w:r>
    </w:p>
    <w:p w:rsidR="00000000" w:rsidDel="00000000" w:rsidP="00000000" w:rsidRDefault="00000000" w:rsidRPr="00000000" w14:paraId="00000005">
      <w:pPr>
        <w:rPr/>
      </w:pPr>
      <w:r w:rsidDel="00000000" w:rsidR="00000000" w:rsidRPr="00000000">
        <w:rPr>
          <w:rtl w:val="0"/>
        </w:rPr>
        <w:t xml:space="preserve"> </w:t>
      </w:r>
    </w:p>
    <w:p w:rsidR="00000000" w:rsidDel="00000000" w:rsidP="00000000" w:rsidRDefault="00000000" w:rsidRPr="00000000" w14:paraId="00000006">
      <w:pPr>
        <w:rPr/>
      </w:pPr>
      <w:r w:rsidDel="00000000" w:rsidR="00000000" w:rsidRPr="00000000">
        <w:rPr>
          <w:rtl w:val="0"/>
        </w:rPr>
        <w:t xml:space="preserve">Both of these criminal offences can have a sentence of up to life imprisonment based on a hierarchy of seriousness. In the case of premeditated murder, for example, the minimum term is a life tariff for adults over 21, whereas a murder without a firearm or knife brought to the scene can have a minimum term of 15 years for adults over 18.</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Under the definition, in order to have criminal liability, we would need the presence of Actus Reus, Mens Rea and the accused to not have any lawful defence.</w:t>
      </w:r>
    </w:p>
    <w:p w:rsidR="00000000" w:rsidDel="00000000" w:rsidP="00000000" w:rsidRDefault="00000000" w:rsidRPr="00000000" w14:paraId="00000009">
      <w:pPr>
        <w:rPr>
          <w:b w:val="1"/>
        </w:rPr>
      </w:pPr>
      <w:r w:rsidDel="00000000" w:rsidR="00000000" w:rsidRPr="00000000">
        <w:rPr>
          <w:rtl w:val="0"/>
        </w:rPr>
      </w:r>
    </w:p>
    <w:p w:rsidR="00000000" w:rsidDel="00000000" w:rsidP="00000000" w:rsidRDefault="00000000" w:rsidRPr="00000000" w14:paraId="0000000A">
      <w:pPr>
        <w:rPr>
          <w:b w:val="1"/>
        </w:rPr>
      </w:pPr>
      <w:r w:rsidDel="00000000" w:rsidR="00000000" w:rsidRPr="00000000">
        <w:rPr>
          <w:b w:val="1"/>
          <w:rtl w:val="0"/>
        </w:rPr>
        <w:t xml:space="preserve">Conduct element</w:t>
      </w:r>
    </w:p>
    <w:p w:rsidR="00000000" w:rsidDel="00000000" w:rsidP="00000000" w:rsidRDefault="00000000" w:rsidRPr="00000000" w14:paraId="0000000B">
      <w:pPr>
        <w:numPr>
          <w:ilvl w:val="0"/>
          <w:numId w:val="2"/>
        </w:numPr>
        <w:ind w:left="720" w:hanging="360"/>
        <w:rPr>
          <w:u w:val="none"/>
        </w:rPr>
      </w:pPr>
      <w:r w:rsidDel="00000000" w:rsidR="00000000" w:rsidRPr="00000000">
        <w:rPr>
          <w:rtl w:val="0"/>
        </w:rPr>
        <w:t xml:space="preserve">Actus Reus</w:t>
      </w:r>
    </w:p>
    <w:p w:rsidR="00000000" w:rsidDel="00000000" w:rsidP="00000000" w:rsidRDefault="00000000" w:rsidRPr="00000000" w14:paraId="0000000C">
      <w:pPr>
        <w:numPr>
          <w:ilvl w:val="1"/>
          <w:numId w:val="2"/>
        </w:numPr>
        <w:ind w:left="1440" w:hanging="360"/>
        <w:rPr>
          <w:u w:val="none"/>
        </w:rPr>
      </w:pPr>
      <w:r w:rsidDel="00000000" w:rsidR="00000000" w:rsidRPr="00000000">
        <w:rPr>
          <w:rtl w:val="0"/>
        </w:rPr>
        <w:t xml:space="preserve">Any conduct that causes the result</w:t>
      </w:r>
    </w:p>
    <w:p w:rsidR="00000000" w:rsidDel="00000000" w:rsidP="00000000" w:rsidRDefault="00000000" w:rsidRPr="00000000" w14:paraId="0000000D">
      <w:pPr>
        <w:numPr>
          <w:ilvl w:val="0"/>
          <w:numId w:val="2"/>
        </w:numPr>
        <w:ind w:left="720" w:hanging="360"/>
        <w:rPr>
          <w:u w:val="none"/>
        </w:rPr>
      </w:pPr>
      <w:r w:rsidDel="00000000" w:rsidR="00000000" w:rsidRPr="00000000">
        <w:rPr>
          <w:rtl w:val="0"/>
        </w:rPr>
        <w:t xml:space="preserve">Mens Rea</w:t>
      </w:r>
    </w:p>
    <w:p w:rsidR="00000000" w:rsidDel="00000000" w:rsidP="00000000" w:rsidRDefault="00000000" w:rsidRPr="00000000" w14:paraId="0000000E">
      <w:pPr>
        <w:numPr>
          <w:ilvl w:val="1"/>
          <w:numId w:val="2"/>
        </w:numPr>
        <w:ind w:left="1440" w:hanging="360"/>
        <w:rPr>
          <w:u w:val="none"/>
        </w:rPr>
      </w:pPr>
      <w:r w:rsidDel="00000000" w:rsidR="00000000" w:rsidRPr="00000000">
        <w:rPr>
          <w:rtl w:val="0"/>
        </w:rPr>
        <w:t xml:space="preserve">Voluntary</w:t>
      </w:r>
    </w:p>
    <w:p w:rsidR="00000000" w:rsidDel="00000000" w:rsidP="00000000" w:rsidRDefault="00000000" w:rsidRPr="00000000" w14:paraId="0000000F">
      <w:pPr>
        <w:rPr>
          <w:b w:val="1"/>
        </w:rPr>
      </w:pPr>
      <w:r w:rsidDel="00000000" w:rsidR="00000000" w:rsidRPr="00000000">
        <w:rPr>
          <w:b w:val="1"/>
          <w:rtl w:val="0"/>
        </w:rPr>
        <w:t xml:space="preserve">Circumstance element</w:t>
      </w:r>
    </w:p>
    <w:p w:rsidR="00000000" w:rsidDel="00000000" w:rsidP="00000000" w:rsidRDefault="00000000" w:rsidRPr="00000000" w14:paraId="00000010">
      <w:pPr>
        <w:numPr>
          <w:ilvl w:val="0"/>
          <w:numId w:val="1"/>
        </w:numPr>
        <w:ind w:left="720" w:hanging="360"/>
        <w:rPr>
          <w:u w:val="none"/>
        </w:rPr>
      </w:pPr>
      <w:r w:rsidDel="00000000" w:rsidR="00000000" w:rsidRPr="00000000">
        <w:rPr>
          <w:rtl w:val="0"/>
        </w:rPr>
        <w:t xml:space="preserve">Actus Reus</w:t>
      </w:r>
    </w:p>
    <w:p w:rsidR="00000000" w:rsidDel="00000000" w:rsidP="00000000" w:rsidRDefault="00000000" w:rsidRPr="00000000" w14:paraId="00000011">
      <w:pPr>
        <w:numPr>
          <w:ilvl w:val="1"/>
          <w:numId w:val="1"/>
        </w:numPr>
        <w:ind w:left="1440" w:hanging="360"/>
        <w:rPr>
          <w:u w:val="none"/>
        </w:rPr>
      </w:pPr>
      <w:r w:rsidDel="00000000" w:rsidR="00000000" w:rsidRPr="00000000">
        <w:rPr>
          <w:rtl w:val="0"/>
        </w:rPr>
        <w:t xml:space="preserve">The victim must be a person</w:t>
      </w:r>
    </w:p>
    <w:p w:rsidR="00000000" w:rsidDel="00000000" w:rsidP="00000000" w:rsidRDefault="00000000" w:rsidRPr="00000000" w14:paraId="00000012">
      <w:pPr>
        <w:numPr>
          <w:ilvl w:val="1"/>
          <w:numId w:val="1"/>
        </w:numPr>
        <w:ind w:left="1440" w:hanging="360"/>
        <w:rPr>
          <w:u w:val="none"/>
        </w:rPr>
      </w:pPr>
      <w:r w:rsidDel="00000000" w:rsidR="00000000" w:rsidRPr="00000000">
        <w:rPr>
          <w:rtl w:val="0"/>
        </w:rPr>
        <w:t xml:space="preserve">Under the Queen’s peace</w:t>
      </w:r>
    </w:p>
    <w:p w:rsidR="00000000" w:rsidDel="00000000" w:rsidP="00000000" w:rsidRDefault="00000000" w:rsidRPr="00000000" w14:paraId="00000013">
      <w:pPr>
        <w:numPr>
          <w:ilvl w:val="1"/>
          <w:numId w:val="1"/>
        </w:numPr>
        <w:ind w:left="1440" w:hanging="360"/>
        <w:rPr>
          <w:u w:val="none"/>
        </w:rPr>
      </w:pPr>
      <w:r w:rsidDel="00000000" w:rsidR="00000000" w:rsidRPr="00000000">
        <w:rPr>
          <w:rtl w:val="0"/>
        </w:rPr>
        <w:t xml:space="preserve">The killing must be unlawful</w:t>
      </w:r>
    </w:p>
    <w:p w:rsidR="00000000" w:rsidDel="00000000" w:rsidP="00000000" w:rsidRDefault="00000000" w:rsidRPr="00000000" w14:paraId="00000014">
      <w:pPr>
        <w:ind w:left="0" w:firstLine="0"/>
        <w:rPr>
          <w:b w:val="1"/>
        </w:rPr>
      </w:pPr>
      <w:r w:rsidDel="00000000" w:rsidR="00000000" w:rsidRPr="00000000">
        <w:rPr>
          <w:b w:val="1"/>
          <w:rtl w:val="0"/>
        </w:rPr>
        <w:t xml:space="preserve">Result element</w:t>
      </w:r>
    </w:p>
    <w:p w:rsidR="00000000" w:rsidDel="00000000" w:rsidP="00000000" w:rsidRDefault="00000000" w:rsidRPr="00000000" w14:paraId="00000015">
      <w:pPr>
        <w:numPr>
          <w:ilvl w:val="0"/>
          <w:numId w:val="3"/>
        </w:numPr>
        <w:ind w:left="720" w:hanging="360"/>
        <w:rPr>
          <w:u w:val="none"/>
        </w:rPr>
      </w:pPr>
      <w:r w:rsidDel="00000000" w:rsidR="00000000" w:rsidRPr="00000000">
        <w:rPr>
          <w:rtl w:val="0"/>
        </w:rPr>
        <w:t xml:space="preserve">Actus Reus</w:t>
      </w:r>
    </w:p>
    <w:p w:rsidR="00000000" w:rsidDel="00000000" w:rsidP="00000000" w:rsidRDefault="00000000" w:rsidRPr="00000000" w14:paraId="00000016">
      <w:pPr>
        <w:numPr>
          <w:ilvl w:val="1"/>
          <w:numId w:val="3"/>
        </w:numPr>
        <w:ind w:left="1440" w:hanging="360"/>
        <w:rPr>
          <w:u w:val="none"/>
        </w:rPr>
      </w:pPr>
      <w:r w:rsidDel="00000000" w:rsidR="00000000" w:rsidRPr="00000000">
        <w:rPr>
          <w:rtl w:val="0"/>
        </w:rPr>
        <w:t xml:space="preserve">Death of victim</w:t>
      </w:r>
    </w:p>
    <w:p w:rsidR="00000000" w:rsidDel="00000000" w:rsidP="00000000" w:rsidRDefault="00000000" w:rsidRPr="00000000" w14:paraId="00000017">
      <w:pPr>
        <w:numPr>
          <w:ilvl w:val="0"/>
          <w:numId w:val="3"/>
        </w:numPr>
        <w:ind w:left="720" w:hanging="360"/>
        <w:rPr>
          <w:u w:val="none"/>
        </w:rPr>
      </w:pPr>
      <w:r w:rsidDel="00000000" w:rsidR="00000000" w:rsidRPr="00000000">
        <w:rPr>
          <w:rtl w:val="0"/>
        </w:rPr>
        <w:t xml:space="preserve">Mens Rea</w:t>
      </w:r>
    </w:p>
    <w:p w:rsidR="00000000" w:rsidDel="00000000" w:rsidP="00000000" w:rsidRDefault="00000000" w:rsidRPr="00000000" w14:paraId="00000018">
      <w:pPr>
        <w:numPr>
          <w:ilvl w:val="1"/>
          <w:numId w:val="3"/>
        </w:numPr>
        <w:ind w:left="1440" w:hanging="360"/>
        <w:rPr>
          <w:u w:val="none"/>
        </w:rPr>
      </w:pPr>
      <w:r w:rsidDel="00000000" w:rsidR="00000000" w:rsidRPr="00000000">
        <w:rPr>
          <w:rtl w:val="0"/>
        </w:rPr>
        <w:t xml:space="preserve">Intention to kill or cause GBH</w:t>
      </w:r>
    </w:p>
    <w:p w:rsidR="00000000" w:rsidDel="00000000" w:rsidP="00000000" w:rsidRDefault="00000000" w:rsidRPr="00000000" w14:paraId="00000019">
      <w:pPr>
        <w:ind w:left="0" w:firstLine="0"/>
        <w:rPr/>
      </w:pPr>
      <w:r w:rsidDel="00000000" w:rsidR="00000000" w:rsidRPr="00000000">
        <w:rPr>
          <w:rtl w:val="0"/>
        </w:rPr>
      </w:r>
    </w:p>
    <w:p w:rsidR="00000000" w:rsidDel="00000000" w:rsidP="00000000" w:rsidRDefault="00000000" w:rsidRPr="00000000" w14:paraId="0000001A">
      <w:pPr>
        <w:ind w:left="0" w:firstLine="0"/>
        <w:rPr/>
      </w:pPr>
      <w:r w:rsidDel="00000000" w:rsidR="00000000" w:rsidRPr="00000000">
        <w:rPr>
          <w:rtl w:val="0"/>
        </w:rPr>
        <w:t xml:space="preserve">Under the Police Act, part 11 serious harm is described as an injury that may cause death, significant deformity, or considerable loss or impairment of overall bodily mobility or function.</w:t>
      </w:r>
    </w:p>
    <w:p w:rsidR="00000000" w:rsidDel="00000000" w:rsidP="00000000" w:rsidRDefault="00000000" w:rsidRPr="00000000" w14:paraId="0000001B">
      <w:pPr>
        <w:ind w:left="0" w:firstLine="0"/>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The definition of murder is considered, arguably, both too broad and too narrow. Although the actus reus is clear, the mens rea can be subject to controversy. An example is a reckless driver whose actions lead to the death of another person, will be considered a murderer and has to live with that label for the rest of his life. At the same time, someone whose actions puts a lot of people in danger for the purpose of frightening, and “accidentally” ends up killing someone, could have his misconduct regarded as manslaughter. Both cases are unfair due to the large gap between murder and manslaughter.</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There are three partial defences to murder which may reduce the convictions to voluntary manslaughter.</w:t>
      </w:r>
    </w:p>
    <w:p w:rsidR="00000000" w:rsidDel="00000000" w:rsidP="00000000" w:rsidRDefault="00000000" w:rsidRPr="00000000" w14:paraId="0000001F">
      <w:pPr>
        <w:ind w:left="0" w:firstLine="0"/>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Although self-defence and other partial defences include all the elements of murder if is shown to be true the crime is reduced to voluntary manslaughter rather than murder. These are diminished responsibility, loss of control and killing in pursuance of a suicide pact.</w:t>
      </w: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Under Section 2 of the Homicide Act 1957, diminished responsibility is a statutory defence. These diminished responsibilities include suffering from an abnormality of mind which could be caused by an underdevelopment of the mind or inherited by injury or disease. The Act also claims that the burden of proof lies on the defendant.</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Provocation was established initially in the common law as a partial defence which was then modified by Section 3 of the Homicide Act 1957. This has now been replaced by Loss of Control in the ss54 and 55 of Coroners Justice Act 2009 which states that needs to be one or more qualifying triggers to the defendant’s loss of control. This means that a reasonable person of the same sex and age as the defendants would have reacted the same or in a similar way following things the victim has said or done or under the fear of serious violence that could be induced by the victim. This fear would not be valid if it was following things said or done by the defendant, however, the partial defence would be valid following multiple courses of actions done by the victim, not just a one-off.</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b w:val="1"/>
        </w:rPr>
      </w:pPr>
      <w:r w:rsidDel="00000000" w:rsidR="00000000" w:rsidRPr="00000000">
        <w:rPr>
          <w:rtl w:val="0"/>
        </w:rPr>
        <w:t xml:space="preserve">One issue with partial defences is that medical science has advanced significantly since the Act was released while the definitions stayed the same and are now out of date. Experts should be consulted regarding new or changes to medical conditions that can be classified as applicable.</w:t>
      </w: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b w:val="1"/>
        </w:rPr>
      </w:pPr>
      <w:r w:rsidDel="00000000" w:rsidR="00000000" w:rsidRPr="00000000">
        <w:rPr>
          <w:rtl w:val="0"/>
        </w:rPr>
        <w:t xml:space="preserve">A perfect example is if A punches B in the face, B loses consciousness and while falling hits his head onto the curb and dies due to brain injuries. In this example, person A could be accused of murder since it could be interpreted as intending to cause serious harm, potentially breaking B’s nose, even though the intent to kill person B was not present. This seems harsh considering that murder is considered the most serious form of offence.</w:t>
      </w: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t xml:space="preserve">The problem with the manslaughter statute is that it covers a broad range of killings. Manslaughter is believed to have lost its significance as a term because of this vast range. As a result, it is reasonable to assume that the charges against these offenders include a broad variety of crimes. Some risk life in prison while others just probation.</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spacing w:line="240" w:lineRule="auto"/>
        <w:rPr/>
      </w:pPr>
      <w:r w:rsidDel="00000000" w:rsidR="00000000" w:rsidRPr="00000000">
        <w:rPr>
          <w:rtl w:val="0"/>
        </w:rPr>
        <w:t xml:space="preserve">In 2006, </w:t>
      </w:r>
      <w:r w:rsidDel="00000000" w:rsidR="00000000" w:rsidRPr="00000000">
        <w:rPr>
          <w:rtl w:val="0"/>
        </w:rPr>
        <w:t xml:space="preserve">The Law Commission has put forward a set of recommendations, this being the most recent and most comprehensive review on murder. The new proposed guidelines follow a 3 tier structure by breaking up the general term of murder into first-degree and second-degree murders. The reform aims to allow the narrowing down of the mandatory life sentence, with the latter two being punished with a discretionary life sentence. These suggestions are designed to improve the injustice in the current system where the offence is too wide and the defence is too narrow.</w:t>
      </w:r>
    </w:p>
    <w:p w:rsidR="00000000" w:rsidDel="00000000" w:rsidP="00000000" w:rsidRDefault="00000000" w:rsidRPr="00000000" w14:paraId="0000002D">
      <w:pPr>
        <w:spacing w:line="240" w:lineRule="auto"/>
        <w:rPr/>
      </w:pPr>
      <w:r w:rsidDel="00000000" w:rsidR="00000000" w:rsidRPr="00000000">
        <w:rPr>
          <w:rtl w:val="0"/>
        </w:rPr>
      </w:r>
    </w:p>
    <w:p w:rsidR="00000000" w:rsidDel="00000000" w:rsidP="00000000" w:rsidRDefault="00000000" w:rsidRPr="00000000" w14:paraId="0000002E">
      <w:pPr>
        <w:spacing w:line="240" w:lineRule="auto"/>
        <w:rPr/>
      </w:pPr>
      <w:r w:rsidDel="00000000" w:rsidR="00000000" w:rsidRPr="00000000">
        <w:rPr>
          <w:rtl w:val="0"/>
        </w:rPr>
        <w:t xml:space="preserve">Although the proposals on Murder Law have not been accepted by the government, they are worth mentioning:</w:t>
      </w:r>
    </w:p>
    <w:p w:rsidR="00000000" w:rsidDel="00000000" w:rsidP="00000000" w:rsidRDefault="00000000" w:rsidRPr="00000000" w14:paraId="0000002F">
      <w:pPr>
        <w:spacing w:line="240" w:lineRule="auto"/>
        <w:rPr/>
      </w:pPr>
      <w:r w:rsidDel="00000000" w:rsidR="00000000" w:rsidRPr="00000000">
        <w:rPr>
          <w:rtl w:val="0"/>
        </w:rPr>
      </w:r>
    </w:p>
    <w:p w:rsidR="00000000" w:rsidDel="00000000" w:rsidP="00000000" w:rsidRDefault="00000000" w:rsidRPr="00000000" w14:paraId="00000030">
      <w:pPr>
        <w:numPr>
          <w:ilvl w:val="0"/>
          <w:numId w:val="4"/>
        </w:numPr>
        <w:spacing w:line="240" w:lineRule="auto"/>
        <w:ind w:left="720" w:hanging="360"/>
        <w:rPr>
          <w:u w:val="none"/>
        </w:rPr>
      </w:pPr>
      <w:r w:rsidDel="00000000" w:rsidR="00000000" w:rsidRPr="00000000">
        <w:rPr>
          <w:rtl w:val="0"/>
        </w:rPr>
        <w:t xml:space="preserve">First-degree murder would refer to cases where the defendant kills with the intention to kill or with the intention to cause serious injury while being aware that their actions have a high probability of causing death</w:t>
      </w:r>
    </w:p>
    <w:p w:rsidR="00000000" w:rsidDel="00000000" w:rsidP="00000000" w:rsidRDefault="00000000" w:rsidRPr="00000000" w14:paraId="00000031">
      <w:pPr>
        <w:numPr>
          <w:ilvl w:val="0"/>
          <w:numId w:val="4"/>
        </w:numPr>
        <w:spacing w:line="240" w:lineRule="auto"/>
        <w:ind w:left="720" w:hanging="360"/>
        <w:rPr>
          <w:u w:val="none"/>
        </w:rPr>
      </w:pPr>
      <w:r w:rsidDel="00000000" w:rsidR="00000000" w:rsidRPr="00000000">
        <w:rPr>
          <w:rtl w:val="0"/>
        </w:rPr>
        <w:t xml:space="preserve">Second-degree murder would refer to cases where the defendant kills with the intention to cause serious injury or with the intention to cause fear or injury, as well as what the current law describes as voluntary manslaughter, ie satisfies both actus reus and mens rea.</w:t>
      </w:r>
    </w:p>
    <w:p w:rsidR="00000000" w:rsidDel="00000000" w:rsidP="00000000" w:rsidRDefault="00000000" w:rsidRPr="00000000" w14:paraId="00000032">
      <w:pPr>
        <w:numPr>
          <w:ilvl w:val="0"/>
          <w:numId w:val="4"/>
        </w:numPr>
        <w:spacing w:line="240" w:lineRule="auto"/>
        <w:ind w:left="720" w:hanging="360"/>
        <w:rPr>
          <w:u w:val="none"/>
        </w:rPr>
      </w:pPr>
      <w:r w:rsidDel="00000000" w:rsidR="00000000" w:rsidRPr="00000000">
        <w:rPr>
          <w:rtl w:val="0"/>
        </w:rPr>
        <w:t xml:space="preserve">Manslaughter is then reduced to what is now known as involuntary manslaughter, ie. does not satisfy the mens rea.</w:t>
      </w:r>
    </w:p>
    <w:p w:rsidR="00000000" w:rsidDel="00000000" w:rsidP="00000000" w:rsidRDefault="00000000" w:rsidRPr="00000000" w14:paraId="00000033">
      <w:pPr>
        <w:spacing w:line="240" w:lineRule="auto"/>
        <w:rPr/>
      </w:pPr>
      <w:r w:rsidDel="00000000" w:rsidR="00000000" w:rsidRPr="00000000">
        <w:rPr>
          <w:rtl w:val="0"/>
        </w:rPr>
      </w:r>
    </w:p>
    <w:p w:rsidR="00000000" w:rsidDel="00000000" w:rsidP="00000000" w:rsidRDefault="00000000" w:rsidRPr="00000000" w14:paraId="00000034">
      <w:pPr>
        <w:spacing w:line="240" w:lineRule="auto"/>
        <w:rPr/>
      </w:pPr>
      <w:r w:rsidDel="00000000" w:rsidR="00000000" w:rsidRPr="00000000">
        <w:rPr>
          <w:rtl w:val="0"/>
        </w:rPr>
        <w:t xml:space="preserve">The Law Commission has also put forward a list of recommendations concerning partial defences of provocation and diminished responsibility. These have been accepted and largely implemented by the Coroners and Justice Act 2009.</w:t>
      </w:r>
    </w:p>
    <w:p w:rsidR="00000000" w:rsidDel="00000000" w:rsidP="00000000" w:rsidRDefault="00000000" w:rsidRPr="00000000" w14:paraId="00000035">
      <w:pPr>
        <w:spacing w:line="240" w:lineRule="auto"/>
        <w:rPr/>
      </w:pPr>
      <w:r w:rsidDel="00000000" w:rsidR="00000000" w:rsidRPr="00000000">
        <w:rPr>
          <w:rtl w:val="0"/>
        </w:rPr>
      </w:r>
    </w:p>
    <w:p w:rsidR="00000000" w:rsidDel="00000000" w:rsidP="00000000" w:rsidRDefault="00000000" w:rsidRPr="00000000" w14:paraId="00000036">
      <w:pPr>
        <w:spacing w:line="240" w:lineRule="auto"/>
        <w:rPr/>
      </w:pPr>
      <w:r w:rsidDel="00000000" w:rsidR="00000000" w:rsidRPr="00000000">
        <w:rPr>
          <w:rtl w:val="0"/>
        </w:rPr>
        <w:t xml:space="preserve">The proposals for reform had great points and could help narrow down and clarify some controversies relating to the current law on what is considered murder versus manslaughter as well as bridging the substantial gap between the two.</w:t>
      </w:r>
    </w:p>
    <w:p w:rsidR="00000000" w:rsidDel="00000000" w:rsidP="00000000" w:rsidRDefault="00000000" w:rsidRPr="00000000" w14:paraId="00000037">
      <w:pPr>
        <w:spacing w:line="240" w:lineRule="auto"/>
        <w:rPr/>
      </w:pPr>
      <w:r w:rsidDel="00000000" w:rsidR="00000000" w:rsidRPr="00000000">
        <w:rPr>
          <w:rtl w:val="0"/>
        </w:rPr>
      </w:r>
    </w:p>
    <w:p w:rsidR="00000000" w:rsidDel="00000000" w:rsidP="00000000" w:rsidRDefault="00000000" w:rsidRPr="00000000" w14:paraId="00000038">
      <w:pPr>
        <w:spacing w:line="240" w:lineRule="auto"/>
        <w:rPr/>
      </w:pPr>
      <w:r w:rsidDel="00000000" w:rsidR="00000000" w:rsidRPr="00000000">
        <w:rPr>
          <w:rtl w:val="0"/>
        </w:rPr>
        <w:t xml:space="preserve">Any changes to the Homicide Law need to be done very carefully due to being the most serious of the criminal offences as well as because they are part of the state’s obligations to protect the right to life under Article 2 European Convention on Human Rights (ECHR). Any changes could dramatically impact the liberty of the offender thus due diligence is required.</w:t>
      </w:r>
    </w:p>
    <w:p w:rsidR="00000000" w:rsidDel="00000000" w:rsidP="00000000" w:rsidRDefault="00000000" w:rsidRPr="00000000" w14:paraId="00000039">
      <w:pPr>
        <w:spacing w:line="240" w:lineRule="auto"/>
        <w:rPr/>
      </w:pPr>
      <w:r w:rsidDel="00000000" w:rsidR="00000000" w:rsidRPr="00000000">
        <w:rPr>
          <w:rtl w:val="0"/>
        </w:rPr>
      </w:r>
    </w:p>
    <w:p w:rsidR="00000000" w:rsidDel="00000000" w:rsidP="00000000" w:rsidRDefault="00000000" w:rsidRPr="00000000" w14:paraId="0000003A">
      <w:pPr>
        <w:spacing w:line="240" w:lineRule="auto"/>
        <w:rPr/>
      </w:pPr>
      <w:r w:rsidDel="00000000" w:rsidR="00000000" w:rsidRPr="00000000">
        <w:rPr>
          <w:rtl w:val="0"/>
        </w:rPr>
        <w:t xml:space="preserve">The JUSTICE would argue that this is the not right thing to do as the Law Commission has thought these out as a whole, and cherry-picking these could potentially be detrimental. An example would be that the partial defences of provocation and diminished responsibility were considered to reduce first degree murders to second degree murders, which would not work the same in the context of the existing system.</w:t>
      </w: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b w:val="1"/>
        </w:rPr>
      </w:pPr>
      <w:r w:rsidDel="00000000" w:rsidR="00000000" w:rsidRPr="00000000">
        <w:rPr>
          <w:rtl w:val="0"/>
        </w:rPr>
        <w:t xml:space="preserve">The Law of Homicide, although very old, has mostly stood the test of time. Any changes could have a serious adverse impact on the public’s right to life as well as the defendant’s right to liberty. Homicide is considered the most serious act and thus any changes need to be threaded very carefully.</w:t>
      </w:r>
      <w:r w:rsidDel="00000000" w:rsidR="00000000" w:rsidRPr="00000000">
        <w:rPr>
          <w:rtl w:val="0"/>
        </w:rPr>
      </w:r>
    </w:p>
    <w:p w:rsidR="00000000" w:rsidDel="00000000" w:rsidP="00000000" w:rsidRDefault="00000000" w:rsidRPr="00000000" w14:paraId="0000003D">
      <w:pPr>
        <w:rPr>
          <w:b w:val="1"/>
        </w:rPr>
      </w:pPr>
      <w:r w:rsidDel="00000000" w:rsidR="00000000" w:rsidRPr="00000000">
        <w:rPr>
          <w:rtl w:val="0"/>
        </w:rPr>
      </w:r>
    </w:p>
    <w:p w:rsidR="00000000" w:rsidDel="00000000" w:rsidP="00000000" w:rsidRDefault="00000000" w:rsidRPr="00000000" w14:paraId="0000003E">
      <w:pPr>
        <w:rPr/>
      </w:pPr>
      <w:r w:rsidDel="00000000" w:rsidR="00000000" w:rsidRPr="00000000">
        <w:rPr>
          <w:b w:val="1"/>
          <w:rtl w:val="0"/>
        </w:rPr>
        <w:t xml:space="preserve">References:</w:t>
      </w: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numPr>
          <w:ilvl w:val="0"/>
          <w:numId w:val="5"/>
        </w:numPr>
        <w:ind w:left="720" w:hanging="360"/>
        <w:rPr>
          <w:u w:val="none"/>
        </w:rPr>
      </w:pPr>
      <w:r w:rsidDel="00000000" w:rsidR="00000000" w:rsidRPr="00000000">
        <w:rPr>
          <w:rtl w:val="0"/>
        </w:rPr>
        <w:t xml:space="preserve">CPS (18 March 2019). </w:t>
      </w:r>
      <w:r w:rsidDel="00000000" w:rsidR="00000000" w:rsidRPr="00000000">
        <w:rPr>
          <w:i w:val="1"/>
          <w:rtl w:val="0"/>
        </w:rPr>
        <w:t xml:space="preserve">Homicide: Murder and Manslaughter</w:t>
      </w:r>
      <w:r w:rsidDel="00000000" w:rsidR="00000000" w:rsidRPr="00000000">
        <w:rPr>
          <w:rtl w:val="0"/>
        </w:rPr>
        <w:t xml:space="preserve">. Available on: ​​</w:t>
      </w:r>
      <w:hyperlink r:id="rId6">
        <w:r w:rsidDel="00000000" w:rsidR="00000000" w:rsidRPr="00000000">
          <w:rPr>
            <w:color w:val="1155cc"/>
            <w:u w:val="single"/>
            <w:rtl w:val="0"/>
          </w:rPr>
          <w:t xml:space="preserve">https://www.cps.gov.uk/legal-guidance/homicide-murder-and-manslaughter</w:t>
        </w:r>
      </w:hyperlink>
      <w:r w:rsidDel="00000000" w:rsidR="00000000" w:rsidRPr="00000000">
        <w:rPr>
          <w:rtl w:val="0"/>
        </w:rPr>
        <w:t xml:space="preserve"> (Accessed: 1 November 2021)</w:t>
      </w:r>
    </w:p>
    <w:p w:rsidR="00000000" w:rsidDel="00000000" w:rsidP="00000000" w:rsidRDefault="00000000" w:rsidRPr="00000000" w14:paraId="00000041">
      <w:pPr>
        <w:numPr>
          <w:ilvl w:val="0"/>
          <w:numId w:val="5"/>
        </w:numPr>
        <w:ind w:left="720" w:hanging="360"/>
        <w:rPr>
          <w:u w:val="none"/>
        </w:rPr>
      </w:pPr>
      <w:r w:rsidDel="00000000" w:rsidR="00000000" w:rsidRPr="00000000">
        <w:rPr>
          <w:rtl w:val="0"/>
        </w:rPr>
        <w:t xml:space="preserve">Child J. and Ormerod D. (2017). </w:t>
      </w:r>
      <w:r w:rsidDel="00000000" w:rsidR="00000000" w:rsidRPr="00000000">
        <w:rPr>
          <w:i w:val="1"/>
          <w:rtl w:val="0"/>
        </w:rPr>
        <w:t xml:space="preserve">Smith, Hogan and Ormerod’s Essentials of Criminal Law</w:t>
      </w:r>
      <w:r w:rsidDel="00000000" w:rsidR="00000000" w:rsidRPr="00000000">
        <w:rPr>
          <w:rtl w:val="0"/>
        </w:rPr>
        <w:t xml:space="preserve">. 2nd edn. Oxford: Oxford University Press</w:t>
      </w:r>
    </w:p>
    <w:p w:rsidR="00000000" w:rsidDel="00000000" w:rsidP="00000000" w:rsidRDefault="00000000" w:rsidRPr="00000000" w14:paraId="00000042">
      <w:pPr>
        <w:numPr>
          <w:ilvl w:val="0"/>
          <w:numId w:val="5"/>
        </w:numPr>
        <w:ind w:left="720" w:hanging="360"/>
        <w:rPr>
          <w:u w:val="none"/>
        </w:rPr>
      </w:pPr>
      <w:r w:rsidDel="00000000" w:rsidR="00000000" w:rsidRPr="00000000">
        <w:rPr>
          <w:rtl w:val="0"/>
        </w:rPr>
        <w:t xml:space="preserve">Equality and Human Rights Commission. </w:t>
      </w:r>
      <w:r w:rsidDel="00000000" w:rsidR="00000000" w:rsidRPr="00000000">
        <w:rPr>
          <w:i w:val="1"/>
          <w:rtl w:val="0"/>
        </w:rPr>
        <w:t xml:space="preserve">Article 2: Right to life.</w:t>
      </w:r>
      <w:r w:rsidDel="00000000" w:rsidR="00000000" w:rsidRPr="00000000">
        <w:rPr>
          <w:rtl w:val="0"/>
        </w:rPr>
        <w:t xml:space="preserve"> Available on: </w:t>
      </w:r>
      <w:hyperlink r:id="rId7">
        <w:r w:rsidDel="00000000" w:rsidR="00000000" w:rsidRPr="00000000">
          <w:rPr>
            <w:color w:val="1155cc"/>
            <w:u w:val="single"/>
            <w:rtl w:val="0"/>
          </w:rPr>
          <w:t xml:space="preserve">https://www.equalityhumanrights.com/en/human-rights-act/article-2-right-life</w:t>
        </w:r>
      </w:hyperlink>
      <w:r w:rsidDel="00000000" w:rsidR="00000000" w:rsidRPr="00000000">
        <w:rPr>
          <w:rtl w:val="0"/>
        </w:rPr>
        <w:t xml:space="preserve"> (Accessed 3 November 2021)</w:t>
      </w:r>
    </w:p>
    <w:p w:rsidR="00000000" w:rsidDel="00000000" w:rsidP="00000000" w:rsidRDefault="00000000" w:rsidRPr="00000000" w14:paraId="00000043">
      <w:pPr>
        <w:numPr>
          <w:ilvl w:val="0"/>
          <w:numId w:val="5"/>
        </w:numPr>
        <w:ind w:left="720" w:hanging="360"/>
        <w:rPr>
          <w:u w:val="none"/>
        </w:rPr>
      </w:pPr>
      <w:r w:rsidDel="00000000" w:rsidR="00000000" w:rsidRPr="00000000">
        <w:rPr>
          <w:rtl w:val="0"/>
        </w:rPr>
        <w:t xml:space="preserve">GOV UK (28 November 2006). </w:t>
      </w:r>
      <w:r w:rsidDel="00000000" w:rsidR="00000000" w:rsidRPr="00000000">
        <w:rPr>
          <w:i w:val="1"/>
          <w:rtl w:val="0"/>
        </w:rPr>
        <w:t xml:space="preserve">Murder, Manslaughter and Infanticide</w:t>
      </w:r>
      <w:r w:rsidDel="00000000" w:rsidR="00000000" w:rsidRPr="00000000">
        <w:rPr>
          <w:rtl w:val="0"/>
        </w:rPr>
        <w:t xml:space="preserve">. Available on: </w:t>
      </w:r>
      <w:hyperlink r:id="rId8">
        <w:r w:rsidDel="00000000" w:rsidR="00000000" w:rsidRPr="00000000">
          <w:rPr>
            <w:color w:val="1155cc"/>
            <w:u w:val="single"/>
            <w:rtl w:val="0"/>
          </w:rPr>
          <w:t xml:space="preserve">https://assets.publishing.service.gov.uk/government/uploads/system/uploads/attachment_data/file/228782/0030.pdf</w:t>
        </w:r>
      </w:hyperlink>
      <w:r w:rsidDel="00000000" w:rsidR="00000000" w:rsidRPr="00000000">
        <w:rPr>
          <w:rtl w:val="0"/>
        </w:rPr>
        <w:t xml:space="preserve"> (Accessed 2 November 2021)</w:t>
      </w:r>
      <w:r w:rsidDel="00000000" w:rsidR="00000000" w:rsidRPr="00000000">
        <w:rPr>
          <w:vertAlign w:val="superscript"/>
          <w:rtl w:val="0"/>
        </w:rPr>
        <w:t xml:space="preserve"> </w:t>
      </w:r>
    </w:p>
    <w:p w:rsidR="00000000" w:rsidDel="00000000" w:rsidP="00000000" w:rsidRDefault="00000000" w:rsidRPr="00000000" w14:paraId="00000044">
      <w:pPr>
        <w:numPr>
          <w:ilvl w:val="0"/>
          <w:numId w:val="5"/>
        </w:numPr>
        <w:ind w:left="720" w:hanging="360"/>
        <w:rPr>
          <w:u w:val="none"/>
        </w:rPr>
      </w:pPr>
      <w:r w:rsidDel="00000000" w:rsidR="00000000" w:rsidRPr="00000000">
        <w:rPr>
          <w:rtl w:val="0"/>
        </w:rPr>
        <w:t xml:space="preserve">Justice. </w:t>
      </w:r>
      <w:r w:rsidDel="00000000" w:rsidR="00000000" w:rsidRPr="00000000">
        <w:rPr>
          <w:i w:val="1"/>
          <w:rtl w:val="0"/>
        </w:rPr>
        <w:t xml:space="preserve">Homicide Law Reform</w:t>
      </w:r>
      <w:r w:rsidDel="00000000" w:rsidR="00000000" w:rsidRPr="00000000">
        <w:rPr>
          <w:rtl w:val="0"/>
        </w:rPr>
        <w:t xml:space="preserve">. Available on: </w:t>
      </w:r>
      <w:hyperlink r:id="rId9">
        <w:r w:rsidDel="00000000" w:rsidR="00000000" w:rsidRPr="00000000">
          <w:rPr>
            <w:color w:val="1155cc"/>
            <w:u w:val="single"/>
            <w:rtl w:val="0"/>
          </w:rPr>
          <w:t xml:space="preserve">https://justice.org.uk/homicide-law-reform/</w:t>
        </w:r>
      </w:hyperlink>
      <w:r w:rsidDel="00000000" w:rsidR="00000000" w:rsidRPr="00000000">
        <w:rPr>
          <w:rtl w:val="0"/>
        </w:rPr>
        <w:t xml:space="preserve"> (Accessed: 3 November 2021)</w:t>
      </w:r>
    </w:p>
    <w:p w:rsidR="00000000" w:rsidDel="00000000" w:rsidP="00000000" w:rsidRDefault="00000000" w:rsidRPr="00000000" w14:paraId="00000045">
      <w:pPr>
        <w:numPr>
          <w:ilvl w:val="0"/>
          <w:numId w:val="5"/>
        </w:numPr>
        <w:ind w:left="720" w:hanging="360"/>
        <w:rPr>
          <w:u w:val="none"/>
        </w:rPr>
      </w:pPr>
      <w:r w:rsidDel="00000000" w:rsidR="00000000" w:rsidRPr="00000000">
        <w:rPr>
          <w:rtl w:val="0"/>
        </w:rPr>
        <w:t xml:space="preserve">Law Commission. </w:t>
      </w:r>
      <w:r w:rsidDel="00000000" w:rsidR="00000000" w:rsidRPr="00000000">
        <w:rPr>
          <w:i w:val="1"/>
          <w:rtl w:val="0"/>
        </w:rPr>
        <w:t xml:space="preserve">Murder</w:t>
      </w:r>
      <w:r w:rsidDel="00000000" w:rsidR="00000000" w:rsidRPr="00000000">
        <w:rPr>
          <w:rtl w:val="0"/>
        </w:rPr>
        <w:t xml:space="preserve">. Available on: </w:t>
      </w:r>
      <w:hyperlink r:id="rId10">
        <w:r w:rsidDel="00000000" w:rsidR="00000000" w:rsidRPr="00000000">
          <w:rPr>
            <w:color w:val="1155cc"/>
            <w:u w:val="single"/>
            <w:rtl w:val="0"/>
          </w:rPr>
          <w:t xml:space="preserve">https://www.lawcom.gov.uk/project/murder/</w:t>
        </w:r>
      </w:hyperlink>
      <w:r w:rsidDel="00000000" w:rsidR="00000000" w:rsidRPr="00000000">
        <w:rPr>
          <w:rtl w:val="0"/>
        </w:rPr>
        <w:t xml:space="preserve"> (Accessed: 2 November 2021)</w:t>
      </w:r>
    </w:p>
    <w:p w:rsidR="00000000" w:rsidDel="00000000" w:rsidP="00000000" w:rsidRDefault="00000000" w:rsidRPr="00000000" w14:paraId="00000046">
      <w:pPr>
        <w:numPr>
          <w:ilvl w:val="0"/>
          <w:numId w:val="5"/>
        </w:numPr>
        <w:ind w:left="720" w:hanging="360"/>
        <w:rPr>
          <w:u w:val="none"/>
        </w:rPr>
      </w:pPr>
      <w:r w:rsidDel="00000000" w:rsidR="00000000" w:rsidRPr="00000000">
        <w:rPr>
          <w:rtl w:val="0"/>
        </w:rPr>
        <w:t xml:space="preserve">LawTeacher (November 2013). </w:t>
      </w:r>
      <w:r w:rsidDel="00000000" w:rsidR="00000000" w:rsidRPr="00000000">
        <w:rPr>
          <w:i w:val="1"/>
          <w:rtl w:val="0"/>
        </w:rPr>
        <w:t xml:space="preserve">Coroners and Justice Act 2009</w:t>
      </w:r>
      <w:r w:rsidDel="00000000" w:rsidR="00000000" w:rsidRPr="00000000">
        <w:rPr>
          <w:rtl w:val="0"/>
        </w:rPr>
        <w:t xml:space="preserve">. Available on: </w:t>
      </w:r>
      <w:hyperlink r:id="rId11">
        <w:r w:rsidDel="00000000" w:rsidR="00000000" w:rsidRPr="00000000">
          <w:rPr>
            <w:color w:val="1155cc"/>
            <w:u w:val="single"/>
            <w:rtl w:val="0"/>
          </w:rPr>
          <w:t xml:space="preserve">https://www.lawteacher.net/acts/coroners-and-justice-act-2009.php?vref=1</w:t>
        </w:r>
      </w:hyperlink>
      <w:r w:rsidDel="00000000" w:rsidR="00000000" w:rsidRPr="00000000">
        <w:rPr>
          <w:rtl w:val="0"/>
        </w:rPr>
        <w:t xml:space="preserve"> (Accessed: 1 November 2021)</w:t>
      </w:r>
    </w:p>
    <w:p w:rsidR="00000000" w:rsidDel="00000000" w:rsidP="00000000" w:rsidRDefault="00000000" w:rsidRPr="00000000" w14:paraId="00000047">
      <w:pPr>
        <w:numPr>
          <w:ilvl w:val="0"/>
          <w:numId w:val="5"/>
        </w:numPr>
        <w:ind w:left="720" w:hanging="360"/>
        <w:rPr>
          <w:u w:val="none"/>
        </w:rPr>
      </w:pPr>
      <w:r w:rsidDel="00000000" w:rsidR="00000000" w:rsidRPr="00000000">
        <w:rPr>
          <w:rtl w:val="0"/>
        </w:rPr>
        <w:t xml:space="preserve">Legislation. </w:t>
      </w:r>
      <w:r w:rsidDel="00000000" w:rsidR="00000000" w:rsidRPr="00000000">
        <w:rPr>
          <w:i w:val="1"/>
          <w:rtl w:val="0"/>
        </w:rPr>
        <w:t xml:space="preserve">Homicide Act 1957.</w:t>
      </w:r>
      <w:r w:rsidDel="00000000" w:rsidR="00000000" w:rsidRPr="00000000">
        <w:rPr>
          <w:rtl w:val="0"/>
        </w:rPr>
        <w:t xml:space="preserve"> Available on: </w:t>
      </w:r>
      <w:hyperlink r:id="rId12">
        <w:r w:rsidDel="00000000" w:rsidR="00000000" w:rsidRPr="00000000">
          <w:rPr>
            <w:color w:val="1155cc"/>
            <w:u w:val="single"/>
            <w:rtl w:val="0"/>
          </w:rPr>
          <w:t xml:space="preserve">https://www.legislation.gov.uk/ukpga/Eliz2/5-6/11/contents</w:t>
        </w:r>
      </w:hyperlink>
      <w:r w:rsidDel="00000000" w:rsidR="00000000" w:rsidRPr="00000000">
        <w:rPr>
          <w:rtl w:val="0"/>
        </w:rPr>
        <w:t xml:space="preserve"> (Accessed: 1 November 2021)</w:t>
      </w:r>
    </w:p>
    <w:p w:rsidR="00000000" w:rsidDel="00000000" w:rsidP="00000000" w:rsidRDefault="00000000" w:rsidRPr="00000000" w14:paraId="00000048">
      <w:pPr>
        <w:numPr>
          <w:ilvl w:val="0"/>
          <w:numId w:val="5"/>
        </w:numPr>
        <w:ind w:left="720" w:hanging="360"/>
        <w:rPr>
          <w:u w:val="none"/>
        </w:rPr>
      </w:pPr>
      <w:r w:rsidDel="00000000" w:rsidR="00000000" w:rsidRPr="00000000">
        <w:rPr>
          <w:rtl w:val="0"/>
        </w:rPr>
        <w:t xml:space="preserve">Sentencing Council. </w:t>
      </w:r>
      <w:r w:rsidDel="00000000" w:rsidR="00000000" w:rsidRPr="00000000">
        <w:rPr>
          <w:i w:val="1"/>
          <w:rtl w:val="0"/>
        </w:rPr>
        <w:t xml:space="preserve">Sentencing for Murder.</w:t>
      </w:r>
      <w:r w:rsidDel="00000000" w:rsidR="00000000" w:rsidRPr="00000000">
        <w:rPr>
          <w:rtl w:val="0"/>
        </w:rPr>
        <w:t xml:space="preserve"> Available on: </w:t>
      </w:r>
      <w:hyperlink r:id="rId13">
        <w:r w:rsidDel="00000000" w:rsidR="00000000" w:rsidRPr="00000000">
          <w:rPr>
            <w:color w:val="1155cc"/>
            <w:u w:val="single"/>
            <w:rtl w:val="0"/>
          </w:rPr>
          <w:t xml:space="preserve">https://www.sentencingcouncil.org.uk/wp-content/uploads/FINAL-Murder-sentencing-leaflet-for-web1.pdf</w:t>
        </w:r>
      </w:hyperlink>
      <w:r w:rsidDel="00000000" w:rsidR="00000000" w:rsidRPr="00000000">
        <w:rPr>
          <w:rtl w:val="0"/>
        </w:rPr>
        <w:t xml:space="preserve"> (Accessed: 2 November 2021)</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lawteacher.net/acts/coroners-and-justice-act-2009.php?vref=1" TargetMode="External"/><Relationship Id="rId10" Type="http://schemas.openxmlformats.org/officeDocument/2006/relationships/hyperlink" Target="https://www.lawcom.gov.uk/project/murder/" TargetMode="External"/><Relationship Id="rId13" Type="http://schemas.openxmlformats.org/officeDocument/2006/relationships/hyperlink" Target="https://www.sentencingcouncil.org.uk/wp-content/uploads/FINAL-Murder-sentencing-leaflet-for-web1.pdf" TargetMode="External"/><Relationship Id="rId12" Type="http://schemas.openxmlformats.org/officeDocument/2006/relationships/hyperlink" Target="https://www.legislation.gov.uk/ukpga/Eliz2/5-6/11/content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justice.org.uk/homicide-law-reform/" TargetMode="External"/><Relationship Id="rId5" Type="http://schemas.openxmlformats.org/officeDocument/2006/relationships/styles" Target="styles.xml"/><Relationship Id="rId6" Type="http://schemas.openxmlformats.org/officeDocument/2006/relationships/hyperlink" Target="https://www.cps.gov.uk/legal-guidance/homicide-murder-and-manslaughter" TargetMode="External"/><Relationship Id="rId7" Type="http://schemas.openxmlformats.org/officeDocument/2006/relationships/hyperlink" Target="https://www.equalityhumanrights.com/en/human-rights-act/article-2-right-life" TargetMode="External"/><Relationship Id="rId8" Type="http://schemas.openxmlformats.org/officeDocument/2006/relationships/hyperlink" Target="https://assets.publishing.service.gov.uk/government/uploads/system/uploads/attachment_data/file/228782/003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