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695450" w14:textId="4C5FFEDD" w:rsidR="00D3777F" w:rsidRDefault="00000000">
      <w:pPr>
        <w:jc w:val="center"/>
        <w:rPr>
          <w:b/>
          <w:color w:val="164D6D"/>
          <w:sz w:val="44"/>
        </w:rPr>
      </w:pPr>
      <w:r>
        <w:rPr>
          <w:b/>
          <w:color w:val="164D6D"/>
          <w:sz w:val="44"/>
        </w:rPr>
        <w:t>CAMHS waiting times and adolescent mental health in England</w:t>
      </w:r>
    </w:p>
    <w:p w14:paraId="1F607A26" w14:textId="3A706ED7" w:rsidR="00EC0ED0" w:rsidRDefault="00EC0ED0">
      <w:pPr>
        <w:jc w:val="center"/>
      </w:pPr>
      <w:r>
        <w:rPr>
          <w:b/>
          <w:color w:val="164D6D"/>
          <w:sz w:val="44"/>
        </w:rPr>
        <w:t>Alya Toseef Javed-2328853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7200"/>
        <w:gridCol w:w="7200"/>
        <w:gridCol w:w="7200"/>
      </w:tblGrid>
      <w:tr w:rsidR="00D3777F" w14:paraId="4C734CF3" w14:textId="77777777">
        <w:trPr>
          <w:jc w:val="center"/>
        </w:trPr>
        <w:tc>
          <w:tcPr>
            <w:tcW w:w="7200" w:type="dxa"/>
            <w:shd w:val="clear" w:color="auto" w:fill="EAF3F0"/>
          </w:tcPr>
          <w:p w14:paraId="6AD4410D" w14:textId="77777777" w:rsidR="00D3777F" w:rsidRPr="00784BE8" w:rsidRDefault="00D3777F" w:rsidP="00F5231C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6BD06E34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b/>
                <w:color w:val="175F84"/>
                <w:sz w:val="22"/>
              </w:rPr>
              <w:t>Background and evidence</w:t>
            </w:r>
          </w:p>
          <w:p w14:paraId="3620C30B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• Delayed access to specialist support raises concerns for young people.</w:t>
            </w:r>
          </w:p>
          <w:p w14:paraId="21E7441B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• Around 320,000 children with active referrals were waiting for treatment in March 2024 (Children’s Commissioner for England, 2025).</w:t>
            </w:r>
          </w:p>
          <w:p w14:paraId="402C81BF" w14:textId="01C93AFD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 xml:space="preserve">• National totals show service </w:t>
            </w:r>
            <w:r w:rsidR="00FE6A9D" w:rsidRPr="00784BE8">
              <w:rPr>
                <w:rFonts w:ascii="Arial" w:hAnsi="Arial" w:cs="Arial"/>
                <w:color w:val="24364B"/>
                <w:sz w:val="22"/>
              </w:rPr>
              <w:t>pressure but</w:t>
            </w:r>
            <w:r w:rsidRPr="00784BE8">
              <w:rPr>
                <w:rFonts w:ascii="Arial" w:hAnsi="Arial" w:cs="Arial"/>
                <w:color w:val="24364B"/>
                <w:sz w:val="22"/>
              </w:rPr>
              <w:t xml:space="preserve"> cannot explain </w:t>
            </w:r>
            <w:proofErr w:type="gramStart"/>
            <w:r w:rsidRPr="00784BE8">
              <w:rPr>
                <w:rFonts w:ascii="Arial" w:hAnsi="Arial" w:cs="Arial"/>
                <w:color w:val="24364B"/>
                <w:sz w:val="22"/>
              </w:rPr>
              <w:t>adolescents’</w:t>
            </w:r>
            <w:proofErr w:type="gramEnd"/>
            <w:r w:rsidRPr="00784BE8">
              <w:rPr>
                <w:rFonts w:ascii="Arial" w:hAnsi="Arial" w:cs="Arial"/>
                <w:color w:val="24364B"/>
                <w:sz w:val="22"/>
              </w:rPr>
              <w:t xml:space="preserve"> lived experiences.</w:t>
            </w:r>
          </w:p>
          <w:p w14:paraId="067A503C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b/>
                <w:color w:val="24364B"/>
                <w:sz w:val="22"/>
              </w:rPr>
              <w:t>Children with active referrals awaiting treatment (England)</w:t>
            </w:r>
          </w:p>
          <w:p w14:paraId="1D64CB17" w14:textId="77777777" w:rsidR="00D3777F" w:rsidRPr="00784BE8" w:rsidRDefault="00000000" w:rsidP="00F5231C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74BAB2F3" wp14:editId="396FFEFA">
                  <wp:extent cx="4206240" cy="210312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amhs_waiting_chart.png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06240" cy="21031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ECFFB29" w14:textId="77777777" w:rsidR="00D3777F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Source: Children’s Commissioner for England (2025). All children in reported services, not adolescents only.</w:t>
            </w:r>
          </w:p>
          <w:p w14:paraId="626BFC56" w14:textId="77777777" w:rsidR="00697D0D" w:rsidRPr="00784BE8" w:rsidRDefault="00697D0D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4BE32A83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b/>
                <w:color w:val="175F84"/>
                <w:sz w:val="22"/>
              </w:rPr>
              <w:t>Methodology</w:t>
            </w:r>
          </w:p>
          <w:p w14:paraId="64E2BC87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• Qualitative systematic literature review using secondary published research (Snyder, 2019).</w:t>
            </w:r>
          </w:p>
          <w:p w14:paraId="6967782F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• Focus: experiences of CAMHS waiting among adolescents aged 10–19 in England.</w:t>
            </w:r>
          </w:p>
          <w:p w14:paraId="4E3D4366" w14:textId="0002880B" w:rsidR="00697D0D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• Appraise study quality and document screening using PRISMA 2020 (Page et al., 2021).</w:t>
            </w:r>
          </w:p>
          <w:p w14:paraId="679CDFE3" w14:textId="77777777" w:rsidR="00FE6A9D" w:rsidRPr="00FE6A9D" w:rsidRDefault="00FE6A9D" w:rsidP="00F5231C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</w:p>
          <w:p w14:paraId="14AF1C51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b/>
                <w:color w:val="175F84"/>
                <w:sz w:val="22"/>
              </w:rPr>
              <w:t>Critical perspective</w:t>
            </w:r>
          </w:p>
          <w:p w14:paraId="1CDE1F14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• Qualitative accounts provide depth but may not represent all adolescents.</w:t>
            </w:r>
          </w:p>
          <w:p w14:paraId="105AF8F7" w14:textId="77777777" w:rsidR="00D3777F" w:rsidRPr="00784BE8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784BE8">
              <w:rPr>
                <w:rFonts w:ascii="Arial" w:hAnsi="Arial" w:cs="Arial"/>
                <w:color w:val="24364B"/>
                <w:sz w:val="22"/>
              </w:rPr>
              <w:t>• Studies can define and measure waiting differently.</w:t>
            </w:r>
          </w:p>
        </w:tc>
        <w:tc>
          <w:tcPr>
            <w:tcW w:w="7200" w:type="dxa"/>
            <w:shd w:val="clear" w:color="auto" w:fill="FFF7E7"/>
          </w:tcPr>
          <w:p w14:paraId="0D0DE623" w14:textId="77777777" w:rsidR="00D3777F" w:rsidRPr="00F5231C" w:rsidRDefault="00D3777F" w:rsidP="00F5231C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69428E5A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b/>
                <w:color w:val="175F84"/>
                <w:sz w:val="22"/>
              </w:rPr>
              <w:t>Aim and objectives</w:t>
            </w:r>
          </w:p>
          <w:p w14:paraId="395BF108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b/>
                <w:color w:val="24364B"/>
                <w:sz w:val="22"/>
              </w:rPr>
              <w:t>Aim: Critically explore how prolonged CAMHS waiting times may affect adolescents’ mental health and wellbeing in England.</w:t>
            </w:r>
          </w:p>
          <w:p w14:paraId="173A8DAF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Examine evidence on waiting for specialist services.</w:t>
            </w:r>
          </w:p>
          <w:p w14:paraId="3C5A3AE1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Explore adolescents’ reported experiences.</w:t>
            </w:r>
          </w:p>
          <w:p w14:paraId="6C91AE71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Consider possible effects on emotional and social wellbeing.</w:t>
            </w:r>
          </w:p>
          <w:p w14:paraId="2BDE03B0" w14:textId="77777777" w:rsidR="00D3777F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Recommend support during waiting periods.</w:t>
            </w:r>
          </w:p>
          <w:p w14:paraId="46564933" w14:textId="77777777" w:rsidR="00697D0D" w:rsidRPr="00F5231C" w:rsidRDefault="00697D0D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7F403A4B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b/>
                <w:color w:val="175F84"/>
                <w:sz w:val="22"/>
              </w:rPr>
              <w:t>Data collection and selection</w:t>
            </w:r>
          </w:p>
          <w:p w14:paraId="5E095AC3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Search CINAHL, MEDLINE/PubMed, PsycINFO and Scopus.</w:t>
            </w:r>
          </w:p>
          <w:p w14:paraId="27EBCD13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Search terms: (CAMHS OR child mental health services) AND (waiting OR delay) AND (adolescen* OR youth) AND England.</w:t>
            </w:r>
          </w:p>
          <w:p w14:paraId="1C270A67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Screen titles, abstracts and full texts against clear inclusion and exclusion criteria.</w:t>
            </w:r>
          </w:p>
          <w:p w14:paraId="20C6C33F" w14:textId="77777777" w:rsidR="00D3777F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Record reasons for exclusion and report the selection process transparently (Page et al., 2021).</w:t>
            </w:r>
          </w:p>
          <w:p w14:paraId="62A56AA5" w14:textId="77777777" w:rsidR="00697D0D" w:rsidRPr="00F5231C" w:rsidRDefault="00697D0D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043D19B6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b/>
                <w:color w:val="175F84"/>
                <w:sz w:val="22"/>
              </w:rPr>
              <w:t>Research gap and contribution</w:t>
            </w:r>
          </w:p>
          <w:p w14:paraId="37101C15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Statistics indicate waiting-list pressure, but do not capture how young people experience delays.</w:t>
            </w:r>
          </w:p>
          <w:p w14:paraId="0012179E" w14:textId="77777777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This review will compare qualitative accounts and identify gaps in support.</w:t>
            </w:r>
          </w:p>
          <w:p w14:paraId="5120AE89" w14:textId="2AAE1B4B" w:rsidR="00D3777F" w:rsidRPr="00F5231C" w:rsidRDefault="00000000" w:rsidP="00F5231C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F5231C">
              <w:rPr>
                <w:rFonts w:ascii="Arial" w:hAnsi="Arial" w:cs="Arial"/>
                <w:color w:val="24364B"/>
                <w:sz w:val="22"/>
              </w:rPr>
              <w:t>• Potential improvements will be based on the strength of the evidence; results are not yet available.</w:t>
            </w:r>
            <w:r w:rsidR="00DA74CF">
              <w:rPr>
                <w:rFonts w:ascii="Arial" w:hAnsi="Arial" w:cs="Arial"/>
                <w:noProof/>
                <w:color w:val="24364B"/>
                <w:sz w:val="22"/>
              </w:rPr>
              <w:t xml:space="preserve"> </w:t>
            </w:r>
          </w:p>
        </w:tc>
        <w:tc>
          <w:tcPr>
            <w:tcW w:w="7200" w:type="dxa"/>
            <w:shd w:val="clear" w:color="auto" w:fill="EAF2FA"/>
          </w:tcPr>
          <w:p w14:paraId="6DD4A911" w14:textId="77777777" w:rsidR="00D3777F" w:rsidRPr="003F2252" w:rsidRDefault="00D3777F" w:rsidP="003F2252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1266DCDA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b/>
                <w:color w:val="175F84"/>
                <w:sz w:val="22"/>
              </w:rPr>
              <w:t>Proposed research process</w:t>
            </w:r>
          </w:p>
          <w:p w14:paraId="0F334B6C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b/>
                <w:color w:val="24364B"/>
                <w:sz w:val="22"/>
              </w:rPr>
              <w:t xml:space="preserve">Identify </w:t>
            </w:r>
            <w:proofErr w:type="gramStart"/>
            <w:r w:rsidRPr="003F2252">
              <w:rPr>
                <w:rFonts w:ascii="Arial" w:hAnsi="Arial" w:cs="Arial"/>
                <w:b/>
                <w:color w:val="24364B"/>
                <w:sz w:val="22"/>
              </w:rPr>
              <w:t>studies  →</w:t>
            </w:r>
            <w:proofErr w:type="gramEnd"/>
            <w:r w:rsidRPr="003F2252">
              <w:rPr>
                <w:rFonts w:ascii="Arial" w:hAnsi="Arial" w:cs="Arial"/>
                <w:b/>
                <w:color w:val="24364B"/>
                <w:sz w:val="22"/>
              </w:rPr>
              <w:t xml:space="preserve">  Screen and </w:t>
            </w:r>
            <w:proofErr w:type="gramStart"/>
            <w:r w:rsidRPr="003F2252">
              <w:rPr>
                <w:rFonts w:ascii="Arial" w:hAnsi="Arial" w:cs="Arial"/>
                <w:b/>
                <w:color w:val="24364B"/>
                <w:sz w:val="22"/>
              </w:rPr>
              <w:t>appraise  →</w:t>
            </w:r>
            <w:proofErr w:type="gramEnd"/>
            <w:r w:rsidRPr="003F2252">
              <w:rPr>
                <w:rFonts w:ascii="Arial" w:hAnsi="Arial" w:cs="Arial"/>
                <w:b/>
                <w:color w:val="24364B"/>
                <w:sz w:val="22"/>
              </w:rPr>
              <w:t xml:space="preserve">  Code </w:t>
            </w:r>
            <w:proofErr w:type="gramStart"/>
            <w:r w:rsidRPr="003F2252">
              <w:rPr>
                <w:rFonts w:ascii="Arial" w:hAnsi="Arial" w:cs="Arial"/>
                <w:b/>
                <w:color w:val="24364B"/>
                <w:sz w:val="22"/>
              </w:rPr>
              <w:t>findings  →</w:t>
            </w:r>
            <w:proofErr w:type="gramEnd"/>
            <w:r w:rsidRPr="003F2252">
              <w:rPr>
                <w:rFonts w:ascii="Arial" w:hAnsi="Arial" w:cs="Arial"/>
                <w:b/>
                <w:color w:val="24364B"/>
                <w:sz w:val="22"/>
              </w:rPr>
              <w:t xml:space="preserve">  Compare </w:t>
            </w:r>
            <w:proofErr w:type="gramStart"/>
            <w:r w:rsidRPr="003F2252">
              <w:rPr>
                <w:rFonts w:ascii="Arial" w:hAnsi="Arial" w:cs="Arial"/>
                <w:b/>
                <w:color w:val="24364B"/>
                <w:sz w:val="22"/>
              </w:rPr>
              <w:t>themes  →</w:t>
            </w:r>
            <w:proofErr w:type="gramEnd"/>
            <w:r w:rsidRPr="003F2252">
              <w:rPr>
                <w:rFonts w:ascii="Arial" w:hAnsi="Arial" w:cs="Arial"/>
                <w:b/>
                <w:color w:val="24364B"/>
                <w:sz w:val="22"/>
              </w:rPr>
              <w:t xml:space="preserve">  Recommend improvements</w:t>
            </w:r>
          </w:p>
          <w:p w14:paraId="3DE138DD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b/>
                <w:color w:val="175F84"/>
                <w:sz w:val="22"/>
              </w:rPr>
              <w:t>Data analysis</w:t>
            </w:r>
          </w:p>
          <w:p w14:paraId="044F4CD5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Use thematic analysis informed by Braun and Clarke (2021).</w:t>
            </w:r>
          </w:p>
          <w:p w14:paraId="714332FC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Read studies closely and code meaningful experiences.</w:t>
            </w:r>
          </w:p>
          <w:p w14:paraId="3A07E2CF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Develop and review themes across studies.</w:t>
            </w:r>
          </w:p>
          <w:p w14:paraId="5B950361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Compare conflicting accounts and identify evidence gaps.</w:t>
            </w:r>
          </w:p>
          <w:p w14:paraId="7EAF7474" w14:textId="1A4F368B" w:rsidR="00D3777F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 xml:space="preserve">• Possible areas to </w:t>
            </w:r>
            <w:r w:rsidR="00FE6A9D" w:rsidRPr="003F2252">
              <w:rPr>
                <w:rFonts w:ascii="Arial" w:hAnsi="Arial" w:cs="Arial"/>
                <w:color w:val="24364B"/>
                <w:sz w:val="22"/>
              </w:rPr>
              <w:t>explore</w:t>
            </w:r>
            <w:r w:rsidR="00FE6A9D">
              <w:rPr>
                <w:rFonts w:ascii="Arial" w:hAnsi="Arial" w:cs="Arial"/>
                <w:color w:val="24364B"/>
                <w:sz w:val="22"/>
              </w:rPr>
              <w:t xml:space="preserve">; </w:t>
            </w:r>
            <w:r w:rsidRPr="003F2252">
              <w:rPr>
                <w:rFonts w:ascii="Arial" w:hAnsi="Arial" w:cs="Arial"/>
                <w:color w:val="24364B"/>
                <w:sz w:val="22"/>
              </w:rPr>
              <w:t>uncertainty, distress, school and family life (not predetermined findings).</w:t>
            </w:r>
          </w:p>
          <w:p w14:paraId="361E5BCF" w14:textId="77777777" w:rsidR="00697D0D" w:rsidRPr="003F2252" w:rsidRDefault="00697D0D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2C138CA3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b/>
                <w:color w:val="175F84"/>
                <w:sz w:val="22"/>
              </w:rPr>
              <w:t>Ethical considerations</w:t>
            </w:r>
          </w:p>
          <w:p w14:paraId="050724DB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No direct recruitment or contact with children.</w:t>
            </w:r>
          </w:p>
          <w:p w14:paraId="7E1D9EA7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Cite sources accurately and avoid plagiarism.</w:t>
            </w:r>
          </w:p>
          <w:p w14:paraId="515C563E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Protect context when reporting sensitive experiences.</w:t>
            </w:r>
          </w:p>
          <w:p w14:paraId="5E655FD0" w14:textId="77777777" w:rsidR="00D3777F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Reflect on researcher bias and follow university ethics guidance.</w:t>
            </w:r>
          </w:p>
          <w:p w14:paraId="49B24094" w14:textId="77777777" w:rsidR="00697D0D" w:rsidRPr="003F2252" w:rsidRDefault="00697D0D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</w:p>
          <w:p w14:paraId="72199FDA" w14:textId="77777777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b/>
                <w:color w:val="175F84"/>
                <w:sz w:val="22"/>
              </w:rPr>
              <w:t>Why it matters</w:t>
            </w:r>
          </w:p>
          <w:p w14:paraId="5C16609C" w14:textId="5FF7B66B" w:rsidR="00D3777F" w:rsidRPr="003F2252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 xml:space="preserve">• Understanding experiences may </w:t>
            </w:r>
            <w:r w:rsidR="00FE6A9D" w:rsidRPr="003F2252">
              <w:rPr>
                <w:rFonts w:ascii="Arial" w:hAnsi="Arial" w:cs="Arial"/>
                <w:color w:val="24364B"/>
                <w:sz w:val="22"/>
              </w:rPr>
              <w:t>give</w:t>
            </w:r>
            <w:r w:rsidRPr="003F2252">
              <w:rPr>
                <w:rFonts w:ascii="Arial" w:hAnsi="Arial" w:cs="Arial"/>
                <w:color w:val="24364B"/>
                <w:sz w:val="22"/>
              </w:rPr>
              <w:t xml:space="preserve"> more responsive support while young people await specialist care.</w:t>
            </w:r>
          </w:p>
          <w:p w14:paraId="36BFA94F" w14:textId="77777777" w:rsidR="00697D0D" w:rsidRDefault="00000000" w:rsidP="003F2252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  <w:r w:rsidRPr="003F2252">
              <w:rPr>
                <w:rFonts w:ascii="Arial" w:hAnsi="Arial" w:cs="Arial"/>
                <w:color w:val="24364B"/>
                <w:sz w:val="22"/>
              </w:rPr>
              <w:t>• Conclusions must distinguish association from proven causation.</w:t>
            </w:r>
          </w:p>
          <w:p w14:paraId="2F4C4E63" w14:textId="77777777" w:rsidR="00697D0D" w:rsidRDefault="00697D0D" w:rsidP="003F2252">
            <w:pPr>
              <w:spacing w:after="80" w:line="360" w:lineRule="auto"/>
              <w:jc w:val="both"/>
              <w:rPr>
                <w:rFonts w:ascii="Arial" w:hAnsi="Arial" w:cs="Arial"/>
                <w:color w:val="24364B"/>
                <w:sz w:val="22"/>
              </w:rPr>
            </w:pPr>
          </w:p>
          <w:p w14:paraId="61852898" w14:textId="0D4D61DF" w:rsidR="00D3777F" w:rsidRPr="003F2252" w:rsidRDefault="00172EA4" w:rsidP="003F2252">
            <w:pPr>
              <w:spacing w:after="80" w:line="360" w:lineRule="auto"/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noProof/>
                <w:color w:val="24364B"/>
                <w:sz w:val="22"/>
              </w:rPr>
              <w:t xml:space="preserve"> </w:t>
            </w:r>
            <w:r w:rsidR="00697D0D">
              <w:rPr>
                <w:rFonts w:ascii="Arial" w:hAnsi="Arial" w:cs="Arial"/>
                <w:noProof/>
                <w:color w:val="24364B"/>
                <w:sz w:val="22"/>
              </w:rPr>
              <w:t xml:space="preserve">                                    </w:t>
            </w:r>
            <w:r>
              <w:rPr>
                <w:rFonts w:ascii="Arial" w:hAnsi="Arial" w:cs="Arial"/>
                <w:noProof/>
                <w:color w:val="24364B"/>
                <w:sz w:val="22"/>
              </w:rPr>
              <w:drawing>
                <wp:inline distT="0" distB="0" distL="0" distR="0" wp14:anchorId="6ADD444A" wp14:editId="2C8DE07B">
                  <wp:extent cx="1881051" cy="1978660"/>
                  <wp:effectExtent l="0" t="0" r="5080" b="2540"/>
                  <wp:docPr id="10000079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007997" name="Picture 1000007997"/>
                          <pic:cNvPicPr/>
                        </pic:nvPicPr>
                        <pic:blipFill>
                          <a:blip r:embed="rId7">
                            <a:extLs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87844" cy="20909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4A92C13" w14:textId="2E224B97" w:rsidR="00D3777F" w:rsidRDefault="00D3777F" w:rsidP="000C09E2">
      <w:pPr>
        <w:spacing w:before="100"/>
      </w:pPr>
    </w:p>
    <w:p w14:paraId="727FAB01" w14:textId="77777777" w:rsidR="00784BE8" w:rsidRDefault="00784BE8" w:rsidP="00784BE8">
      <w:pPr>
        <w:spacing w:before="100" w:line="360" w:lineRule="auto"/>
        <w:jc w:val="both"/>
        <w:rPr>
          <w:rFonts w:ascii="Arial" w:hAnsi="Arial" w:cs="Arial"/>
          <w:b/>
          <w:color w:val="164D6D"/>
          <w:sz w:val="22"/>
        </w:rPr>
      </w:pPr>
    </w:p>
    <w:p w14:paraId="1D1B33AB" w14:textId="77777777" w:rsidR="00784BE8" w:rsidRDefault="00784BE8" w:rsidP="00784BE8">
      <w:pPr>
        <w:spacing w:before="100" w:line="360" w:lineRule="auto"/>
        <w:jc w:val="both"/>
        <w:rPr>
          <w:rFonts w:ascii="Arial" w:hAnsi="Arial" w:cs="Arial"/>
          <w:b/>
          <w:color w:val="164D6D"/>
          <w:sz w:val="22"/>
        </w:rPr>
      </w:pPr>
    </w:p>
    <w:p w14:paraId="281B6673" w14:textId="77777777" w:rsidR="00784BE8" w:rsidRDefault="00784BE8" w:rsidP="00784BE8">
      <w:pPr>
        <w:spacing w:before="100" w:line="360" w:lineRule="auto"/>
        <w:jc w:val="both"/>
        <w:rPr>
          <w:rFonts w:ascii="Arial" w:hAnsi="Arial" w:cs="Arial"/>
          <w:b/>
          <w:color w:val="164D6D"/>
          <w:sz w:val="22"/>
        </w:rPr>
      </w:pPr>
    </w:p>
    <w:p w14:paraId="38CC5AA8" w14:textId="3799F366" w:rsidR="00EC0ED0" w:rsidRPr="00EC0ED0" w:rsidRDefault="00EC0ED0" w:rsidP="00784BE8">
      <w:pPr>
        <w:spacing w:before="100" w:line="360" w:lineRule="auto"/>
        <w:jc w:val="both"/>
        <w:rPr>
          <w:rFonts w:ascii="Arial" w:hAnsi="Arial" w:cs="Arial"/>
          <w:sz w:val="22"/>
        </w:rPr>
      </w:pPr>
      <w:r w:rsidRPr="00EC0ED0">
        <w:rPr>
          <w:rFonts w:ascii="Arial" w:hAnsi="Arial" w:cs="Arial"/>
          <w:b/>
          <w:color w:val="164D6D"/>
          <w:sz w:val="22"/>
        </w:rPr>
        <w:t>References (UWTSD Harvard style)</w:t>
      </w:r>
    </w:p>
    <w:p w14:paraId="12BEAC96" w14:textId="77777777" w:rsidR="00EC0ED0" w:rsidRPr="00EC0ED0" w:rsidRDefault="00EC0ED0" w:rsidP="00784BE8">
      <w:pPr>
        <w:spacing w:after="20" w:line="360" w:lineRule="auto"/>
        <w:jc w:val="both"/>
        <w:rPr>
          <w:rFonts w:ascii="Arial" w:hAnsi="Arial" w:cs="Arial"/>
          <w:sz w:val="22"/>
        </w:rPr>
      </w:pPr>
      <w:r w:rsidRPr="00EC0ED0">
        <w:rPr>
          <w:rFonts w:ascii="Arial" w:hAnsi="Arial" w:cs="Arial"/>
          <w:sz w:val="22"/>
        </w:rPr>
        <w:t>Braun, V. and Clarke, V. (2021) Thematic analysis: a practical guide. London: SAGE.</w:t>
      </w:r>
    </w:p>
    <w:p w14:paraId="37EFA9E5" w14:textId="77777777" w:rsidR="00EC0ED0" w:rsidRPr="00EC0ED0" w:rsidRDefault="00EC0ED0" w:rsidP="00784BE8">
      <w:pPr>
        <w:spacing w:after="20" w:line="360" w:lineRule="auto"/>
        <w:jc w:val="both"/>
        <w:rPr>
          <w:rFonts w:ascii="Arial" w:hAnsi="Arial" w:cs="Arial"/>
          <w:sz w:val="22"/>
        </w:rPr>
      </w:pPr>
      <w:r w:rsidRPr="00EC0ED0">
        <w:rPr>
          <w:rFonts w:ascii="Arial" w:hAnsi="Arial" w:cs="Arial"/>
          <w:sz w:val="22"/>
        </w:rPr>
        <w:t>Children’s Commissioner for England (2025) Children’s mental health services 2023–24. Available at: https://www.childrenscommissioner.gov.uk/resource/childrens-mental-health-services-2023-24/ (Accessed: 13 October 2026).</w:t>
      </w:r>
    </w:p>
    <w:p w14:paraId="005580E6" w14:textId="77777777" w:rsidR="00EC0ED0" w:rsidRPr="00EC0ED0" w:rsidRDefault="00EC0ED0" w:rsidP="00784BE8">
      <w:pPr>
        <w:spacing w:after="20" w:line="360" w:lineRule="auto"/>
        <w:jc w:val="both"/>
        <w:rPr>
          <w:rFonts w:ascii="Arial" w:hAnsi="Arial" w:cs="Arial"/>
          <w:sz w:val="22"/>
        </w:rPr>
      </w:pPr>
      <w:r w:rsidRPr="00EC0ED0">
        <w:rPr>
          <w:rFonts w:ascii="Arial" w:hAnsi="Arial" w:cs="Arial"/>
          <w:sz w:val="22"/>
        </w:rPr>
        <w:t>Page, M.J. et al. (</w:t>
      </w:r>
      <w:proofErr w:type="gramStart"/>
      <w:r w:rsidRPr="00EC0ED0">
        <w:rPr>
          <w:rFonts w:ascii="Arial" w:hAnsi="Arial" w:cs="Arial"/>
          <w:sz w:val="22"/>
        </w:rPr>
        <w:t>2021) ‘</w:t>
      </w:r>
      <w:proofErr w:type="gramEnd"/>
      <w:r w:rsidRPr="00EC0ED0">
        <w:rPr>
          <w:rFonts w:ascii="Arial" w:hAnsi="Arial" w:cs="Arial"/>
          <w:sz w:val="22"/>
        </w:rPr>
        <w:t xml:space="preserve">The PRISMA 2020 statement: an updated guideline for reporting systematic reviews’, BMJ, 372, n71. </w:t>
      </w:r>
      <w:proofErr w:type="spellStart"/>
      <w:r w:rsidRPr="00EC0ED0">
        <w:rPr>
          <w:rFonts w:ascii="Arial" w:hAnsi="Arial" w:cs="Arial"/>
          <w:sz w:val="22"/>
        </w:rPr>
        <w:t>doi</w:t>
      </w:r>
      <w:proofErr w:type="spellEnd"/>
      <w:r w:rsidRPr="00EC0ED0">
        <w:rPr>
          <w:rFonts w:ascii="Arial" w:hAnsi="Arial" w:cs="Arial"/>
          <w:sz w:val="22"/>
        </w:rPr>
        <w:t>: 10.1136/</w:t>
      </w:r>
      <w:proofErr w:type="gramStart"/>
      <w:r w:rsidRPr="00EC0ED0">
        <w:rPr>
          <w:rFonts w:ascii="Arial" w:hAnsi="Arial" w:cs="Arial"/>
          <w:sz w:val="22"/>
        </w:rPr>
        <w:t>bmj.n</w:t>
      </w:r>
      <w:proofErr w:type="gramEnd"/>
      <w:r w:rsidRPr="00EC0ED0">
        <w:rPr>
          <w:rFonts w:ascii="Arial" w:hAnsi="Arial" w:cs="Arial"/>
          <w:sz w:val="22"/>
        </w:rPr>
        <w:t>71.</w:t>
      </w:r>
    </w:p>
    <w:p w14:paraId="6B3EAEB3" w14:textId="77777777" w:rsidR="00EC0ED0" w:rsidRPr="00EC0ED0" w:rsidRDefault="00EC0ED0" w:rsidP="00784BE8">
      <w:pPr>
        <w:spacing w:after="20" w:line="360" w:lineRule="auto"/>
        <w:jc w:val="both"/>
        <w:rPr>
          <w:rFonts w:ascii="Arial" w:hAnsi="Arial" w:cs="Arial"/>
          <w:sz w:val="22"/>
        </w:rPr>
      </w:pPr>
      <w:r w:rsidRPr="00EC0ED0">
        <w:rPr>
          <w:rFonts w:ascii="Arial" w:hAnsi="Arial" w:cs="Arial"/>
          <w:sz w:val="22"/>
        </w:rPr>
        <w:t xml:space="preserve">Snyder, H. (2019) ‘Literature review as a research methodology: an overview and guidelines’, Journal of Business Research, 104, pp. 333–339. </w:t>
      </w:r>
      <w:proofErr w:type="spellStart"/>
      <w:r w:rsidRPr="00EC0ED0">
        <w:rPr>
          <w:rFonts w:ascii="Arial" w:hAnsi="Arial" w:cs="Arial"/>
          <w:sz w:val="22"/>
        </w:rPr>
        <w:t>doi</w:t>
      </w:r>
      <w:proofErr w:type="spellEnd"/>
      <w:r w:rsidRPr="00EC0ED0">
        <w:rPr>
          <w:rFonts w:ascii="Arial" w:hAnsi="Arial" w:cs="Arial"/>
          <w:sz w:val="22"/>
        </w:rPr>
        <w:t>: 10.1016/j.jbusres.2019.07.039.</w:t>
      </w:r>
    </w:p>
    <w:p w14:paraId="215BD789" w14:textId="77777777" w:rsidR="00EC0ED0" w:rsidRPr="00EC0ED0" w:rsidRDefault="00EC0ED0" w:rsidP="00784BE8">
      <w:pPr>
        <w:spacing w:before="100" w:line="360" w:lineRule="auto"/>
        <w:jc w:val="both"/>
        <w:rPr>
          <w:rFonts w:ascii="Arial" w:hAnsi="Arial" w:cs="Arial"/>
          <w:sz w:val="22"/>
        </w:rPr>
      </w:pPr>
    </w:p>
    <w:sectPr w:rsidR="00EC0ED0" w:rsidRPr="00EC0ED0" w:rsidSect="00034616">
      <w:pgSz w:w="23040" w:h="17280" w:orient="landscape"/>
      <w:pgMar w:top="504" w:right="605" w:bottom="432" w:left="605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84082315">
    <w:abstractNumId w:val="8"/>
  </w:num>
  <w:num w:numId="2" w16cid:durableId="1150294845">
    <w:abstractNumId w:val="6"/>
  </w:num>
  <w:num w:numId="3" w16cid:durableId="2084987250">
    <w:abstractNumId w:val="5"/>
  </w:num>
  <w:num w:numId="4" w16cid:durableId="76945667">
    <w:abstractNumId w:val="4"/>
  </w:num>
  <w:num w:numId="5" w16cid:durableId="1599630058">
    <w:abstractNumId w:val="7"/>
  </w:num>
  <w:num w:numId="6" w16cid:durableId="2129622572">
    <w:abstractNumId w:val="3"/>
  </w:num>
  <w:num w:numId="7" w16cid:durableId="1108237761">
    <w:abstractNumId w:val="2"/>
  </w:num>
  <w:num w:numId="8" w16cid:durableId="908804877">
    <w:abstractNumId w:val="1"/>
  </w:num>
  <w:num w:numId="9" w16cid:durableId="10616319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90A42"/>
    <w:rsid w:val="000C09E2"/>
    <w:rsid w:val="0015074B"/>
    <w:rsid w:val="00172EA4"/>
    <w:rsid w:val="0029639D"/>
    <w:rsid w:val="00326F90"/>
    <w:rsid w:val="003907ED"/>
    <w:rsid w:val="003F2252"/>
    <w:rsid w:val="004D123C"/>
    <w:rsid w:val="00697D0D"/>
    <w:rsid w:val="00784BE8"/>
    <w:rsid w:val="00AA1D8D"/>
    <w:rsid w:val="00B47730"/>
    <w:rsid w:val="00CB0664"/>
    <w:rsid w:val="00D3777F"/>
    <w:rsid w:val="00DA74CF"/>
    <w:rsid w:val="00DB5AE2"/>
    <w:rsid w:val="00EC0ED0"/>
    <w:rsid w:val="00F24548"/>
    <w:rsid w:val="00F5231C"/>
    <w:rsid w:val="00FC693F"/>
    <w:rsid w:val="00FE6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60FD4D34-D516-4735-B3B0-CD854F908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60"/>
    </w:pPr>
    <w:rPr>
      <w:rFonts w:ascii="Aptos" w:hAnsi="Aptos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awpixel.com/search/psychology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547</Words>
  <Characters>3121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3661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Alya Javed</cp:lastModifiedBy>
  <cp:revision>14</cp:revision>
  <dcterms:created xsi:type="dcterms:W3CDTF">2013-12-23T23:15:00Z</dcterms:created>
  <dcterms:modified xsi:type="dcterms:W3CDTF">2026-10-13T15:35:00Z</dcterms:modified>
  <cp:category/>
</cp:coreProperties>
</file>