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E55F8D" w14:textId="77777777" w:rsidR="00D755BD" w:rsidRDefault="00D755BD" w:rsidP="00D755BD">
      <w:pPr>
        <w:pStyle w:val="Default"/>
        <w:rPr>
          <w:sz w:val="22"/>
          <w:szCs w:val="22"/>
        </w:rPr>
      </w:pPr>
      <w:r>
        <w:rPr>
          <w:b/>
          <w:bCs/>
          <w:sz w:val="22"/>
          <w:szCs w:val="22"/>
        </w:rPr>
        <w:t xml:space="preserve">Essay two: </w:t>
      </w:r>
    </w:p>
    <w:p w14:paraId="638F9044" w14:textId="77777777" w:rsidR="00D755BD" w:rsidRDefault="00D755BD" w:rsidP="00D755BD">
      <w:pPr>
        <w:pStyle w:val="Default"/>
        <w:rPr>
          <w:sz w:val="22"/>
          <w:szCs w:val="22"/>
        </w:rPr>
      </w:pPr>
      <w:r>
        <w:rPr>
          <w:sz w:val="22"/>
          <w:szCs w:val="22"/>
        </w:rPr>
        <w:t xml:space="preserve">Choose </w:t>
      </w:r>
      <w:r>
        <w:rPr>
          <w:b/>
          <w:bCs/>
          <w:sz w:val="22"/>
          <w:szCs w:val="22"/>
        </w:rPr>
        <w:t xml:space="preserve">one </w:t>
      </w:r>
      <w:r>
        <w:rPr>
          <w:sz w:val="22"/>
          <w:szCs w:val="22"/>
        </w:rPr>
        <w:t xml:space="preserve">of the following questions: </w:t>
      </w:r>
    </w:p>
    <w:p w14:paraId="159E7E36" w14:textId="77777777" w:rsidR="00D755BD" w:rsidRDefault="00D755BD" w:rsidP="00D755BD">
      <w:pPr>
        <w:pStyle w:val="Default"/>
        <w:rPr>
          <w:sz w:val="22"/>
          <w:szCs w:val="22"/>
        </w:rPr>
      </w:pPr>
      <w:r>
        <w:rPr>
          <w:sz w:val="22"/>
          <w:szCs w:val="22"/>
        </w:rPr>
        <w:t xml:space="preserve">• </w:t>
      </w:r>
      <w:r>
        <w:rPr>
          <w:b/>
          <w:bCs/>
          <w:sz w:val="22"/>
          <w:szCs w:val="22"/>
        </w:rPr>
        <w:t xml:space="preserve">Response policing </w:t>
      </w:r>
      <w:r>
        <w:rPr>
          <w:sz w:val="22"/>
          <w:szCs w:val="22"/>
        </w:rPr>
        <w:t xml:space="preserve">– Assess the extent of response officers’ role in dealing with critical and major incidents. </w:t>
      </w:r>
    </w:p>
    <w:p w14:paraId="6EFD7AB0" w14:textId="75C1F267" w:rsidR="00D755BD" w:rsidRDefault="00D755BD" w:rsidP="00D755BD">
      <w:pPr>
        <w:pStyle w:val="Default"/>
        <w:rPr>
          <w:sz w:val="22"/>
          <w:szCs w:val="22"/>
        </w:rPr>
      </w:pPr>
    </w:p>
    <w:p w14:paraId="6F15D733" w14:textId="0D58AD0C" w:rsidR="00D755BD" w:rsidRDefault="00D755BD" w:rsidP="00D755BD">
      <w:pPr>
        <w:rPr>
          <w:b/>
          <w:bCs/>
        </w:rPr>
      </w:pPr>
      <w:r>
        <w:rPr>
          <w:b/>
          <w:bCs/>
        </w:rPr>
        <w:t xml:space="preserve">Word limit: </w:t>
      </w:r>
      <w:r>
        <w:t>1000 words.</w:t>
      </w:r>
    </w:p>
    <w:p w14:paraId="432077D6" w14:textId="42143C8B" w:rsidR="00D755BD" w:rsidRDefault="00D755BD">
      <w:r>
        <w:rPr>
          <w:b/>
          <w:bCs/>
        </w:rPr>
        <w:tab/>
      </w:r>
      <w:r>
        <w:t xml:space="preserve">Response officers play a crucial role in maintaining public order, ensuring safety, and addressing various incidents including critical and major incidents. Their responsibilities are diverse and multifaceted, requiring a balance of immediate action and strategic planning. </w:t>
      </w:r>
      <w:r w:rsidR="00B9396E">
        <w:t>This essay</w:t>
      </w:r>
      <w:r>
        <w:t xml:space="preserve"> aims to assess the extent of their roles and evaluate the effectiveness in </w:t>
      </w:r>
      <w:r w:rsidR="00F13875">
        <w:t xml:space="preserve">dealing with critical and major incidents. </w:t>
      </w:r>
    </w:p>
    <w:p w14:paraId="6A44E841" w14:textId="097F3C68" w:rsidR="00B9396E" w:rsidRDefault="00B9396E">
      <w:r>
        <w:tab/>
        <w:t>Response officers are typically the first responders to emergencies and incidents</w:t>
      </w:r>
      <w:r w:rsidR="00831CBF">
        <w:t xml:space="preserve">. Their main duties revolve around responding to 999 calls, maintaining public order, investigating crimes as well as providing reassurance and support to the public both as victims and subjects. </w:t>
      </w:r>
    </w:p>
    <w:p w14:paraId="5056CBC9" w14:textId="7CBBA0F2" w:rsidR="002345BC" w:rsidRDefault="002345BC">
      <w:r>
        <w:tab/>
        <w:t xml:space="preserve">The College of Policing defines a critical incident as </w:t>
      </w:r>
      <w:r w:rsidRPr="002345BC">
        <w:t>“any incident where the effectiveness of the police response is likely to have a significant impact on the confidence of the victim, their family and/or the community” (2013)</w:t>
      </w:r>
      <w:r>
        <w:t xml:space="preserve">. After the tragic death of Stephen Lawrence in </w:t>
      </w:r>
      <w:r w:rsidR="00F7668C">
        <w:t xml:space="preserve">1993 and the subsequent report by Macpherson that followed the Metropolitan Police recognised that although critical incidents can be managed as effectively and as perfectly as possible their can still be a negative public perception as well as effect on the public.  </w:t>
      </w:r>
    </w:p>
    <w:p w14:paraId="6357B79A" w14:textId="385A452A" w:rsidR="002345BC" w:rsidRDefault="0005260F">
      <w:r>
        <w:tab/>
        <w:t xml:space="preserve">Due to this potential response of the police have adopted the Critical Incident Management </w:t>
      </w:r>
      <w:r w:rsidR="006B5B35">
        <w:t xml:space="preserve">approach. This </w:t>
      </w:r>
      <w:r w:rsidR="003B7A85">
        <w:t>three-step</w:t>
      </w:r>
      <w:r w:rsidR="006B5B35">
        <w:t xml:space="preserve"> process aims to ensure the incident is managed not only effectively but also ensure that </w:t>
      </w:r>
      <w:r w:rsidR="00047140">
        <w:t xml:space="preserve">the needs of the families and public are also managed (College of Policing, 2013). These three stages are based around preparing for the incident, managing the </w:t>
      </w:r>
      <w:r w:rsidR="003B7A85">
        <w:t>incident,</w:t>
      </w:r>
      <w:r w:rsidR="00047140">
        <w:t xml:space="preserve"> and then restoring the confidence of the public. </w:t>
      </w:r>
    </w:p>
    <w:p w14:paraId="60399804" w14:textId="67DB0191" w:rsidR="00663C7E" w:rsidRDefault="00663C7E">
      <w:r>
        <w:tab/>
        <w:t xml:space="preserve">The preparation stage ensures that even before a critical incident occurs that response officers are adequately trained to deal with a range of situations that can arise. The College of Policing provides extensive training programs focused on critical incident management, public order and major incident responses. These training programs are aimed at ensuring officers have the necessary skills and knowledge for when incidents occur. </w:t>
      </w:r>
    </w:p>
    <w:p w14:paraId="145E8F59" w14:textId="2FE3BD7C" w:rsidR="00663C7E" w:rsidRDefault="00663C7E">
      <w:r>
        <w:tab/>
      </w:r>
      <w:r w:rsidR="0041684F">
        <w:t xml:space="preserve">The second stage involves recognising when a critical incident is occurring and ensuring the correct people for the job are attending in order to ensure it is managed as best as it can be. </w:t>
      </w:r>
    </w:p>
    <w:p w14:paraId="5EC1F716" w14:textId="21B53C15" w:rsidR="0041684F" w:rsidRDefault="0041684F">
      <w:r>
        <w:tab/>
        <w:t xml:space="preserve">The third and final stage revolves around restoring public confidence in cases where perhaps the critical incident was not initially recognised. In these cases it is imperative that public perception and confidence is maintained and restored if needed. </w:t>
      </w:r>
    </w:p>
    <w:p w14:paraId="7CD7CE2E" w14:textId="4D38113C" w:rsidR="00047140" w:rsidRDefault="003B7A85">
      <w:r>
        <w:tab/>
      </w:r>
      <w:r w:rsidR="00153F35">
        <w:t>A major incident is defined by the College of Policing (2018) as an incident that usually involves a large number of people as well as involving one or more of the emergency services under one major incident plan.</w:t>
      </w:r>
    </w:p>
    <w:p w14:paraId="5163CE20" w14:textId="40805FE8" w:rsidR="00153F35" w:rsidRDefault="00153F35">
      <w:r>
        <w:tab/>
        <w:t xml:space="preserve">Upon attendance at an incident that an officer feels is, or has the potential to develop into  a major incident, communication is key in enabling all relevant services to understand exactly what is going on. In order to convey this information effectively the mnemonic METHANE is used. Firstly ‘M’ is to declare that a major incident has, is or is going to occur. ‘E’ is to convey the exact location of the incident ensuring directions are as precise as possible. ‘T’ is to explain the exact type of incident that </w:t>
      </w:r>
      <w:r>
        <w:lastRenderedPageBreak/>
        <w:t xml:space="preserve">is occurring, this could range from a large scale fire, flooding or even an outbreak of a disease. ‘H’ relies on the officer explaining the different types of hazards that are likely to have an impact of the response of the different services. This could relate to things like a block road to a potential possession of weapons such as guns or acids. Next comes ‘A’ which relates to the access available to the incident. Are there any hazards or issues that will affect emergency services assessing and leaving the incident. The penultimate part of the mnemonic is ‘N’ which relates to the number of casualties at the scene and then classifying them base don’t their injuries. Finally ‘E’ relates to the emergency services that will be required to attend (College of Policing, 2024). </w:t>
      </w:r>
    </w:p>
    <w:p w14:paraId="66E251BF" w14:textId="14A85EFE" w:rsidR="00153F35" w:rsidRDefault="00153F35" w:rsidP="00153F35">
      <w:r>
        <w:tab/>
        <w:t xml:space="preserve">An example of a major incident that has required in recent years and has required the services of multiple agencies was the fire that ripped through Grenfell Tower in London in 2017 killing 72 people (Bulley &amp; Brasset, 2021). Police, firefighters and ambulance workers were at the scene for hours with more than 50 people taken to hospital throughout the night (BBC, 2017). This situation involved effective communication from all services ensuring that everybody involved knew the dangers, the risks and were aware of the goal they were trying to achieve. </w:t>
      </w:r>
    </w:p>
    <w:p w14:paraId="6A3ECDFB" w14:textId="1E996DF8" w:rsidR="00153F35" w:rsidRDefault="00153F35" w:rsidP="00153F35">
      <w:r>
        <w:tab/>
        <w:t>A further example of a major incident happened on July 7</w:t>
      </w:r>
      <w:r w:rsidRPr="00153F35">
        <w:rPr>
          <w:vertAlign w:val="superscript"/>
        </w:rPr>
        <w:t>th</w:t>
      </w:r>
      <w:r>
        <w:t xml:space="preserve"> 2005 when four suicide bombers set off explosives in London killing 52 people and injuries to 100s more (R</w:t>
      </w:r>
      <w:r w:rsidRPr="00153F35">
        <w:t>odgers, Qurashi and Connor, 2015</w:t>
      </w:r>
      <w:r>
        <w:t xml:space="preserve">). This incident again involved police, ambulance and the fire services all working together to control the aftermath of the incident as best they could. With effective communication </w:t>
      </w:r>
    </w:p>
    <w:p w14:paraId="6D1AF28C" w14:textId="51DAABB5" w:rsidR="00153F35" w:rsidRDefault="00153F35" w:rsidP="00153F35">
      <w:pPr>
        <w:ind w:firstLine="720"/>
      </w:pPr>
      <w:r>
        <w:t xml:space="preserve">In conclusion the role of response officers in dealing with critical and major incidents cannot be understated. It is the role of the response officers to make that initial decision that a critical incident or a major incident is occurring and pass over the information required in the METHANE mnemonic. The effectiveness of this communication is something that can have a dramatic effect on how the incident develops. Without effective and accurate communication hazards, risks and information cannot be passed over to the other emergency services and as such there is a risk that the other services will not be fully informed.  It is also vital in these circumstances that the emergency services including the initial response officers are also effective at maintaining and restoring public confidence during a critical and major incident. </w:t>
      </w:r>
    </w:p>
    <w:p w14:paraId="7EDA109D" w14:textId="77777777" w:rsidR="00153F35" w:rsidRDefault="00153F35" w:rsidP="00153F35"/>
    <w:p w14:paraId="36868AA1" w14:textId="60F1713E" w:rsidR="00153F35" w:rsidRDefault="00153F35" w:rsidP="00153F35">
      <w:r>
        <w:t>Word Count - 934</w:t>
      </w:r>
    </w:p>
    <w:p w14:paraId="1AC02588" w14:textId="77777777" w:rsidR="00973E71" w:rsidRDefault="00973E71"/>
    <w:p w14:paraId="2E3A5DBD" w14:textId="23031DB0" w:rsidR="00F13875" w:rsidRPr="00153F35" w:rsidRDefault="00831CBF">
      <w:pPr>
        <w:rPr>
          <w:u w:val="single"/>
        </w:rPr>
      </w:pPr>
      <w:r w:rsidRPr="00153F35">
        <w:rPr>
          <w:u w:val="single"/>
        </w:rPr>
        <w:t xml:space="preserve">Bibliography </w:t>
      </w:r>
    </w:p>
    <w:p w14:paraId="57B954BA" w14:textId="60F84F12" w:rsidR="00153F35" w:rsidRDefault="00153F35">
      <w:r>
        <w:t xml:space="preserve">BBC (2017) </w:t>
      </w:r>
      <w:r w:rsidRPr="00153F35">
        <w:t>‘Amazing’ emergency services work through night at Grenfell Tower fire. BBC News. [online] 14 Jun. Available at: https://www.bbc.co.uk/news/newsbeat-40270546.</w:t>
      </w:r>
    </w:p>
    <w:p w14:paraId="58B6839A" w14:textId="29F05236" w:rsidR="003B7A85" w:rsidRDefault="00153F35">
      <w:r w:rsidRPr="00153F35">
        <w:t xml:space="preserve">Bulley, D., &amp; Brassett, J. (2021). Everyday ethics of the global event: Grenfell Tower and the politics of responsibility. Globalizations, 18(4), 551–567. </w:t>
      </w:r>
      <w:hyperlink r:id="rId4" w:history="1">
        <w:r w:rsidRPr="005003D4">
          <w:rPr>
            <w:rStyle w:val="Hyperlink"/>
          </w:rPr>
          <w:t>https://doi.org/10.1080/14747731.2020.1798109</w:t>
        </w:r>
      </w:hyperlink>
      <w:r>
        <w:t xml:space="preserve"> </w:t>
      </w:r>
    </w:p>
    <w:p w14:paraId="7AEBABF2" w14:textId="1D14BD5B" w:rsidR="00831CBF" w:rsidRDefault="00831CBF">
      <w:r>
        <w:t>College of Policing</w:t>
      </w:r>
      <w:r w:rsidRPr="00831CBF">
        <w:t xml:space="preserve"> (2013). Introduction and types of critical incidents | College of Policing. [online] Available at: https://www.college.police.uk/app/critical-incident-management/introduction-and-types-critical-incidents?highlight=graded%20response%20system [Accessed 20 May 2024].</w:t>
      </w:r>
      <w:r>
        <w:t xml:space="preserve">  </w:t>
      </w:r>
    </w:p>
    <w:p w14:paraId="38CC0B05" w14:textId="7D0CF374" w:rsidR="00153F35" w:rsidRDefault="00153F35">
      <w:pPr>
        <w:rPr>
          <w:sz w:val="20"/>
          <w:szCs w:val="20"/>
        </w:rPr>
      </w:pPr>
      <w:r w:rsidRPr="00153F35">
        <w:t xml:space="preserve">College of Policing (2018). Definitions. [online] College of Policing. Available at: </w:t>
      </w:r>
      <w:hyperlink r:id="rId5" w:history="1">
        <w:r w:rsidRPr="005003D4">
          <w:rPr>
            <w:rStyle w:val="Hyperlink"/>
          </w:rPr>
          <w:t>https://www.college.police.uk/app/civil-emergencies/disaster-victim-identification/definitions</w:t>
        </w:r>
      </w:hyperlink>
      <w:r w:rsidRPr="00153F35">
        <w:t>.</w:t>
      </w:r>
      <w:r>
        <w:t xml:space="preserve"> </w:t>
      </w:r>
      <w:r>
        <w:rPr>
          <w:sz w:val="20"/>
          <w:szCs w:val="20"/>
        </w:rPr>
        <w:t>[Accessed 20 May 2024]</w:t>
      </w:r>
    </w:p>
    <w:p w14:paraId="2A0DE8AD" w14:textId="518D3EBA" w:rsidR="00153F35" w:rsidRPr="00153F35" w:rsidRDefault="00153F35">
      <w:r w:rsidRPr="00153F35">
        <w:lastRenderedPageBreak/>
        <w:t>College of Policing (2024</w:t>
      </w:r>
      <w:r w:rsidRPr="00153F35">
        <w:t xml:space="preserve">). Response | College of Policing. [online] Available at: </w:t>
      </w:r>
      <w:hyperlink r:id="rId6" w:history="1">
        <w:r w:rsidRPr="00153F35">
          <w:rPr>
            <w:rStyle w:val="Hyperlink"/>
          </w:rPr>
          <w:t>https://www.college.police.uk/app/civil-emergencies/civil-contingencies/response#methane-e059b494-0e79-4af5-b515-b4615168845b</w:t>
        </w:r>
      </w:hyperlink>
      <w:r w:rsidRPr="00153F35">
        <w:t>.</w:t>
      </w:r>
      <w:r w:rsidRPr="00153F35">
        <w:t xml:space="preserve"> [Accessed 20 May 2024]</w:t>
      </w:r>
    </w:p>
    <w:p w14:paraId="416A2616" w14:textId="733BFC51" w:rsidR="002345BC" w:rsidRDefault="002345BC" w:rsidP="002345BC">
      <w:pPr>
        <w:pStyle w:val="NormalWeb"/>
        <w:spacing w:before="0" w:beforeAutospacing="0" w:after="0" w:afterAutospacing="0" w:line="360" w:lineRule="atLeast"/>
        <w:rPr>
          <w:rFonts w:ascii="Calibri" w:hAnsi="Calibri" w:cs="Calibri"/>
          <w:color w:val="000000"/>
          <w:sz w:val="22"/>
          <w:szCs w:val="22"/>
        </w:rPr>
      </w:pPr>
      <w:r w:rsidRPr="002345BC">
        <w:rPr>
          <w:rFonts w:asciiTheme="minorHAnsi" w:hAnsiTheme="minorHAnsi" w:cstheme="minorHAnsi"/>
          <w:color w:val="000000"/>
          <w:sz w:val="22"/>
          <w:szCs w:val="22"/>
        </w:rPr>
        <w:t>Home Office (1999). </w:t>
      </w:r>
      <w:r w:rsidRPr="002345BC">
        <w:rPr>
          <w:rFonts w:asciiTheme="minorHAnsi" w:hAnsiTheme="minorHAnsi" w:cstheme="minorHAnsi"/>
          <w:i/>
          <w:iCs/>
          <w:color w:val="000000"/>
          <w:sz w:val="22"/>
          <w:szCs w:val="22"/>
        </w:rPr>
        <w:t>The Stephen Lawrence Inquiry</w:t>
      </w:r>
      <w:r w:rsidRPr="002345BC">
        <w:rPr>
          <w:rFonts w:asciiTheme="minorHAnsi" w:hAnsiTheme="minorHAnsi" w:cstheme="minorHAnsi"/>
          <w:color w:val="000000"/>
          <w:sz w:val="22"/>
          <w:szCs w:val="22"/>
        </w:rPr>
        <w:t xml:space="preserve">. [online] GOV.UK. Available at: </w:t>
      </w:r>
      <w:hyperlink r:id="rId7" w:history="1">
        <w:r w:rsidR="003B7A85" w:rsidRPr="005003D4">
          <w:rPr>
            <w:rStyle w:val="Hyperlink"/>
            <w:rFonts w:asciiTheme="minorHAnsi" w:hAnsiTheme="minorHAnsi" w:cstheme="minorHAnsi"/>
            <w:sz w:val="22"/>
            <w:szCs w:val="22"/>
          </w:rPr>
          <w:t>https://www.</w:t>
        </w:r>
        <w:r w:rsidR="003B7A85" w:rsidRPr="005003D4">
          <w:rPr>
            <w:rStyle w:val="Hyperlink"/>
            <w:rFonts w:ascii="Calibri" w:hAnsi="Calibri" w:cs="Calibri"/>
            <w:sz w:val="22"/>
            <w:szCs w:val="22"/>
          </w:rPr>
          <w:t>gov.uk/government/publications/the-stephen-lawrence-inquiry</w:t>
        </w:r>
      </w:hyperlink>
      <w:r w:rsidRPr="002345BC">
        <w:rPr>
          <w:rFonts w:ascii="Calibri" w:hAnsi="Calibri" w:cs="Calibri"/>
          <w:color w:val="000000"/>
          <w:sz w:val="22"/>
          <w:szCs w:val="22"/>
        </w:rPr>
        <w:t>.</w:t>
      </w:r>
      <w:r w:rsidR="003B7A85">
        <w:rPr>
          <w:rFonts w:ascii="Calibri" w:hAnsi="Calibri" w:cs="Calibri"/>
          <w:color w:val="000000"/>
          <w:sz w:val="22"/>
          <w:szCs w:val="22"/>
        </w:rPr>
        <w:t xml:space="preserve"> </w:t>
      </w:r>
    </w:p>
    <w:p w14:paraId="52FDD59A" w14:textId="77777777" w:rsidR="003B7A85" w:rsidRDefault="003B7A85" w:rsidP="002345BC">
      <w:pPr>
        <w:pStyle w:val="NormalWeb"/>
        <w:spacing w:before="0" w:beforeAutospacing="0" w:after="0" w:afterAutospacing="0" w:line="360" w:lineRule="atLeast"/>
        <w:rPr>
          <w:rFonts w:ascii="Calibri" w:hAnsi="Calibri" w:cs="Calibri"/>
          <w:color w:val="000000"/>
          <w:sz w:val="22"/>
          <w:szCs w:val="22"/>
        </w:rPr>
      </w:pPr>
    </w:p>
    <w:p w14:paraId="289D9D8E" w14:textId="0D0DE24A" w:rsidR="00153F35" w:rsidRDefault="00153F35" w:rsidP="002345BC">
      <w:pPr>
        <w:pStyle w:val="NormalWeb"/>
        <w:spacing w:before="0" w:beforeAutospacing="0" w:after="0" w:afterAutospacing="0" w:line="360" w:lineRule="atLeast"/>
        <w:rPr>
          <w:rFonts w:ascii="Calibri" w:hAnsi="Calibri" w:cs="Calibri"/>
          <w:color w:val="000000"/>
          <w:sz w:val="22"/>
          <w:szCs w:val="22"/>
        </w:rPr>
      </w:pPr>
      <w:r w:rsidRPr="00153F35">
        <w:rPr>
          <w:rFonts w:ascii="Calibri" w:hAnsi="Calibri" w:cs="Calibri"/>
          <w:color w:val="000000"/>
          <w:sz w:val="22"/>
          <w:szCs w:val="22"/>
        </w:rPr>
        <w:t xml:space="preserve">Rodgers, L., Qurashi, S. and Connor, S. (2015). 7 July London bombings: What happened that day? BBC News. [online] 3 Jul. Available at: </w:t>
      </w:r>
      <w:hyperlink r:id="rId8" w:history="1">
        <w:r w:rsidRPr="005003D4">
          <w:rPr>
            <w:rStyle w:val="Hyperlink"/>
            <w:rFonts w:ascii="Calibri" w:hAnsi="Calibri" w:cs="Calibri"/>
            <w:sz w:val="22"/>
            <w:szCs w:val="22"/>
          </w:rPr>
          <w:t>https://www.bbc.co.uk/news/uk-33253598</w:t>
        </w:r>
      </w:hyperlink>
      <w:r w:rsidRPr="00153F35">
        <w:rPr>
          <w:rFonts w:ascii="Calibri" w:hAnsi="Calibri" w:cs="Calibri"/>
          <w:color w:val="000000"/>
          <w:sz w:val="22"/>
          <w:szCs w:val="22"/>
        </w:rPr>
        <w:t>.</w:t>
      </w:r>
      <w:r>
        <w:rPr>
          <w:rFonts w:ascii="Calibri" w:hAnsi="Calibri" w:cs="Calibri"/>
          <w:color w:val="000000"/>
          <w:sz w:val="22"/>
          <w:szCs w:val="22"/>
        </w:rPr>
        <w:t xml:space="preserve"> </w:t>
      </w:r>
    </w:p>
    <w:p w14:paraId="0394D5E9" w14:textId="77777777" w:rsidR="00153F35" w:rsidRDefault="00153F35" w:rsidP="002345BC">
      <w:pPr>
        <w:pStyle w:val="NormalWeb"/>
        <w:spacing w:before="0" w:beforeAutospacing="0" w:after="0" w:afterAutospacing="0" w:line="360" w:lineRule="atLeast"/>
        <w:rPr>
          <w:rFonts w:ascii="Calibri" w:hAnsi="Calibri" w:cs="Calibri"/>
          <w:color w:val="000000"/>
          <w:sz w:val="22"/>
          <w:szCs w:val="22"/>
        </w:rPr>
      </w:pPr>
    </w:p>
    <w:p w14:paraId="14C86070" w14:textId="224FD2C7" w:rsidR="00D755BD" w:rsidRPr="00153F35" w:rsidRDefault="00153F35">
      <w:pPr>
        <w:rPr>
          <w:rFonts w:cstheme="minorHAnsi"/>
          <w:b/>
          <w:bCs/>
        </w:rPr>
      </w:pPr>
      <w:r w:rsidRPr="00153F35">
        <w:rPr>
          <w:rFonts w:eastAsia="Times New Roman" w:cstheme="minorHAnsi"/>
          <w:color w:val="000000"/>
          <w:kern w:val="0"/>
          <w:lang w:eastAsia="en-GB"/>
          <w14:ligatures w14:val="none"/>
        </w:rPr>
        <w:t>Roycroft, M. and Roach, J. (2019). Decision Making in Police Enquiries and Critical Incidents : What Really Works? London: Palgrave Macmillan Uk.</w:t>
      </w:r>
    </w:p>
    <w:p w14:paraId="39893936" w14:textId="77777777" w:rsidR="00D755BD" w:rsidRDefault="00D755BD">
      <w:pPr>
        <w:rPr>
          <w:b/>
          <w:bCs/>
        </w:rPr>
      </w:pPr>
    </w:p>
    <w:p w14:paraId="0C95733F" w14:textId="77777777" w:rsidR="00D755BD" w:rsidRDefault="00D755BD">
      <w:pPr>
        <w:rPr>
          <w:b/>
          <w:bCs/>
        </w:rPr>
      </w:pPr>
    </w:p>
    <w:p w14:paraId="3E5A905D" w14:textId="77777777" w:rsidR="00D755BD" w:rsidRDefault="00D755BD">
      <w:pPr>
        <w:rPr>
          <w:b/>
          <w:bCs/>
        </w:rPr>
      </w:pPr>
    </w:p>
    <w:p w14:paraId="3048F37A" w14:textId="77777777" w:rsidR="00D755BD" w:rsidRDefault="00D755BD">
      <w:pPr>
        <w:rPr>
          <w:b/>
          <w:bCs/>
        </w:rPr>
      </w:pPr>
    </w:p>
    <w:p w14:paraId="25AC009D" w14:textId="77777777" w:rsidR="00D755BD" w:rsidRDefault="00D755BD">
      <w:pPr>
        <w:rPr>
          <w:b/>
          <w:bCs/>
        </w:rPr>
      </w:pPr>
    </w:p>
    <w:p w14:paraId="68F9F95D" w14:textId="77777777" w:rsidR="00D755BD" w:rsidRDefault="00D755BD">
      <w:pPr>
        <w:rPr>
          <w:b/>
          <w:bCs/>
        </w:rPr>
      </w:pPr>
    </w:p>
    <w:p w14:paraId="2E6A8AD1" w14:textId="77777777" w:rsidR="00D755BD" w:rsidRDefault="00D755BD">
      <w:pPr>
        <w:rPr>
          <w:b/>
          <w:bCs/>
        </w:rPr>
      </w:pPr>
    </w:p>
    <w:p w14:paraId="13745FAD" w14:textId="77777777" w:rsidR="00D755BD" w:rsidRDefault="00D755BD">
      <w:pPr>
        <w:rPr>
          <w:b/>
          <w:bCs/>
        </w:rPr>
      </w:pPr>
    </w:p>
    <w:p w14:paraId="49458C14" w14:textId="77777777" w:rsidR="00D755BD" w:rsidRDefault="00D755BD">
      <w:pPr>
        <w:rPr>
          <w:b/>
          <w:bCs/>
        </w:rPr>
      </w:pPr>
    </w:p>
    <w:p w14:paraId="1CF72A62" w14:textId="77777777" w:rsidR="00D755BD" w:rsidRDefault="00D755BD">
      <w:pPr>
        <w:rPr>
          <w:b/>
          <w:bCs/>
        </w:rPr>
      </w:pPr>
    </w:p>
    <w:p w14:paraId="12090A7A" w14:textId="77777777" w:rsidR="00D755BD" w:rsidRDefault="00D755BD">
      <w:pPr>
        <w:rPr>
          <w:b/>
          <w:bCs/>
        </w:rPr>
      </w:pPr>
    </w:p>
    <w:p w14:paraId="5A9C679B" w14:textId="77777777" w:rsidR="00D755BD" w:rsidRDefault="00D755BD">
      <w:pPr>
        <w:rPr>
          <w:b/>
          <w:bCs/>
        </w:rPr>
      </w:pPr>
    </w:p>
    <w:p w14:paraId="699641C8" w14:textId="77777777" w:rsidR="00153F35" w:rsidRDefault="00153F35">
      <w:pPr>
        <w:rPr>
          <w:b/>
          <w:bCs/>
        </w:rPr>
      </w:pPr>
    </w:p>
    <w:p w14:paraId="2B768E4A" w14:textId="77777777" w:rsidR="00153F35" w:rsidRDefault="00153F35">
      <w:pPr>
        <w:rPr>
          <w:b/>
          <w:bCs/>
        </w:rPr>
      </w:pPr>
    </w:p>
    <w:p w14:paraId="174F90F0" w14:textId="77777777" w:rsidR="00153F35" w:rsidRDefault="00153F35">
      <w:pPr>
        <w:rPr>
          <w:b/>
          <w:bCs/>
        </w:rPr>
      </w:pPr>
    </w:p>
    <w:p w14:paraId="2FAA1F80" w14:textId="77777777" w:rsidR="00153F35" w:rsidRDefault="00153F35">
      <w:pPr>
        <w:rPr>
          <w:b/>
          <w:bCs/>
        </w:rPr>
      </w:pPr>
    </w:p>
    <w:p w14:paraId="5BB2EDAD" w14:textId="77777777" w:rsidR="00153F35" w:rsidRDefault="00153F35">
      <w:pPr>
        <w:rPr>
          <w:b/>
          <w:bCs/>
        </w:rPr>
      </w:pPr>
    </w:p>
    <w:p w14:paraId="25ABADE3" w14:textId="77777777" w:rsidR="00153F35" w:rsidRDefault="00153F35">
      <w:pPr>
        <w:rPr>
          <w:b/>
          <w:bCs/>
        </w:rPr>
      </w:pPr>
    </w:p>
    <w:p w14:paraId="522D2452" w14:textId="77777777" w:rsidR="00153F35" w:rsidRDefault="00153F35">
      <w:pPr>
        <w:rPr>
          <w:b/>
          <w:bCs/>
        </w:rPr>
      </w:pPr>
    </w:p>
    <w:p w14:paraId="6732827B" w14:textId="77777777" w:rsidR="00153F35" w:rsidRDefault="00153F35">
      <w:pPr>
        <w:rPr>
          <w:b/>
          <w:bCs/>
        </w:rPr>
      </w:pPr>
    </w:p>
    <w:p w14:paraId="6BE97CA8" w14:textId="77777777" w:rsidR="00153F35" w:rsidRDefault="00153F35">
      <w:pPr>
        <w:rPr>
          <w:b/>
          <w:bCs/>
        </w:rPr>
      </w:pPr>
    </w:p>
    <w:p w14:paraId="3DB4F042" w14:textId="77777777" w:rsidR="00153F35" w:rsidRDefault="00153F35">
      <w:pPr>
        <w:rPr>
          <w:b/>
          <w:bCs/>
        </w:rPr>
      </w:pPr>
    </w:p>
    <w:p w14:paraId="3F42209C" w14:textId="77601FE8" w:rsidR="005457B7" w:rsidRPr="00E475F6" w:rsidRDefault="005457B7">
      <w:pPr>
        <w:rPr>
          <w:b/>
          <w:bCs/>
        </w:rPr>
      </w:pPr>
      <w:r w:rsidRPr="00E475F6">
        <w:rPr>
          <w:b/>
          <w:bCs/>
        </w:rPr>
        <w:lastRenderedPageBreak/>
        <w:t>Essay three: How effective are cognitive interviews as a means of obtaining initial accounts from victims and witnesses? Your answer must be based on academic research. Word limit: 1000 words.</w:t>
      </w:r>
    </w:p>
    <w:p w14:paraId="79639EE3" w14:textId="64A0BA83" w:rsidR="008A63E3" w:rsidRDefault="005457B7">
      <w:r>
        <w:t xml:space="preserve">Obtaining accurate and detailed information from victims and witnesses is a vital part of any investigation be that criminal or civil. This ensures justice is served fairly and accurately. In order to gather these </w:t>
      </w:r>
      <w:r w:rsidR="00BB1732">
        <w:t xml:space="preserve">accounts different ways to gather information has emerged over time. </w:t>
      </w:r>
      <w:r w:rsidR="00415562">
        <w:t xml:space="preserve">Due to concerns surrounding the unreliability of accounts a new method interviewing witnesses and victims was established, this technique was cognitive interview </w:t>
      </w:r>
      <w:r w:rsidR="00415562" w:rsidRPr="00415562">
        <w:t>(Fisher &amp; Geiselman, 1992)</w:t>
      </w:r>
      <w:r w:rsidR="00415562">
        <w:t>. T</w:t>
      </w:r>
      <w:r w:rsidR="00BB1732">
        <w:t>his technique aim</w:t>
      </w:r>
      <w:r w:rsidR="00415562">
        <w:t xml:space="preserve">ed </w:t>
      </w:r>
      <w:r w:rsidR="00BB1732">
        <w:t>to enhance recall as well as minimiz</w:t>
      </w:r>
      <w:r w:rsidR="00415562">
        <w:t>e</w:t>
      </w:r>
      <w:r w:rsidR="00BB1732">
        <w:t xml:space="preserve"> memory errors and biases. It is the intention of this essay to explore the effectiveness of cognitive interviews as a way of obtaining initial accounts from victims and witnesses, highlighting their strength, </w:t>
      </w:r>
      <w:r w:rsidR="00415562">
        <w:t>limitations,</w:t>
      </w:r>
      <w:r w:rsidR="00BB1732">
        <w:t xml:space="preserve"> and potential improvements.</w:t>
      </w:r>
    </w:p>
    <w:p w14:paraId="22F32E6C" w14:textId="251690FA" w:rsidR="00071F26" w:rsidRDefault="002F7A15">
      <w:r>
        <w:t>The act of interviewing a person to gather information appears on the face of it as a very simple task. As an officer once stated in Fisher &amp; Geiselman’s (1992) book “You just ask them what, where, why, when and how”</w:t>
      </w:r>
      <w:r w:rsidR="007F57FC">
        <w:t xml:space="preserve">. This mentality can lead to issues gathering information from an already difficult world. </w:t>
      </w:r>
      <w:r w:rsidR="009A0B38">
        <w:t>Witnesses</w:t>
      </w:r>
      <w:r w:rsidR="007F57FC">
        <w:t xml:space="preserve"> and victims may be afraid to speak to the police, fearing consequences, fearing court and this is before the issues arrive with the human memory. The principle of cognitive interviewing is not meant to release the pressure on victims and witnesses an</w:t>
      </w:r>
      <w:r w:rsidR="009A0B38">
        <w:t>d</w:t>
      </w:r>
      <w:r w:rsidR="007F57FC">
        <w:t xml:space="preserve"> their fears</w:t>
      </w:r>
      <w:r w:rsidR="009A0B38">
        <w:t>. I</w:t>
      </w:r>
      <w:r w:rsidR="007F57FC">
        <w:t xml:space="preserve">t is instead based </w:t>
      </w:r>
      <w:r w:rsidR="009A0B38">
        <w:t xml:space="preserve">on </w:t>
      </w:r>
      <w:r w:rsidR="007F57FC">
        <w:t xml:space="preserve">interviewing in a manner </w:t>
      </w:r>
      <w:r w:rsidR="009A0B38">
        <w:t>that</w:t>
      </w:r>
      <w:r w:rsidR="007F57FC">
        <w:t xml:space="preserve"> is aimed at assisting the recollection of victims and witnesses</w:t>
      </w:r>
      <w:r w:rsidR="009A0B38">
        <w:t xml:space="preserve">, thus allowing a more accurate response. </w:t>
      </w:r>
    </w:p>
    <w:p w14:paraId="4259B29A" w14:textId="03E8D325" w:rsidR="00071F26" w:rsidRDefault="00071F26">
      <w:r>
        <w:t>So just what is cognitive interviewing? The original cognitive interview (Geiselman et al., 1985</w:t>
      </w:r>
      <w:r w:rsidR="00B2204D">
        <w:t xml:space="preserve"> comprised of four techniques (</w:t>
      </w:r>
      <w:r w:rsidR="00B2204D" w:rsidRPr="00B2204D">
        <w:t>Memon, A</w:t>
      </w:r>
      <w:r w:rsidR="00B2204D">
        <w:t xml:space="preserve">, et al., 2010) These techniques consisted of the following. Firstly </w:t>
      </w:r>
      <w:r w:rsidR="001026DA">
        <w:t xml:space="preserve">is ‘context reinstatement’. This stage involves asking the interviewee to reconstruct their general activities from the day of the incident. This might involve getting the interviewee to think about </w:t>
      </w:r>
      <w:r w:rsidR="009A0B38">
        <w:t>the</w:t>
      </w:r>
      <w:r w:rsidR="001026DA">
        <w:t xml:space="preserve"> five senses they experienced. This stage can help the interviewee to visualise themselves back into the scenario and potentially trigger specific memories they might have </w:t>
      </w:r>
      <w:r w:rsidR="009A0B38">
        <w:t>otherwise</w:t>
      </w:r>
      <w:r w:rsidR="001026DA">
        <w:t xml:space="preserve"> forgotten. </w:t>
      </w:r>
      <w:r w:rsidR="009A0B38">
        <w:t xml:space="preserve">As discussed in </w:t>
      </w:r>
      <w:r w:rsidR="00E475F6">
        <w:t xml:space="preserve">a study conducted by </w:t>
      </w:r>
      <w:r w:rsidR="009A0B38" w:rsidRPr="009A0B38">
        <w:t xml:space="preserve">Cann and Ross, </w:t>
      </w:r>
      <w:r w:rsidR="009A0B38">
        <w:t>(</w:t>
      </w:r>
      <w:r w:rsidR="009A0B38" w:rsidRPr="009A0B38">
        <w:t>1989)</w:t>
      </w:r>
      <w:r w:rsidR="009A0B38">
        <w:t xml:space="preserve"> smells are able to help subjects recalling a situation with more </w:t>
      </w:r>
      <w:r w:rsidR="00E475F6">
        <w:t>accuracy</w:t>
      </w:r>
      <w:r w:rsidR="009A0B38">
        <w:t xml:space="preserve">. </w:t>
      </w:r>
    </w:p>
    <w:p w14:paraId="42D26CF8" w14:textId="0303CEB0" w:rsidR="001026DA" w:rsidRDefault="001026DA">
      <w:r>
        <w:t xml:space="preserve">The second technique is to ‘report everything’. This includes getting the interviewee to recall every detail they can remember about the incident </w:t>
      </w:r>
      <w:r w:rsidR="00673E41">
        <w:t>n</w:t>
      </w:r>
      <w:r>
        <w:t xml:space="preserve">o matter how </w:t>
      </w:r>
      <w:r w:rsidR="00673E41">
        <w:t>trivial</w:t>
      </w:r>
      <w:r>
        <w:t xml:space="preserve"> and no matter if they feel like the information is </w:t>
      </w:r>
      <w:r w:rsidR="00673E41">
        <w:t>incomplete</w:t>
      </w:r>
      <w:r>
        <w:t>. Here interviewees are given the chance to recall</w:t>
      </w:r>
      <w:r w:rsidR="00673E41">
        <w:t xml:space="preserve"> freely, this might again trigger some key information that might otherwise be missed. </w:t>
      </w:r>
    </w:p>
    <w:p w14:paraId="475C7BD6" w14:textId="38667911" w:rsidR="00673E41" w:rsidRDefault="00673E41">
      <w:r>
        <w:t xml:space="preserve">The third technique used in cognitive interviewing is a “variety of perspectives”. This asks an interviewee to think about the situation from the point of view of another. This may be from a witness or the criminal. By asking what the interviewee thinks the other may have seen it allows them to divulge freely into their memory and link what they have </w:t>
      </w:r>
      <w:r w:rsidR="00E475F6">
        <w:t>seen</w:t>
      </w:r>
      <w:r>
        <w:t xml:space="preserve"> to what another may have seen. </w:t>
      </w:r>
      <w:r w:rsidR="00E475F6">
        <w:t xml:space="preserve">In a study conducted by Heather (2010) it was found that recalling memories from the eyes of another lead to a greater interaction between portions of the brain. This it was theorised supports the ability of a person to recall details of an event in greater detail. </w:t>
      </w:r>
    </w:p>
    <w:p w14:paraId="36FA0FB5" w14:textId="7CDDF42D" w:rsidR="00673E41" w:rsidRDefault="00673E41">
      <w:r>
        <w:t xml:space="preserve">The fourth and final technique used is ‘temporal order’. In this stage an interviewee is asked to recount the events in reverse order (Memon, et al,. 2010). </w:t>
      </w:r>
      <w:r w:rsidR="00E475F6">
        <w:t xml:space="preserve">Asking a subject to recall an event in a different order distances a person from the narrative they have already established in their mind. It enables them to create a whole new version of events that may be closer to the accurate events. </w:t>
      </w:r>
    </w:p>
    <w:p w14:paraId="50F2269D" w14:textId="7168A7BB" w:rsidR="00673E41" w:rsidRDefault="00673E41">
      <w:r>
        <w:t>These techniques have proved to be an effective way in which to encourage more effective and efficient recall from an interviewee. Geiselman</w:t>
      </w:r>
      <w:r w:rsidR="00242DBB">
        <w:t xml:space="preserve"> et all. (1985) aimed to examine the success of cognitive interviewing. In this study it was found that whilst using the techniques of cognitive </w:t>
      </w:r>
      <w:r w:rsidR="00242DBB">
        <w:lastRenderedPageBreak/>
        <w:t xml:space="preserve">interview the subjects were able to recall 41.2 facts on average. This </w:t>
      </w:r>
      <w:r w:rsidR="00C738CA">
        <w:t xml:space="preserve">is </w:t>
      </w:r>
      <w:r w:rsidR="00242DBB">
        <w:t xml:space="preserve">compared to a standard interview of 29.4. </w:t>
      </w:r>
      <w:r w:rsidR="00C738CA">
        <w:t xml:space="preserve">Here we can see that cognitive interviewing is very effective in gathering initial accounts. </w:t>
      </w:r>
    </w:p>
    <w:p w14:paraId="599D2460" w14:textId="68D03827" w:rsidR="00C738CA" w:rsidRDefault="007F57FC">
      <w:r>
        <w:t>A</w:t>
      </w:r>
      <w:r w:rsidR="00C738CA">
        <w:t xml:space="preserve"> further </w:t>
      </w:r>
      <w:r>
        <w:t xml:space="preserve"> study based in Britain  showed that </w:t>
      </w:r>
      <w:r w:rsidR="00C738CA">
        <w:t>detectives</w:t>
      </w:r>
      <w:r>
        <w:t xml:space="preserve"> who were trained in cognitive interviewing gained 55% more information from </w:t>
      </w:r>
      <w:r w:rsidR="00C738CA">
        <w:t>eyewitnesses</w:t>
      </w:r>
      <w:r>
        <w:t xml:space="preserve"> than those who had not been trained (George, 1991)</w:t>
      </w:r>
      <w:r w:rsidR="00C738CA">
        <w:t xml:space="preserve">. Again we see here that the use of cognitive interviewing is very efficient when it comes to gathering information. </w:t>
      </w:r>
    </w:p>
    <w:p w14:paraId="23E9152E" w14:textId="5BB2F0E9" w:rsidR="00C738CA" w:rsidRDefault="00C738CA">
      <w:r>
        <w:t>Although it is clear that cognitive interviewing is an effective means of gathering information it is</w:t>
      </w:r>
      <w:r w:rsidR="00285508">
        <w:t xml:space="preserve"> not used as frequently as perhaps it should be. In a study conducted by </w:t>
      </w:r>
      <w:r w:rsidR="00285508" w:rsidRPr="00285508">
        <w:t xml:space="preserve">Kebbell </w:t>
      </w:r>
      <w:r w:rsidR="00285508">
        <w:t>et al.,</w:t>
      </w:r>
      <w:r w:rsidR="00285508" w:rsidRPr="00285508">
        <w:t xml:space="preserve"> (1999)</w:t>
      </w:r>
      <w:r w:rsidR="00285508">
        <w:t xml:space="preserve"> 161 police officers were questioned about their use of the cognitive interview model. The main issue that officers were coming up against was the time required to conduct the full interview. As such many of the officers stated that they were not conducting the interviews fully owing to the time constraints. </w:t>
      </w:r>
      <w:r w:rsidR="009A0B38">
        <w:t xml:space="preserve">This coupled with the time sink required to train officers in this technique means it cannot be utilised as often as it perhaps should. </w:t>
      </w:r>
    </w:p>
    <w:p w14:paraId="7DFE9228" w14:textId="46E43BA5" w:rsidR="00285508" w:rsidRDefault="00285508">
      <w:r>
        <w:t xml:space="preserve">Another limitation is the potential for witnesses to provide inaccurate or unreliable information even whilst using these techniques. The human memory is inherently fallible, and witnesses may unintentionally distort or misremember details of an event, and through no fault of their own create inaccuracies in their account. Whilst cognitive interviews can help to mitigate these </w:t>
      </w:r>
      <w:r w:rsidR="009A0B38">
        <w:t>issues,</w:t>
      </w:r>
      <w:r>
        <w:t xml:space="preserve"> they cannot entirely eliminate them. </w:t>
      </w:r>
    </w:p>
    <w:p w14:paraId="0D780036" w14:textId="61B5644F" w:rsidR="00C738CA" w:rsidRDefault="009A0B38">
      <w:r>
        <w:t xml:space="preserve">In conclusion, cognitive interviews have emerged as a valuable tool for obtaining initial accounts from victims and witnesses in criminal investigations. By employing a range of strategies aimed at minimizing memory biases, cognitive interviews can enhance the quality and quantity of information recalled by witnesses. This has the effect of improving the accuracy of investigative outcomes. Whilst cognitive interviews have some limitations, ongoing research and training efforts can help address these challenges and further enhance the effectiveness of these important investigative techniques. </w:t>
      </w:r>
    </w:p>
    <w:p w14:paraId="26C2891C" w14:textId="66A5F665" w:rsidR="00BB1732" w:rsidRDefault="00E475F6">
      <w:r>
        <w:t>Word 976</w:t>
      </w:r>
    </w:p>
    <w:p w14:paraId="67C09EFF" w14:textId="77777777" w:rsidR="00153F35" w:rsidRDefault="00153F35"/>
    <w:p w14:paraId="54D4C807" w14:textId="77A5CAF8" w:rsidR="00E475F6" w:rsidRPr="00E475F6" w:rsidRDefault="00E475F6">
      <w:pPr>
        <w:rPr>
          <w:u w:val="single"/>
        </w:rPr>
      </w:pPr>
      <w:r w:rsidRPr="00E475F6">
        <w:rPr>
          <w:u w:val="single"/>
        </w:rPr>
        <w:t xml:space="preserve">Bibliography </w:t>
      </w:r>
    </w:p>
    <w:p w14:paraId="762CF1B9" w14:textId="74FDA57B" w:rsidR="00415562" w:rsidRDefault="00E475F6">
      <w:r w:rsidRPr="00E475F6">
        <w:t xml:space="preserve">Cann, A., &amp; Ross, D. A. (1989). Olfactory stimuli as context cues in human memory. The American Journal of Psychology, 102(1), 91–102. </w:t>
      </w:r>
      <w:hyperlink r:id="rId9" w:history="1">
        <w:r w:rsidRPr="003452BA">
          <w:rPr>
            <w:rStyle w:val="Hyperlink"/>
          </w:rPr>
          <w:t>https://doi.org/10.2307/1423118</w:t>
        </w:r>
      </w:hyperlink>
    </w:p>
    <w:p w14:paraId="488E932B" w14:textId="5EBA973A" w:rsidR="00415562" w:rsidRDefault="00415562">
      <w:r w:rsidRPr="00415562">
        <w:t>Fisher, R. P., &amp; Geiselman, R. E. (1992). Memory enhancing techniques for investigative interviewing: The cognitive interview . Springfield, IL: Charles C. Thomas.</w:t>
      </w:r>
    </w:p>
    <w:p w14:paraId="0A11466E" w14:textId="77777777" w:rsidR="00071F26" w:rsidRPr="00071F26" w:rsidRDefault="00071F26" w:rsidP="00071F26">
      <w:pPr>
        <w:shd w:val="clear" w:color="auto" w:fill="FFFFFF"/>
        <w:spacing w:after="0" w:line="0" w:lineRule="auto"/>
        <w:rPr>
          <w:rFonts w:ascii="ff9" w:eastAsia="Times New Roman" w:hAnsi="ff9" w:cs="Times New Roman"/>
          <w:color w:val="000000"/>
          <w:kern w:val="0"/>
          <w:sz w:val="54"/>
          <w:szCs w:val="54"/>
          <w:lang w:eastAsia="en-GB"/>
          <w14:ligatures w14:val="none"/>
        </w:rPr>
      </w:pPr>
      <w:r w:rsidRPr="00071F26">
        <w:rPr>
          <w:rFonts w:ascii="ff9" w:eastAsia="Times New Roman" w:hAnsi="ff9" w:cs="Times New Roman"/>
          <w:color w:val="000000"/>
          <w:kern w:val="0"/>
          <w:sz w:val="54"/>
          <w:szCs w:val="54"/>
          <w:lang w:eastAsia="en-GB"/>
          <w14:ligatures w14:val="none"/>
        </w:rPr>
        <w:t xml:space="preserve">George, R. (1991). </w:t>
      </w:r>
      <w:r w:rsidRPr="00071F26">
        <w:rPr>
          <w:rFonts w:ascii="ffb" w:eastAsia="Times New Roman" w:hAnsi="ffb" w:cs="Times New Roman"/>
          <w:color w:val="000000"/>
          <w:spacing w:val="216"/>
          <w:kern w:val="0"/>
          <w:sz w:val="54"/>
          <w:szCs w:val="54"/>
          <w:lang w:eastAsia="en-GB"/>
          <w14:ligatures w14:val="none"/>
        </w:rPr>
        <w:t>A</w:t>
      </w:r>
      <w:r w:rsidRPr="00071F26">
        <w:rPr>
          <w:rFonts w:ascii="ff5" w:eastAsia="Times New Roman" w:hAnsi="ff5" w:cs="Times New Roman"/>
          <w:color w:val="000000"/>
          <w:spacing w:val="216"/>
          <w:kern w:val="0"/>
          <w:sz w:val="54"/>
          <w:szCs w:val="54"/>
          <w:lang w:eastAsia="en-GB"/>
          <w14:ligatures w14:val="none"/>
        </w:rPr>
        <w:t>ﬁ</w:t>
      </w:r>
      <w:r w:rsidRPr="00071F26">
        <w:rPr>
          <w:rFonts w:ascii="ffb" w:eastAsia="Times New Roman" w:hAnsi="ffb" w:cs="Times New Roman"/>
          <w:color w:val="000000"/>
          <w:kern w:val="0"/>
          <w:sz w:val="54"/>
          <w:szCs w:val="54"/>
          <w:lang w:eastAsia="en-GB"/>
          <w14:ligatures w14:val="none"/>
        </w:rPr>
        <w:t>eld evaluation of the cognitive interview</w:t>
      </w:r>
      <w:r w:rsidRPr="00071F26">
        <w:rPr>
          <w:rFonts w:ascii="ff9" w:eastAsia="Times New Roman" w:hAnsi="ff9" w:cs="Times New Roman"/>
          <w:color w:val="000000"/>
          <w:kern w:val="0"/>
          <w:sz w:val="54"/>
          <w:szCs w:val="54"/>
          <w:lang w:eastAsia="en-GB"/>
          <w14:ligatures w14:val="none"/>
        </w:rPr>
        <w:t>. Unpublished masters thesis,</w:t>
      </w:r>
    </w:p>
    <w:p w14:paraId="53C79E1C" w14:textId="77777777" w:rsidR="00071F26" w:rsidRPr="00071F26" w:rsidRDefault="00071F26" w:rsidP="00071F26">
      <w:pPr>
        <w:shd w:val="clear" w:color="auto" w:fill="FFFFFF"/>
        <w:spacing w:after="0" w:line="0" w:lineRule="auto"/>
        <w:rPr>
          <w:rFonts w:ascii="ff9" w:eastAsia="Times New Roman" w:hAnsi="ff9" w:cs="Times New Roman"/>
          <w:color w:val="000000"/>
          <w:kern w:val="0"/>
          <w:sz w:val="54"/>
          <w:szCs w:val="54"/>
          <w:lang w:eastAsia="en-GB"/>
          <w14:ligatures w14:val="none"/>
        </w:rPr>
      </w:pPr>
      <w:r w:rsidRPr="00071F26">
        <w:rPr>
          <w:rFonts w:ascii="ff9" w:eastAsia="Times New Roman" w:hAnsi="ff9" w:cs="Times New Roman"/>
          <w:color w:val="000000"/>
          <w:kern w:val="0"/>
          <w:sz w:val="54"/>
          <w:szCs w:val="54"/>
          <w:lang w:eastAsia="en-GB"/>
          <w14:ligatures w14:val="none"/>
        </w:rPr>
        <w:t>Polytechnic of East London.</w:t>
      </w:r>
    </w:p>
    <w:p w14:paraId="678CB44D" w14:textId="77777777" w:rsidR="00E475F6" w:rsidRDefault="00E475F6" w:rsidP="00E475F6">
      <w:r w:rsidRPr="00071F26">
        <w:t>Geiselman, R. E., Fisher, R. P., MacKinnon, D. P., &amp; Holland, H. L. (1985). Eyewitness memory enhancement in the police interview: Cognitive retrieval mnemonics versus hypnos is. Journal of Applied Psychology, 70[2], 401-412.</w:t>
      </w:r>
    </w:p>
    <w:p w14:paraId="04060307" w14:textId="78F7AFF1" w:rsidR="00071F26" w:rsidRDefault="00071F26">
      <w:r>
        <w:t xml:space="preserve">George, R. (1991). </w:t>
      </w:r>
      <w:r>
        <w:rPr>
          <w:i/>
          <w:iCs/>
        </w:rPr>
        <w:t>A field evaluation of the cognitive interview.</w:t>
      </w:r>
      <w:r>
        <w:t xml:space="preserve"> Unpublished masters thesis, Polytechnic of East London</w:t>
      </w:r>
    </w:p>
    <w:p w14:paraId="14448585" w14:textId="77777777" w:rsidR="00E475F6" w:rsidRPr="00071F26" w:rsidRDefault="00E475F6" w:rsidP="00E475F6">
      <w:r w:rsidRPr="00E475F6">
        <w:t>Heather Iriye, Peggy L. St. Jacques. How visual perspective influences the spatiotemporal dynamics of autobiographical memory retrieval. Cortex, 2020; 129: 464 DOI: 10.1016/j.cortex.2020.05.007</w:t>
      </w:r>
    </w:p>
    <w:p w14:paraId="3BB8506C" w14:textId="77777777" w:rsidR="00E475F6" w:rsidRDefault="00E475F6" w:rsidP="00E475F6">
      <w:r w:rsidRPr="00285508">
        <w:t>Kebbel</w:t>
      </w:r>
      <w:r>
        <w:t>, R</w:t>
      </w:r>
      <w:r w:rsidRPr="00285508">
        <w:t>,  Milne</w:t>
      </w:r>
      <w:r>
        <w:t>, R</w:t>
      </w:r>
      <w:r w:rsidRPr="00285508">
        <w:t xml:space="preserve"> &amp; Wagstaff</w:t>
      </w:r>
      <w:r>
        <w:t>, G</w:t>
      </w:r>
      <w:r w:rsidRPr="00285508">
        <w:t xml:space="preserve"> (1999) The cognitive interview: A survey of its forensic effectiveness, Psychology, Crime &amp; Law, 5:1-2, 101-115, DOI: 10.1080/10683169908414996</w:t>
      </w:r>
    </w:p>
    <w:p w14:paraId="207B4086" w14:textId="43B3DF1B" w:rsidR="00B2204D" w:rsidRDefault="00B2204D">
      <w:r w:rsidRPr="00B2204D">
        <w:lastRenderedPageBreak/>
        <w:t>Memon, A., Meissner, C. A., &amp; Fraser, J. (2010). THE COGNITIVE INTERVIEW: A Meta-Analytic Review and Study Space Analysis of the Past 25 Years. Psychology, Public Policy, and Law, 16(4), 340–372. https://doi.org/10.1037/a0020518</w:t>
      </w:r>
    </w:p>
    <w:p w14:paraId="2B9C2913" w14:textId="77777777" w:rsidR="00071F26" w:rsidRPr="009B0092" w:rsidRDefault="00071F26">
      <w:pPr>
        <w:rPr>
          <w:b/>
          <w:bCs/>
        </w:rPr>
      </w:pPr>
    </w:p>
    <w:p w14:paraId="7AEDEB7F" w14:textId="77777777" w:rsidR="007B1110" w:rsidRDefault="007B1110"/>
    <w:p w14:paraId="58AB2DE5" w14:textId="77777777" w:rsidR="00CB0F21" w:rsidRDefault="00CB0F21" w:rsidP="005D0E62">
      <w:pPr>
        <w:pStyle w:val="Default"/>
        <w:rPr>
          <w:b/>
          <w:bCs/>
          <w:sz w:val="22"/>
          <w:szCs w:val="22"/>
        </w:rPr>
      </w:pPr>
    </w:p>
    <w:p w14:paraId="1003781F" w14:textId="77777777" w:rsidR="00CB0F21" w:rsidRDefault="00CB0F21" w:rsidP="005D0E62">
      <w:pPr>
        <w:pStyle w:val="Default"/>
        <w:rPr>
          <w:b/>
          <w:bCs/>
          <w:sz w:val="22"/>
          <w:szCs w:val="22"/>
        </w:rPr>
      </w:pPr>
    </w:p>
    <w:p w14:paraId="2DFCB2A7" w14:textId="77777777" w:rsidR="00CB0F21" w:rsidRDefault="00CB0F21" w:rsidP="005D0E62">
      <w:pPr>
        <w:pStyle w:val="Default"/>
        <w:rPr>
          <w:b/>
          <w:bCs/>
          <w:sz w:val="22"/>
          <w:szCs w:val="22"/>
        </w:rPr>
      </w:pPr>
    </w:p>
    <w:p w14:paraId="0D9E89CD" w14:textId="77777777" w:rsidR="00CB0F21" w:rsidRDefault="00CB0F21" w:rsidP="005D0E62">
      <w:pPr>
        <w:pStyle w:val="Default"/>
        <w:rPr>
          <w:b/>
          <w:bCs/>
          <w:sz w:val="22"/>
          <w:szCs w:val="22"/>
        </w:rPr>
      </w:pPr>
    </w:p>
    <w:p w14:paraId="616055F6" w14:textId="77777777" w:rsidR="00CB0F21" w:rsidRDefault="00CB0F21" w:rsidP="005D0E62">
      <w:pPr>
        <w:pStyle w:val="Default"/>
        <w:rPr>
          <w:b/>
          <w:bCs/>
          <w:sz w:val="22"/>
          <w:szCs w:val="22"/>
        </w:rPr>
      </w:pPr>
    </w:p>
    <w:p w14:paraId="5FDF4AD1" w14:textId="77777777" w:rsidR="00CB0F21" w:rsidRDefault="00CB0F21" w:rsidP="005D0E62">
      <w:pPr>
        <w:pStyle w:val="Default"/>
        <w:rPr>
          <w:b/>
          <w:bCs/>
          <w:sz w:val="22"/>
          <w:szCs w:val="22"/>
        </w:rPr>
      </w:pPr>
    </w:p>
    <w:p w14:paraId="5EB32810" w14:textId="77777777" w:rsidR="00CB0F21" w:rsidRDefault="00CB0F21" w:rsidP="005D0E62">
      <w:pPr>
        <w:pStyle w:val="Default"/>
        <w:rPr>
          <w:b/>
          <w:bCs/>
          <w:sz w:val="22"/>
          <w:szCs w:val="22"/>
        </w:rPr>
      </w:pPr>
    </w:p>
    <w:p w14:paraId="5B26D0CF" w14:textId="77777777" w:rsidR="00B75E8A" w:rsidRDefault="00B75E8A" w:rsidP="005D0E62">
      <w:pPr>
        <w:pStyle w:val="Default"/>
        <w:rPr>
          <w:b/>
          <w:bCs/>
          <w:sz w:val="22"/>
          <w:szCs w:val="22"/>
        </w:rPr>
      </w:pPr>
    </w:p>
    <w:p w14:paraId="675DD614" w14:textId="77777777" w:rsidR="00B75E8A" w:rsidRDefault="00B75E8A" w:rsidP="005D0E62">
      <w:pPr>
        <w:pStyle w:val="Default"/>
        <w:rPr>
          <w:b/>
          <w:bCs/>
          <w:sz w:val="22"/>
          <w:szCs w:val="22"/>
        </w:rPr>
      </w:pPr>
    </w:p>
    <w:p w14:paraId="64B0AD19" w14:textId="77777777" w:rsidR="00B75E8A" w:rsidRDefault="00B75E8A" w:rsidP="005D0E62">
      <w:pPr>
        <w:pStyle w:val="Default"/>
        <w:rPr>
          <w:b/>
          <w:bCs/>
          <w:sz w:val="22"/>
          <w:szCs w:val="22"/>
        </w:rPr>
      </w:pPr>
    </w:p>
    <w:p w14:paraId="7B4BD8F8" w14:textId="77777777" w:rsidR="00B75E8A" w:rsidRDefault="00B75E8A" w:rsidP="005D0E62">
      <w:pPr>
        <w:pStyle w:val="Default"/>
        <w:rPr>
          <w:b/>
          <w:bCs/>
          <w:sz w:val="22"/>
          <w:szCs w:val="22"/>
        </w:rPr>
      </w:pPr>
    </w:p>
    <w:p w14:paraId="6102ACD7" w14:textId="77777777" w:rsidR="00B75E8A" w:rsidRDefault="00B75E8A" w:rsidP="005D0E62">
      <w:pPr>
        <w:pStyle w:val="Default"/>
        <w:rPr>
          <w:b/>
          <w:bCs/>
          <w:sz w:val="22"/>
          <w:szCs w:val="22"/>
        </w:rPr>
      </w:pPr>
    </w:p>
    <w:p w14:paraId="26F9C2BF" w14:textId="77777777" w:rsidR="00B75E8A" w:rsidRDefault="00B75E8A" w:rsidP="005D0E62">
      <w:pPr>
        <w:pStyle w:val="Default"/>
        <w:rPr>
          <w:b/>
          <w:bCs/>
          <w:sz w:val="22"/>
          <w:szCs w:val="22"/>
        </w:rPr>
      </w:pPr>
    </w:p>
    <w:p w14:paraId="5AFA4610" w14:textId="77777777" w:rsidR="00B75E8A" w:rsidRDefault="00B75E8A" w:rsidP="005D0E62">
      <w:pPr>
        <w:pStyle w:val="Default"/>
        <w:rPr>
          <w:b/>
          <w:bCs/>
          <w:sz w:val="22"/>
          <w:szCs w:val="22"/>
        </w:rPr>
      </w:pPr>
    </w:p>
    <w:p w14:paraId="242CAF54" w14:textId="77777777" w:rsidR="00B75E8A" w:rsidRDefault="00B75E8A" w:rsidP="005D0E62">
      <w:pPr>
        <w:pStyle w:val="Default"/>
        <w:rPr>
          <w:b/>
          <w:bCs/>
          <w:sz w:val="22"/>
          <w:szCs w:val="22"/>
        </w:rPr>
      </w:pPr>
    </w:p>
    <w:p w14:paraId="2DBC7D31" w14:textId="77777777" w:rsidR="00B75E8A" w:rsidRDefault="00B75E8A" w:rsidP="005D0E62">
      <w:pPr>
        <w:pStyle w:val="Default"/>
        <w:rPr>
          <w:b/>
          <w:bCs/>
          <w:sz w:val="22"/>
          <w:szCs w:val="22"/>
        </w:rPr>
      </w:pPr>
    </w:p>
    <w:p w14:paraId="421A1901" w14:textId="77777777" w:rsidR="00B75E8A" w:rsidRDefault="00B75E8A" w:rsidP="005D0E62">
      <w:pPr>
        <w:pStyle w:val="Default"/>
        <w:rPr>
          <w:b/>
          <w:bCs/>
          <w:sz w:val="22"/>
          <w:szCs w:val="22"/>
        </w:rPr>
      </w:pPr>
    </w:p>
    <w:p w14:paraId="2EE59BE2" w14:textId="77777777" w:rsidR="00B75E8A" w:rsidRDefault="00B75E8A" w:rsidP="005D0E62">
      <w:pPr>
        <w:pStyle w:val="Default"/>
        <w:rPr>
          <w:b/>
          <w:bCs/>
          <w:sz w:val="22"/>
          <w:szCs w:val="22"/>
        </w:rPr>
      </w:pPr>
    </w:p>
    <w:p w14:paraId="62B3381F" w14:textId="77777777" w:rsidR="00B75E8A" w:rsidRDefault="00B75E8A" w:rsidP="005D0E62">
      <w:pPr>
        <w:pStyle w:val="Default"/>
        <w:rPr>
          <w:b/>
          <w:bCs/>
          <w:sz w:val="22"/>
          <w:szCs w:val="22"/>
        </w:rPr>
      </w:pPr>
    </w:p>
    <w:p w14:paraId="223D7C22" w14:textId="77777777" w:rsidR="00B75E8A" w:rsidRDefault="00B75E8A" w:rsidP="005D0E62">
      <w:pPr>
        <w:pStyle w:val="Default"/>
        <w:rPr>
          <w:b/>
          <w:bCs/>
          <w:sz w:val="22"/>
          <w:szCs w:val="22"/>
        </w:rPr>
      </w:pPr>
    </w:p>
    <w:p w14:paraId="63C50194" w14:textId="77777777" w:rsidR="00B75E8A" w:rsidRDefault="00B75E8A" w:rsidP="005D0E62">
      <w:pPr>
        <w:pStyle w:val="Default"/>
        <w:rPr>
          <w:b/>
          <w:bCs/>
          <w:sz w:val="22"/>
          <w:szCs w:val="22"/>
        </w:rPr>
      </w:pPr>
    </w:p>
    <w:p w14:paraId="307A9E2C" w14:textId="77777777" w:rsidR="00B75E8A" w:rsidRDefault="00B75E8A" w:rsidP="005D0E62">
      <w:pPr>
        <w:pStyle w:val="Default"/>
        <w:rPr>
          <w:b/>
          <w:bCs/>
          <w:sz w:val="22"/>
          <w:szCs w:val="22"/>
        </w:rPr>
      </w:pPr>
    </w:p>
    <w:p w14:paraId="49F7AD77" w14:textId="77777777" w:rsidR="00B75E8A" w:rsidRDefault="00B75E8A" w:rsidP="005D0E62">
      <w:pPr>
        <w:pStyle w:val="Default"/>
        <w:rPr>
          <w:b/>
          <w:bCs/>
          <w:sz w:val="22"/>
          <w:szCs w:val="22"/>
        </w:rPr>
      </w:pPr>
    </w:p>
    <w:p w14:paraId="066454F0" w14:textId="77777777" w:rsidR="00B75E8A" w:rsidRDefault="00B75E8A" w:rsidP="005D0E62">
      <w:pPr>
        <w:pStyle w:val="Default"/>
        <w:rPr>
          <w:b/>
          <w:bCs/>
          <w:sz w:val="22"/>
          <w:szCs w:val="22"/>
        </w:rPr>
      </w:pPr>
    </w:p>
    <w:p w14:paraId="75DA5872" w14:textId="77777777" w:rsidR="00B75E8A" w:rsidRDefault="00B75E8A" w:rsidP="005D0E62">
      <w:pPr>
        <w:pStyle w:val="Default"/>
        <w:rPr>
          <w:b/>
          <w:bCs/>
          <w:sz w:val="22"/>
          <w:szCs w:val="22"/>
        </w:rPr>
      </w:pPr>
    </w:p>
    <w:p w14:paraId="503830E7" w14:textId="77777777" w:rsidR="00B75E8A" w:rsidRDefault="00B75E8A" w:rsidP="005D0E62">
      <w:pPr>
        <w:pStyle w:val="Default"/>
        <w:rPr>
          <w:b/>
          <w:bCs/>
          <w:sz w:val="22"/>
          <w:szCs w:val="22"/>
        </w:rPr>
      </w:pPr>
    </w:p>
    <w:p w14:paraId="4F82E4EE" w14:textId="77777777" w:rsidR="00B75E8A" w:rsidRDefault="00B75E8A" w:rsidP="005D0E62">
      <w:pPr>
        <w:pStyle w:val="Default"/>
        <w:rPr>
          <w:b/>
          <w:bCs/>
          <w:sz w:val="22"/>
          <w:szCs w:val="22"/>
        </w:rPr>
      </w:pPr>
    </w:p>
    <w:p w14:paraId="5E4C1268" w14:textId="77777777" w:rsidR="00B75E8A" w:rsidRDefault="00B75E8A" w:rsidP="005D0E62">
      <w:pPr>
        <w:pStyle w:val="Default"/>
        <w:rPr>
          <w:b/>
          <w:bCs/>
          <w:sz w:val="22"/>
          <w:szCs w:val="22"/>
        </w:rPr>
      </w:pPr>
    </w:p>
    <w:p w14:paraId="502A8116" w14:textId="77777777" w:rsidR="00B75E8A" w:rsidRDefault="00B75E8A" w:rsidP="005D0E62">
      <w:pPr>
        <w:pStyle w:val="Default"/>
        <w:rPr>
          <w:b/>
          <w:bCs/>
          <w:sz w:val="22"/>
          <w:szCs w:val="22"/>
        </w:rPr>
      </w:pPr>
    </w:p>
    <w:p w14:paraId="66C2BB72" w14:textId="77777777" w:rsidR="00B75E8A" w:rsidRDefault="00B75E8A" w:rsidP="005D0E62">
      <w:pPr>
        <w:pStyle w:val="Default"/>
        <w:rPr>
          <w:b/>
          <w:bCs/>
          <w:sz w:val="22"/>
          <w:szCs w:val="22"/>
        </w:rPr>
      </w:pPr>
    </w:p>
    <w:p w14:paraId="62130ADD" w14:textId="77777777" w:rsidR="00B75E8A" w:rsidRDefault="00B75E8A" w:rsidP="005D0E62">
      <w:pPr>
        <w:pStyle w:val="Default"/>
        <w:rPr>
          <w:b/>
          <w:bCs/>
          <w:sz w:val="22"/>
          <w:szCs w:val="22"/>
        </w:rPr>
      </w:pPr>
    </w:p>
    <w:p w14:paraId="573F1D60" w14:textId="77777777" w:rsidR="00B75E8A" w:rsidRDefault="00B75E8A" w:rsidP="005D0E62">
      <w:pPr>
        <w:pStyle w:val="Default"/>
        <w:rPr>
          <w:b/>
          <w:bCs/>
          <w:sz w:val="22"/>
          <w:szCs w:val="22"/>
        </w:rPr>
      </w:pPr>
    </w:p>
    <w:p w14:paraId="3DEE2C7E" w14:textId="77777777" w:rsidR="00B75E8A" w:rsidRDefault="00B75E8A" w:rsidP="005D0E62">
      <w:pPr>
        <w:pStyle w:val="Default"/>
        <w:rPr>
          <w:b/>
          <w:bCs/>
          <w:sz w:val="22"/>
          <w:szCs w:val="22"/>
        </w:rPr>
      </w:pPr>
    </w:p>
    <w:p w14:paraId="770F0683" w14:textId="77777777" w:rsidR="00B75E8A" w:rsidRDefault="00B75E8A" w:rsidP="005D0E62">
      <w:pPr>
        <w:pStyle w:val="Default"/>
        <w:rPr>
          <w:b/>
          <w:bCs/>
          <w:sz w:val="22"/>
          <w:szCs w:val="22"/>
        </w:rPr>
      </w:pPr>
    </w:p>
    <w:p w14:paraId="5A536E6C" w14:textId="77777777" w:rsidR="00B75E8A" w:rsidRDefault="00B75E8A" w:rsidP="005D0E62">
      <w:pPr>
        <w:pStyle w:val="Default"/>
        <w:rPr>
          <w:b/>
          <w:bCs/>
          <w:sz w:val="22"/>
          <w:szCs w:val="22"/>
        </w:rPr>
      </w:pPr>
    </w:p>
    <w:p w14:paraId="5C414FB3" w14:textId="77777777" w:rsidR="00B75E8A" w:rsidRDefault="00B75E8A" w:rsidP="005D0E62">
      <w:pPr>
        <w:pStyle w:val="Default"/>
        <w:rPr>
          <w:b/>
          <w:bCs/>
          <w:sz w:val="22"/>
          <w:szCs w:val="22"/>
        </w:rPr>
      </w:pPr>
    </w:p>
    <w:p w14:paraId="74B96DCF" w14:textId="77777777" w:rsidR="00B75E8A" w:rsidRDefault="00B75E8A" w:rsidP="005D0E62">
      <w:pPr>
        <w:pStyle w:val="Default"/>
        <w:rPr>
          <w:b/>
          <w:bCs/>
          <w:sz w:val="22"/>
          <w:szCs w:val="22"/>
        </w:rPr>
      </w:pPr>
    </w:p>
    <w:p w14:paraId="5D9D6D21" w14:textId="77777777" w:rsidR="00B75E8A" w:rsidRDefault="00B75E8A" w:rsidP="005D0E62">
      <w:pPr>
        <w:pStyle w:val="Default"/>
        <w:rPr>
          <w:b/>
          <w:bCs/>
          <w:sz w:val="22"/>
          <w:szCs w:val="22"/>
        </w:rPr>
      </w:pPr>
    </w:p>
    <w:p w14:paraId="2698D3FC" w14:textId="77777777" w:rsidR="00B75E8A" w:rsidRDefault="00B75E8A" w:rsidP="005D0E62">
      <w:pPr>
        <w:pStyle w:val="Default"/>
        <w:rPr>
          <w:b/>
          <w:bCs/>
          <w:sz w:val="22"/>
          <w:szCs w:val="22"/>
        </w:rPr>
      </w:pPr>
    </w:p>
    <w:p w14:paraId="0BFC3963" w14:textId="77777777" w:rsidR="00B75E8A" w:rsidRDefault="00B75E8A" w:rsidP="005D0E62">
      <w:pPr>
        <w:pStyle w:val="Default"/>
        <w:rPr>
          <w:b/>
          <w:bCs/>
          <w:sz w:val="22"/>
          <w:szCs w:val="22"/>
        </w:rPr>
      </w:pPr>
    </w:p>
    <w:p w14:paraId="2ED1DAE6" w14:textId="77777777" w:rsidR="00B75E8A" w:rsidRDefault="00B75E8A" w:rsidP="005D0E62">
      <w:pPr>
        <w:pStyle w:val="Default"/>
        <w:rPr>
          <w:b/>
          <w:bCs/>
          <w:sz w:val="22"/>
          <w:szCs w:val="22"/>
        </w:rPr>
      </w:pPr>
    </w:p>
    <w:p w14:paraId="5692DC2D" w14:textId="77777777" w:rsidR="00B75E8A" w:rsidRDefault="00B75E8A" w:rsidP="005D0E62">
      <w:pPr>
        <w:pStyle w:val="Default"/>
        <w:rPr>
          <w:b/>
          <w:bCs/>
          <w:sz w:val="22"/>
          <w:szCs w:val="22"/>
        </w:rPr>
      </w:pPr>
    </w:p>
    <w:p w14:paraId="6337FA36" w14:textId="77777777" w:rsidR="00B75E8A" w:rsidRDefault="00B75E8A" w:rsidP="005D0E62">
      <w:pPr>
        <w:pStyle w:val="Default"/>
        <w:rPr>
          <w:b/>
          <w:bCs/>
          <w:sz w:val="22"/>
          <w:szCs w:val="22"/>
        </w:rPr>
      </w:pPr>
    </w:p>
    <w:p w14:paraId="5146CBAC" w14:textId="77777777" w:rsidR="00B75E8A" w:rsidRDefault="00B75E8A" w:rsidP="005D0E62">
      <w:pPr>
        <w:pStyle w:val="Default"/>
        <w:rPr>
          <w:b/>
          <w:bCs/>
          <w:sz w:val="22"/>
          <w:szCs w:val="22"/>
        </w:rPr>
      </w:pPr>
    </w:p>
    <w:p w14:paraId="3C644FB0" w14:textId="77777777" w:rsidR="00B75E8A" w:rsidRDefault="00B75E8A" w:rsidP="005D0E62">
      <w:pPr>
        <w:pStyle w:val="Default"/>
        <w:rPr>
          <w:b/>
          <w:bCs/>
          <w:sz w:val="22"/>
          <w:szCs w:val="22"/>
        </w:rPr>
      </w:pPr>
    </w:p>
    <w:p w14:paraId="48981045" w14:textId="77777777" w:rsidR="00B75E8A" w:rsidRDefault="00B75E8A" w:rsidP="005D0E62">
      <w:pPr>
        <w:pStyle w:val="Default"/>
        <w:rPr>
          <w:b/>
          <w:bCs/>
          <w:sz w:val="22"/>
          <w:szCs w:val="22"/>
        </w:rPr>
      </w:pPr>
    </w:p>
    <w:p w14:paraId="15A8E4B3" w14:textId="77777777" w:rsidR="00B75E8A" w:rsidRDefault="00B75E8A" w:rsidP="005D0E62">
      <w:pPr>
        <w:pStyle w:val="Default"/>
        <w:rPr>
          <w:b/>
          <w:bCs/>
          <w:sz w:val="22"/>
          <w:szCs w:val="22"/>
        </w:rPr>
      </w:pPr>
    </w:p>
    <w:p w14:paraId="663BC9F5" w14:textId="0CB4F85E" w:rsidR="005D0E62" w:rsidRDefault="005D0E62" w:rsidP="005D0E62">
      <w:pPr>
        <w:pStyle w:val="Default"/>
        <w:rPr>
          <w:sz w:val="22"/>
          <w:szCs w:val="22"/>
        </w:rPr>
      </w:pPr>
      <w:r>
        <w:rPr>
          <w:b/>
          <w:bCs/>
          <w:sz w:val="22"/>
          <w:szCs w:val="22"/>
        </w:rPr>
        <w:lastRenderedPageBreak/>
        <w:t xml:space="preserve">Essay four: </w:t>
      </w:r>
    </w:p>
    <w:p w14:paraId="1EBFB82A" w14:textId="77777777" w:rsidR="005D0E62" w:rsidRDefault="005D0E62" w:rsidP="005D0E62">
      <w:pPr>
        <w:pStyle w:val="Default"/>
        <w:rPr>
          <w:sz w:val="22"/>
          <w:szCs w:val="22"/>
        </w:rPr>
      </w:pPr>
      <w:r>
        <w:rPr>
          <w:sz w:val="22"/>
          <w:szCs w:val="22"/>
        </w:rPr>
        <w:t xml:space="preserve">Examine the various socio-economic and psychological characteristics which can make people vulnerable to exploitation by criminal gangs. </w:t>
      </w:r>
    </w:p>
    <w:p w14:paraId="3C08D5E9" w14:textId="77777777" w:rsidR="005D0E62" w:rsidRDefault="005D0E62" w:rsidP="005D0E62">
      <w:pPr>
        <w:pStyle w:val="Default"/>
        <w:rPr>
          <w:sz w:val="22"/>
          <w:szCs w:val="22"/>
        </w:rPr>
      </w:pPr>
      <w:r>
        <w:rPr>
          <w:sz w:val="22"/>
          <w:szCs w:val="22"/>
        </w:rPr>
        <w:t xml:space="preserve">Your answer must be based on academic research rather than personal experience. </w:t>
      </w:r>
    </w:p>
    <w:p w14:paraId="59DA2419" w14:textId="3A031D64" w:rsidR="005D0E62" w:rsidRDefault="005D0E62" w:rsidP="005D0E62">
      <w:r>
        <w:rPr>
          <w:b/>
          <w:bCs/>
        </w:rPr>
        <w:t xml:space="preserve">Word limit: </w:t>
      </w:r>
      <w:r>
        <w:t>1000 words.</w:t>
      </w:r>
    </w:p>
    <w:p w14:paraId="029FF116" w14:textId="23B01147" w:rsidR="005D0E62" w:rsidRDefault="005D0E62" w:rsidP="005D0E62">
      <w:r>
        <w:tab/>
        <w:t xml:space="preserve">Exploitation of people by criminal gangs is a multifaceted issue that is influenced by a range of different socio-economic and psychological factors. This essay aims to explore the different characteristic that can make people vulnerable to this type of exploitation. </w:t>
      </w:r>
      <w:r w:rsidR="00476F28">
        <w:t>R</w:t>
      </w:r>
      <w:r>
        <w:t xml:space="preserve">ecognising the ways and reasons that people can become vulnerable to criminal exploitation </w:t>
      </w:r>
      <w:r w:rsidR="00476F28">
        <w:t xml:space="preserve">is essential in order to address these factors and prevent individuals from the clutches of gangs. </w:t>
      </w:r>
    </w:p>
    <w:p w14:paraId="0C2F9FDD" w14:textId="2129D2C0" w:rsidR="009517F5" w:rsidRDefault="00476F28" w:rsidP="005D0E62">
      <w:r>
        <w:tab/>
        <w:t>Psychological vulnerabilities play a significant role in making individuals susceptible to exploitation by criminal gangs</w:t>
      </w:r>
      <w:r w:rsidR="008E0745">
        <w:t xml:space="preserve">. Low self-esteem and identity issues are particularly troublesome when it comes to vulnerabilities. Gangs offer a sense of identity and self-worth that vulnerable individuals might not find </w:t>
      </w:r>
      <w:r w:rsidR="00102727">
        <w:t>elsewhere</w:t>
      </w:r>
      <w:r w:rsidR="008E0745">
        <w:t>.</w:t>
      </w:r>
      <w:r w:rsidR="00102727">
        <w:t xml:space="preserve"> Research conducted into the mentality of young gang members showed that gangs offered them a sense of family that they were not able to find elsewhere (Decker &amp; Winkle, 1996). Almost half of those interviewed</w:t>
      </w:r>
      <w:r w:rsidR="00CE5645">
        <w:t xml:space="preserve"> in the research</w:t>
      </w:r>
      <w:r w:rsidR="00102727">
        <w:t xml:space="preserve"> said they spent much more time with their gang than they did with their family and about 80% of those interviewed said that their gang offered them a sense of understanding that their family did not. </w:t>
      </w:r>
      <w:r w:rsidR="00CE5645">
        <w:t>Here we can see that those who are having family issues or even those without a solid family foundation can be drawn into a gang</w:t>
      </w:r>
      <w:r w:rsidR="00362FF0">
        <w:t>. A study conducted in 2022</w:t>
      </w:r>
      <w:r w:rsidR="00816E14">
        <w:t xml:space="preserve"> (Care)</w:t>
      </w:r>
      <w:r w:rsidR="00362FF0">
        <w:t xml:space="preserve"> showed that 44% of all children born were born into a family with only one biological parent. Although a single parent family does not prove a lack of a family life for the children it can drastically increase the factors associated</w:t>
      </w:r>
      <w:r w:rsidR="00816E14">
        <w:t xml:space="preserve"> about</w:t>
      </w:r>
      <w:r w:rsidR="00362FF0">
        <w:t xml:space="preserve"> with joining a gang. </w:t>
      </w:r>
      <w:r w:rsidR="009517F5">
        <w:t xml:space="preserve">The family dynamic that a person grows up in can have a </w:t>
      </w:r>
      <w:r w:rsidR="00FF175A">
        <w:t xml:space="preserve">significant impact on how they develop as a person and with a lack of a families ability or the ability of a family figure to shape a youths behaviour they are at risk of being recruited by a gang as their ability to differentiate between right and wrong is limited (Thornberry et al., 1993). </w:t>
      </w:r>
    </w:p>
    <w:p w14:paraId="1966243E" w14:textId="61C43CD3" w:rsidR="007E1478" w:rsidRDefault="00816E14" w:rsidP="005D0E62">
      <w:r>
        <w:tab/>
        <w:t xml:space="preserve">Another psychological factor that can drastically increase </w:t>
      </w:r>
      <w:r w:rsidR="00A87DA3">
        <w:t xml:space="preserve">the effectiveness of gang exploitation is due to the effects of trauma and abuse that an individual may have suffered or been exposed to. Individuals who have experienced physical, sexual or emotional abuse often suffer from long term effects and may seek the safety blanket of a gang as a means of protection and safety from future abuse and trauma. </w:t>
      </w:r>
      <w:r w:rsidR="0032745B">
        <w:t>Curtis (1963) suggested that children who suffered abuse and trauma would grow up to be murders and abusers themselves</w:t>
      </w:r>
      <w:r w:rsidR="007E1478">
        <w:t xml:space="preserve">. If this is </w:t>
      </w:r>
      <w:r w:rsidR="00CB0F21">
        <w:t>true,</w:t>
      </w:r>
      <w:r w:rsidR="007E1478">
        <w:t xml:space="preserve"> then those who have been exposed to abuse or trauma may naturally be predisposed to joining a criminal organisation such as a gang. </w:t>
      </w:r>
    </w:p>
    <w:p w14:paraId="77805F87" w14:textId="67DCF39D" w:rsidR="00816E14" w:rsidRDefault="007E1478" w:rsidP="007E1478">
      <w:pPr>
        <w:ind w:firstLine="720"/>
      </w:pPr>
      <w:r>
        <w:t xml:space="preserve">The theory that violence begets more violence, however, is one that is not fully understood yet and as suggested by Widom (1989) more research needs to be conducted to decide whether this is in fact the case. It does, however, stand to reason that those exposed to violence at an early age may normalise it in later life.  </w:t>
      </w:r>
    </w:p>
    <w:p w14:paraId="6F0DD2EF" w14:textId="6CD45655" w:rsidR="007E1478" w:rsidRDefault="00D7462C" w:rsidP="007E1478">
      <w:pPr>
        <w:ind w:firstLine="720"/>
      </w:pPr>
      <w:r>
        <w:t>Those that have been exposed to trauma and abuse at an early age or in fact any age my in turn suffer with conditions such as post traumatic stress disorder</w:t>
      </w:r>
      <w:r w:rsidR="00CB0F21">
        <w:t xml:space="preserve"> which in turn can then lead them to turn to that feeling of family and a safety net that we have previously discussed. </w:t>
      </w:r>
    </w:p>
    <w:p w14:paraId="7C1D1FF1" w14:textId="75161C2D" w:rsidR="00CB0F21" w:rsidRDefault="00CF02CA" w:rsidP="005C769D">
      <w:pPr>
        <w:ind w:firstLine="720"/>
      </w:pPr>
      <w:r>
        <w:t xml:space="preserve">The peer pressure asserted from a social network or peers is another very significant psychological factor. </w:t>
      </w:r>
      <w:r w:rsidR="004F71A3">
        <w:t xml:space="preserve">Young adults and children are highly susceptible to peer pressures and the need to be accepted by their peers. Gangs are able to use this to recruit new members using their want to be accepted and the need for human connection to increase the pull into the gang. </w:t>
      </w:r>
      <w:r>
        <w:t xml:space="preserve">Akers &amp; Warr </w:t>
      </w:r>
      <w:r>
        <w:lastRenderedPageBreak/>
        <w:t xml:space="preserve">(2003) </w:t>
      </w:r>
      <w:r w:rsidR="004F71A3">
        <w:t xml:space="preserve">in their research discussed the strong pull between the criminal behaviour of an induvial and the company they keep, recognising that the most accurate predictor of criminal behaviour is the number of friends they keep involved in criminal behaviour. This in turn can allow those previously not involved in criminal behaviour to become quickly accustomed to it simply by engaging in time with those already involved in the behaviour. </w:t>
      </w:r>
      <w:r w:rsidR="009517F5">
        <w:t xml:space="preserve"> Here we can see that this social pull can make people extremely vulnerable to gang exploitation. </w:t>
      </w:r>
    </w:p>
    <w:p w14:paraId="04C09297" w14:textId="3214AE92" w:rsidR="009517F5" w:rsidRDefault="00FF175A" w:rsidP="005C769D">
      <w:pPr>
        <w:ind w:firstLine="720"/>
      </w:pPr>
      <w:r>
        <w:t xml:space="preserve">Finally, substance abuse can act as both a consequence and cause of gang involvement. Individuals with substance abuse issues often turn to gangs for access to drugs and the financial means to support their addiction. </w:t>
      </w:r>
      <w:r w:rsidR="00FE608E">
        <w:t>Conversely, gangs can exploit these dependencies to control and manipulate individuals, drawing them deeper into criminal activitie</w:t>
      </w:r>
      <w:r w:rsidR="00330A07">
        <w:t>s by offering to supply drugs for favours. A person may also find that they have to commit theft in order to support their drug addicts and turn to a gang for ways to fence stolen goods or even to assist with jobs they are unable to achieve on their own.</w:t>
      </w:r>
      <w:r w:rsidR="00FE608E">
        <w:t xml:space="preserve"> </w:t>
      </w:r>
      <w:r w:rsidR="007C072B">
        <w:t xml:space="preserve">A person may often find that once they have drugs supplied through a gang they feel trapped and unable to leave without firstly withdrawing from drugs. Similarly, </w:t>
      </w:r>
      <w:r w:rsidR="00330A07">
        <w:t xml:space="preserve">once a person is within the gang they may find they are kept there against their will through use of drugs. </w:t>
      </w:r>
    </w:p>
    <w:p w14:paraId="1F3CA394" w14:textId="240432E2" w:rsidR="00476F28" w:rsidRDefault="00330A07" w:rsidP="005D0E62">
      <w:r>
        <w:tab/>
        <w:t xml:space="preserve">In conclusion the vulnerabilities that allow exploitation by criminal gangs is a complex combination of socioeconomic and psychological factors. Many factors such as poverty, unemployment, education, and community disorganisation can all create a breeding ground for gang recruitment and activities. Understanding these factors is crucial if we are to develop effective prevention strategies against gang recruitment as well as intervention strategies to pull individuals away from the gang lifestyle. </w:t>
      </w:r>
      <w:r w:rsidR="00E566C3">
        <w:t xml:space="preserve">By addressing these underlying issues, we can better protect the at risk population and reduce the factors that allow gangs to thrive and survive. </w:t>
      </w:r>
    </w:p>
    <w:p w14:paraId="63E28101" w14:textId="77777777" w:rsidR="00153F35" w:rsidRDefault="00153F35" w:rsidP="005D0E62"/>
    <w:p w14:paraId="6E332822" w14:textId="77326891" w:rsidR="00102727" w:rsidRDefault="00FF175A" w:rsidP="005D0E62">
      <w:r>
        <w:t xml:space="preserve">Word Count: </w:t>
      </w:r>
      <w:r w:rsidR="00E566C3">
        <w:t>949</w:t>
      </w:r>
    </w:p>
    <w:p w14:paraId="39471661" w14:textId="77777777" w:rsidR="00153F35" w:rsidRDefault="00153F35" w:rsidP="005D0E62">
      <w:pPr>
        <w:rPr>
          <w:u w:val="single"/>
        </w:rPr>
      </w:pPr>
    </w:p>
    <w:p w14:paraId="401D1A2F" w14:textId="5C86C52C" w:rsidR="00102727" w:rsidRPr="00153F35" w:rsidRDefault="00102727" w:rsidP="005D0E62">
      <w:pPr>
        <w:rPr>
          <w:u w:val="single"/>
        </w:rPr>
      </w:pPr>
      <w:r w:rsidRPr="00153F35">
        <w:rPr>
          <w:u w:val="single"/>
        </w:rPr>
        <w:t xml:space="preserve">Bibliography </w:t>
      </w:r>
    </w:p>
    <w:p w14:paraId="4F1532E7" w14:textId="77777777" w:rsidR="003F3592" w:rsidRDefault="003F3592" w:rsidP="003F3592">
      <w:r w:rsidRPr="00CF02CA">
        <w:t>Akers, R.L. and Warr, M. (2003). Companions in Crime: The Social Aspects of Criminal Conduct. Contemporary Sociology, 32(3), p.372. doi:https://doi.org/10.2307/3089208.</w:t>
      </w:r>
      <w:r>
        <w:t xml:space="preserve"> </w:t>
      </w:r>
    </w:p>
    <w:p w14:paraId="28D92BE7" w14:textId="77777777" w:rsidR="003F3592" w:rsidRDefault="003F3592" w:rsidP="003F3592">
      <w:r w:rsidRPr="00362FF0">
        <w:t>C</w:t>
      </w:r>
      <w:r>
        <w:t>are</w:t>
      </w:r>
      <w:r w:rsidRPr="00362FF0">
        <w:t>. (</w:t>
      </w:r>
      <w:r>
        <w:t>2022</w:t>
      </w:r>
      <w:r w:rsidRPr="00362FF0">
        <w:t xml:space="preserve">). Almost half of UK children are growing up outside the traditional family. [online] Available at: </w:t>
      </w:r>
      <w:hyperlink r:id="rId10" w:history="1">
        <w:r w:rsidRPr="005003D4">
          <w:rPr>
            <w:rStyle w:val="Hyperlink"/>
          </w:rPr>
          <w:t>https://care.org.uk/news/2022/09/almost-half-of-kids-growing-up-outside-nuclear-family</w:t>
        </w:r>
      </w:hyperlink>
      <w:r w:rsidRPr="00362FF0">
        <w:t>.</w:t>
      </w:r>
    </w:p>
    <w:p w14:paraId="6A602A9A" w14:textId="77777777" w:rsidR="003F3592" w:rsidRDefault="003F3592" w:rsidP="003F3592">
      <w:r w:rsidRPr="0032745B">
        <w:t>CURTIS GC. VIOLENCE BREEDS VIOLENCE - PERHAPS? Am J Psychiatry. 1963 Oct;120:386-7. doi: 10.1176/ajp.120.4.386. PMID: 14069465.</w:t>
      </w:r>
    </w:p>
    <w:p w14:paraId="6A39BF01" w14:textId="2FCB542B" w:rsidR="00102727" w:rsidRDefault="00102727" w:rsidP="005D0E62">
      <w:r w:rsidRPr="00102727">
        <w:t>Decker S. H., Van Winkle B. (1996). Life in the gang: Family, friends, and violence. New York, NY: Cambridge University Press.</w:t>
      </w:r>
    </w:p>
    <w:p w14:paraId="53C41C69" w14:textId="77777777" w:rsidR="003F3592" w:rsidRDefault="00FF175A" w:rsidP="003F3592">
      <w:r w:rsidRPr="00FF175A">
        <w:t xml:space="preserve">THORNBERRY, T. P., KROHN, M. D., LIZOTTE, A. J., &amp; CHARD-WIERSCHEM, D. (1993). The Role of Juvenile Gangs in Facilitating Delinquent Behavior. Journal of Research in Crime and Delinquency, 30(1), 55-87. </w:t>
      </w:r>
      <w:hyperlink r:id="rId11" w:history="1">
        <w:r w:rsidRPr="005003D4">
          <w:rPr>
            <w:rStyle w:val="Hyperlink"/>
          </w:rPr>
          <w:t>https://doi.org/10.1177/0022427893030001005</w:t>
        </w:r>
      </w:hyperlink>
      <w:r>
        <w:t xml:space="preserve"> </w:t>
      </w:r>
    </w:p>
    <w:p w14:paraId="0C603567" w14:textId="77777777" w:rsidR="003F3592" w:rsidRDefault="003F3592" w:rsidP="00B75E8A">
      <w:r>
        <w:t xml:space="preserve">Widom, C. S. (1989). CHILD ABUSE, NEGLECT, AND ADULT BEHAVIOR: Research Design and Findings on Criminality, Violence, and Child Abuse. American Journal of Orthopsychiatry, 59(3), 355–367. </w:t>
      </w:r>
      <w:hyperlink r:id="rId12" w:history="1">
        <w:r w:rsidRPr="005003D4">
          <w:rPr>
            <w:rStyle w:val="Hyperlink"/>
          </w:rPr>
          <w:t>https://doi.org/10.1111/j.1939-0025.1989.tb01671.x</w:t>
        </w:r>
      </w:hyperlink>
      <w:r>
        <w:t xml:space="preserve"> </w:t>
      </w:r>
    </w:p>
    <w:p w14:paraId="6013D74E" w14:textId="2CCB3FED" w:rsidR="00B75E8A" w:rsidRPr="00153F35" w:rsidRDefault="00B75E8A" w:rsidP="00B75E8A">
      <w:r w:rsidRPr="009B0092">
        <w:rPr>
          <w:b/>
          <w:bCs/>
        </w:rPr>
        <w:lastRenderedPageBreak/>
        <w:t xml:space="preserve">Essay five: </w:t>
      </w:r>
    </w:p>
    <w:p w14:paraId="7437AA58" w14:textId="77777777" w:rsidR="00B75E8A" w:rsidRDefault="00B75E8A" w:rsidP="00B75E8A">
      <w:pPr>
        <w:rPr>
          <w:b/>
          <w:bCs/>
        </w:rPr>
      </w:pPr>
      <w:r w:rsidRPr="009B0092">
        <w:rPr>
          <w:b/>
          <w:bCs/>
        </w:rPr>
        <w:t xml:space="preserve">Critically assess the effectiveness of options available to reduce re-offending. You may choose a specific type of offence for this answer e.g. domestic violence, anti-social behaviour, knife crime. Your answer must be based on academic research, but you may make reference to relevant case studies. </w:t>
      </w:r>
    </w:p>
    <w:p w14:paraId="168ED819" w14:textId="77777777" w:rsidR="00B75E8A" w:rsidRDefault="00B75E8A" w:rsidP="00B75E8A">
      <w:pPr>
        <w:rPr>
          <w:b/>
          <w:bCs/>
        </w:rPr>
      </w:pPr>
      <w:r w:rsidRPr="009B0092">
        <w:rPr>
          <w:b/>
          <w:bCs/>
        </w:rPr>
        <w:t>Word limit: 1000 words</w:t>
      </w:r>
    </w:p>
    <w:p w14:paraId="010500BE" w14:textId="77777777" w:rsidR="00B75E8A" w:rsidRDefault="00B75E8A" w:rsidP="00B75E8A">
      <w:pPr>
        <w:ind w:firstLine="720"/>
      </w:pPr>
      <w:r>
        <w:t xml:space="preserve">It can be argued that the only goal of the justice system is to promote public safety and rehabilitate offenders therefore the reduction of re-offending rates is of vital importance for any society looking to encourage these values. This essay aims to critically assess the effectiveness of the options available to prevent and reduce re-offending. </w:t>
      </w:r>
    </w:p>
    <w:p w14:paraId="37FA1B57" w14:textId="77777777" w:rsidR="00B75E8A" w:rsidRDefault="00B75E8A" w:rsidP="00B75E8A">
      <w:r>
        <w:tab/>
        <w:t xml:space="preserve">The first option readily available to prevent re-offending is legal intervention such as arrest. This is perhaps the most powerful option available to the police to immediately safeguard a victim of crime. Durkheim (1893) concluded that the stricter the legal repercussions the less likely an offender would reoffend. This is echoed in a study conducted by Lawerence and Berk (1984) who investigated the effectiveness of arrest on the likelihood of an offender to continue to commit domestic violence. The study concluded that those subjects that were arrest for domestic violence were far less likely to reoffend over a six-month period that those who were just given words of advice. </w:t>
      </w:r>
    </w:p>
    <w:p w14:paraId="10F7B9CB" w14:textId="77777777" w:rsidR="00B75E8A" w:rsidRDefault="00B75E8A" w:rsidP="00B75E8A">
      <w:pPr>
        <w:ind w:firstLine="720"/>
      </w:pPr>
      <w:r>
        <w:tab/>
        <w:t xml:space="preserve">From this study one could be forgiven in thinking that an arrest is the outright solution to prevent re-offending however, more recent studies have shown that arrest and legal proceedings can in fact have the opposite effect causing offenders to fall further into an offending lifestyle. A study conducted on juveniles (Lawerence &amp; Berk, 1984) came to the conclusion that the more official and formal and official the legal repercussions and processes the more likely a juvenile was to reoffend over the following two years. </w:t>
      </w:r>
    </w:p>
    <w:p w14:paraId="0A9F4FE1" w14:textId="77777777" w:rsidR="00B75E8A" w:rsidRDefault="00B75E8A" w:rsidP="00B75E8A">
      <w:r>
        <w:tab/>
        <w:t xml:space="preserve">From this study we can see that the effect of arrest on offending is far more complicated than a simple end. It is clearly based on a number of different factors that is specific to each individual. </w:t>
      </w:r>
    </w:p>
    <w:p w14:paraId="1CC827E2" w14:textId="77777777" w:rsidR="00B75E8A" w:rsidRDefault="00B75E8A" w:rsidP="00B75E8A">
      <w:r>
        <w:tab/>
        <w:t>Another option that can be implemented to help safeguard victims of domestic violence and prevent re-offending is through the use of protection orders. These can be in the form of non-molestation orders, domestic violence protection orders, and domestic violence protection notices. In a paper by Russell (2012) they found that between 22% and 70% of all women who had a protection order in place experienced violence and a breach of their order. It is clear from this wide-ranging statistic that the effectiveness of these orders varies greatly in their effectiveness at reducing re-offending rates. Those who do not want to follow the order and have a propensity for violence are very unlikely to follow the restrictions that have been placed on them. This is where the behavioral psychology of the offender has to be looked at and corrected.</w:t>
      </w:r>
    </w:p>
    <w:p w14:paraId="45AEC4F8" w14:textId="77777777" w:rsidR="00B75E8A" w:rsidRDefault="00B75E8A" w:rsidP="00B75E8A">
      <w:pPr>
        <w:ind w:firstLine="720"/>
      </w:pPr>
      <w:r>
        <w:t xml:space="preserve">A further option aimed at helping to reduce re-offending in men who domestically abuse their wives is through a more clinical approach. A psychoeducational approach </w:t>
      </w:r>
      <w:r w:rsidRPr="00D30796">
        <w:t>(Pence &amp; Paymar, 1993)</w:t>
      </w:r>
      <w:r>
        <w:t xml:space="preserve">. One such option is referred to as the ‘Duluth Model’. The theory behind this approach is that domestic violence is a primarily caused by the patriarchal society that is evident in everyday life. That the social norms that have been allowed to exist allow men to exercise their control and power over women (Babcock, 2004). The aim of this intervention is to move men away from feelings of control, anger and violence into feelings of equality. This is done through group sessions and conversations over a period of time. A similar treatment used is cognitive behavioural therapy (CBT), this treatment </w:t>
      </w:r>
      <w:r>
        <w:lastRenderedPageBreak/>
        <w:t>aims at address the learned behaviour of violence that domestic violence perpetrators have developed and overcoming it. These types of treatment according to Rosenfeld (1992) have not proved to be effective in reducing re-offending rates, however, with statistics between those engaging with treatment after arrest and those not showing a minimal difference in re-offending rates. One such study found that through use of CBT there might end up with 14% less likelihood of reoffending (College of Policing, 2015). Some have suggested that these types of interventions can actually have a negative impact on violence, creating a false sense of security for victims of violence (Babcock,2004)</w:t>
      </w:r>
    </w:p>
    <w:p w14:paraId="5CC73CF4" w14:textId="77777777" w:rsidR="00B75E8A" w:rsidRDefault="00B75E8A" w:rsidP="00B75E8A">
      <w:pPr>
        <w:ind w:firstLine="720"/>
      </w:pPr>
      <w:r>
        <w:t xml:space="preserve">Whilst study aimed at correcting the behaviours of those domestic violence perpetrators are prevalent studies have also taken place which aim at reducing these issues before they arise.  A study conducted in 2015 (Hubble et al.,) aimed at addressing the problem of young offenders and their response to arrest which was discussed previously. The study looked at improving emotional intelligence and recognition in others within. Over the course of the study 74 young offenders were given a basic intervention program whilst 24 of them were given a course aimed at improving emotion recognition. All juveniles were overseen for the duration of the course which resulted in fewer offences committed over a 6 month period. However, the 24 that took part in the emotional recognition course showed a reduction in the severity of the crimes that they had committed. We can see here that, this intervention has clearly had an effect on the juveniles as they were less likely to commit offences the more severe offences. These offences are broadly seen as being more aggressively led and as such a directly correlation can be seen. The complete reduction in offences overall can be explained by the fact that the young offenders were monitored over the 6 months. </w:t>
      </w:r>
    </w:p>
    <w:p w14:paraId="627A34D4" w14:textId="77777777" w:rsidR="00B75E8A" w:rsidRDefault="00B75E8A" w:rsidP="00B75E8A">
      <w:r>
        <w:tab/>
        <w:t>The fact that those observed over a 6 month period were able to reduce their offending rates is not unusual. The levels of support received by offenders and the relationships developed between the offenders and their mentors have a direct correlation with reoffending rates (Phoenix and Kelly, 2013). The use of the mentor is able to provide the offenders with a positive role model through trust and mutual respect and thus enable them to see a way out of their cycle and a life without offending (Boulton, 2019).</w:t>
      </w:r>
    </w:p>
    <w:p w14:paraId="0549A134" w14:textId="77777777" w:rsidR="00B75E8A" w:rsidRDefault="00B75E8A" w:rsidP="00B75E8A">
      <w:r>
        <w:tab/>
        <w:t xml:space="preserve">In conclusion, in order to reduce re-offending there is not a one-size-fits-all solution that can be applied to all situations. It requires a multifaceted approach that addresses the complexity of individuals. It is clear there are many options available to offenders to help prevent them from re-offending. The biggest obstacle to this, however, I believe relies on an offender's want to change. Even if given the opportunity and enough resources if an offender does not believe their behaviour to be wrong or in need of changing then they are likely to re-offend. For those willing and wanting to change there are a number of options that have the potential to rehabilitate offenders and thus promote public safety. </w:t>
      </w:r>
    </w:p>
    <w:p w14:paraId="5232D4D4" w14:textId="77777777" w:rsidR="00153F35" w:rsidRDefault="00153F35" w:rsidP="00B75E8A"/>
    <w:p w14:paraId="74BA08DA" w14:textId="0D09F619" w:rsidR="00B75E8A" w:rsidRDefault="00B75E8A" w:rsidP="00B75E8A">
      <w:r>
        <w:t>WORD COUNT - 1069</w:t>
      </w:r>
      <w:r>
        <w:tab/>
      </w:r>
    </w:p>
    <w:p w14:paraId="4DF3622B" w14:textId="77777777" w:rsidR="00153F35" w:rsidRDefault="00153F35" w:rsidP="00B75E8A">
      <w:pPr>
        <w:rPr>
          <w:u w:val="single"/>
        </w:rPr>
      </w:pPr>
    </w:p>
    <w:p w14:paraId="28865E98" w14:textId="3F5F8162" w:rsidR="00B75E8A" w:rsidRPr="00153F35" w:rsidRDefault="00B75E8A" w:rsidP="00B75E8A">
      <w:pPr>
        <w:rPr>
          <w:u w:val="single"/>
        </w:rPr>
      </w:pPr>
      <w:r w:rsidRPr="00153F35">
        <w:rPr>
          <w:u w:val="single"/>
        </w:rPr>
        <w:t xml:space="preserve">Bibliography </w:t>
      </w:r>
    </w:p>
    <w:p w14:paraId="45E7BEF7" w14:textId="77777777" w:rsidR="00B75E8A" w:rsidRDefault="00B75E8A" w:rsidP="00B75E8A">
      <w:r w:rsidRPr="00642866">
        <w:t xml:space="preserve">Babcock, J.C., Green, C.E. and Robie, C. (2004). </w:t>
      </w:r>
      <w:r w:rsidRPr="007B1110">
        <w:rPr>
          <w:i/>
          <w:iCs/>
        </w:rPr>
        <w:t>Does batterers’ treatment work? A meta-analytic review of domestic violence treatment.</w:t>
      </w:r>
      <w:r w:rsidRPr="00642866">
        <w:t xml:space="preserve"> Clinical Psychology Review, 23(8), pp.1023–1053. doi:https://doi.org/10.1016/j.cpr.2002.07.001.</w:t>
      </w:r>
    </w:p>
    <w:p w14:paraId="6695EA16" w14:textId="77777777" w:rsidR="00B75E8A" w:rsidRDefault="00B75E8A" w:rsidP="00B75E8A">
      <w:r w:rsidRPr="007B1110">
        <w:lastRenderedPageBreak/>
        <w:t xml:space="preserve">BOULTON, L.J., PHYTHIAN, R. and KIRBY, S., 2019. </w:t>
      </w:r>
      <w:r w:rsidRPr="007B1110">
        <w:rPr>
          <w:i/>
          <w:iCs/>
        </w:rPr>
        <w:t>Diverting young men from gangs: a qualitative evaluation</w:t>
      </w:r>
      <w:r w:rsidRPr="007B1110">
        <w:t>. Policing, 42(5), pp. 887-900.</w:t>
      </w:r>
    </w:p>
    <w:p w14:paraId="20423E76" w14:textId="77777777" w:rsidR="00B75E8A" w:rsidRDefault="00B75E8A" w:rsidP="00B75E8A">
      <w:r w:rsidRPr="00873F82">
        <w:t xml:space="preserve">College of Policing (2015). </w:t>
      </w:r>
      <w:r w:rsidRPr="007B1110">
        <w:rPr>
          <w:i/>
          <w:iCs/>
        </w:rPr>
        <w:t>Cognitive Behavioural Therapy (CBT) for Domestic Violence.</w:t>
      </w:r>
      <w:r w:rsidRPr="00873F82">
        <w:t xml:space="preserve"> [online] College of Policing. Available at: </w:t>
      </w:r>
      <w:hyperlink r:id="rId13" w:history="1">
        <w:r w:rsidRPr="00861F44">
          <w:rPr>
            <w:rStyle w:val="Hyperlink"/>
          </w:rPr>
          <w:t>https://www.college.police.uk/research/crime-reduction-toolkit/cbt-domestic-violence</w:t>
        </w:r>
      </w:hyperlink>
      <w:r w:rsidRPr="00873F82">
        <w:t>.</w:t>
      </w:r>
    </w:p>
    <w:p w14:paraId="286300FF" w14:textId="77777777" w:rsidR="00B75E8A" w:rsidRPr="009B0092" w:rsidRDefault="00B75E8A" w:rsidP="00B75E8A">
      <w:r w:rsidRPr="00A248D6">
        <w:t xml:space="preserve">Cordier, R., Chung, D., Wilkes-Gillan, S., &amp; Speyer, R. (2021). </w:t>
      </w:r>
      <w:r w:rsidRPr="007B1110">
        <w:rPr>
          <w:i/>
          <w:iCs/>
        </w:rPr>
        <w:t>The Effectiveness of Protection Orders in Reducing Recidivism in Domestic Violence: A Systematic Review and Meta-Analysis. Trauma, Violence, &amp; Abuse</w:t>
      </w:r>
      <w:r w:rsidRPr="00A248D6">
        <w:t>, 22(4), 804-828. https://doi.org/10.1177/1524838019882361</w:t>
      </w:r>
    </w:p>
    <w:p w14:paraId="7929FF17" w14:textId="77777777" w:rsidR="00B75E8A" w:rsidRDefault="00B75E8A" w:rsidP="00B75E8A">
      <w:r w:rsidRPr="00C965F6">
        <w:t>Durkheim, Emile [1893] Selected Writings. Edited with an Intro- 1972 duction by Anthony Giddens. [Selection from Division of Labor in Society, 6th edition, 1960 (1893)] Cambridge: Cambridge University Press.</w:t>
      </w:r>
    </w:p>
    <w:p w14:paraId="5B2C07FF" w14:textId="77777777" w:rsidR="00B75E8A" w:rsidRDefault="00B75E8A" w:rsidP="00B75E8A">
      <w:r>
        <w:t xml:space="preserve">Hubble K, Bowen KL, Moore SC, van Goozen SHM (2015) </w:t>
      </w:r>
      <w:r w:rsidRPr="007B1110">
        <w:rPr>
          <w:i/>
          <w:iCs/>
        </w:rPr>
        <w:t>Improving Negative Emotion Recognition in Young Offenders Reduces Subsequent Crime</w:t>
      </w:r>
      <w:r>
        <w:t>. PLoS ONE 10(6): e0132035. doi:10.1371/journal.pone.0132035</w:t>
      </w:r>
    </w:p>
    <w:p w14:paraId="433B982E" w14:textId="77777777" w:rsidR="00B75E8A" w:rsidRDefault="00B75E8A" w:rsidP="00B75E8A">
      <w:r w:rsidRPr="00642866">
        <w:t xml:space="preserve">Pence, E. and Paymar, M. (1993). </w:t>
      </w:r>
      <w:r w:rsidRPr="007B1110">
        <w:rPr>
          <w:i/>
          <w:iCs/>
        </w:rPr>
        <w:t>Education groups for men who batter : The Duluth model</w:t>
      </w:r>
      <w:r w:rsidRPr="00642866">
        <w:t>. New York: Springer, Cop.</w:t>
      </w:r>
    </w:p>
    <w:p w14:paraId="6049EEAE" w14:textId="77777777" w:rsidR="00B75E8A" w:rsidRDefault="00B75E8A" w:rsidP="00B75E8A">
      <w:r w:rsidRPr="007B1110">
        <w:t xml:space="preserve">Phoenix, JO and Laura Kelly. </w:t>
      </w:r>
      <w:r>
        <w:t>“</w:t>
      </w:r>
      <w:r w:rsidRPr="007B1110">
        <w:rPr>
          <w:i/>
          <w:iCs/>
        </w:rPr>
        <w:t>You Have to do it for Yourself’ Responsibilization in Youth Justice and Young People’s Situated Knowledge of Youth Justice Practice</w:t>
      </w:r>
      <w:r w:rsidRPr="007B1110">
        <w:t>.” British Journal of Criminology 53 (2013): 419-437.</w:t>
      </w:r>
    </w:p>
    <w:p w14:paraId="0F567E7A" w14:textId="77777777" w:rsidR="00B75E8A" w:rsidRDefault="00B75E8A" w:rsidP="00B75E8A">
      <w:r w:rsidRPr="00442FFC">
        <w:t xml:space="preserve">Rosenfeld, B.D. (1992). </w:t>
      </w:r>
      <w:r w:rsidRPr="007B1110">
        <w:rPr>
          <w:i/>
          <w:iCs/>
        </w:rPr>
        <w:t>Court-ordered treatment of spouse abuse</w:t>
      </w:r>
      <w:r w:rsidRPr="00442FFC">
        <w:t>. Clinical Psychology Review, 12(2), pp.205–226. doi:https://doi.org/10.1016/0272-7358(92)90115-o.</w:t>
      </w:r>
    </w:p>
    <w:p w14:paraId="043ECC11" w14:textId="77777777" w:rsidR="00B75E8A" w:rsidRDefault="00B75E8A" w:rsidP="00B75E8A">
      <w:r w:rsidRPr="00A248D6">
        <w:t xml:space="preserve">Russell B. (2012). </w:t>
      </w:r>
      <w:r w:rsidRPr="007B1110">
        <w:rPr>
          <w:i/>
          <w:iCs/>
        </w:rPr>
        <w:t>Effectiveness, victim safety, characteristics and enforcement of protective orders</w:t>
      </w:r>
      <w:r w:rsidRPr="00A248D6">
        <w:t>. Partner Abuse, 3, 531–552. doi:10.1891/1946-6560.3.4.531</w:t>
      </w:r>
    </w:p>
    <w:p w14:paraId="78274F0F" w14:textId="77777777" w:rsidR="00B75E8A" w:rsidRDefault="00B75E8A" w:rsidP="00B75E8A">
      <w:r w:rsidRPr="007B1110">
        <w:t>Sherman, Lawrence W., and Richard A. Berk. “</w:t>
      </w:r>
      <w:r w:rsidRPr="007B1110">
        <w:rPr>
          <w:i/>
          <w:iCs/>
        </w:rPr>
        <w:t>The Specific Deterrent Effects of Arrest for Domestic Assault</w:t>
      </w:r>
      <w:r w:rsidRPr="007B1110">
        <w:t>.” American Sociological Review, vol. 49, no. 2, 1984, pp. 261–72. JSTOR, https://doi.org/10.2307/2095575. Accessed 20 Feb. 2024.</w:t>
      </w:r>
    </w:p>
    <w:p w14:paraId="1710FD12" w14:textId="77777777" w:rsidR="00B75E8A" w:rsidRDefault="00B75E8A" w:rsidP="00B75E8A"/>
    <w:p w14:paraId="49338610" w14:textId="01C95084" w:rsidR="00FF175A" w:rsidRPr="009B0092" w:rsidRDefault="00FF175A" w:rsidP="00CF02CA"/>
    <w:sectPr w:rsidR="00FF175A" w:rsidRPr="009B00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ff9">
    <w:altName w:val="Cambria"/>
    <w:panose1 w:val="00000000000000000000"/>
    <w:charset w:val="00"/>
    <w:family w:val="roman"/>
    <w:notTrueType/>
    <w:pitch w:val="default"/>
  </w:font>
  <w:font w:name="ffb">
    <w:altName w:val="Cambria"/>
    <w:panose1 w:val="00000000000000000000"/>
    <w:charset w:val="00"/>
    <w:family w:val="roman"/>
    <w:notTrueType/>
    <w:pitch w:val="default"/>
  </w:font>
  <w:font w:name="ff5">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3600"/>
    <w:rsid w:val="00047140"/>
    <w:rsid w:val="0005260F"/>
    <w:rsid w:val="00071F26"/>
    <w:rsid w:val="001026DA"/>
    <w:rsid w:val="00102727"/>
    <w:rsid w:val="001158ED"/>
    <w:rsid w:val="00153F35"/>
    <w:rsid w:val="001912E1"/>
    <w:rsid w:val="001A5DC2"/>
    <w:rsid w:val="002345BC"/>
    <w:rsid w:val="00242DBB"/>
    <w:rsid w:val="00285508"/>
    <w:rsid w:val="002F7A15"/>
    <w:rsid w:val="0032745B"/>
    <w:rsid w:val="00330A07"/>
    <w:rsid w:val="00362FF0"/>
    <w:rsid w:val="003835F5"/>
    <w:rsid w:val="00384BC5"/>
    <w:rsid w:val="003B3186"/>
    <w:rsid w:val="003B7A85"/>
    <w:rsid w:val="003F3592"/>
    <w:rsid w:val="00415562"/>
    <w:rsid w:val="0041684F"/>
    <w:rsid w:val="00442FFC"/>
    <w:rsid w:val="004637B5"/>
    <w:rsid w:val="00476F28"/>
    <w:rsid w:val="004F71A3"/>
    <w:rsid w:val="005457B7"/>
    <w:rsid w:val="00550A03"/>
    <w:rsid w:val="005C769D"/>
    <w:rsid w:val="005D0E62"/>
    <w:rsid w:val="005F71D7"/>
    <w:rsid w:val="00642866"/>
    <w:rsid w:val="00663C7E"/>
    <w:rsid w:val="00673E41"/>
    <w:rsid w:val="006867C3"/>
    <w:rsid w:val="006B5B35"/>
    <w:rsid w:val="006D3600"/>
    <w:rsid w:val="00776CB3"/>
    <w:rsid w:val="007B1110"/>
    <w:rsid w:val="007C072B"/>
    <w:rsid w:val="007E1478"/>
    <w:rsid w:val="007F57FC"/>
    <w:rsid w:val="00816E14"/>
    <w:rsid w:val="00824802"/>
    <w:rsid w:val="00831CBF"/>
    <w:rsid w:val="00873F82"/>
    <w:rsid w:val="008A63E3"/>
    <w:rsid w:val="008E0745"/>
    <w:rsid w:val="009517F5"/>
    <w:rsid w:val="00973E71"/>
    <w:rsid w:val="009A0B38"/>
    <w:rsid w:val="009B0092"/>
    <w:rsid w:val="009B384E"/>
    <w:rsid w:val="009C5954"/>
    <w:rsid w:val="009D1138"/>
    <w:rsid w:val="009F0E10"/>
    <w:rsid w:val="00A248D6"/>
    <w:rsid w:val="00A65511"/>
    <w:rsid w:val="00A87DA3"/>
    <w:rsid w:val="00B121CC"/>
    <w:rsid w:val="00B2204D"/>
    <w:rsid w:val="00B4643F"/>
    <w:rsid w:val="00B63EE1"/>
    <w:rsid w:val="00B75693"/>
    <w:rsid w:val="00B75E8A"/>
    <w:rsid w:val="00B9396E"/>
    <w:rsid w:val="00BB1732"/>
    <w:rsid w:val="00BB2FAF"/>
    <w:rsid w:val="00BE1252"/>
    <w:rsid w:val="00C046AC"/>
    <w:rsid w:val="00C738CA"/>
    <w:rsid w:val="00C965F6"/>
    <w:rsid w:val="00CB0F21"/>
    <w:rsid w:val="00CE5645"/>
    <w:rsid w:val="00CF02CA"/>
    <w:rsid w:val="00D30796"/>
    <w:rsid w:val="00D7462C"/>
    <w:rsid w:val="00D755BD"/>
    <w:rsid w:val="00DA0D4B"/>
    <w:rsid w:val="00DD73D0"/>
    <w:rsid w:val="00E40380"/>
    <w:rsid w:val="00E475F6"/>
    <w:rsid w:val="00E566C3"/>
    <w:rsid w:val="00E71B72"/>
    <w:rsid w:val="00ED43D0"/>
    <w:rsid w:val="00F13875"/>
    <w:rsid w:val="00F468E9"/>
    <w:rsid w:val="00F7668C"/>
    <w:rsid w:val="00FE608E"/>
    <w:rsid w:val="00FF17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043CE6"/>
  <w15:chartTrackingRefBased/>
  <w15:docId w15:val="{0203710E-0533-4DBF-8AF8-C868880207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fb">
    <w:name w:val="ffb"/>
    <w:basedOn w:val="DefaultParagraphFont"/>
    <w:rsid w:val="00071F26"/>
  </w:style>
  <w:style w:type="character" w:customStyle="1" w:styleId="ff5">
    <w:name w:val="ff5"/>
    <w:basedOn w:val="DefaultParagraphFont"/>
    <w:rsid w:val="00071F26"/>
  </w:style>
  <w:style w:type="character" w:customStyle="1" w:styleId="ls1">
    <w:name w:val="ls1"/>
    <w:basedOn w:val="DefaultParagraphFont"/>
    <w:rsid w:val="00071F26"/>
  </w:style>
  <w:style w:type="character" w:customStyle="1" w:styleId="ff9">
    <w:name w:val="ff9"/>
    <w:basedOn w:val="DefaultParagraphFont"/>
    <w:rsid w:val="00071F26"/>
  </w:style>
  <w:style w:type="character" w:styleId="Hyperlink">
    <w:name w:val="Hyperlink"/>
    <w:basedOn w:val="DefaultParagraphFont"/>
    <w:uiPriority w:val="99"/>
    <w:unhideWhenUsed/>
    <w:rsid w:val="00E475F6"/>
    <w:rPr>
      <w:color w:val="0563C1" w:themeColor="hyperlink"/>
      <w:u w:val="single"/>
    </w:rPr>
  </w:style>
  <w:style w:type="character" w:styleId="UnresolvedMention">
    <w:name w:val="Unresolved Mention"/>
    <w:basedOn w:val="DefaultParagraphFont"/>
    <w:uiPriority w:val="99"/>
    <w:semiHidden/>
    <w:unhideWhenUsed/>
    <w:rsid w:val="00E475F6"/>
    <w:rPr>
      <w:color w:val="605E5C"/>
      <w:shd w:val="clear" w:color="auto" w:fill="E1DFDD"/>
    </w:rPr>
  </w:style>
  <w:style w:type="character" w:styleId="Emphasis">
    <w:name w:val="Emphasis"/>
    <w:basedOn w:val="DefaultParagraphFont"/>
    <w:uiPriority w:val="20"/>
    <w:qFormat/>
    <w:rsid w:val="00C046AC"/>
    <w:rPr>
      <w:i/>
      <w:iCs/>
    </w:rPr>
  </w:style>
  <w:style w:type="paragraph" w:customStyle="1" w:styleId="Default">
    <w:name w:val="Default"/>
    <w:rsid w:val="005D0E62"/>
    <w:pPr>
      <w:autoSpaceDE w:val="0"/>
      <w:autoSpaceDN w:val="0"/>
      <w:adjustRightInd w:val="0"/>
      <w:spacing w:after="0" w:line="240" w:lineRule="auto"/>
    </w:pPr>
    <w:rPr>
      <w:rFonts w:ascii="Arial" w:hAnsi="Arial" w:cs="Arial"/>
      <w:color w:val="000000"/>
      <w:kern w:val="0"/>
      <w:sz w:val="24"/>
      <w:szCs w:val="24"/>
    </w:rPr>
  </w:style>
  <w:style w:type="paragraph" w:styleId="NormalWeb">
    <w:name w:val="Normal (Web)"/>
    <w:basedOn w:val="Normal"/>
    <w:uiPriority w:val="99"/>
    <w:semiHidden/>
    <w:unhideWhenUsed/>
    <w:rsid w:val="002345B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brief-citation-data">
    <w:name w:val="brief-citation-data"/>
    <w:basedOn w:val="DefaultParagraphFont"/>
    <w:rsid w:val="00153F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72862">
      <w:bodyDiv w:val="1"/>
      <w:marLeft w:val="0"/>
      <w:marRight w:val="0"/>
      <w:marTop w:val="0"/>
      <w:marBottom w:val="0"/>
      <w:divBdr>
        <w:top w:val="none" w:sz="0" w:space="0" w:color="auto"/>
        <w:left w:val="none" w:sz="0" w:space="0" w:color="auto"/>
        <w:bottom w:val="none" w:sz="0" w:space="0" w:color="auto"/>
        <w:right w:val="none" w:sz="0" w:space="0" w:color="auto"/>
      </w:divBdr>
      <w:divsChild>
        <w:div w:id="2041198949">
          <w:marLeft w:val="0"/>
          <w:marRight w:val="0"/>
          <w:marTop w:val="0"/>
          <w:marBottom w:val="0"/>
          <w:divBdr>
            <w:top w:val="none" w:sz="0" w:space="0" w:color="auto"/>
            <w:left w:val="none" w:sz="0" w:space="0" w:color="auto"/>
            <w:bottom w:val="none" w:sz="0" w:space="0" w:color="auto"/>
            <w:right w:val="none" w:sz="0" w:space="0" w:color="auto"/>
          </w:divBdr>
        </w:div>
      </w:divsChild>
    </w:div>
    <w:div w:id="55789548">
      <w:bodyDiv w:val="1"/>
      <w:marLeft w:val="0"/>
      <w:marRight w:val="0"/>
      <w:marTop w:val="0"/>
      <w:marBottom w:val="0"/>
      <w:divBdr>
        <w:top w:val="none" w:sz="0" w:space="0" w:color="auto"/>
        <w:left w:val="none" w:sz="0" w:space="0" w:color="auto"/>
        <w:bottom w:val="none" w:sz="0" w:space="0" w:color="auto"/>
        <w:right w:val="none" w:sz="0" w:space="0" w:color="auto"/>
      </w:divBdr>
      <w:divsChild>
        <w:div w:id="609246234">
          <w:marLeft w:val="0"/>
          <w:marRight w:val="0"/>
          <w:marTop w:val="0"/>
          <w:marBottom w:val="0"/>
          <w:divBdr>
            <w:top w:val="none" w:sz="0" w:space="0" w:color="auto"/>
            <w:left w:val="none" w:sz="0" w:space="0" w:color="auto"/>
            <w:bottom w:val="none" w:sz="0" w:space="0" w:color="auto"/>
            <w:right w:val="none" w:sz="0" w:space="0" w:color="auto"/>
          </w:divBdr>
        </w:div>
      </w:divsChild>
    </w:div>
    <w:div w:id="118839742">
      <w:bodyDiv w:val="1"/>
      <w:marLeft w:val="0"/>
      <w:marRight w:val="0"/>
      <w:marTop w:val="0"/>
      <w:marBottom w:val="0"/>
      <w:divBdr>
        <w:top w:val="none" w:sz="0" w:space="0" w:color="auto"/>
        <w:left w:val="none" w:sz="0" w:space="0" w:color="auto"/>
        <w:bottom w:val="none" w:sz="0" w:space="0" w:color="auto"/>
        <w:right w:val="none" w:sz="0" w:space="0" w:color="auto"/>
      </w:divBdr>
      <w:divsChild>
        <w:div w:id="771901221">
          <w:marLeft w:val="0"/>
          <w:marRight w:val="0"/>
          <w:marTop w:val="0"/>
          <w:marBottom w:val="0"/>
          <w:divBdr>
            <w:top w:val="none" w:sz="0" w:space="0" w:color="auto"/>
            <w:left w:val="none" w:sz="0" w:space="0" w:color="auto"/>
            <w:bottom w:val="none" w:sz="0" w:space="0" w:color="auto"/>
            <w:right w:val="none" w:sz="0" w:space="0" w:color="auto"/>
          </w:divBdr>
          <w:divsChild>
            <w:div w:id="1016075977">
              <w:marLeft w:val="0"/>
              <w:marRight w:val="0"/>
              <w:marTop w:val="0"/>
              <w:marBottom w:val="0"/>
              <w:divBdr>
                <w:top w:val="none" w:sz="0" w:space="0" w:color="auto"/>
                <w:left w:val="none" w:sz="0" w:space="0" w:color="auto"/>
                <w:bottom w:val="none" w:sz="0" w:space="0" w:color="auto"/>
                <w:right w:val="none" w:sz="0" w:space="0" w:color="auto"/>
              </w:divBdr>
              <w:divsChild>
                <w:div w:id="1017544131">
                  <w:marLeft w:val="0"/>
                  <w:marRight w:val="0"/>
                  <w:marTop w:val="0"/>
                  <w:marBottom w:val="0"/>
                  <w:divBdr>
                    <w:top w:val="none" w:sz="0" w:space="0" w:color="auto"/>
                    <w:left w:val="none" w:sz="0" w:space="0" w:color="auto"/>
                    <w:bottom w:val="none" w:sz="0" w:space="0" w:color="auto"/>
                    <w:right w:val="none" w:sz="0" w:space="0" w:color="auto"/>
                  </w:divBdr>
                  <w:divsChild>
                    <w:div w:id="1766917502">
                      <w:marLeft w:val="0"/>
                      <w:marRight w:val="0"/>
                      <w:marTop w:val="0"/>
                      <w:marBottom w:val="0"/>
                      <w:divBdr>
                        <w:top w:val="none" w:sz="0" w:space="0" w:color="auto"/>
                        <w:left w:val="none" w:sz="0" w:space="0" w:color="auto"/>
                        <w:bottom w:val="none" w:sz="0" w:space="0" w:color="auto"/>
                        <w:right w:val="none" w:sz="0" w:space="0" w:color="auto"/>
                      </w:divBdr>
                      <w:divsChild>
                        <w:div w:id="788010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2864365">
      <w:bodyDiv w:val="1"/>
      <w:marLeft w:val="0"/>
      <w:marRight w:val="0"/>
      <w:marTop w:val="0"/>
      <w:marBottom w:val="0"/>
      <w:divBdr>
        <w:top w:val="none" w:sz="0" w:space="0" w:color="auto"/>
        <w:left w:val="none" w:sz="0" w:space="0" w:color="auto"/>
        <w:bottom w:val="none" w:sz="0" w:space="0" w:color="auto"/>
        <w:right w:val="none" w:sz="0" w:space="0" w:color="auto"/>
      </w:divBdr>
      <w:divsChild>
        <w:div w:id="804280700">
          <w:marLeft w:val="0"/>
          <w:marRight w:val="0"/>
          <w:marTop w:val="0"/>
          <w:marBottom w:val="0"/>
          <w:divBdr>
            <w:top w:val="none" w:sz="0" w:space="0" w:color="auto"/>
            <w:left w:val="none" w:sz="0" w:space="0" w:color="auto"/>
            <w:bottom w:val="none" w:sz="0" w:space="0" w:color="auto"/>
            <w:right w:val="none" w:sz="0" w:space="0" w:color="auto"/>
          </w:divBdr>
          <w:divsChild>
            <w:div w:id="938098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635776">
      <w:bodyDiv w:val="1"/>
      <w:marLeft w:val="0"/>
      <w:marRight w:val="0"/>
      <w:marTop w:val="0"/>
      <w:marBottom w:val="0"/>
      <w:divBdr>
        <w:top w:val="none" w:sz="0" w:space="0" w:color="auto"/>
        <w:left w:val="none" w:sz="0" w:space="0" w:color="auto"/>
        <w:bottom w:val="none" w:sz="0" w:space="0" w:color="auto"/>
        <w:right w:val="none" w:sz="0" w:space="0" w:color="auto"/>
      </w:divBdr>
      <w:divsChild>
        <w:div w:id="867835350">
          <w:marLeft w:val="0"/>
          <w:marRight w:val="0"/>
          <w:marTop w:val="0"/>
          <w:marBottom w:val="0"/>
          <w:divBdr>
            <w:top w:val="none" w:sz="0" w:space="0" w:color="auto"/>
            <w:left w:val="none" w:sz="0" w:space="0" w:color="auto"/>
            <w:bottom w:val="none" w:sz="0" w:space="0" w:color="auto"/>
            <w:right w:val="none" w:sz="0" w:space="0" w:color="auto"/>
          </w:divBdr>
        </w:div>
      </w:divsChild>
    </w:div>
    <w:div w:id="747113501">
      <w:bodyDiv w:val="1"/>
      <w:marLeft w:val="0"/>
      <w:marRight w:val="0"/>
      <w:marTop w:val="0"/>
      <w:marBottom w:val="0"/>
      <w:divBdr>
        <w:top w:val="none" w:sz="0" w:space="0" w:color="auto"/>
        <w:left w:val="none" w:sz="0" w:space="0" w:color="auto"/>
        <w:bottom w:val="none" w:sz="0" w:space="0" w:color="auto"/>
        <w:right w:val="none" w:sz="0" w:space="0" w:color="auto"/>
      </w:divBdr>
      <w:divsChild>
        <w:div w:id="191261901">
          <w:marLeft w:val="0"/>
          <w:marRight w:val="0"/>
          <w:marTop w:val="0"/>
          <w:marBottom w:val="0"/>
          <w:divBdr>
            <w:top w:val="none" w:sz="0" w:space="0" w:color="auto"/>
            <w:left w:val="none" w:sz="0" w:space="0" w:color="auto"/>
            <w:bottom w:val="none" w:sz="0" w:space="0" w:color="auto"/>
            <w:right w:val="none" w:sz="0" w:space="0" w:color="auto"/>
          </w:divBdr>
        </w:div>
      </w:divsChild>
    </w:div>
    <w:div w:id="950822793">
      <w:bodyDiv w:val="1"/>
      <w:marLeft w:val="0"/>
      <w:marRight w:val="0"/>
      <w:marTop w:val="0"/>
      <w:marBottom w:val="0"/>
      <w:divBdr>
        <w:top w:val="none" w:sz="0" w:space="0" w:color="auto"/>
        <w:left w:val="none" w:sz="0" w:space="0" w:color="auto"/>
        <w:bottom w:val="none" w:sz="0" w:space="0" w:color="auto"/>
        <w:right w:val="none" w:sz="0" w:space="0" w:color="auto"/>
      </w:divBdr>
    </w:div>
    <w:div w:id="1103646952">
      <w:bodyDiv w:val="1"/>
      <w:marLeft w:val="0"/>
      <w:marRight w:val="0"/>
      <w:marTop w:val="0"/>
      <w:marBottom w:val="0"/>
      <w:divBdr>
        <w:top w:val="none" w:sz="0" w:space="0" w:color="auto"/>
        <w:left w:val="none" w:sz="0" w:space="0" w:color="auto"/>
        <w:bottom w:val="none" w:sz="0" w:space="0" w:color="auto"/>
        <w:right w:val="none" w:sz="0" w:space="0" w:color="auto"/>
      </w:divBdr>
      <w:divsChild>
        <w:div w:id="510143369">
          <w:marLeft w:val="0"/>
          <w:marRight w:val="0"/>
          <w:marTop w:val="0"/>
          <w:marBottom w:val="0"/>
          <w:divBdr>
            <w:top w:val="none" w:sz="0" w:space="0" w:color="auto"/>
            <w:left w:val="none" w:sz="0" w:space="0" w:color="auto"/>
            <w:bottom w:val="none" w:sz="0" w:space="0" w:color="auto"/>
            <w:right w:val="none" w:sz="0" w:space="0" w:color="auto"/>
          </w:divBdr>
        </w:div>
      </w:divsChild>
    </w:div>
    <w:div w:id="1211772059">
      <w:bodyDiv w:val="1"/>
      <w:marLeft w:val="0"/>
      <w:marRight w:val="0"/>
      <w:marTop w:val="0"/>
      <w:marBottom w:val="0"/>
      <w:divBdr>
        <w:top w:val="none" w:sz="0" w:space="0" w:color="auto"/>
        <w:left w:val="none" w:sz="0" w:space="0" w:color="auto"/>
        <w:bottom w:val="none" w:sz="0" w:space="0" w:color="auto"/>
        <w:right w:val="none" w:sz="0" w:space="0" w:color="auto"/>
      </w:divBdr>
      <w:divsChild>
        <w:div w:id="1819036873">
          <w:marLeft w:val="0"/>
          <w:marRight w:val="0"/>
          <w:marTop w:val="0"/>
          <w:marBottom w:val="0"/>
          <w:divBdr>
            <w:top w:val="none" w:sz="0" w:space="0" w:color="auto"/>
            <w:left w:val="none" w:sz="0" w:space="0" w:color="auto"/>
            <w:bottom w:val="none" w:sz="0" w:space="0" w:color="auto"/>
            <w:right w:val="none" w:sz="0" w:space="0" w:color="auto"/>
          </w:divBdr>
          <w:divsChild>
            <w:div w:id="1456635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495312">
      <w:bodyDiv w:val="1"/>
      <w:marLeft w:val="0"/>
      <w:marRight w:val="0"/>
      <w:marTop w:val="0"/>
      <w:marBottom w:val="0"/>
      <w:divBdr>
        <w:top w:val="none" w:sz="0" w:space="0" w:color="auto"/>
        <w:left w:val="none" w:sz="0" w:space="0" w:color="auto"/>
        <w:bottom w:val="none" w:sz="0" w:space="0" w:color="auto"/>
        <w:right w:val="none" w:sz="0" w:space="0" w:color="auto"/>
      </w:divBdr>
    </w:div>
    <w:div w:id="1501433422">
      <w:bodyDiv w:val="1"/>
      <w:marLeft w:val="0"/>
      <w:marRight w:val="0"/>
      <w:marTop w:val="0"/>
      <w:marBottom w:val="0"/>
      <w:divBdr>
        <w:top w:val="none" w:sz="0" w:space="0" w:color="auto"/>
        <w:left w:val="none" w:sz="0" w:space="0" w:color="auto"/>
        <w:bottom w:val="none" w:sz="0" w:space="0" w:color="auto"/>
        <w:right w:val="none" w:sz="0" w:space="0" w:color="auto"/>
      </w:divBdr>
    </w:div>
    <w:div w:id="1646010809">
      <w:bodyDiv w:val="1"/>
      <w:marLeft w:val="0"/>
      <w:marRight w:val="0"/>
      <w:marTop w:val="0"/>
      <w:marBottom w:val="0"/>
      <w:divBdr>
        <w:top w:val="none" w:sz="0" w:space="0" w:color="auto"/>
        <w:left w:val="none" w:sz="0" w:space="0" w:color="auto"/>
        <w:bottom w:val="none" w:sz="0" w:space="0" w:color="auto"/>
        <w:right w:val="none" w:sz="0" w:space="0" w:color="auto"/>
      </w:divBdr>
    </w:div>
    <w:div w:id="1783572988">
      <w:bodyDiv w:val="1"/>
      <w:marLeft w:val="0"/>
      <w:marRight w:val="0"/>
      <w:marTop w:val="0"/>
      <w:marBottom w:val="0"/>
      <w:divBdr>
        <w:top w:val="none" w:sz="0" w:space="0" w:color="auto"/>
        <w:left w:val="none" w:sz="0" w:space="0" w:color="auto"/>
        <w:bottom w:val="none" w:sz="0" w:space="0" w:color="auto"/>
        <w:right w:val="none" w:sz="0" w:space="0" w:color="auto"/>
      </w:divBdr>
      <w:divsChild>
        <w:div w:id="614168740">
          <w:marLeft w:val="0"/>
          <w:marRight w:val="0"/>
          <w:marTop w:val="0"/>
          <w:marBottom w:val="0"/>
          <w:divBdr>
            <w:top w:val="none" w:sz="0" w:space="0" w:color="auto"/>
            <w:left w:val="none" w:sz="0" w:space="0" w:color="auto"/>
            <w:bottom w:val="none" w:sz="0" w:space="0" w:color="auto"/>
            <w:right w:val="none" w:sz="0" w:space="0" w:color="auto"/>
          </w:divBdr>
        </w:div>
      </w:divsChild>
    </w:div>
    <w:div w:id="1786922626">
      <w:bodyDiv w:val="1"/>
      <w:marLeft w:val="0"/>
      <w:marRight w:val="0"/>
      <w:marTop w:val="0"/>
      <w:marBottom w:val="0"/>
      <w:divBdr>
        <w:top w:val="none" w:sz="0" w:space="0" w:color="auto"/>
        <w:left w:val="none" w:sz="0" w:space="0" w:color="auto"/>
        <w:bottom w:val="none" w:sz="0" w:space="0" w:color="auto"/>
        <w:right w:val="none" w:sz="0" w:space="0" w:color="auto"/>
      </w:divBdr>
      <w:divsChild>
        <w:div w:id="1042948164">
          <w:marLeft w:val="0"/>
          <w:marRight w:val="0"/>
          <w:marTop w:val="0"/>
          <w:marBottom w:val="0"/>
          <w:divBdr>
            <w:top w:val="none" w:sz="0" w:space="0" w:color="auto"/>
            <w:left w:val="none" w:sz="0" w:space="0" w:color="auto"/>
            <w:bottom w:val="none" w:sz="0" w:space="0" w:color="auto"/>
            <w:right w:val="none" w:sz="0" w:space="0" w:color="auto"/>
          </w:divBdr>
          <w:divsChild>
            <w:div w:id="805465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258639">
      <w:bodyDiv w:val="1"/>
      <w:marLeft w:val="0"/>
      <w:marRight w:val="0"/>
      <w:marTop w:val="0"/>
      <w:marBottom w:val="0"/>
      <w:divBdr>
        <w:top w:val="none" w:sz="0" w:space="0" w:color="auto"/>
        <w:left w:val="none" w:sz="0" w:space="0" w:color="auto"/>
        <w:bottom w:val="none" w:sz="0" w:space="0" w:color="auto"/>
        <w:right w:val="none" w:sz="0" w:space="0" w:color="auto"/>
      </w:divBdr>
    </w:div>
    <w:div w:id="1984189916">
      <w:bodyDiv w:val="1"/>
      <w:marLeft w:val="0"/>
      <w:marRight w:val="0"/>
      <w:marTop w:val="0"/>
      <w:marBottom w:val="0"/>
      <w:divBdr>
        <w:top w:val="none" w:sz="0" w:space="0" w:color="auto"/>
        <w:left w:val="none" w:sz="0" w:space="0" w:color="auto"/>
        <w:bottom w:val="none" w:sz="0" w:space="0" w:color="auto"/>
        <w:right w:val="none" w:sz="0" w:space="0" w:color="auto"/>
      </w:divBdr>
    </w:div>
    <w:div w:id="2136093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33253598" TargetMode="External"/><Relationship Id="rId13" Type="http://schemas.openxmlformats.org/officeDocument/2006/relationships/hyperlink" Target="https://www.college.police.uk/research/crime-reduction-toolkit/cbt-domestic-violence" TargetMode="External"/><Relationship Id="rId3" Type="http://schemas.openxmlformats.org/officeDocument/2006/relationships/webSettings" Target="webSettings.xml"/><Relationship Id="rId7" Type="http://schemas.openxmlformats.org/officeDocument/2006/relationships/hyperlink" Target="https://www.gov.uk/government/publications/the-stephen-lawrence-inquiry" TargetMode="External"/><Relationship Id="rId12" Type="http://schemas.openxmlformats.org/officeDocument/2006/relationships/hyperlink" Target="https://doi.org/10.1111/j.1939-0025.1989.tb01671.x"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ollege.police.uk/app/civil-emergencies/civil-contingencies/response#methane-e059b494-0e79-4af5-b515-b4615168845b" TargetMode="External"/><Relationship Id="rId11" Type="http://schemas.openxmlformats.org/officeDocument/2006/relationships/hyperlink" Target="https://doi.org/10.1177/0022427893030001005" TargetMode="External"/><Relationship Id="rId5" Type="http://schemas.openxmlformats.org/officeDocument/2006/relationships/hyperlink" Target="https://www.college.police.uk/app/civil-emergencies/disaster-victim-identification/definitions" TargetMode="External"/><Relationship Id="rId15" Type="http://schemas.openxmlformats.org/officeDocument/2006/relationships/theme" Target="theme/theme1.xml"/><Relationship Id="rId10" Type="http://schemas.openxmlformats.org/officeDocument/2006/relationships/hyperlink" Target="https://care.org.uk/news/2022/09/almost-half-of-kids-growing-up-outside-nuclear-family" TargetMode="External"/><Relationship Id="rId4" Type="http://schemas.openxmlformats.org/officeDocument/2006/relationships/hyperlink" Target="https://doi.org/10.1080/14747731.2020.1798109" TargetMode="External"/><Relationship Id="rId9" Type="http://schemas.openxmlformats.org/officeDocument/2006/relationships/hyperlink" Target="https://doi.org/10.2307/1423118"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11</Pages>
  <Words>4855</Words>
  <Characters>27674</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32465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Hobbs, Thomas</dc:creator>
  <cp:keywords/>
  <dc:description/>
  <cp:lastModifiedBy>Hobbs, Thomas</cp:lastModifiedBy>
  <cp:revision>3</cp:revision>
  <dcterms:created xsi:type="dcterms:W3CDTF">2024-05-27T14:33:00Z</dcterms:created>
  <dcterms:modified xsi:type="dcterms:W3CDTF">2024-05-27T14:35:00Z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fda5675c-46b0-4032-a931-1903956de9f1</vt:lpwstr>
  </property>
  <property fmtid="{D5CDD505-2E9C-101B-9397-08002B2CF9AE}" pid="3" name="MSIP_Label_f2acd28b-79a3-4a0f-b0ff-4b75658b1549_Enabled">
    <vt:lpwstr>true</vt:lpwstr>
  </property>
  <property fmtid="{D5CDD505-2E9C-101B-9397-08002B2CF9AE}" pid="4" name="MSIP_Label_f2acd28b-79a3-4a0f-b0ff-4b75658b1549_SetDate">
    <vt:lpwstr>2024-02-11T21:21:27Z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48f620e4-3827-437b-a67d-9767d7672503</vt:lpwstr>
  </property>
  <property fmtid="{D5CDD505-2E9C-101B-9397-08002B2CF9AE}" pid="9" name="MSIP_Label_f2acd28b-79a3-4a0f-b0ff-4b75658b1549_ContentBits">
    <vt:lpwstr>0</vt:lpwstr>
  </property>
</Properties>
</file>