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68E3A2" w14:textId="23BE03A5" w:rsidR="003B1AC2" w:rsidRDefault="003B1AC2" w:rsidP="003B1AC2">
      <w:pPr>
        <w:rPr>
          <w:b/>
          <w:bCs/>
          <w:u w:val="single"/>
        </w:rPr>
      </w:pPr>
      <w:r w:rsidRPr="003B1AC2">
        <w:rPr>
          <w:b/>
          <w:bCs/>
          <w:u w:val="single"/>
        </w:rPr>
        <w:t xml:space="preserve">Reference list </w:t>
      </w:r>
    </w:p>
    <w:p w14:paraId="0E02FD75" w14:textId="094AA3C9" w:rsidR="003B1AC2" w:rsidRPr="003B1AC2" w:rsidRDefault="003B1AC2" w:rsidP="003B1AC2">
      <w:proofErr w:type="spellStart"/>
      <w:r w:rsidRPr="003B1AC2">
        <w:t>Cano</w:t>
      </w:r>
      <w:proofErr w:type="spellEnd"/>
      <w:r w:rsidRPr="003B1AC2">
        <w:t xml:space="preserve">-Ibáñez, N., Zolfaghari, Y., Amezcua-Prieto, C. and Khan, K.S. (2021) ‘Physician–patient language discordance and poor health outcomes: A systematic scoping review’, Frontiers in Public Health, 9, 629041. </w:t>
      </w:r>
    </w:p>
    <w:p w14:paraId="6BEBCD84" w14:textId="77777777" w:rsidR="003B1AC2" w:rsidRPr="003B1AC2" w:rsidRDefault="003B1AC2" w:rsidP="003B1AC2">
      <w:r w:rsidRPr="003B1AC2">
        <w:t xml:space="preserve">Daggett, A., Abdollahi, S. and Hashemzadeh, M. (2023) ‘The effect of language concordance on health care relationship trust score’, </w:t>
      </w:r>
      <w:proofErr w:type="spellStart"/>
      <w:r w:rsidRPr="003B1AC2">
        <w:t>Cureus</w:t>
      </w:r>
      <w:proofErr w:type="spellEnd"/>
      <w:r w:rsidRPr="003B1AC2">
        <w:t>, 15(5), e38479.</w:t>
      </w:r>
    </w:p>
    <w:p w14:paraId="14ECBE1D" w14:textId="77777777" w:rsidR="003B1AC2" w:rsidRPr="003B1AC2" w:rsidRDefault="003B1AC2" w:rsidP="003B1AC2">
      <w:r w:rsidRPr="003B1AC2">
        <w:t>Diamond, L.C., Izquierdo, K., Canfield, D., Matsoukas, K. and Gany, F. (2019) ‘A systematic review of the impact of patient–physician non-English language concordance on quality of care and outcomes’, Journal of General Internal Medicine, 34(8), pp. 1591–1606.</w:t>
      </w:r>
    </w:p>
    <w:p w14:paraId="6F5078B8" w14:textId="77777777" w:rsidR="003B1AC2" w:rsidRPr="003B1AC2" w:rsidRDefault="003B1AC2" w:rsidP="003B1AC2">
      <w:r w:rsidRPr="003B1AC2">
        <w:t>Office for National Statistics (2022) Welsh language, Wales: Census 2021.</w:t>
      </w:r>
    </w:p>
    <w:p w14:paraId="5122CE0C" w14:textId="77777777" w:rsidR="003B1AC2" w:rsidRPr="003B1AC2" w:rsidRDefault="003B1AC2" w:rsidP="003B1AC2">
      <w:r w:rsidRPr="003B1AC2">
        <w:t>Social Services and Well-being (Wales) Act 2014. (2014) Cardiff: National Assembly for Wales.</w:t>
      </w:r>
    </w:p>
    <w:p w14:paraId="32BF95DC" w14:textId="77777777" w:rsidR="003B1AC2" w:rsidRPr="003B1AC2" w:rsidRDefault="003B1AC2" w:rsidP="003B1AC2">
      <w:r w:rsidRPr="003B1AC2">
        <w:t>Welsh Government (2021) Welsh language data from the Annual Population Survey. Cardiff: Welsh Government.</w:t>
      </w:r>
    </w:p>
    <w:p w14:paraId="3853E1C7" w14:textId="77777777" w:rsidR="003B1AC2" w:rsidRPr="003B1AC2" w:rsidRDefault="003B1AC2" w:rsidP="003B1AC2">
      <w:r w:rsidRPr="003B1AC2">
        <w:t>Welsh Government (2022). More than just words: Welsh language plan in health and social care 2022–2027. Cardiff: Welsh Government.</w:t>
      </w:r>
    </w:p>
    <w:p w14:paraId="52B1AA71" w14:textId="77777777" w:rsidR="003B1AC2" w:rsidRPr="003B1AC2" w:rsidRDefault="003B1AC2" w:rsidP="003B1AC2">
      <w:r w:rsidRPr="003B1AC2">
        <w:t>Welsh Language Act 1993. (1993) London: HMSO.</w:t>
      </w:r>
    </w:p>
    <w:p w14:paraId="1CD1BCF5" w14:textId="4D526E47" w:rsidR="003B1AC2" w:rsidRPr="003B1AC2" w:rsidRDefault="003B1AC2" w:rsidP="003B1AC2">
      <w:r w:rsidRPr="003B1AC2">
        <w:t>Welsh Language (Wales) Measure 2011. (2011) Cardiff: National Assembly for Wales.</w:t>
      </w:r>
    </w:p>
    <w:sectPr w:rsidR="003B1AC2" w:rsidRPr="003B1A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1AC2"/>
    <w:rsid w:val="002067C3"/>
    <w:rsid w:val="00352BF9"/>
    <w:rsid w:val="003B1AC2"/>
    <w:rsid w:val="00E406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ADF5F3"/>
  <w15:chartTrackingRefBased/>
  <w15:docId w15:val="{0593BC05-BAB2-4C7F-A68A-6A66CFC481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1A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1A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1A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1A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1A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1A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1A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1A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1A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1A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1A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1A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1A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1A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1A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1A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1A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1A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1A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1A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1A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1A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1A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1A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1A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1A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1A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1A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1AC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175</Words>
  <Characters>1000</Characters>
  <Application>Microsoft Office Word</Application>
  <DocSecurity>0</DocSecurity>
  <Lines>8</Lines>
  <Paragraphs>2</Paragraphs>
  <ScaleCrop>false</ScaleCrop>
  <Company/>
  <LinksUpToDate>false</LinksUpToDate>
  <CharactersWithSpaces>1173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Sally James (2208030)</dc:creator>
  <cp:keywords/>
  <dc:description/>
  <cp:lastModifiedBy>Sally James</cp:lastModifiedBy>
  <cp:revision>2</cp:revision>
  <cp:lastPrinted>2026-03-06T09:47:00Z</cp:lastPrinted>
  <dcterms:created xsi:type="dcterms:W3CDTF">2026-03-06T10:28:00Z</dcterms:created>
  <dcterms:modified xsi:type="dcterms:W3CDTF">2026-03-06T10:28:00Z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680bb740-2f3f-4bd6-abda-6de5f6aa93b9</vt:lpwstr>
  </property>
</Properties>
</file>