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1369E1C" w:rsidR="007B536C" w:rsidRPr="00C37B4E" w:rsidRDefault="00AB66D9">
      <w:pPr>
        <w:jc w:val="center"/>
        <w:rPr>
          <w:rFonts w:ascii="Arial" w:hAnsi="Arial" w:cs="Arial"/>
          <w:b/>
          <w:bCs/>
          <w:sz w:val="32"/>
          <w:szCs w:val="32"/>
        </w:rPr>
      </w:pPr>
      <w:r>
        <w:rPr>
          <w:rFonts w:ascii="Arial" w:hAnsi="Arial" w:cs="Arial"/>
          <w:b/>
          <w:bCs/>
          <w:noProof/>
          <w:sz w:val="32"/>
          <w:szCs w:val="32"/>
        </w:rPr>
        <w:drawing>
          <wp:inline distT="0" distB="0" distL="0" distR="0" wp14:anchorId="375C6ECA" wp14:editId="4F8839DA">
            <wp:extent cx="2552700" cy="1340104"/>
            <wp:effectExtent l="114300" t="76200" r="57150" b="127000"/>
            <wp:docPr id="81477238" name="Picture 1" descr="A blue and white sign with a shield and lea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77238" name="Picture 1" descr="A blue and white sign with a shield and leaf&#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5339" cy="134673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0000007" w14:textId="77777777" w:rsidR="007B536C" w:rsidRPr="00C37B4E" w:rsidRDefault="007B536C" w:rsidP="00AB66D9">
      <w:pPr>
        <w:rPr>
          <w:rFonts w:ascii="Arial" w:hAnsi="Arial" w:cs="Arial"/>
          <w:b/>
          <w:bCs/>
          <w:sz w:val="32"/>
          <w:szCs w:val="32"/>
        </w:rPr>
      </w:pPr>
    </w:p>
    <w:p w14:paraId="00000008" w14:textId="77777777" w:rsidR="007B536C" w:rsidRDefault="00000000">
      <w:pPr>
        <w:jc w:val="center"/>
        <w:rPr>
          <w:rFonts w:ascii="Arial" w:hAnsi="Arial" w:cs="Arial"/>
          <w:b/>
          <w:bCs/>
          <w:sz w:val="32"/>
          <w:szCs w:val="32"/>
        </w:rPr>
      </w:pPr>
      <w:r w:rsidRPr="00C37B4E">
        <w:rPr>
          <w:rFonts w:ascii="Arial" w:hAnsi="Arial" w:cs="Arial"/>
          <w:b/>
          <w:bCs/>
          <w:sz w:val="32"/>
          <w:szCs w:val="32"/>
        </w:rPr>
        <w:t>Programme: BA (Hons) Leadership and Management Skills for the Workplace</w:t>
      </w:r>
    </w:p>
    <w:p w14:paraId="4139212D" w14:textId="77777777" w:rsidR="00AB66D9" w:rsidRPr="00C37B4E" w:rsidRDefault="00AB66D9">
      <w:pPr>
        <w:jc w:val="center"/>
        <w:rPr>
          <w:rFonts w:ascii="Arial" w:hAnsi="Arial" w:cs="Arial"/>
          <w:b/>
          <w:bCs/>
          <w:sz w:val="32"/>
          <w:szCs w:val="32"/>
        </w:rPr>
      </w:pPr>
    </w:p>
    <w:p w14:paraId="00000009" w14:textId="77777777" w:rsidR="007B536C" w:rsidRPr="00C37B4E" w:rsidRDefault="00000000">
      <w:pPr>
        <w:jc w:val="center"/>
        <w:rPr>
          <w:rFonts w:ascii="Arial" w:hAnsi="Arial" w:cs="Arial"/>
          <w:b/>
          <w:bCs/>
          <w:sz w:val="32"/>
          <w:szCs w:val="32"/>
        </w:rPr>
      </w:pPr>
      <w:r w:rsidRPr="00C37B4E">
        <w:rPr>
          <w:rFonts w:ascii="Arial" w:hAnsi="Arial" w:cs="Arial"/>
          <w:b/>
          <w:bCs/>
          <w:sz w:val="32"/>
          <w:szCs w:val="32"/>
        </w:rPr>
        <w:t>Module: Understanding and Engaging Stakeholders</w:t>
      </w:r>
    </w:p>
    <w:p w14:paraId="0000000A" w14:textId="38203F5B" w:rsidR="007B536C" w:rsidRDefault="00000000">
      <w:pPr>
        <w:jc w:val="center"/>
        <w:rPr>
          <w:rFonts w:ascii="Arial" w:hAnsi="Arial" w:cs="Arial"/>
          <w:b/>
          <w:bCs/>
          <w:sz w:val="32"/>
          <w:szCs w:val="32"/>
        </w:rPr>
      </w:pPr>
      <w:r w:rsidRPr="00C37B4E">
        <w:rPr>
          <w:rFonts w:ascii="Arial" w:hAnsi="Arial" w:cs="Arial"/>
          <w:b/>
          <w:bCs/>
          <w:sz w:val="32"/>
          <w:szCs w:val="32"/>
        </w:rPr>
        <w:t xml:space="preserve">Module code: LCLM5001 </w:t>
      </w:r>
    </w:p>
    <w:p w14:paraId="5E390A3E" w14:textId="77777777" w:rsidR="00AB66D9" w:rsidRPr="00C37B4E" w:rsidRDefault="00AB66D9">
      <w:pPr>
        <w:jc w:val="center"/>
        <w:rPr>
          <w:rFonts w:ascii="Arial" w:hAnsi="Arial" w:cs="Arial"/>
          <w:b/>
          <w:bCs/>
          <w:sz w:val="32"/>
          <w:szCs w:val="32"/>
        </w:rPr>
      </w:pPr>
    </w:p>
    <w:p w14:paraId="0000000B" w14:textId="4D4AD9B2" w:rsidR="007B536C" w:rsidRDefault="00000000">
      <w:pPr>
        <w:jc w:val="center"/>
        <w:rPr>
          <w:rFonts w:ascii="Arial" w:hAnsi="Arial" w:cs="Arial"/>
          <w:b/>
          <w:bCs/>
          <w:sz w:val="32"/>
          <w:szCs w:val="32"/>
        </w:rPr>
      </w:pPr>
      <w:r w:rsidRPr="00C37B4E">
        <w:rPr>
          <w:rFonts w:ascii="Arial" w:hAnsi="Arial" w:cs="Arial"/>
          <w:b/>
          <w:bCs/>
          <w:sz w:val="32"/>
          <w:szCs w:val="32"/>
        </w:rPr>
        <w:t>Module Leaders: Alastair Moyes and Nishi Ramsurrun</w:t>
      </w:r>
      <w:r w:rsidR="00AB66D9">
        <w:rPr>
          <w:rFonts w:ascii="Arial" w:hAnsi="Arial" w:cs="Arial"/>
          <w:b/>
          <w:bCs/>
          <w:sz w:val="32"/>
          <w:szCs w:val="32"/>
        </w:rPr>
        <w:t xml:space="preserve"> </w:t>
      </w:r>
    </w:p>
    <w:p w14:paraId="2D56ACB0" w14:textId="77777777" w:rsidR="00AB66D9" w:rsidRPr="00C37B4E" w:rsidRDefault="00AB66D9">
      <w:pPr>
        <w:jc w:val="center"/>
        <w:rPr>
          <w:rFonts w:ascii="Arial" w:hAnsi="Arial" w:cs="Arial"/>
          <w:b/>
          <w:bCs/>
          <w:sz w:val="32"/>
          <w:szCs w:val="32"/>
        </w:rPr>
      </w:pPr>
    </w:p>
    <w:p w14:paraId="0000000C" w14:textId="77777777" w:rsidR="007B536C" w:rsidRPr="00C37B4E" w:rsidRDefault="00000000">
      <w:pPr>
        <w:jc w:val="center"/>
        <w:rPr>
          <w:rFonts w:ascii="Arial" w:hAnsi="Arial" w:cs="Arial"/>
          <w:b/>
          <w:bCs/>
          <w:sz w:val="32"/>
          <w:szCs w:val="32"/>
        </w:rPr>
      </w:pPr>
      <w:r w:rsidRPr="00C37B4E">
        <w:rPr>
          <w:rFonts w:ascii="Arial" w:hAnsi="Arial" w:cs="Arial"/>
          <w:b/>
          <w:bCs/>
          <w:sz w:val="32"/>
          <w:szCs w:val="32"/>
        </w:rPr>
        <w:t>Assignment Title: Understanding the importance of Stakeholder Engagement in the successful commencement and completion of the project.</w:t>
      </w:r>
    </w:p>
    <w:p w14:paraId="1DCE25BA" w14:textId="77777777" w:rsidR="00EC2446" w:rsidRPr="00C37B4E" w:rsidRDefault="00EC2446">
      <w:pPr>
        <w:jc w:val="center"/>
        <w:rPr>
          <w:rFonts w:ascii="Arial" w:hAnsi="Arial" w:cs="Arial"/>
          <w:b/>
          <w:bCs/>
          <w:sz w:val="32"/>
          <w:szCs w:val="32"/>
        </w:rPr>
      </w:pPr>
    </w:p>
    <w:p w14:paraId="35D2039B" w14:textId="0382144B" w:rsidR="00EC2446" w:rsidRPr="00C37B4E" w:rsidRDefault="00EC2446">
      <w:pPr>
        <w:jc w:val="center"/>
        <w:rPr>
          <w:rFonts w:ascii="Arial" w:hAnsi="Arial" w:cs="Arial"/>
          <w:b/>
          <w:bCs/>
          <w:sz w:val="32"/>
          <w:szCs w:val="32"/>
        </w:rPr>
      </w:pPr>
      <w:r w:rsidRPr="00C37B4E">
        <w:rPr>
          <w:rFonts w:ascii="Arial" w:hAnsi="Arial" w:cs="Arial"/>
          <w:b/>
          <w:bCs/>
          <w:sz w:val="32"/>
          <w:szCs w:val="32"/>
        </w:rPr>
        <w:t>Student Name: Loredana Josan</w:t>
      </w:r>
    </w:p>
    <w:p w14:paraId="0000000E" w14:textId="6F827E5C" w:rsidR="007B536C" w:rsidRDefault="00AB66D9">
      <w:pPr>
        <w:jc w:val="center"/>
        <w:rPr>
          <w:rFonts w:ascii="Arial" w:hAnsi="Arial" w:cs="Arial"/>
          <w:b/>
          <w:bCs/>
          <w:sz w:val="32"/>
          <w:szCs w:val="32"/>
        </w:rPr>
      </w:pPr>
      <w:r>
        <w:rPr>
          <w:rFonts w:ascii="Arial" w:hAnsi="Arial" w:cs="Arial"/>
          <w:b/>
          <w:bCs/>
          <w:sz w:val="32"/>
          <w:szCs w:val="32"/>
        </w:rPr>
        <w:t>Student ID:2332191</w:t>
      </w:r>
    </w:p>
    <w:p w14:paraId="5357B899" w14:textId="07663A8F" w:rsidR="00AB66D9" w:rsidRPr="00C37B4E" w:rsidRDefault="00AB66D9">
      <w:pPr>
        <w:jc w:val="center"/>
        <w:rPr>
          <w:rFonts w:ascii="Arial" w:hAnsi="Arial" w:cs="Arial"/>
          <w:b/>
          <w:bCs/>
          <w:sz w:val="32"/>
          <w:szCs w:val="32"/>
        </w:rPr>
      </w:pPr>
      <w:r>
        <w:rPr>
          <w:rFonts w:ascii="Arial" w:hAnsi="Arial" w:cs="Arial"/>
          <w:b/>
          <w:bCs/>
          <w:sz w:val="32"/>
          <w:szCs w:val="32"/>
        </w:rPr>
        <w:t>Lecturer: Sukhpreet Grewal</w:t>
      </w:r>
    </w:p>
    <w:p w14:paraId="0000000F" w14:textId="77777777" w:rsidR="007B536C" w:rsidRPr="00C37B4E" w:rsidRDefault="007B536C">
      <w:pPr>
        <w:jc w:val="center"/>
        <w:rPr>
          <w:rFonts w:ascii="Arial" w:hAnsi="Arial" w:cs="Arial"/>
          <w:b/>
          <w:bCs/>
          <w:sz w:val="32"/>
          <w:szCs w:val="32"/>
        </w:rPr>
      </w:pPr>
    </w:p>
    <w:p w14:paraId="00000010" w14:textId="77777777" w:rsidR="007B536C" w:rsidRPr="00C37B4E" w:rsidRDefault="007B536C">
      <w:pPr>
        <w:jc w:val="center"/>
        <w:rPr>
          <w:rFonts w:ascii="Arial" w:hAnsi="Arial" w:cs="Arial"/>
          <w:b/>
          <w:bCs/>
          <w:sz w:val="32"/>
          <w:szCs w:val="32"/>
        </w:rPr>
      </w:pPr>
    </w:p>
    <w:p w14:paraId="00000011" w14:textId="77777777" w:rsidR="007B536C" w:rsidRPr="00C37B4E" w:rsidRDefault="007B536C">
      <w:pPr>
        <w:jc w:val="center"/>
        <w:rPr>
          <w:rFonts w:ascii="Arial" w:hAnsi="Arial" w:cs="Arial"/>
          <w:b/>
          <w:bCs/>
          <w:sz w:val="32"/>
          <w:szCs w:val="32"/>
        </w:rPr>
      </w:pPr>
    </w:p>
    <w:p w14:paraId="00000012" w14:textId="77777777" w:rsidR="007B536C" w:rsidRPr="00C37B4E" w:rsidRDefault="007B536C">
      <w:pPr>
        <w:jc w:val="center"/>
        <w:rPr>
          <w:rFonts w:ascii="Arial" w:hAnsi="Arial" w:cs="Arial"/>
          <w:b/>
          <w:bCs/>
          <w:sz w:val="32"/>
          <w:szCs w:val="32"/>
        </w:rPr>
      </w:pPr>
    </w:p>
    <w:p w14:paraId="00000013" w14:textId="77777777" w:rsidR="007B536C" w:rsidRPr="00C37B4E" w:rsidRDefault="007B536C">
      <w:pPr>
        <w:jc w:val="center"/>
        <w:rPr>
          <w:rFonts w:ascii="Arial" w:hAnsi="Arial" w:cs="Arial"/>
          <w:b/>
          <w:bCs/>
          <w:sz w:val="32"/>
          <w:szCs w:val="32"/>
        </w:rPr>
      </w:pPr>
    </w:p>
    <w:p w14:paraId="00000016" w14:textId="77777777" w:rsidR="007B536C" w:rsidRPr="00C37B4E" w:rsidRDefault="007B536C" w:rsidP="004E4E77">
      <w:pPr>
        <w:spacing w:line="276" w:lineRule="auto"/>
        <w:rPr>
          <w:rFonts w:ascii="Arial" w:hAnsi="Arial" w:cs="Arial"/>
          <w:b/>
          <w:bCs/>
          <w:sz w:val="32"/>
          <w:szCs w:val="32"/>
        </w:rPr>
      </w:pPr>
    </w:p>
    <w:bookmarkStart w:id="0" w:name="_w1y02ar4cap5" w:colFirst="0" w:colLast="0" w:displacedByCustomXml="next"/>
    <w:bookmarkEnd w:id="0" w:displacedByCustomXml="next"/>
    <w:sdt>
      <w:sdtPr>
        <w:rPr>
          <w:rFonts w:ascii="Arial" w:eastAsia="Times New Roman" w:hAnsi="Arial" w:cs="Arial"/>
          <w:color w:val="auto"/>
          <w:sz w:val="24"/>
          <w:szCs w:val="24"/>
          <w:lang w:val=""/>
        </w:rPr>
        <w:id w:val="744698398"/>
        <w:docPartObj>
          <w:docPartGallery w:val="Table of Contents"/>
          <w:docPartUnique/>
        </w:docPartObj>
      </w:sdtPr>
      <w:sdtEndPr>
        <w:rPr>
          <w:b/>
          <w:bCs/>
          <w:noProof/>
        </w:rPr>
      </w:sdtEndPr>
      <w:sdtContent>
        <w:p w14:paraId="324DB53B" w14:textId="3ACFFD81" w:rsidR="006B2CBE" w:rsidRPr="00C37B4E" w:rsidRDefault="006B2CBE" w:rsidP="006B2CBE">
          <w:pPr>
            <w:pStyle w:val="TOCHeading"/>
            <w:spacing w:line="276" w:lineRule="auto"/>
            <w:jc w:val="center"/>
            <w:rPr>
              <w:rFonts w:ascii="Arial" w:hAnsi="Arial" w:cs="Arial"/>
              <w:b/>
              <w:bCs/>
              <w:color w:val="auto"/>
              <w:sz w:val="24"/>
              <w:szCs w:val="24"/>
            </w:rPr>
          </w:pPr>
          <w:r w:rsidRPr="00C37B4E">
            <w:rPr>
              <w:rFonts w:ascii="Arial" w:hAnsi="Arial" w:cs="Arial"/>
              <w:b/>
              <w:bCs/>
              <w:color w:val="auto"/>
              <w:sz w:val="24"/>
              <w:szCs w:val="24"/>
            </w:rPr>
            <w:t>Table of Contents</w:t>
          </w:r>
        </w:p>
        <w:p w14:paraId="065CE602" w14:textId="4A897F77" w:rsidR="006B2CBE" w:rsidRPr="00C37B4E" w:rsidRDefault="006B2CBE" w:rsidP="006B2CBE">
          <w:pPr>
            <w:pStyle w:val="TOC1"/>
            <w:tabs>
              <w:tab w:val="right" w:leader="dot" w:pos="9019"/>
            </w:tabs>
            <w:spacing w:line="276" w:lineRule="auto"/>
            <w:rPr>
              <w:rFonts w:ascii="Arial" w:eastAsiaTheme="minorEastAsia" w:hAnsi="Arial" w:cs="Arial"/>
              <w:noProof/>
              <w:kern w:val="2"/>
              <w:lang w:val="en-IN" w:eastAsia="en-IN"/>
              <w14:ligatures w14:val="standardContextual"/>
            </w:rPr>
          </w:pPr>
          <w:r w:rsidRPr="00C37B4E">
            <w:rPr>
              <w:rFonts w:ascii="Arial" w:hAnsi="Arial" w:cs="Arial"/>
            </w:rPr>
            <w:fldChar w:fldCharType="begin"/>
          </w:r>
          <w:r w:rsidRPr="00C37B4E">
            <w:rPr>
              <w:rFonts w:ascii="Arial" w:hAnsi="Arial" w:cs="Arial"/>
            </w:rPr>
            <w:instrText xml:space="preserve"> TOC \o "1-3" \h \z \u </w:instrText>
          </w:r>
          <w:r w:rsidRPr="00C37B4E">
            <w:rPr>
              <w:rFonts w:ascii="Arial" w:hAnsi="Arial" w:cs="Arial"/>
            </w:rPr>
            <w:fldChar w:fldCharType="separate"/>
          </w:r>
          <w:hyperlink w:anchor="_Toc216718609" w:history="1">
            <w:r w:rsidRPr="00C37B4E">
              <w:rPr>
                <w:rStyle w:val="Hyperlink"/>
                <w:rFonts w:ascii="Arial" w:hAnsi="Arial" w:cs="Arial"/>
                <w:noProof/>
                <w:color w:val="auto"/>
              </w:rPr>
              <w:t>Company introduction</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_Toc216718609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2</w:t>
            </w:r>
            <w:r w:rsidRPr="00C37B4E">
              <w:rPr>
                <w:rFonts w:ascii="Arial" w:hAnsi="Arial" w:cs="Arial"/>
                <w:noProof/>
                <w:webHidden/>
              </w:rPr>
              <w:fldChar w:fldCharType="end"/>
            </w:r>
          </w:hyperlink>
        </w:p>
        <w:p w14:paraId="34F080DE" w14:textId="4B3A8FDE" w:rsidR="006B2CBE" w:rsidRPr="00C37B4E" w:rsidRDefault="006B2CBE" w:rsidP="006B2CBE">
          <w:pPr>
            <w:pStyle w:val="TOC1"/>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0" w:history="1">
            <w:r w:rsidRPr="00C37B4E">
              <w:rPr>
                <w:rStyle w:val="Hyperlink"/>
                <w:rFonts w:ascii="Arial" w:hAnsi="Arial" w:cs="Arial"/>
                <w:noProof/>
                <w:color w:val="auto"/>
              </w:rPr>
              <w:t>Company appraisal using SWOT and PESTEL with SMART objectives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_Toc216718610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2</w:t>
            </w:r>
            <w:r w:rsidRPr="00C37B4E">
              <w:rPr>
                <w:rFonts w:ascii="Arial" w:hAnsi="Arial" w:cs="Arial"/>
                <w:noProof/>
                <w:webHidden/>
              </w:rPr>
              <w:fldChar w:fldCharType="end"/>
            </w:r>
          </w:hyperlink>
        </w:p>
        <w:p w14:paraId="098C8996" w14:textId="502122BF"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1" w:history="1">
            <w:r w:rsidRPr="00C37B4E">
              <w:rPr>
                <w:rStyle w:val="Hyperlink"/>
                <w:rFonts w:ascii="Arial" w:hAnsi="Arial" w:cs="Arial"/>
                <w:noProof/>
                <w:color w:val="auto"/>
              </w:rPr>
              <w:t>SWOT Analysis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_Toc216718611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2</w:t>
            </w:r>
            <w:r w:rsidRPr="00C37B4E">
              <w:rPr>
                <w:rFonts w:ascii="Arial" w:hAnsi="Arial" w:cs="Arial"/>
                <w:noProof/>
                <w:webHidden/>
              </w:rPr>
              <w:fldChar w:fldCharType="end"/>
            </w:r>
          </w:hyperlink>
        </w:p>
        <w:p w14:paraId="6F86F729" w14:textId="604B3D74"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2" w:history="1">
            <w:r w:rsidRPr="00C37B4E">
              <w:rPr>
                <w:rStyle w:val="Hyperlink"/>
                <w:rFonts w:ascii="Arial" w:hAnsi="Arial" w:cs="Arial"/>
                <w:noProof/>
                <w:color w:val="auto"/>
              </w:rPr>
              <w:t>PESTEL Evaluation</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_Toc216718612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3</w:t>
            </w:r>
            <w:r w:rsidRPr="00C37B4E">
              <w:rPr>
                <w:rFonts w:ascii="Arial" w:hAnsi="Arial" w:cs="Arial"/>
                <w:noProof/>
                <w:webHidden/>
              </w:rPr>
              <w:fldChar w:fldCharType="end"/>
            </w:r>
          </w:hyperlink>
        </w:p>
        <w:p w14:paraId="27C4DE86" w14:textId="208C6EFF"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3" w:history="1">
            <w:r w:rsidRPr="00C37B4E">
              <w:rPr>
                <w:rStyle w:val="Hyperlink"/>
                <w:rFonts w:ascii="Arial" w:hAnsi="Arial" w:cs="Arial"/>
                <w:noProof/>
                <w:color w:val="auto"/>
              </w:rPr>
              <w:t>SMART Objectives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_Toc216718613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5</w:t>
            </w:r>
            <w:r w:rsidRPr="00C37B4E">
              <w:rPr>
                <w:rFonts w:ascii="Arial" w:hAnsi="Arial" w:cs="Arial"/>
                <w:noProof/>
                <w:webHidden/>
              </w:rPr>
              <w:fldChar w:fldCharType="end"/>
            </w:r>
          </w:hyperlink>
        </w:p>
        <w:p w14:paraId="4699939F" w14:textId="5E02EDCF" w:rsidR="006B2CBE" w:rsidRPr="00C37B4E" w:rsidRDefault="006B2CBE" w:rsidP="006B2CBE">
          <w:pPr>
            <w:pStyle w:val="TOC1"/>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4" w:history="1">
            <w:r w:rsidRPr="00C37B4E">
              <w:rPr>
                <w:rStyle w:val="Hyperlink"/>
                <w:rFonts w:ascii="Arial" w:hAnsi="Arial" w:cs="Arial"/>
                <w:noProof/>
                <w:color w:val="auto"/>
              </w:rPr>
              <w:t>Key internal and external stakeholders in the teams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_Toc216718614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5</w:t>
            </w:r>
            <w:r w:rsidRPr="00C37B4E">
              <w:rPr>
                <w:rFonts w:ascii="Arial" w:hAnsi="Arial" w:cs="Arial"/>
                <w:noProof/>
                <w:webHidden/>
              </w:rPr>
              <w:fldChar w:fldCharType="end"/>
            </w:r>
          </w:hyperlink>
        </w:p>
        <w:p w14:paraId="0CC1058B" w14:textId="4E1792DC"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5" w:history="1">
            <w:r w:rsidRPr="00C37B4E">
              <w:rPr>
                <w:rStyle w:val="Hyperlink"/>
                <w:rFonts w:ascii="Arial" w:hAnsi="Arial" w:cs="Arial"/>
                <w:noProof/>
                <w:color w:val="auto"/>
              </w:rPr>
              <w:t>Stakeholder theory and impact on project management</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_Toc216718615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5</w:t>
            </w:r>
            <w:r w:rsidRPr="00C37B4E">
              <w:rPr>
                <w:rFonts w:ascii="Arial" w:hAnsi="Arial" w:cs="Arial"/>
                <w:noProof/>
                <w:webHidden/>
              </w:rPr>
              <w:fldChar w:fldCharType="end"/>
            </w:r>
          </w:hyperlink>
        </w:p>
        <w:p w14:paraId="63FE639C" w14:textId="6BC4C928"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6" w:history="1">
            <w:r w:rsidRPr="00C37B4E">
              <w:rPr>
                <w:rStyle w:val="Hyperlink"/>
                <w:rFonts w:ascii="Arial" w:hAnsi="Arial" w:cs="Arial"/>
                <w:noProof/>
                <w:color w:val="auto"/>
              </w:rPr>
              <w:t>Internal and external stakeholders of the project</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_Toc216718616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5</w:t>
            </w:r>
            <w:r w:rsidRPr="00C37B4E">
              <w:rPr>
                <w:rFonts w:ascii="Arial" w:hAnsi="Arial" w:cs="Arial"/>
                <w:noProof/>
                <w:webHidden/>
              </w:rPr>
              <w:fldChar w:fldCharType="end"/>
            </w:r>
          </w:hyperlink>
        </w:p>
        <w:p w14:paraId="314047C4" w14:textId="1F98D5D2" w:rsidR="006B2CBE" w:rsidRPr="00C37B4E" w:rsidRDefault="006B2CBE" w:rsidP="006B2CBE">
          <w:pPr>
            <w:pStyle w:val="TOC1"/>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7" w:history="1">
            <w:r w:rsidRPr="00C37B4E">
              <w:rPr>
                <w:rStyle w:val="Hyperlink"/>
                <w:rFonts w:ascii="Arial" w:hAnsi="Arial" w:cs="Arial"/>
                <w:noProof/>
                <w:color w:val="auto"/>
              </w:rPr>
              <w:t>Analysis of the responsibilities and roles of key stakeholders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_Toc216718617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6</w:t>
            </w:r>
            <w:r w:rsidRPr="00C37B4E">
              <w:rPr>
                <w:rFonts w:ascii="Arial" w:hAnsi="Arial" w:cs="Arial"/>
                <w:noProof/>
                <w:webHidden/>
              </w:rPr>
              <w:fldChar w:fldCharType="end"/>
            </w:r>
          </w:hyperlink>
        </w:p>
        <w:p w14:paraId="0A0DF9DB" w14:textId="1C8996D2"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8" w:history="1">
            <w:r w:rsidRPr="00C37B4E">
              <w:rPr>
                <w:rStyle w:val="Hyperlink"/>
                <w:rFonts w:ascii="Arial" w:hAnsi="Arial" w:cs="Arial"/>
                <w:noProof/>
                <w:color w:val="auto"/>
              </w:rPr>
              <w:t>Internal stakeholders' roles, responsibilities, benefits and challenges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_Toc216718618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6</w:t>
            </w:r>
            <w:r w:rsidRPr="00C37B4E">
              <w:rPr>
                <w:rFonts w:ascii="Arial" w:hAnsi="Arial" w:cs="Arial"/>
                <w:noProof/>
                <w:webHidden/>
              </w:rPr>
              <w:fldChar w:fldCharType="end"/>
            </w:r>
          </w:hyperlink>
        </w:p>
        <w:p w14:paraId="5536FD41" w14:textId="6EDB102F"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19" w:history="1">
            <w:r w:rsidRPr="00C37B4E">
              <w:rPr>
                <w:rStyle w:val="Hyperlink"/>
                <w:rFonts w:ascii="Arial" w:hAnsi="Arial" w:cs="Arial"/>
                <w:noProof/>
                <w:color w:val="auto"/>
              </w:rPr>
              <w:t>External stakeholders' roles, responsibilities, benefits and challenges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_Toc216718619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7</w:t>
            </w:r>
            <w:r w:rsidRPr="00C37B4E">
              <w:rPr>
                <w:rFonts w:ascii="Arial" w:hAnsi="Arial" w:cs="Arial"/>
                <w:noProof/>
                <w:webHidden/>
              </w:rPr>
              <w:fldChar w:fldCharType="end"/>
            </w:r>
          </w:hyperlink>
        </w:p>
        <w:p w14:paraId="399E9762" w14:textId="1B92756D" w:rsidR="006B2CBE" w:rsidRPr="00C37B4E" w:rsidRDefault="006B2CBE" w:rsidP="006B2CBE">
          <w:pPr>
            <w:pStyle w:val="TOC1"/>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0" w:history="1">
            <w:r w:rsidRPr="00C37B4E">
              <w:rPr>
                <w:rStyle w:val="Hyperlink"/>
                <w:rFonts w:ascii="Arial" w:hAnsi="Arial" w:cs="Arial"/>
                <w:noProof/>
                <w:color w:val="auto"/>
              </w:rPr>
              <w:t>Stakeholder engagement analysis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_Toc216718620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7</w:t>
            </w:r>
            <w:r w:rsidRPr="00C37B4E">
              <w:rPr>
                <w:rFonts w:ascii="Arial" w:hAnsi="Arial" w:cs="Arial"/>
                <w:noProof/>
                <w:webHidden/>
              </w:rPr>
              <w:fldChar w:fldCharType="end"/>
            </w:r>
          </w:hyperlink>
        </w:p>
        <w:p w14:paraId="14224C3E" w14:textId="59C5F93B"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1" w:history="1">
            <w:r w:rsidRPr="00C37B4E">
              <w:rPr>
                <w:rStyle w:val="Hyperlink"/>
                <w:rFonts w:ascii="Arial" w:hAnsi="Arial" w:cs="Arial"/>
                <w:noProof/>
                <w:color w:val="auto"/>
              </w:rPr>
              <w:t>RACI Matrix</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_Toc216718621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7</w:t>
            </w:r>
            <w:r w:rsidRPr="00C37B4E">
              <w:rPr>
                <w:rFonts w:ascii="Arial" w:hAnsi="Arial" w:cs="Arial"/>
                <w:noProof/>
                <w:webHidden/>
              </w:rPr>
              <w:fldChar w:fldCharType="end"/>
            </w:r>
          </w:hyperlink>
        </w:p>
        <w:p w14:paraId="02D39E80" w14:textId="187B2679"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2" w:history="1">
            <w:r w:rsidRPr="00C37B4E">
              <w:rPr>
                <w:rStyle w:val="Hyperlink"/>
                <w:rFonts w:ascii="Arial" w:hAnsi="Arial" w:cs="Arial"/>
                <w:noProof/>
                <w:color w:val="auto"/>
              </w:rPr>
              <w:t>Stakeholder engagement plan</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_Toc216718622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8</w:t>
            </w:r>
            <w:r w:rsidRPr="00C37B4E">
              <w:rPr>
                <w:rFonts w:ascii="Arial" w:hAnsi="Arial" w:cs="Arial"/>
                <w:noProof/>
                <w:webHidden/>
              </w:rPr>
              <w:fldChar w:fldCharType="end"/>
            </w:r>
          </w:hyperlink>
        </w:p>
        <w:p w14:paraId="0B743BEA" w14:textId="07C47E75"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3" w:history="1">
            <w:r w:rsidRPr="00C37B4E">
              <w:rPr>
                <w:rStyle w:val="Hyperlink"/>
                <w:rFonts w:ascii="Arial" w:hAnsi="Arial" w:cs="Arial"/>
                <w:noProof/>
                <w:color w:val="auto"/>
              </w:rPr>
              <w:t>Communication plan</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_Toc216718623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9</w:t>
            </w:r>
            <w:r w:rsidRPr="00C37B4E">
              <w:rPr>
                <w:rFonts w:ascii="Arial" w:hAnsi="Arial" w:cs="Arial"/>
                <w:noProof/>
                <w:webHidden/>
              </w:rPr>
              <w:fldChar w:fldCharType="end"/>
            </w:r>
          </w:hyperlink>
        </w:p>
        <w:p w14:paraId="052B4852" w14:textId="1BC18870" w:rsidR="006B2CBE" w:rsidRPr="00C37B4E" w:rsidRDefault="006B2CBE" w:rsidP="006B2CBE">
          <w:pPr>
            <w:pStyle w:val="TOC1"/>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4" w:history="1">
            <w:r w:rsidRPr="00C37B4E">
              <w:rPr>
                <w:rStyle w:val="Hyperlink"/>
                <w:rFonts w:ascii="Arial" w:hAnsi="Arial" w:cs="Arial"/>
                <w:noProof/>
                <w:color w:val="auto"/>
                <w:highlight w:val="white"/>
              </w:rPr>
              <w:t>Critical analysis of the process undertaken to engage stakeholders and reduce conflicts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_Toc216718624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9</w:t>
            </w:r>
            <w:r w:rsidRPr="00C37B4E">
              <w:rPr>
                <w:rFonts w:ascii="Arial" w:hAnsi="Arial" w:cs="Arial"/>
                <w:noProof/>
                <w:webHidden/>
              </w:rPr>
              <w:fldChar w:fldCharType="end"/>
            </w:r>
          </w:hyperlink>
        </w:p>
        <w:p w14:paraId="688220C2" w14:textId="7DBD20B0"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5" w:history="1">
            <w:r w:rsidRPr="00C37B4E">
              <w:rPr>
                <w:rStyle w:val="Hyperlink"/>
                <w:rFonts w:ascii="Arial" w:hAnsi="Arial" w:cs="Arial"/>
                <w:noProof/>
                <w:color w:val="auto"/>
              </w:rPr>
              <w:t>Implementation of a power-interest grid to examine the stakeholders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_Toc216718625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9</w:t>
            </w:r>
            <w:r w:rsidRPr="00C37B4E">
              <w:rPr>
                <w:rFonts w:ascii="Arial" w:hAnsi="Arial" w:cs="Arial"/>
                <w:noProof/>
                <w:webHidden/>
              </w:rPr>
              <w:fldChar w:fldCharType="end"/>
            </w:r>
          </w:hyperlink>
        </w:p>
        <w:p w14:paraId="632F9F26" w14:textId="0A485C35"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6" w:history="1">
            <w:r w:rsidRPr="00C37B4E">
              <w:rPr>
                <w:rStyle w:val="Hyperlink"/>
                <w:rFonts w:ascii="Arial" w:hAnsi="Arial" w:cs="Arial"/>
                <w:noProof/>
                <w:color w:val="auto"/>
              </w:rPr>
              <w:t>Methods of stakeholder engagement and conflicts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_Toc216718626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10</w:t>
            </w:r>
            <w:r w:rsidRPr="00C37B4E">
              <w:rPr>
                <w:rFonts w:ascii="Arial" w:hAnsi="Arial" w:cs="Arial"/>
                <w:noProof/>
                <w:webHidden/>
              </w:rPr>
              <w:fldChar w:fldCharType="end"/>
            </w:r>
          </w:hyperlink>
        </w:p>
        <w:p w14:paraId="34F96499" w14:textId="235557C6"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7" w:history="1">
            <w:r w:rsidRPr="00C37B4E">
              <w:rPr>
                <w:rStyle w:val="Hyperlink"/>
                <w:rFonts w:ascii="Arial" w:hAnsi="Arial" w:cs="Arial"/>
                <w:noProof/>
                <w:color w:val="auto"/>
              </w:rPr>
              <w:t>Four Cs analysis of the ways of reducing conflicts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_Toc216718627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11</w:t>
            </w:r>
            <w:r w:rsidRPr="00C37B4E">
              <w:rPr>
                <w:rFonts w:ascii="Arial" w:hAnsi="Arial" w:cs="Arial"/>
                <w:noProof/>
                <w:webHidden/>
              </w:rPr>
              <w:fldChar w:fldCharType="end"/>
            </w:r>
          </w:hyperlink>
        </w:p>
        <w:p w14:paraId="5E951BB8" w14:textId="6E3B7DE7" w:rsidR="006B2CBE" w:rsidRPr="00C37B4E" w:rsidRDefault="006B2CBE" w:rsidP="006B2CBE">
          <w:pPr>
            <w:pStyle w:val="TOC1"/>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8" w:history="1">
            <w:r w:rsidRPr="00C37B4E">
              <w:rPr>
                <w:rStyle w:val="Hyperlink"/>
                <w:rFonts w:ascii="Arial" w:hAnsi="Arial" w:cs="Arial"/>
                <w:noProof/>
                <w:color w:val="auto"/>
              </w:rPr>
              <w:t>Evaluation of stakeholder engagement’s influence on business performance and recommendations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_Toc216718628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12</w:t>
            </w:r>
            <w:r w:rsidRPr="00C37B4E">
              <w:rPr>
                <w:rFonts w:ascii="Arial" w:hAnsi="Arial" w:cs="Arial"/>
                <w:noProof/>
                <w:webHidden/>
              </w:rPr>
              <w:fldChar w:fldCharType="end"/>
            </w:r>
          </w:hyperlink>
        </w:p>
        <w:p w14:paraId="19554F64" w14:textId="486E1AF8"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29" w:history="1">
            <w:r w:rsidRPr="00C37B4E">
              <w:rPr>
                <w:rStyle w:val="Hyperlink"/>
                <w:rFonts w:ascii="Arial" w:hAnsi="Arial" w:cs="Arial"/>
                <w:noProof/>
                <w:color w:val="auto"/>
              </w:rPr>
              <w:t>Influence of stakeholder engagement on business performance</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_Toc216718629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12</w:t>
            </w:r>
            <w:r w:rsidRPr="00C37B4E">
              <w:rPr>
                <w:rFonts w:ascii="Arial" w:hAnsi="Arial" w:cs="Arial"/>
                <w:noProof/>
                <w:webHidden/>
              </w:rPr>
              <w:fldChar w:fldCharType="end"/>
            </w:r>
          </w:hyperlink>
        </w:p>
        <w:p w14:paraId="78D3783B" w14:textId="79018602" w:rsidR="006B2CBE" w:rsidRPr="00C37B4E" w:rsidRDefault="006B2CBE" w:rsidP="006B2CBE">
          <w:pPr>
            <w:pStyle w:val="TOC3"/>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30" w:history="1">
            <w:r w:rsidRPr="00C37B4E">
              <w:rPr>
                <w:rStyle w:val="Hyperlink"/>
                <w:rFonts w:ascii="Arial" w:hAnsi="Arial" w:cs="Arial"/>
                <w:noProof/>
                <w:color w:val="auto"/>
              </w:rPr>
              <w:t>Analysis of stakeholder engagement</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_Toc216718630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12</w:t>
            </w:r>
            <w:r w:rsidRPr="00C37B4E">
              <w:rPr>
                <w:rFonts w:ascii="Arial" w:hAnsi="Arial" w:cs="Arial"/>
                <w:noProof/>
                <w:webHidden/>
              </w:rPr>
              <w:fldChar w:fldCharType="end"/>
            </w:r>
          </w:hyperlink>
        </w:p>
        <w:p w14:paraId="63B86585" w14:textId="0187AF94" w:rsidR="006B2CBE" w:rsidRPr="00C37B4E" w:rsidRDefault="006B2CBE" w:rsidP="006B2CBE">
          <w:pPr>
            <w:pStyle w:val="TOC3"/>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31" w:history="1">
            <w:r w:rsidRPr="00C37B4E">
              <w:rPr>
                <w:rStyle w:val="Hyperlink"/>
                <w:rFonts w:ascii="Arial" w:hAnsi="Arial" w:cs="Arial"/>
                <w:noProof/>
                <w:color w:val="auto"/>
              </w:rPr>
              <w:t>Influence of stakeholder engagement on business success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_Toc216718631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12</w:t>
            </w:r>
            <w:r w:rsidRPr="00C37B4E">
              <w:rPr>
                <w:rFonts w:ascii="Arial" w:hAnsi="Arial" w:cs="Arial"/>
                <w:noProof/>
                <w:webHidden/>
              </w:rPr>
              <w:fldChar w:fldCharType="end"/>
            </w:r>
          </w:hyperlink>
        </w:p>
        <w:p w14:paraId="341B8359" w14:textId="1439A7D4" w:rsidR="006B2CBE" w:rsidRPr="00C37B4E" w:rsidRDefault="006B2CBE" w:rsidP="006B2CBE">
          <w:pPr>
            <w:pStyle w:val="TOC2"/>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32" w:history="1">
            <w:r w:rsidRPr="00C37B4E">
              <w:rPr>
                <w:rStyle w:val="Hyperlink"/>
                <w:rFonts w:ascii="Arial" w:hAnsi="Arial" w:cs="Arial"/>
                <w:noProof/>
                <w:color w:val="auto"/>
              </w:rPr>
              <w:t>Future recommendations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_Toc216718632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13</w:t>
            </w:r>
            <w:r w:rsidRPr="00C37B4E">
              <w:rPr>
                <w:rFonts w:ascii="Arial" w:hAnsi="Arial" w:cs="Arial"/>
                <w:noProof/>
                <w:webHidden/>
              </w:rPr>
              <w:fldChar w:fldCharType="end"/>
            </w:r>
          </w:hyperlink>
        </w:p>
        <w:p w14:paraId="1E8AB39E" w14:textId="223E4110" w:rsidR="006B2CBE" w:rsidRPr="00C37B4E" w:rsidRDefault="006B2CBE" w:rsidP="006B2CBE">
          <w:pPr>
            <w:pStyle w:val="TOC1"/>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33" w:history="1">
            <w:r w:rsidRPr="00C37B4E">
              <w:rPr>
                <w:rStyle w:val="Hyperlink"/>
                <w:rFonts w:ascii="Arial" w:hAnsi="Arial" w:cs="Arial"/>
                <w:noProof/>
                <w:color w:val="auto"/>
              </w:rPr>
              <w:t>Conclusion</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_Toc216718633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14</w:t>
            </w:r>
            <w:r w:rsidRPr="00C37B4E">
              <w:rPr>
                <w:rFonts w:ascii="Arial" w:hAnsi="Arial" w:cs="Arial"/>
                <w:noProof/>
                <w:webHidden/>
              </w:rPr>
              <w:fldChar w:fldCharType="end"/>
            </w:r>
          </w:hyperlink>
        </w:p>
        <w:p w14:paraId="4A197669" w14:textId="08AEB4F4" w:rsidR="006B2CBE" w:rsidRPr="00C37B4E" w:rsidRDefault="006B2CBE" w:rsidP="006B2CBE">
          <w:pPr>
            <w:pStyle w:val="TOC1"/>
            <w:tabs>
              <w:tab w:val="right" w:leader="dot" w:pos="9019"/>
            </w:tabs>
            <w:spacing w:line="276" w:lineRule="auto"/>
            <w:rPr>
              <w:rFonts w:ascii="Arial" w:eastAsiaTheme="minorEastAsia" w:hAnsi="Arial" w:cs="Arial"/>
              <w:noProof/>
              <w:kern w:val="2"/>
              <w:lang w:val="en-IN" w:eastAsia="en-IN"/>
              <w14:ligatures w14:val="standardContextual"/>
            </w:rPr>
          </w:pPr>
          <w:hyperlink w:anchor="_Toc216718634" w:history="1">
            <w:r w:rsidRPr="00C37B4E">
              <w:rPr>
                <w:rStyle w:val="Hyperlink"/>
                <w:rFonts w:ascii="Arial" w:hAnsi="Arial" w:cs="Arial"/>
                <w:noProof/>
                <w:color w:val="auto"/>
              </w:rPr>
              <w:t>References</w:t>
            </w:r>
            <w:r w:rsidRPr="00C37B4E">
              <w:rPr>
                <w:rFonts w:ascii="Arial" w:hAnsi="Arial" w:cs="Arial"/>
                <w:noProof/>
                <w:webHidden/>
              </w:rPr>
              <w:tab/>
            </w:r>
            <w:r w:rsidRPr="00C37B4E">
              <w:rPr>
                <w:rFonts w:ascii="Arial" w:hAnsi="Arial" w:cs="Arial"/>
                <w:noProof/>
                <w:webHidden/>
              </w:rPr>
              <w:fldChar w:fldCharType="begin"/>
            </w:r>
            <w:r w:rsidRPr="00C37B4E">
              <w:rPr>
                <w:rFonts w:ascii="Arial" w:hAnsi="Arial" w:cs="Arial"/>
                <w:noProof/>
                <w:webHidden/>
              </w:rPr>
              <w:instrText xml:space="preserve"> PAGEREF _Toc216718634 \h </w:instrText>
            </w:r>
            <w:r w:rsidRPr="00C37B4E">
              <w:rPr>
                <w:rFonts w:ascii="Arial" w:hAnsi="Arial" w:cs="Arial"/>
                <w:noProof/>
                <w:webHidden/>
              </w:rPr>
            </w:r>
            <w:r w:rsidRPr="00C37B4E">
              <w:rPr>
                <w:rFonts w:ascii="Arial" w:hAnsi="Arial" w:cs="Arial"/>
                <w:noProof/>
                <w:webHidden/>
              </w:rPr>
              <w:fldChar w:fldCharType="separate"/>
            </w:r>
            <w:r w:rsidRPr="00C37B4E">
              <w:rPr>
                <w:rFonts w:ascii="Arial" w:hAnsi="Arial" w:cs="Arial"/>
                <w:noProof/>
                <w:webHidden/>
              </w:rPr>
              <w:t>15</w:t>
            </w:r>
            <w:r w:rsidRPr="00C37B4E">
              <w:rPr>
                <w:rFonts w:ascii="Arial" w:hAnsi="Arial" w:cs="Arial"/>
                <w:noProof/>
                <w:webHidden/>
              </w:rPr>
              <w:fldChar w:fldCharType="end"/>
            </w:r>
          </w:hyperlink>
        </w:p>
        <w:p w14:paraId="6A2E5CEA" w14:textId="4DE074F5" w:rsidR="006B2CBE" w:rsidRPr="00C37B4E" w:rsidRDefault="006B2CBE" w:rsidP="006B2CBE">
          <w:pPr>
            <w:spacing w:line="276" w:lineRule="auto"/>
            <w:rPr>
              <w:rFonts w:ascii="Arial" w:hAnsi="Arial" w:cs="Arial"/>
            </w:rPr>
          </w:pPr>
          <w:r w:rsidRPr="00C37B4E">
            <w:rPr>
              <w:rFonts w:ascii="Arial" w:hAnsi="Arial" w:cs="Arial"/>
              <w:b/>
              <w:bCs/>
              <w:noProof/>
            </w:rPr>
            <w:fldChar w:fldCharType="end"/>
          </w:r>
        </w:p>
      </w:sdtContent>
    </w:sdt>
    <w:p w14:paraId="3AA939B8" w14:textId="77777777" w:rsidR="006B2CBE" w:rsidRPr="00C37B4E" w:rsidRDefault="006B2CBE" w:rsidP="006B2CBE">
      <w:pPr>
        <w:rPr>
          <w:rFonts w:ascii="Arial" w:hAnsi="Arial" w:cs="Arial"/>
        </w:rPr>
      </w:pPr>
    </w:p>
    <w:p w14:paraId="3D4284EA" w14:textId="77777777" w:rsidR="006B2CBE" w:rsidRPr="00C37B4E" w:rsidRDefault="006B2CBE">
      <w:pPr>
        <w:pStyle w:val="Heading1"/>
        <w:rPr>
          <w:rFonts w:ascii="Arial" w:hAnsi="Arial" w:cs="Arial"/>
        </w:rPr>
      </w:pPr>
      <w:r w:rsidRPr="00C37B4E">
        <w:rPr>
          <w:rFonts w:ascii="Arial" w:hAnsi="Arial" w:cs="Arial"/>
        </w:rPr>
        <w:lastRenderedPageBreak/>
        <w:br w:type="page"/>
      </w:r>
    </w:p>
    <w:p w14:paraId="00000017" w14:textId="78E9D2A2" w:rsidR="007B536C" w:rsidRPr="00C37B4E" w:rsidRDefault="00000000">
      <w:pPr>
        <w:pStyle w:val="Heading1"/>
        <w:rPr>
          <w:rFonts w:ascii="Arial" w:hAnsi="Arial" w:cs="Arial"/>
        </w:rPr>
      </w:pPr>
      <w:bookmarkStart w:id="1" w:name="_Toc216718609"/>
      <w:r w:rsidRPr="00C37B4E">
        <w:rPr>
          <w:rFonts w:ascii="Arial" w:hAnsi="Arial" w:cs="Arial"/>
        </w:rPr>
        <w:lastRenderedPageBreak/>
        <w:t>Company introduction</w:t>
      </w:r>
      <w:bookmarkEnd w:id="1"/>
      <w:r w:rsidRPr="00C37B4E">
        <w:rPr>
          <w:rFonts w:ascii="Arial" w:hAnsi="Arial" w:cs="Arial"/>
        </w:rPr>
        <w:t xml:space="preserve"> </w:t>
      </w:r>
    </w:p>
    <w:p w14:paraId="00000018" w14:textId="77777777" w:rsidR="007B536C" w:rsidRPr="00C37B4E" w:rsidRDefault="00000000">
      <w:pPr>
        <w:rPr>
          <w:rFonts w:ascii="Arial" w:hAnsi="Arial" w:cs="Arial"/>
        </w:rPr>
      </w:pPr>
      <w:r w:rsidRPr="00C37B4E">
        <w:rPr>
          <w:rFonts w:ascii="Arial" w:hAnsi="Arial" w:cs="Arial"/>
        </w:rPr>
        <w:t xml:space="preserve">Milbotix is a venture-backed and fast-growing digital health organisation that operates its offices in Bristol, the United Kingdom. The company has developed AI-enabled and accurate wearable devices that are integrated into everyday clothing items for individuals. The items are used in healthcare, social care and research activities. The first set of products offered by Milbotix includes Smart Socks, which are comfortable, user-friendly and non-stigmatising (Milbotix, 2025). Another proprietary product of Milbotix is Physiometrix, which is cloud-based software incorporating appropriate algorithms for signal processing. The company uses groundbreaking innovation combined with the multidisciplinary breakthroughs in the activities of signal processing, e-textiles, electronics, product design and mechanical engineering. </w:t>
      </w:r>
    </w:p>
    <w:p w14:paraId="00000019" w14:textId="77777777" w:rsidR="007B536C" w:rsidRPr="00C37B4E" w:rsidRDefault="00000000">
      <w:pPr>
        <w:rPr>
          <w:rFonts w:ascii="Arial" w:hAnsi="Arial" w:cs="Arial"/>
        </w:rPr>
      </w:pPr>
      <w:r w:rsidRPr="00C37B4E">
        <w:rPr>
          <w:rFonts w:ascii="Arial" w:hAnsi="Arial" w:cs="Arial"/>
        </w:rPr>
        <w:t xml:space="preserve">The company is currently led by its founder, Dr Zeke Steer, and it has been backed by the Alzheimer’s Society. Moreover, the mission developed by the company is significantly related to meeting the largest challenges related to global health faced by individuals (Milbotix, 2025). AI-enabled and innovative wearable devices of the company are significant to fulfil the unmet care and health needs of individuals. The company also follows the aim of donating around 10 per cent of its profits towards the fulfilment of charitable causes. The organisations that fund Milbotix include Alzheimer’s Society, Innovate UK, West of England Combined Authority and HM Government. </w:t>
      </w:r>
    </w:p>
    <w:p w14:paraId="0000001A" w14:textId="601E6613" w:rsidR="007B536C" w:rsidRPr="00C37B4E" w:rsidRDefault="00000000">
      <w:pPr>
        <w:pStyle w:val="Heading1"/>
        <w:rPr>
          <w:rFonts w:ascii="Arial" w:hAnsi="Arial" w:cs="Arial"/>
        </w:rPr>
      </w:pPr>
      <w:bookmarkStart w:id="2" w:name="_btkhm8ar43j6" w:colFirst="0" w:colLast="0"/>
      <w:bookmarkStart w:id="3" w:name="_Toc216718610"/>
      <w:bookmarkEnd w:id="2"/>
      <w:r w:rsidRPr="00C37B4E">
        <w:rPr>
          <w:rFonts w:ascii="Arial" w:hAnsi="Arial" w:cs="Arial"/>
        </w:rPr>
        <w:t>Company appraisal using SWOT and PESTEL with SMART objectives</w:t>
      </w:r>
      <w:bookmarkEnd w:id="3"/>
      <w:r w:rsidRPr="00C37B4E">
        <w:rPr>
          <w:rFonts w:ascii="Arial" w:hAnsi="Arial" w:cs="Arial"/>
        </w:rPr>
        <w:t xml:space="preserve"> </w:t>
      </w:r>
    </w:p>
    <w:p w14:paraId="0000001B" w14:textId="3A34ACF4" w:rsidR="007B536C" w:rsidRPr="00C37B4E" w:rsidRDefault="00000000">
      <w:pPr>
        <w:pStyle w:val="Heading2"/>
        <w:rPr>
          <w:rFonts w:ascii="Arial" w:hAnsi="Arial" w:cs="Arial"/>
        </w:rPr>
      </w:pPr>
      <w:bookmarkStart w:id="4" w:name="_5vunl0syqs6h" w:colFirst="0" w:colLast="0"/>
      <w:bookmarkStart w:id="5" w:name="_Toc216718611"/>
      <w:bookmarkEnd w:id="4"/>
      <w:r w:rsidRPr="00C37B4E">
        <w:rPr>
          <w:rFonts w:ascii="Arial" w:hAnsi="Arial" w:cs="Arial"/>
        </w:rPr>
        <w:t>SWOT Analysis</w:t>
      </w:r>
      <w:bookmarkEnd w:id="5"/>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057C6" w:rsidRPr="00C37B4E" w14:paraId="22953321" w14:textId="77777777">
        <w:tc>
          <w:tcPr>
            <w:tcW w:w="4514" w:type="dxa"/>
            <w:shd w:val="clear" w:color="auto" w:fill="C9DAF8"/>
            <w:tcMar>
              <w:top w:w="100" w:type="dxa"/>
              <w:left w:w="100" w:type="dxa"/>
              <w:bottom w:w="100" w:type="dxa"/>
              <w:right w:w="100" w:type="dxa"/>
            </w:tcMar>
          </w:tcPr>
          <w:p w14:paraId="0000001C" w14:textId="77777777" w:rsidR="007B536C" w:rsidRPr="00C37B4E" w:rsidRDefault="00000000">
            <w:pPr>
              <w:widowControl w:val="0"/>
              <w:pBdr>
                <w:top w:val="nil"/>
                <w:left w:val="nil"/>
                <w:bottom w:val="nil"/>
                <w:right w:val="nil"/>
                <w:between w:val="nil"/>
              </w:pBdr>
              <w:rPr>
                <w:rFonts w:ascii="Arial" w:hAnsi="Arial" w:cs="Arial"/>
                <w:b/>
                <w:bCs/>
              </w:rPr>
            </w:pPr>
            <w:r w:rsidRPr="00C37B4E">
              <w:rPr>
                <w:rFonts w:ascii="Arial" w:hAnsi="Arial" w:cs="Arial"/>
                <w:b/>
                <w:bCs/>
              </w:rPr>
              <w:t xml:space="preserve">Strengths </w:t>
            </w:r>
          </w:p>
        </w:tc>
        <w:tc>
          <w:tcPr>
            <w:tcW w:w="4514" w:type="dxa"/>
            <w:shd w:val="clear" w:color="auto" w:fill="C9DAF8"/>
            <w:tcMar>
              <w:top w:w="100" w:type="dxa"/>
              <w:left w:w="100" w:type="dxa"/>
              <w:bottom w:w="100" w:type="dxa"/>
              <w:right w:w="100" w:type="dxa"/>
            </w:tcMar>
          </w:tcPr>
          <w:p w14:paraId="0000001D" w14:textId="77777777" w:rsidR="007B536C" w:rsidRPr="00C37B4E" w:rsidRDefault="00000000">
            <w:pPr>
              <w:widowControl w:val="0"/>
              <w:pBdr>
                <w:top w:val="nil"/>
                <w:left w:val="nil"/>
                <w:bottom w:val="nil"/>
                <w:right w:val="nil"/>
                <w:between w:val="nil"/>
              </w:pBdr>
              <w:rPr>
                <w:rFonts w:ascii="Arial" w:hAnsi="Arial" w:cs="Arial"/>
                <w:b/>
                <w:bCs/>
              </w:rPr>
            </w:pPr>
            <w:r w:rsidRPr="00C37B4E">
              <w:rPr>
                <w:rFonts w:ascii="Arial" w:hAnsi="Arial" w:cs="Arial"/>
                <w:b/>
                <w:bCs/>
              </w:rPr>
              <w:t>Weaknesses</w:t>
            </w:r>
          </w:p>
        </w:tc>
      </w:tr>
      <w:tr w:rsidR="000057C6" w:rsidRPr="00C37B4E" w14:paraId="50D73514" w14:textId="77777777">
        <w:tc>
          <w:tcPr>
            <w:tcW w:w="4514" w:type="dxa"/>
            <w:tcMar>
              <w:top w:w="100" w:type="dxa"/>
              <w:left w:w="100" w:type="dxa"/>
              <w:bottom w:w="100" w:type="dxa"/>
              <w:right w:w="100" w:type="dxa"/>
            </w:tcMar>
          </w:tcPr>
          <w:p w14:paraId="0000001E" w14:textId="77777777" w:rsidR="007B536C" w:rsidRPr="00C37B4E" w:rsidRDefault="00000000">
            <w:pPr>
              <w:widowControl w:val="0"/>
              <w:numPr>
                <w:ilvl w:val="0"/>
                <w:numId w:val="8"/>
              </w:numPr>
              <w:pBdr>
                <w:top w:val="nil"/>
                <w:left w:val="nil"/>
                <w:bottom w:val="nil"/>
                <w:right w:val="nil"/>
                <w:between w:val="nil"/>
              </w:pBdr>
              <w:rPr>
                <w:rFonts w:ascii="Arial" w:hAnsi="Arial" w:cs="Arial"/>
              </w:rPr>
            </w:pPr>
            <w:r w:rsidRPr="00C37B4E">
              <w:rPr>
                <w:rFonts w:ascii="Arial" w:hAnsi="Arial" w:cs="Arial"/>
              </w:rPr>
              <w:t>Unique technological expertise in product development, making health monitoring devices with daily wear clothes (Milbotix, n.d.).</w:t>
            </w:r>
          </w:p>
          <w:p w14:paraId="0000001F" w14:textId="77777777" w:rsidR="007B536C" w:rsidRPr="00C37B4E" w:rsidRDefault="00000000">
            <w:pPr>
              <w:widowControl w:val="0"/>
              <w:numPr>
                <w:ilvl w:val="0"/>
                <w:numId w:val="8"/>
              </w:numPr>
              <w:pBdr>
                <w:top w:val="nil"/>
                <w:left w:val="nil"/>
                <w:bottom w:val="nil"/>
                <w:right w:val="nil"/>
                <w:between w:val="nil"/>
              </w:pBdr>
              <w:rPr>
                <w:rFonts w:ascii="Arial" w:hAnsi="Arial" w:cs="Arial"/>
              </w:rPr>
            </w:pPr>
            <w:r w:rsidRPr="00C37B4E">
              <w:rPr>
                <w:rFonts w:ascii="Arial" w:hAnsi="Arial" w:cs="Arial"/>
              </w:rPr>
              <w:t>High data accuracy of products enhances customer satisfaction.</w:t>
            </w:r>
          </w:p>
          <w:p w14:paraId="00000020" w14:textId="77777777" w:rsidR="007B536C" w:rsidRPr="00C37B4E" w:rsidRDefault="00000000">
            <w:pPr>
              <w:widowControl w:val="0"/>
              <w:numPr>
                <w:ilvl w:val="0"/>
                <w:numId w:val="8"/>
              </w:numPr>
              <w:pBdr>
                <w:top w:val="nil"/>
                <w:left w:val="nil"/>
                <w:bottom w:val="nil"/>
                <w:right w:val="nil"/>
                <w:between w:val="nil"/>
              </w:pBdr>
              <w:rPr>
                <w:rFonts w:ascii="Arial" w:hAnsi="Arial" w:cs="Arial"/>
              </w:rPr>
            </w:pPr>
            <w:r w:rsidRPr="00C37B4E">
              <w:rPr>
                <w:rFonts w:ascii="Arial" w:hAnsi="Arial" w:cs="Arial"/>
              </w:rPr>
              <w:t xml:space="preserve">Strategic partnership with </w:t>
            </w:r>
            <w:r w:rsidRPr="00C37B4E">
              <w:rPr>
                <w:rFonts w:ascii="Arial" w:hAnsi="Arial" w:cs="Arial"/>
              </w:rPr>
              <w:lastRenderedPageBreak/>
              <w:t xml:space="preserve">Alzheimer’s Society enhances brand visibility (Milbotix, 2025). </w:t>
            </w:r>
          </w:p>
        </w:tc>
        <w:tc>
          <w:tcPr>
            <w:tcW w:w="4514" w:type="dxa"/>
            <w:tcMar>
              <w:top w:w="100" w:type="dxa"/>
              <w:left w:w="100" w:type="dxa"/>
              <w:bottom w:w="100" w:type="dxa"/>
              <w:right w:w="100" w:type="dxa"/>
            </w:tcMar>
          </w:tcPr>
          <w:p w14:paraId="00000021" w14:textId="77777777" w:rsidR="007B536C" w:rsidRPr="00C37B4E" w:rsidRDefault="00000000">
            <w:pPr>
              <w:widowControl w:val="0"/>
              <w:numPr>
                <w:ilvl w:val="0"/>
                <w:numId w:val="7"/>
              </w:numPr>
              <w:rPr>
                <w:rFonts w:ascii="Arial" w:hAnsi="Arial" w:cs="Arial"/>
              </w:rPr>
            </w:pPr>
            <w:r w:rsidRPr="00C37B4E">
              <w:rPr>
                <w:rFonts w:ascii="Arial" w:hAnsi="Arial" w:cs="Arial"/>
              </w:rPr>
              <w:lastRenderedPageBreak/>
              <w:t>Milbotix faces a challenge of driving smart technology adoption among users, thus limited demand.</w:t>
            </w:r>
          </w:p>
          <w:p w14:paraId="00000022" w14:textId="77777777" w:rsidR="007B536C" w:rsidRPr="00C37B4E" w:rsidRDefault="00000000">
            <w:pPr>
              <w:widowControl w:val="0"/>
              <w:numPr>
                <w:ilvl w:val="0"/>
                <w:numId w:val="7"/>
              </w:numPr>
              <w:rPr>
                <w:rFonts w:ascii="Arial" w:hAnsi="Arial" w:cs="Arial"/>
              </w:rPr>
            </w:pPr>
            <w:r w:rsidRPr="00C37B4E">
              <w:rPr>
                <w:rFonts w:ascii="Arial" w:hAnsi="Arial" w:cs="Arial"/>
              </w:rPr>
              <w:t xml:space="preserve">Requires large capital investment for innovating new devices to address customer demands </w:t>
            </w:r>
            <w:r w:rsidRPr="00C37B4E">
              <w:rPr>
                <w:rFonts w:ascii="Arial" w:hAnsi="Arial" w:cs="Arial"/>
              </w:rPr>
              <w:lastRenderedPageBreak/>
              <w:t xml:space="preserve">(George, 2024). </w:t>
            </w:r>
          </w:p>
          <w:p w14:paraId="00000023" w14:textId="77777777" w:rsidR="007B536C" w:rsidRPr="00C37B4E" w:rsidRDefault="00000000">
            <w:pPr>
              <w:widowControl w:val="0"/>
              <w:numPr>
                <w:ilvl w:val="0"/>
                <w:numId w:val="7"/>
              </w:numPr>
              <w:rPr>
                <w:rFonts w:ascii="Arial" w:hAnsi="Arial" w:cs="Arial"/>
              </w:rPr>
            </w:pPr>
            <w:r w:rsidRPr="00C37B4E">
              <w:rPr>
                <w:rFonts w:ascii="Arial" w:hAnsi="Arial" w:cs="Arial"/>
              </w:rPr>
              <w:t xml:space="preserve">User preferences differ, which can affect Milbotix's growth in the market. </w:t>
            </w:r>
          </w:p>
        </w:tc>
      </w:tr>
      <w:tr w:rsidR="000057C6" w:rsidRPr="00C37B4E" w14:paraId="6B1C3407" w14:textId="77777777">
        <w:tc>
          <w:tcPr>
            <w:tcW w:w="4514" w:type="dxa"/>
            <w:shd w:val="clear" w:color="auto" w:fill="C9DAF8"/>
            <w:tcMar>
              <w:top w:w="100" w:type="dxa"/>
              <w:left w:w="100" w:type="dxa"/>
              <w:bottom w:w="100" w:type="dxa"/>
              <w:right w:w="100" w:type="dxa"/>
            </w:tcMar>
          </w:tcPr>
          <w:p w14:paraId="00000024" w14:textId="77777777" w:rsidR="007B536C" w:rsidRPr="00C37B4E" w:rsidRDefault="00000000">
            <w:pPr>
              <w:widowControl w:val="0"/>
              <w:pBdr>
                <w:top w:val="nil"/>
                <w:left w:val="nil"/>
                <w:bottom w:val="nil"/>
                <w:right w:val="nil"/>
                <w:between w:val="nil"/>
              </w:pBdr>
              <w:rPr>
                <w:rFonts w:ascii="Arial" w:hAnsi="Arial" w:cs="Arial"/>
                <w:b/>
                <w:bCs/>
              </w:rPr>
            </w:pPr>
            <w:r w:rsidRPr="00C37B4E">
              <w:rPr>
                <w:rFonts w:ascii="Arial" w:hAnsi="Arial" w:cs="Arial"/>
                <w:b/>
                <w:bCs/>
              </w:rPr>
              <w:lastRenderedPageBreak/>
              <w:t xml:space="preserve">Opportunities </w:t>
            </w:r>
          </w:p>
        </w:tc>
        <w:tc>
          <w:tcPr>
            <w:tcW w:w="4514" w:type="dxa"/>
            <w:shd w:val="clear" w:color="auto" w:fill="C9DAF8"/>
            <w:tcMar>
              <w:top w:w="100" w:type="dxa"/>
              <w:left w:w="100" w:type="dxa"/>
              <w:bottom w:w="100" w:type="dxa"/>
              <w:right w:w="100" w:type="dxa"/>
            </w:tcMar>
          </w:tcPr>
          <w:p w14:paraId="00000025" w14:textId="77777777" w:rsidR="007B536C" w:rsidRPr="00C37B4E" w:rsidRDefault="00000000">
            <w:pPr>
              <w:widowControl w:val="0"/>
              <w:pBdr>
                <w:top w:val="nil"/>
                <w:left w:val="nil"/>
                <w:bottom w:val="nil"/>
                <w:right w:val="nil"/>
                <w:between w:val="nil"/>
              </w:pBdr>
              <w:rPr>
                <w:rFonts w:ascii="Arial" w:hAnsi="Arial" w:cs="Arial"/>
                <w:b/>
                <w:bCs/>
              </w:rPr>
            </w:pPr>
            <w:r w:rsidRPr="00C37B4E">
              <w:rPr>
                <w:rFonts w:ascii="Arial" w:hAnsi="Arial" w:cs="Arial"/>
                <w:b/>
                <w:bCs/>
              </w:rPr>
              <w:t>Threats</w:t>
            </w:r>
          </w:p>
        </w:tc>
      </w:tr>
      <w:tr w:rsidR="000057C6" w:rsidRPr="00C37B4E" w14:paraId="3404E2BC" w14:textId="77777777">
        <w:tc>
          <w:tcPr>
            <w:tcW w:w="4514" w:type="dxa"/>
            <w:tcMar>
              <w:top w:w="100" w:type="dxa"/>
              <w:left w:w="100" w:type="dxa"/>
              <w:bottom w:w="100" w:type="dxa"/>
              <w:right w:w="100" w:type="dxa"/>
            </w:tcMar>
          </w:tcPr>
          <w:p w14:paraId="00000026" w14:textId="77777777" w:rsidR="007B536C" w:rsidRPr="00C37B4E" w:rsidRDefault="00000000">
            <w:pPr>
              <w:widowControl w:val="0"/>
              <w:numPr>
                <w:ilvl w:val="0"/>
                <w:numId w:val="5"/>
              </w:numPr>
              <w:pBdr>
                <w:top w:val="nil"/>
                <w:left w:val="nil"/>
                <w:bottom w:val="nil"/>
                <w:right w:val="nil"/>
                <w:between w:val="nil"/>
              </w:pBdr>
              <w:rPr>
                <w:rFonts w:ascii="Arial" w:hAnsi="Arial" w:cs="Arial"/>
              </w:rPr>
            </w:pPr>
            <w:r w:rsidRPr="00C37B4E">
              <w:rPr>
                <w:rFonts w:ascii="Arial" w:hAnsi="Arial" w:cs="Arial"/>
              </w:rPr>
              <w:t>The growing market opportunities for medical devices and wearable products are a rising opportunity.</w:t>
            </w:r>
          </w:p>
          <w:p w14:paraId="00000027" w14:textId="77777777" w:rsidR="007B536C" w:rsidRPr="00C37B4E" w:rsidRDefault="00000000">
            <w:pPr>
              <w:widowControl w:val="0"/>
              <w:numPr>
                <w:ilvl w:val="0"/>
                <w:numId w:val="5"/>
              </w:numPr>
              <w:pBdr>
                <w:top w:val="nil"/>
                <w:left w:val="nil"/>
                <w:bottom w:val="nil"/>
                <w:right w:val="nil"/>
                <w:between w:val="nil"/>
              </w:pBdr>
              <w:rPr>
                <w:rFonts w:ascii="Arial" w:hAnsi="Arial" w:cs="Arial"/>
              </w:rPr>
            </w:pPr>
            <w:r w:rsidRPr="00C37B4E">
              <w:rPr>
                <w:rFonts w:ascii="Arial" w:hAnsi="Arial" w:cs="Arial"/>
              </w:rPr>
              <w:t xml:space="preserve">The wearable smart device market has generated 920 million British pounds, indicating high growth (Borgeaud, 2025). </w:t>
            </w:r>
          </w:p>
          <w:p w14:paraId="00000028" w14:textId="77777777" w:rsidR="007B536C" w:rsidRPr="00C37B4E" w:rsidRDefault="00000000">
            <w:pPr>
              <w:widowControl w:val="0"/>
              <w:numPr>
                <w:ilvl w:val="0"/>
                <w:numId w:val="5"/>
              </w:numPr>
              <w:pBdr>
                <w:top w:val="nil"/>
                <w:left w:val="nil"/>
                <w:bottom w:val="nil"/>
                <w:right w:val="nil"/>
                <w:between w:val="nil"/>
              </w:pBdr>
              <w:rPr>
                <w:rFonts w:ascii="Arial" w:hAnsi="Arial" w:cs="Arial"/>
              </w:rPr>
            </w:pPr>
            <w:r w:rsidRPr="00C37B4E">
              <w:rPr>
                <w:rFonts w:ascii="Arial" w:hAnsi="Arial" w:cs="Arial"/>
              </w:rPr>
              <w:t>Focusing on innovation development, advancing technology, and generative AI is creating new opportunities for tech firms (Corvello, 2025).</w:t>
            </w:r>
          </w:p>
        </w:tc>
        <w:tc>
          <w:tcPr>
            <w:tcW w:w="4514" w:type="dxa"/>
            <w:tcMar>
              <w:top w:w="100" w:type="dxa"/>
              <w:left w:w="100" w:type="dxa"/>
              <w:bottom w:w="100" w:type="dxa"/>
              <w:right w:w="100" w:type="dxa"/>
            </w:tcMar>
          </w:tcPr>
          <w:p w14:paraId="00000029" w14:textId="77777777" w:rsidR="007B536C" w:rsidRPr="00C37B4E" w:rsidRDefault="00000000">
            <w:pPr>
              <w:widowControl w:val="0"/>
              <w:numPr>
                <w:ilvl w:val="0"/>
                <w:numId w:val="9"/>
              </w:numPr>
              <w:rPr>
                <w:rFonts w:ascii="Arial" w:hAnsi="Arial" w:cs="Arial"/>
              </w:rPr>
            </w:pPr>
            <w:r w:rsidRPr="00C37B4E">
              <w:rPr>
                <w:rFonts w:ascii="Arial" w:hAnsi="Arial" w:cs="Arial"/>
              </w:rPr>
              <w:t>The smart wearable device market is experiencing high competition, which is a major threat to Milbotix.</w:t>
            </w:r>
          </w:p>
          <w:p w14:paraId="0000002A" w14:textId="77777777" w:rsidR="007B536C" w:rsidRPr="00C37B4E" w:rsidRDefault="00000000">
            <w:pPr>
              <w:widowControl w:val="0"/>
              <w:numPr>
                <w:ilvl w:val="0"/>
                <w:numId w:val="9"/>
              </w:numPr>
              <w:rPr>
                <w:rFonts w:ascii="Arial" w:hAnsi="Arial" w:cs="Arial"/>
              </w:rPr>
            </w:pPr>
            <w:r w:rsidRPr="00C37B4E">
              <w:rPr>
                <w:rFonts w:ascii="Arial" w:hAnsi="Arial" w:cs="Arial"/>
              </w:rPr>
              <w:t>Sensitive patient information can be lost due to malfunctioning and hacking of the product, thus raising data privacy concerns (Newaz, 2021).</w:t>
            </w:r>
          </w:p>
          <w:p w14:paraId="0000002B" w14:textId="77777777" w:rsidR="007B536C" w:rsidRPr="00C37B4E" w:rsidRDefault="00000000">
            <w:pPr>
              <w:widowControl w:val="0"/>
              <w:numPr>
                <w:ilvl w:val="0"/>
                <w:numId w:val="9"/>
              </w:numPr>
              <w:rPr>
                <w:rFonts w:ascii="Arial" w:hAnsi="Arial" w:cs="Arial"/>
              </w:rPr>
            </w:pPr>
            <w:r w:rsidRPr="00C37B4E">
              <w:rPr>
                <w:rFonts w:ascii="Arial" w:hAnsi="Arial" w:cs="Arial"/>
              </w:rPr>
              <w:t xml:space="preserve">High dependence on AI systems can create unforeseen risks for users as well as the firm. </w:t>
            </w:r>
          </w:p>
        </w:tc>
      </w:tr>
    </w:tbl>
    <w:p w14:paraId="0000002C" w14:textId="77777777" w:rsidR="007B536C" w:rsidRPr="00C37B4E" w:rsidRDefault="00000000">
      <w:pPr>
        <w:jc w:val="center"/>
        <w:rPr>
          <w:rFonts w:ascii="Arial" w:hAnsi="Arial" w:cs="Arial"/>
          <w:b/>
          <w:bCs/>
        </w:rPr>
      </w:pPr>
      <w:r w:rsidRPr="00C37B4E">
        <w:rPr>
          <w:rFonts w:ascii="Arial" w:hAnsi="Arial" w:cs="Arial"/>
          <w:b/>
          <w:bCs/>
        </w:rPr>
        <w:t>Table 1: SWOT analysis</w:t>
      </w:r>
    </w:p>
    <w:p w14:paraId="0000002D" w14:textId="77777777" w:rsidR="007B536C" w:rsidRPr="00C37B4E" w:rsidRDefault="00000000">
      <w:pPr>
        <w:jc w:val="center"/>
        <w:rPr>
          <w:rFonts w:ascii="Arial" w:hAnsi="Arial" w:cs="Arial"/>
        </w:rPr>
      </w:pPr>
      <w:r w:rsidRPr="00C37B4E">
        <w:rPr>
          <w:rFonts w:ascii="Arial" w:hAnsi="Arial" w:cs="Arial"/>
        </w:rPr>
        <w:t>(Source: Self-created)</w:t>
      </w:r>
    </w:p>
    <w:p w14:paraId="0000002E" w14:textId="77777777" w:rsidR="007B536C" w:rsidRPr="00C37B4E" w:rsidRDefault="00000000">
      <w:pPr>
        <w:rPr>
          <w:rFonts w:ascii="Arial" w:hAnsi="Arial" w:cs="Arial"/>
        </w:rPr>
      </w:pPr>
      <w:r w:rsidRPr="00C37B4E">
        <w:rPr>
          <w:rFonts w:ascii="Arial" w:hAnsi="Arial" w:cs="Arial"/>
        </w:rPr>
        <w:t xml:space="preserve">From the above analysis, it is evident that Milbotix has a wide range of positive market opportunities to drive growth in business. However, there are major threats that can affect the company, such as rising competition in the industry and changing technologies. Higher dependence on these systems can be both rewarding and risky for the patients, thus affecting the business. </w:t>
      </w:r>
    </w:p>
    <w:p w14:paraId="0000002F" w14:textId="77777777" w:rsidR="007B536C" w:rsidRPr="00C37B4E" w:rsidRDefault="00000000">
      <w:pPr>
        <w:pStyle w:val="Heading2"/>
        <w:rPr>
          <w:rFonts w:ascii="Arial" w:hAnsi="Arial" w:cs="Arial"/>
        </w:rPr>
      </w:pPr>
      <w:bookmarkStart w:id="6" w:name="_z1zv45u084zg" w:colFirst="0" w:colLast="0"/>
      <w:bookmarkStart w:id="7" w:name="_Toc216718612"/>
      <w:bookmarkEnd w:id="6"/>
      <w:r w:rsidRPr="00C37B4E">
        <w:rPr>
          <w:rFonts w:ascii="Arial" w:hAnsi="Arial" w:cs="Arial"/>
        </w:rPr>
        <w:t>PESTEL Evaluation</w:t>
      </w:r>
      <w:bookmarkEnd w:id="7"/>
      <w:r w:rsidRPr="00C37B4E">
        <w:rPr>
          <w:rFonts w:ascii="Arial" w:hAnsi="Arial" w:cs="Arial"/>
        </w:rPr>
        <w:t xml:space="preserve"> </w:t>
      </w:r>
    </w:p>
    <w:tbl>
      <w:tblPr>
        <w:tblStyle w:val="Table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3930"/>
        <w:gridCol w:w="3345"/>
      </w:tblGrid>
      <w:tr w:rsidR="000057C6" w:rsidRPr="00C37B4E" w14:paraId="3A7B193E" w14:textId="77777777">
        <w:tc>
          <w:tcPr>
            <w:tcW w:w="1725" w:type="dxa"/>
            <w:tcMar>
              <w:top w:w="100" w:type="dxa"/>
              <w:left w:w="100" w:type="dxa"/>
              <w:bottom w:w="100" w:type="dxa"/>
              <w:right w:w="100" w:type="dxa"/>
            </w:tcMar>
          </w:tcPr>
          <w:p w14:paraId="00000030" w14:textId="77777777" w:rsidR="007B536C" w:rsidRPr="00C37B4E" w:rsidRDefault="00000000">
            <w:pPr>
              <w:widowControl w:val="0"/>
              <w:pBdr>
                <w:top w:val="nil"/>
                <w:left w:val="nil"/>
                <w:bottom w:val="nil"/>
                <w:right w:val="nil"/>
                <w:between w:val="nil"/>
              </w:pBdr>
              <w:jc w:val="left"/>
              <w:rPr>
                <w:rFonts w:ascii="Arial" w:hAnsi="Arial" w:cs="Arial"/>
                <w:b/>
                <w:bCs/>
              </w:rPr>
            </w:pPr>
            <w:r w:rsidRPr="00C37B4E">
              <w:rPr>
                <w:rFonts w:ascii="Arial" w:hAnsi="Arial" w:cs="Arial"/>
                <w:b/>
                <w:bCs/>
              </w:rPr>
              <w:t xml:space="preserve">Elements </w:t>
            </w:r>
          </w:p>
        </w:tc>
        <w:tc>
          <w:tcPr>
            <w:tcW w:w="3930" w:type="dxa"/>
            <w:tcMar>
              <w:top w:w="100" w:type="dxa"/>
              <w:left w:w="100" w:type="dxa"/>
              <w:bottom w:w="100" w:type="dxa"/>
              <w:right w:w="100" w:type="dxa"/>
            </w:tcMar>
          </w:tcPr>
          <w:p w14:paraId="00000031" w14:textId="77777777" w:rsidR="007B536C" w:rsidRPr="00C37B4E" w:rsidRDefault="00000000">
            <w:pPr>
              <w:widowControl w:val="0"/>
              <w:pBdr>
                <w:top w:val="nil"/>
                <w:left w:val="nil"/>
                <w:bottom w:val="nil"/>
                <w:right w:val="nil"/>
                <w:between w:val="nil"/>
              </w:pBdr>
              <w:jc w:val="left"/>
              <w:rPr>
                <w:rFonts w:ascii="Arial" w:hAnsi="Arial" w:cs="Arial"/>
                <w:b/>
                <w:bCs/>
              </w:rPr>
            </w:pPr>
            <w:r w:rsidRPr="00C37B4E">
              <w:rPr>
                <w:rFonts w:ascii="Arial" w:hAnsi="Arial" w:cs="Arial"/>
                <w:b/>
                <w:bCs/>
              </w:rPr>
              <w:t xml:space="preserve">Factors </w:t>
            </w:r>
          </w:p>
        </w:tc>
        <w:tc>
          <w:tcPr>
            <w:tcW w:w="3345" w:type="dxa"/>
            <w:tcMar>
              <w:top w:w="100" w:type="dxa"/>
              <w:left w:w="100" w:type="dxa"/>
              <w:bottom w:w="100" w:type="dxa"/>
              <w:right w:w="100" w:type="dxa"/>
            </w:tcMar>
          </w:tcPr>
          <w:p w14:paraId="00000032" w14:textId="77777777" w:rsidR="007B536C" w:rsidRPr="00C37B4E" w:rsidRDefault="00000000">
            <w:pPr>
              <w:widowControl w:val="0"/>
              <w:pBdr>
                <w:top w:val="nil"/>
                <w:left w:val="nil"/>
                <w:bottom w:val="nil"/>
                <w:right w:val="nil"/>
                <w:between w:val="nil"/>
              </w:pBdr>
              <w:jc w:val="left"/>
              <w:rPr>
                <w:rFonts w:ascii="Arial" w:hAnsi="Arial" w:cs="Arial"/>
                <w:b/>
                <w:bCs/>
              </w:rPr>
            </w:pPr>
            <w:r w:rsidRPr="00C37B4E">
              <w:rPr>
                <w:rFonts w:ascii="Arial" w:hAnsi="Arial" w:cs="Arial"/>
                <w:b/>
                <w:bCs/>
              </w:rPr>
              <w:t xml:space="preserve">Impact </w:t>
            </w:r>
          </w:p>
        </w:tc>
      </w:tr>
      <w:tr w:rsidR="000057C6" w:rsidRPr="00C37B4E" w14:paraId="1F843C49" w14:textId="77777777">
        <w:tc>
          <w:tcPr>
            <w:tcW w:w="1725" w:type="dxa"/>
            <w:tcMar>
              <w:top w:w="100" w:type="dxa"/>
              <w:left w:w="100" w:type="dxa"/>
              <w:bottom w:w="100" w:type="dxa"/>
              <w:right w:w="100" w:type="dxa"/>
            </w:tcMar>
          </w:tcPr>
          <w:p w14:paraId="00000033"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t xml:space="preserve">Political </w:t>
            </w:r>
          </w:p>
        </w:tc>
        <w:tc>
          <w:tcPr>
            <w:tcW w:w="3930" w:type="dxa"/>
            <w:tcMar>
              <w:top w:w="100" w:type="dxa"/>
              <w:left w:w="100" w:type="dxa"/>
              <w:bottom w:w="100" w:type="dxa"/>
              <w:right w:w="100" w:type="dxa"/>
            </w:tcMar>
          </w:tcPr>
          <w:p w14:paraId="00000034" w14:textId="77777777" w:rsidR="007B536C" w:rsidRPr="00C37B4E" w:rsidRDefault="00000000">
            <w:pPr>
              <w:widowControl w:val="0"/>
              <w:numPr>
                <w:ilvl w:val="0"/>
                <w:numId w:val="3"/>
              </w:numPr>
              <w:pBdr>
                <w:top w:val="nil"/>
                <w:left w:val="nil"/>
                <w:bottom w:val="nil"/>
                <w:right w:val="nil"/>
                <w:between w:val="nil"/>
              </w:pBdr>
              <w:jc w:val="left"/>
              <w:rPr>
                <w:rFonts w:ascii="Arial" w:hAnsi="Arial" w:cs="Arial"/>
              </w:rPr>
            </w:pPr>
            <w:r w:rsidRPr="00C37B4E">
              <w:rPr>
                <w:rFonts w:ascii="Arial" w:hAnsi="Arial" w:cs="Arial"/>
              </w:rPr>
              <w:t>Rising geopolitical instability is affecting trade and commerce</w:t>
            </w:r>
          </w:p>
          <w:p w14:paraId="00000035" w14:textId="77777777" w:rsidR="007B536C" w:rsidRPr="00C37B4E" w:rsidRDefault="00000000">
            <w:pPr>
              <w:widowControl w:val="0"/>
              <w:numPr>
                <w:ilvl w:val="0"/>
                <w:numId w:val="3"/>
              </w:numPr>
              <w:pBdr>
                <w:top w:val="nil"/>
                <w:left w:val="nil"/>
                <w:bottom w:val="nil"/>
                <w:right w:val="nil"/>
                <w:between w:val="nil"/>
              </w:pBdr>
              <w:jc w:val="left"/>
              <w:rPr>
                <w:rFonts w:ascii="Arial" w:hAnsi="Arial" w:cs="Arial"/>
              </w:rPr>
            </w:pPr>
            <w:r w:rsidRPr="00C37B4E">
              <w:rPr>
                <w:rFonts w:ascii="Arial" w:hAnsi="Arial" w:cs="Arial"/>
              </w:rPr>
              <w:lastRenderedPageBreak/>
              <w:t xml:space="preserve">US-China trade wars have increased tariff rates in the UK (Kalu </w:t>
            </w:r>
            <w:r w:rsidRPr="00C37B4E">
              <w:rPr>
                <w:rFonts w:ascii="Arial" w:hAnsi="Arial" w:cs="Arial"/>
                <w:i/>
                <w:iCs/>
              </w:rPr>
              <w:t>et al</w:t>
            </w:r>
            <w:r w:rsidRPr="00C37B4E">
              <w:rPr>
                <w:rFonts w:ascii="Arial" w:hAnsi="Arial" w:cs="Arial"/>
              </w:rPr>
              <w:t>., 2025)</w:t>
            </w:r>
          </w:p>
        </w:tc>
        <w:tc>
          <w:tcPr>
            <w:tcW w:w="3345" w:type="dxa"/>
            <w:tcMar>
              <w:top w:w="100" w:type="dxa"/>
              <w:left w:w="100" w:type="dxa"/>
              <w:bottom w:w="100" w:type="dxa"/>
              <w:right w:w="100" w:type="dxa"/>
            </w:tcMar>
          </w:tcPr>
          <w:p w14:paraId="00000036"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lastRenderedPageBreak/>
              <w:t xml:space="preserve">The political factors have a major negative impact on the operations of Milbotix, </w:t>
            </w:r>
            <w:r w:rsidRPr="00C37B4E">
              <w:rPr>
                <w:rFonts w:ascii="Arial" w:hAnsi="Arial" w:cs="Arial"/>
              </w:rPr>
              <w:lastRenderedPageBreak/>
              <w:t>limiting access to technology.</w:t>
            </w:r>
          </w:p>
        </w:tc>
      </w:tr>
      <w:tr w:rsidR="000057C6" w:rsidRPr="00C37B4E" w14:paraId="2F09916A" w14:textId="77777777">
        <w:tc>
          <w:tcPr>
            <w:tcW w:w="1725" w:type="dxa"/>
            <w:tcMar>
              <w:top w:w="100" w:type="dxa"/>
              <w:left w:w="100" w:type="dxa"/>
              <w:bottom w:w="100" w:type="dxa"/>
              <w:right w:w="100" w:type="dxa"/>
            </w:tcMar>
          </w:tcPr>
          <w:p w14:paraId="00000037"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lastRenderedPageBreak/>
              <w:t xml:space="preserve">Economic </w:t>
            </w:r>
          </w:p>
        </w:tc>
        <w:tc>
          <w:tcPr>
            <w:tcW w:w="3930" w:type="dxa"/>
            <w:tcMar>
              <w:top w:w="100" w:type="dxa"/>
              <w:left w:w="100" w:type="dxa"/>
              <w:bottom w:w="100" w:type="dxa"/>
              <w:right w:w="100" w:type="dxa"/>
            </w:tcMar>
          </w:tcPr>
          <w:p w14:paraId="00000038" w14:textId="77777777" w:rsidR="007B536C" w:rsidRPr="00C37B4E" w:rsidRDefault="00000000">
            <w:pPr>
              <w:widowControl w:val="0"/>
              <w:numPr>
                <w:ilvl w:val="0"/>
                <w:numId w:val="13"/>
              </w:numPr>
              <w:pBdr>
                <w:top w:val="nil"/>
                <w:left w:val="nil"/>
                <w:bottom w:val="nil"/>
                <w:right w:val="nil"/>
                <w:between w:val="nil"/>
              </w:pBdr>
              <w:jc w:val="left"/>
              <w:rPr>
                <w:rFonts w:ascii="Arial" w:hAnsi="Arial" w:cs="Arial"/>
              </w:rPr>
            </w:pPr>
            <w:r w:rsidRPr="00C37B4E">
              <w:rPr>
                <w:rFonts w:ascii="Arial" w:hAnsi="Arial" w:cs="Arial"/>
              </w:rPr>
              <w:t>The economic situation is deteriorating due to rising consumer prices by 3.6% (BBC, 2025)</w:t>
            </w:r>
          </w:p>
          <w:p w14:paraId="00000039" w14:textId="77777777" w:rsidR="007B536C" w:rsidRPr="00C37B4E" w:rsidRDefault="00000000">
            <w:pPr>
              <w:widowControl w:val="0"/>
              <w:numPr>
                <w:ilvl w:val="0"/>
                <w:numId w:val="13"/>
              </w:numPr>
              <w:pBdr>
                <w:top w:val="nil"/>
                <w:left w:val="nil"/>
                <w:bottom w:val="nil"/>
                <w:right w:val="nil"/>
                <w:between w:val="nil"/>
              </w:pBdr>
              <w:jc w:val="left"/>
              <w:rPr>
                <w:rFonts w:ascii="Arial" w:hAnsi="Arial" w:cs="Arial"/>
              </w:rPr>
            </w:pPr>
            <w:r w:rsidRPr="00C37B4E">
              <w:rPr>
                <w:rFonts w:ascii="Arial" w:hAnsi="Arial" w:cs="Arial"/>
              </w:rPr>
              <w:t>Shortage of digitally skilled workforce in the UK, as almost 7.5 million people lack technical abilities (Experis, 2025)</w:t>
            </w:r>
          </w:p>
        </w:tc>
        <w:tc>
          <w:tcPr>
            <w:tcW w:w="3345" w:type="dxa"/>
            <w:tcMar>
              <w:top w:w="100" w:type="dxa"/>
              <w:left w:w="100" w:type="dxa"/>
              <w:bottom w:w="100" w:type="dxa"/>
              <w:right w:w="100" w:type="dxa"/>
            </w:tcMar>
          </w:tcPr>
          <w:p w14:paraId="0000003A" w14:textId="77777777" w:rsidR="007B536C" w:rsidRPr="00C37B4E" w:rsidRDefault="00000000">
            <w:pPr>
              <w:widowControl w:val="0"/>
              <w:jc w:val="left"/>
              <w:rPr>
                <w:rFonts w:ascii="Arial" w:hAnsi="Arial" w:cs="Arial"/>
              </w:rPr>
            </w:pPr>
            <w:r w:rsidRPr="00C37B4E">
              <w:rPr>
                <w:rFonts w:ascii="Arial" w:hAnsi="Arial" w:cs="Arial"/>
              </w:rPr>
              <w:t xml:space="preserve">Milbotix may experience reduced demand due to an increase in prices and may also experience skill gaps within the firm due to a lack of an adequate workforce. </w:t>
            </w:r>
          </w:p>
        </w:tc>
      </w:tr>
      <w:tr w:rsidR="000057C6" w:rsidRPr="00C37B4E" w14:paraId="1D1C61A2" w14:textId="77777777">
        <w:tc>
          <w:tcPr>
            <w:tcW w:w="1725" w:type="dxa"/>
            <w:tcMar>
              <w:top w:w="100" w:type="dxa"/>
              <w:left w:w="100" w:type="dxa"/>
              <w:bottom w:w="100" w:type="dxa"/>
              <w:right w:w="100" w:type="dxa"/>
            </w:tcMar>
          </w:tcPr>
          <w:p w14:paraId="0000003B"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t xml:space="preserve">Social </w:t>
            </w:r>
          </w:p>
        </w:tc>
        <w:tc>
          <w:tcPr>
            <w:tcW w:w="3930" w:type="dxa"/>
            <w:tcMar>
              <w:top w:w="100" w:type="dxa"/>
              <w:left w:w="100" w:type="dxa"/>
              <w:bottom w:w="100" w:type="dxa"/>
              <w:right w:w="100" w:type="dxa"/>
            </w:tcMar>
          </w:tcPr>
          <w:p w14:paraId="0000003C" w14:textId="77777777" w:rsidR="007B536C" w:rsidRPr="00C37B4E" w:rsidRDefault="00000000">
            <w:pPr>
              <w:widowControl w:val="0"/>
              <w:numPr>
                <w:ilvl w:val="0"/>
                <w:numId w:val="12"/>
              </w:numPr>
              <w:pBdr>
                <w:top w:val="nil"/>
                <w:left w:val="nil"/>
                <w:bottom w:val="nil"/>
                <w:right w:val="nil"/>
                <w:between w:val="nil"/>
              </w:pBdr>
              <w:jc w:val="left"/>
              <w:rPr>
                <w:rFonts w:ascii="Arial" w:hAnsi="Arial" w:cs="Arial"/>
              </w:rPr>
            </w:pPr>
            <w:r w:rsidRPr="00C37B4E">
              <w:rPr>
                <w:rFonts w:ascii="Arial" w:hAnsi="Arial" w:cs="Arial"/>
              </w:rPr>
              <w:t>Young people are mostly inclined towards the use of wearable devices</w:t>
            </w:r>
          </w:p>
          <w:p w14:paraId="0000003D" w14:textId="77777777" w:rsidR="007B536C" w:rsidRPr="00C37B4E" w:rsidRDefault="00000000">
            <w:pPr>
              <w:widowControl w:val="0"/>
              <w:numPr>
                <w:ilvl w:val="0"/>
                <w:numId w:val="12"/>
              </w:numPr>
              <w:pBdr>
                <w:top w:val="nil"/>
                <w:left w:val="nil"/>
                <w:bottom w:val="nil"/>
                <w:right w:val="nil"/>
                <w:between w:val="nil"/>
              </w:pBdr>
              <w:jc w:val="left"/>
              <w:rPr>
                <w:rFonts w:ascii="Arial" w:hAnsi="Arial" w:cs="Arial"/>
              </w:rPr>
            </w:pPr>
            <w:r w:rsidRPr="00C37B4E">
              <w:rPr>
                <w:rFonts w:ascii="Arial" w:hAnsi="Arial" w:cs="Arial"/>
              </w:rPr>
              <w:t xml:space="preserve">Lack of awareness among older adults regarding the benefits of smart health devices (Tian </w:t>
            </w:r>
            <w:r w:rsidRPr="00C37B4E">
              <w:rPr>
                <w:rFonts w:ascii="Arial" w:hAnsi="Arial" w:cs="Arial"/>
                <w:i/>
                <w:iCs/>
              </w:rPr>
              <w:t>et al.,</w:t>
            </w:r>
            <w:r w:rsidRPr="00C37B4E">
              <w:rPr>
                <w:rFonts w:ascii="Arial" w:hAnsi="Arial" w:cs="Arial"/>
              </w:rPr>
              <w:t xml:space="preserve"> 2024)</w:t>
            </w:r>
          </w:p>
        </w:tc>
        <w:tc>
          <w:tcPr>
            <w:tcW w:w="3345" w:type="dxa"/>
            <w:tcMar>
              <w:top w:w="100" w:type="dxa"/>
              <w:left w:w="100" w:type="dxa"/>
              <w:bottom w:w="100" w:type="dxa"/>
              <w:right w:w="100" w:type="dxa"/>
            </w:tcMar>
          </w:tcPr>
          <w:p w14:paraId="0000003E"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t xml:space="preserve">It is evident from the factors that Milbotix can gain exposure among young customers easily, but faces threats due to poor knowledge and awareness among older adults. </w:t>
            </w:r>
          </w:p>
        </w:tc>
      </w:tr>
      <w:tr w:rsidR="000057C6" w:rsidRPr="00C37B4E" w14:paraId="64DA3A53" w14:textId="77777777">
        <w:tc>
          <w:tcPr>
            <w:tcW w:w="1725" w:type="dxa"/>
            <w:tcMar>
              <w:top w:w="100" w:type="dxa"/>
              <w:left w:w="100" w:type="dxa"/>
              <w:bottom w:w="100" w:type="dxa"/>
              <w:right w:w="100" w:type="dxa"/>
            </w:tcMar>
          </w:tcPr>
          <w:p w14:paraId="0000003F"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t xml:space="preserve">Technological </w:t>
            </w:r>
          </w:p>
        </w:tc>
        <w:tc>
          <w:tcPr>
            <w:tcW w:w="3930" w:type="dxa"/>
            <w:tcMar>
              <w:top w:w="100" w:type="dxa"/>
              <w:left w:w="100" w:type="dxa"/>
              <w:bottom w:w="100" w:type="dxa"/>
              <w:right w:w="100" w:type="dxa"/>
            </w:tcMar>
          </w:tcPr>
          <w:p w14:paraId="00000040" w14:textId="77777777" w:rsidR="007B536C" w:rsidRPr="00C37B4E" w:rsidRDefault="00000000">
            <w:pPr>
              <w:widowControl w:val="0"/>
              <w:numPr>
                <w:ilvl w:val="0"/>
                <w:numId w:val="1"/>
              </w:numPr>
              <w:pBdr>
                <w:top w:val="nil"/>
                <w:left w:val="nil"/>
                <w:bottom w:val="nil"/>
                <w:right w:val="nil"/>
                <w:between w:val="nil"/>
              </w:pBdr>
              <w:jc w:val="left"/>
              <w:rPr>
                <w:rFonts w:ascii="Arial" w:hAnsi="Arial" w:cs="Arial"/>
              </w:rPr>
            </w:pPr>
            <w:r w:rsidRPr="00C37B4E">
              <w:rPr>
                <w:rFonts w:ascii="Arial" w:hAnsi="Arial" w:cs="Arial"/>
              </w:rPr>
              <w:t>The British Government continues to support various tech start-ups and fund medical device-making companies (GOV UK, 2025)</w:t>
            </w:r>
          </w:p>
        </w:tc>
        <w:tc>
          <w:tcPr>
            <w:tcW w:w="3345" w:type="dxa"/>
            <w:tcMar>
              <w:top w:w="100" w:type="dxa"/>
              <w:left w:w="100" w:type="dxa"/>
              <w:bottom w:w="100" w:type="dxa"/>
              <w:right w:w="100" w:type="dxa"/>
            </w:tcMar>
          </w:tcPr>
          <w:p w14:paraId="00000041"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t xml:space="preserve">This is a positive factor and can help Milbotix experience growth and development through support from the government. </w:t>
            </w:r>
          </w:p>
        </w:tc>
      </w:tr>
      <w:tr w:rsidR="000057C6" w:rsidRPr="00C37B4E" w14:paraId="22FC5E04" w14:textId="77777777">
        <w:trPr>
          <w:trHeight w:val="1082"/>
        </w:trPr>
        <w:tc>
          <w:tcPr>
            <w:tcW w:w="1725" w:type="dxa"/>
            <w:tcMar>
              <w:top w:w="100" w:type="dxa"/>
              <w:left w:w="100" w:type="dxa"/>
              <w:bottom w:w="100" w:type="dxa"/>
              <w:right w:w="100" w:type="dxa"/>
            </w:tcMar>
          </w:tcPr>
          <w:p w14:paraId="00000042"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t xml:space="preserve">Environmental </w:t>
            </w:r>
          </w:p>
        </w:tc>
        <w:tc>
          <w:tcPr>
            <w:tcW w:w="3930" w:type="dxa"/>
            <w:tcMar>
              <w:top w:w="100" w:type="dxa"/>
              <w:left w:w="100" w:type="dxa"/>
              <w:bottom w:w="100" w:type="dxa"/>
              <w:right w:w="100" w:type="dxa"/>
            </w:tcMar>
          </w:tcPr>
          <w:p w14:paraId="00000043" w14:textId="77777777" w:rsidR="007B536C" w:rsidRPr="00C37B4E" w:rsidRDefault="00000000">
            <w:pPr>
              <w:widowControl w:val="0"/>
              <w:numPr>
                <w:ilvl w:val="0"/>
                <w:numId w:val="11"/>
              </w:numPr>
              <w:pBdr>
                <w:top w:val="nil"/>
                <w:left w:val="nil"/>
                <w:bottom w:val="nil"/>
                <w:right w:val="nil"/>
                <w:between w:val="nil"/>
              </w:pBdr>
              <w:jc w:val="left"/>
              <w:rPr>
                <w:rFonts w:ascii="Arial" w:hAnsi="Arial" w:cs="Arial"/>
              </w:rPr>
            </w:pPr>
            <w:r w:rsidRPr="00C37B4E">
              <w:rPr>
                <w:rFonts w:ascii="Arial" w:hAnsi="Arial" w:cs="Arial"/>
              </w:rPr>
              <w:t xml:space="preserve">Sustainability has become a crucial factor in the UK, requiring different companies to focus on responsible practices. </w:t>
            </w:r>
          </w:p>
        </w:tc>
        <w:tc>
          <w:tcPr>
            <w:tcW w:w="3345" w:type="dxa"/>
            <w:tcMar>
              <w:top w:w="100" w:type="dxa"/>
              <w:left w:w="100" w:type="dxa"/>
              <w:bottom w:w="100" w:type="dxa"/>
              <w:right w:w="100" w:type="dxa"/>
            </w:tcMar>
          </w:tcPr>
          <w:p w14:paraId="00000044"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t xml:space="preserve">For Milbotix, this factor serves as an opportunity to indulge in strategic practices which can help the company improve its sustainable operations. </w:t>
            </w:r>
          </w:p>
        </w:tc>
      </w:tr>
      <w:tr w:rsidR="000057C6" w:rsidRPr="00C37B4E" w14:paraId="46AF8D74" w14:textId="77777777">
        <w:tc>
          <w:tcPr>
            <w:tcW w:w="1725" w:type="dxa"/>
            <w:tcMar>
              <w:top w:w="100" w:type="dxa"/>
              <w:left w:w="100" w:type="dxa"/>
              <w:bottom w:w="100" w:type="dxa"/>
              <w:right w:w="100" w:type="dxa"/>
            </w:tcMar>
          </w:tcPr>
          <w:p w14:paraId="00000045" w14:textId="77777777" w:rsidR="007B536C" w:rsidRPr="00C37B4E" w:rsidRDefault="00000000">
            <w:pPr>
              <w:widowControl w:val="0"/>
              <w:pBdr>
                <w:top w:val="nil"/>
                <w:left w:val="nil"/>
                <w:bottom w:val="nil"/>
                <w:right w:val="nil"/>
                <w:between w:val="nil"/>
              </w:pBdr>
              <w:jc w:val="left"/>
              <w:rPr>
                <w:rFonts w:ascii="Arial" w:hAnsi="Arial" w:cs="Arial"/>
              </w:rPr>
            </w:pPr>
            <w:r w:rsidRPr="00C37B4E">
              <w:rPr>
                <w:rFonts w:ascii="Arial" w:hAnsi="Arial" w:cs="Arial"/>
              </w:rPr>
              <w:lastRenderedPageBreak/>
              <w:t xml:space="preserve">Legal </w:t>
            </w:r>
          </w:p>
        </w:tc>
        <w:tc>
          <w:tcPr>
            <w:tcW w:w="3930" w:type="dxa"/>
            <w:tcMar>
              <w:top w:w="100" w:type="dxa"/>
              <w:left w:w="100" w:type="dxa"/>
              <w:bottom w:w="100" w:type="dxa"/>
              <w:right w:w="100" w:type="dxa"/>
            </w:tcMar>
          </w:tcPr>
          <w:p w14:paraId="00000046" w14:textId="77777777" w:rsidR="007B536C" w:rsidRPr="00C37B4E" w:rsidRDefault="00000000">
            <w:pPr>
              <w:widowControl w:val="0"/>
              <w:numPr>
                <w:ilvl w:val="0"/>
                <w:numId w:val="6"/>
              </w:numPr>
              <w:pBdr>
                <w:top w:val="nil"/>
                <w:left w:val="nil"/>
                <w:bottom w:val="nil"/>
                <w:right w:val="nil"/>
                <w:between w:val="nil"/>
              </w:pBdr>
              <w:jc w:val="left"/>
              <w:rPr>
                <w:rFonts w:ascii="Arial" w:hAnsi="Arial" w:cs="Arial"/>
              </w:rPr>
            </w:pPr>
            <w:r w:rsidRPr="00C37B4E">
              <w:rPr>
                <w:rFonts w:ascii="Arial" w:hAnsi="Arial" w:cs="Arial"/>
              </w:rPr>
              <w:t xml:space="preserve">The policies in the UK need to comply with the fair trading regulations </w:t>
            </w:r>
          </w:p>
        </w:tc>
        <w:tc>
          <w:tcPr>
            <w:tcW w:w="3345" w:type="dxa"/>
            <w:tcMar>
              <w:top w:w="100" w:type="dxa"/>
              <w:left w:w="100" w:type="dxa"/>
              <w:bottom w:w="100" w:type="dxa"/>
              <w:right w:w="100" w:type="dxa"/>
            </w:tcMar>
          </w:tcPr>
          <w:p w14:paraId="00000047" w14:textId="77777777" w:rsidR="007B536C" w:rsidRPr="00C37B4E" w:rsidRDefault="00000000">
            <w:pPr>
              <w:widowControl w:val="0"/>
              <w:jc w:val="left"/>
              <w:rPr>
                <w:rFonts w:ascii="Arial" w:hAnsi="Arial" w:cs="Arial"/>
              </w:rPr>
            </w:pPr>
            <w:r w:rsidRPr="00C37B4E">
              <w:rPr>
                <w:rFonts w:ascii="Arial" w:hAnsi="Arial" w:cs="Arial"/>
              </w:rPr>
              <w:t xml:space="preserve"> Milbotix needs to conduct fair business practices and focus on strategic compliance and ethical governance. </w:t>
            </w:r>
          </w:p>
        </w:tc>
      </w:tr>
    </w:tbl>
    <w:p w14:paraId="00000048" w14:textId="77777777" w:rsidR="007B536C" w:rsidRPr="00C37B4E" w:rsidRDefault="00000000">
      <w:pPr>
        <w:jc w:val="center"/>
        <w:rPr>
          <w:rFonts w:ascii="Arial" w:hAnsi="Arial" w:cs="Arial"/>
          <w:b/>
          <w:bCs/>
        </w:rPr>
      </w:pPr>
      <w:r w:rsidRPr="00C37B4E">
        <w:rPr>
          <w:rFonts w:ascii="Arial" w:hAnsi="Arial" w:cs="Arial"/>
          <w:b/>
          <w:bCs/>
        </w:rPr>
        <w:t>Table 2: PESTEL analysis</w:t>
      </w:r>
    </w:p>
    <w:p w14:paraId="00000049" w14:textId="77777777" w:rsidR="007B536C" w:rsidRPr="00C37B4E" w:rsidRDefault="00000000">
      <w:pPr>
        <w:jc w:val="center"/>
        <w:rPr>
          <w:rFonts w:ascii="Arial" w:hAnsi="Arial" w:cs="Arial"/>
        </w:rPr>
      </w:pPr>
      <w:r w:rsidRPr="00C37B4E">
        <w:rPr>
          <w:rFonts w:ascii="Arial" w:hAnsi="Arial" w:cs="Arial"/>
        </w:rPr>
        <w:t>(Source: Developed by the learner)</w:t>
      </w:r>
    </w:p>
    <w:p w14:paraId="0000004A" w14:textId="77777777" w:rsidR="007B536C" w:rsidRPr="00C37B4E" w:rsidRDefault="00000000">
      <w:pPr>
        <w:pStyle w:val="Heading2"/>
        <w:rPr>
          <w:rFonts w:ascii="Arial" w:hAnsi="Arial" w:cs="Arial"/>
        </w:rPr>
      </w:pPr>
      <w:bookmarkStart w:id="8" w:name="_g54parecc0eb" w:colFirst="0" w:colLast="0"/>
      <w:bookmarkStart w:id="9" w:name="_Toc216718613"/>
      <w:bookmarkEnd w:id="8"/>
      <w:r w:rsidRPr="00C37B4E">
        <w:rPr>
          <w:rFonts w:ascii="Arial" w:hAnsi="Arial" w:cs="Arial"/>
        </w:rPr>
        <w:t>SMART Objectives</w:t>
      </w:r>
      <w:bookmarkEnd w:id="9"/>
    </w:p>
    <w:p w14:paraId="0000004B" w14:textId="77777777" w:rsidR="007B536C" w:rsidRPr="00C37B4E" w:rsidRDefault="00000000">
      <w:pPr>
        <w:rPr>
          <w:rFonts w:ascii="Arial" w:hAnsi="Arial" w:cs="Arial"/>
        </w:rPr>
      </w:pPr>
      <w:r w:rsidRPr="00C37B4E">
        <w:rPr>
          <w:rFonts w:ascii="Arial" w:hAnsi="Arial" w:cs="Arial"/>
          <w:b/>
          <w:bCs/>
        </w:rPr>
        <w:t>Specific:</w:t>
      </w:r>
      <w:r w:rsidRPr="00C37B4E">
        <w:rPr>
          <w:rFonts w:ascii="Arial" w:hAnsi="Arial" w:cs="Arial"/>
        </w:rPr>
        <w:t xml:space="preserve"> To introduce a smart health monitoring device that can accurately measure heart problems </w:t>
      </w:r>
    </w:p>
    <w:p w14:paraId="0000004C" w14:textId="77777777" w:rsidR="007B536C" w:rsidRPr="00C37B4E" w:rsidRDefault="00000000">
      <w:pPr>
        <w:rPr>
          <w:rFonts w:ascii="Arial" w:hAnsi="Arial" w:cs="Arial"/>
        </w:rPr>
      </w:pPr>
      <w:r w:rsidRPr="00C37B4E">
        <w:rPr>
          <w:rFonts w:ascii="Arial" w:hAnsi="Arial" w:cs="Arial"/>
          <w:b/>
          <w:bCs/>
        </w:rPr>
        <w:t>Measurable:</w:t>
      </w:r>
      <w:r w:rsidRPr="00C37B4E">
        <w:rPr>
          <w:rFonts w:ascii="Arial" w:hAnsi="Arial" w:cs="Arial"/>
        </w:rPr>
        <w:t xml:space="preserve"> To focus on achieving 92% accuracy while measuring heartbeat and cholesterol levels </w:t>
      </w:r>
    </w:p>
    <w:p w14:paraId="0000004D" w14:textId="77777777" w:rsidR="007B536C" w:rsidRPr="00C37B4E" w:rsidRDefault="00000000">
      <w:pPr>
        <w:rPr>
          <w:rFonts w:ascii="Arial" w:hAnsi="Arial" w:cs="Arial"/>
        </w:rPr>
      </w:pPr>
      <w:r w:rsidRPr="00C37B4E">
        <w:rPr>
          <w:rFonts w:ascii="Arial" w:hAnsi="Arial" w:cs="Arial"/>
          <w:b/>
          <w:bCs/>
        </w:rPr>
        <w:t>Attainable:</w:t>
      </w:r>
      <w:r w:rsidRPr="00C37B4E">
        <w:rPr>
          <w:rFonts w:ascii="Arial" w:hAnsi="Arial" w:cs="Arial"/>
        </w:rPr>
        <w:t xml:space="preserve"> By determining the key needs of the target customers and meeting stakeholder requirements </w:t>
      </w:r>
    </w:p>
    <w:p w14:paraId="0000004E" w14:textId="77777777" w:rsidR="007B536C" w:rsidRPr="00C37B4E" w:rsidRDefault="00000000">
      <w:pPr>
        <w:rPr>
          <w:rFonts w:ascii="Arial" w:hAnsi="Arial" w:cs="Arial"/>
        </w:rPr>
      </w:pPr>
      <w:r w:rsidRPr="00C37B4E">
        <w:rPr>
          <w:rFonts w:ascii="Arial" w:hAnsi="Arial" w:cs="Arial"/>
          <w:b/>
          <w:bCs/>
        </w:rPr>
        <w:t>Relevant:</w:t>
      </w:r>
      <w:r w:rsidRPr="00C37B4E">
        <w:rPr>
          <w:rFonts w:ascii="Arial" w:hAnsi="Arial" w:cs="Arial"/>
        </w:rPr>
        <w:t xml:space="preserve"> To develop a comprehensive risk matrix and focus on launching the product effectively </w:t>
      </w:r>
    </w:p>
    <w:p w14:paraId="0000004F" w14:textId="77777777" w:rsidR="007B536C" w:rsidRPr="00C37B4E" w:rsidRDefault="00000000">
      <w:pPr>
        <w:rPr>
          <w:rFonts w:ascii="Arial" w:hAnsi="Arial" w:cs="Arial"/>
        </w:rPr>
      </w:pPr>
      <w:r w:rsidRPr="00C37B4E">
        <w:rPr>
          <w:rFonts w:ascii="Arial" w:hAnsi="Arial" w:cs="Arial"/>
          <w:b/>
          <w:bCs/>
        </w:rPr>
        <w:t>Time-bound:</w:t>
      </w:r>
      <w:r w:rsidRPr="00C37B4E">
        <w:rPr>
          <w:rFonts w:ascii="Arial" w:hAnsi="Arial" w:cs="Arial"/>
        </w:rPr>
        <w:t xml:space="preserve"> To ensure proper stakeholder communication and launch the product within 14 months</w:t>
      </w:r>
    </w:p>
    <w:p w14:paraId="00000050" w14:textId="0424F2FC" w:rsidR="007B536C" w:rsidRPr="00C37B4E" w:rsidRDefault="00000000">
      <w:pPr>
        <w:pStyle w:val="Heading1"/>
        <w:rPr>
          <w:rFonts w:ascii="Arial" w:hAnsi="Arial" w:cs="Arial"/>
        </w:rPr>
      </w:pPr>
      <w:bookmarkStart w:id="10" w:name="_bu63nw8x3ale" w:colFirst="0" w:colLast="0"/>
      <w:bookmarkStart w:id="11" w:name="_Toc216718614"/>
      <w:bookmarkEnd w:id="10"/>
      <w:r w:rsidRPr="00C37B4E">
        <w:rPr>
          <w:rFonts w:ascii="Arial" w:hAnsi="Arial" w:cs="Arial"/>
        </w:rPr>
        <w:t>Key internal and external stakeholders in the teams</w:t>
      </w:r>
      <w:bookmarkEnd w:id="11"/>
      <w:r w:rsidRPr="00C37B4E">
        <w:rPr>
          <w:rFonts w:ascii="Arial" w:hAnsi="Arial" w:cs="Arial"/>
        </w:rPr>
        <w:t xml:space="preserve"> </w:t>
      </w:r>
    </w:p>
    <w:p w14:paraId="00000051" w14:textId="77777777" w:rsidR="007B536C" w:rsidRPr="00C37B4E" w:rsidRDefault="00000000">
      <w:pPr>
        <w:pStyle w:val="Heading2"/>
        <w:rPr>
          <w:rFonts w:ascii="Arial" w:hAnsi="Arial" w:cs="Arial"/>
        </w:rPr>
      </w:pPr>
      <w:bookmarkStart w:id="12" w:name="_gpl34hxpkvxi" w:colFirst="0" w:colLast="0"/>
      <w:bookmarkStart w:id="13" w:name="_Toc216718615"/>
      <w:bookmarkEnd w:id="12"/>
      <w:r w:rsidRPr="00C37B4E">
        <w:rPr>
          <w:rFonts w:ascii="Arial" w:hAnsi="Arial" w:cs="Arial"/>
        </w:rPr>
        <w:t>Stakeholder theory and impact on project management</w:t>
      </w:r>
      <w:bookmarkEnd w:id="13"/>
    </w:p>
    <w:p w14:paraId="00000052" w14:textId="77777777" w:rsidR="007B536C" w:rsidRPr="00C37B4E" w:rsidRDefault="00000000">
      <w:pPr>
        <w:rPr>
          <w:rFonts w:ascii="Arial" w:hAnsi="Arial" w:cs="Arial"/>
        </w:rPr>
      </w:pPr>
      <w:r w:rsidRPr="00C37B4E">
        <w:rPr>
          <w:rFonts w:ascii="Arial" w:hAnsi="Arial" w:cs="Arial"/>
        </w:rPr>
        <w:t xml:space="preserve">The involvement of stakeholders and appropriate stakeholder management is vital to ensure the success of a project. The project managers need to consider the stakeholders who can have a direct or indirect influence on the ways a project progresses and gains appropriate success. The stakeholder theory is related to business ethics and organisational management applied to different entities like the management, employees, society, government, suppliers and others (Dwivedi and Dwivedi, 2021). The major purpose of stakeholder theory is to address the standards, values and morals of individuals to manage an organisation. The involvement of stakeholders is different in various stages and areas related to project management. </w:t>
      </w:r>
      <w:r w:rsidRPr="00C37B4E">
        <w:rPr>
          <w:rFonts w:ascii="Arial" w:hAnsi="Arial" w:cs="Arial"/>
        </w:rPr>
        <w:lastRenderedPageBreak/>
        <w:t xml:space="preserve">Different stakeholders of a project may have different expectations and perspectives, and the approval of a project is affected by their satisfaction levels. </w:t>
      </w:r>
    </w:p>
    <w:p w14:paraId="00000053" w14:textId="77777777" w:rsidR="007B536C" w:rsidRPr="00C37B4E" w:rsidRDefault="00000000">
      <w:pPr>
        <w:pStyle w:val="Heading2"/>
        <w:rPr>
          <w:rFonts w:ascii="Arial" w:hAnsi="Arial" w:cs="Arial"/>
        </w:rPr>
      </w:pPr>
      <w:bookmarkStart w:id="14" w:name="_v7jbr01dv7ml" w:colFirst="0" w:colLast="0"/>
      <w:bookmarkStart w:id="15" w:name="_Toc216718616"/>
      <w:bookmarkEnd w:id="14"/>
      <w:r w:rsidRPr="00C37B4E">
        <w:rPr>
          <w:rFonts w:ascii="Arial" w:hAnsi="Arial" w:cs="Arial"/>
        </w:rPr>
        <w:t>Internal and external stakeholders of the project</w:t>
      </w:r>
      <w:bookmarkEnd w:id="15"/>
    </w:p>
    <w:p w14:paraId="00000054" w14:textId="77777777" w:rsidR="007B536C" w:rsidRPr="00C37B4E" w:rsidRDefault="00000000">
      <w:pPr>
        <w:rPr>
          <w:rFonts w:ascii="Arial" w:hAnsi="Arial" w:cs="Arial"/>
        </w:rPr>
      </w:pPr>
      <w:r w:rsidRPr="00C37B4E">
        <w:rPr>
          <w:rFonts w:ascii="Arial" w:hAnsi="Arial" w:cs="Arial"/>
        </w:rPr>
        <w:t xml:space="preserve">Internal stakeholders - The proper identification and engagement of internal stakeholders is vital for the company. However, internal stakeholders should also have a significant commitment towards the enhancement of sustainability in organisations (Broccardo and Mauro, 2024). Internal stakeholders need to provide their participation towards the enhancement of sustainability in an organisation. The relevance of internal stakeholders is quite high in the implementation of sustainability initiatives effectively and efficiently. The internal stakeholders of the project include the project manager, senior management,  product development team, sales department and marketing team. The success of the project and its proper completion are based on the contributions provided by the senior managers and the project manager. Moreover, the teams in the project have a significant influence on the ways the project is completed. </w:t>
      </w:r>
    </w:p>
    <w:p w14:paraId="00000055" w14:textId="77777777" w:rsidR="007B536C" w:rsidRPr="00C37B4E" w:rsidRDefault="00000000">
      <w:pPr>
        <w:rPr>
          <w:rFonts w:ascii="Arial" w:hAnsi="Arial" w:cs="Arial"/>
        </w:rPr>
      </w:pPr>
      <w:r w:rsidRPr="00C37B4E">
        <w:rPr>
          <w:rFonts w:ascii="Arial" w:hAnsi="Arial" w:cs="Arial"/>
        </w:rPr>
        <w:t xml:space="preserve">External stakeholders - External stakeholders have a vital role in the strengthening of relationships between the expansion decisions of companies and the regulations of the host country. The presence of external stakeholders, like the foreign directors and government, has a significant influence on the decisions made by companies. The suppliers and governments can affect the firm-level decisions made by various organisations (Sena </w:t>
      </w:r>
      <w:r w:rsidRPr="00C37B4E">
        <w:rPr>
          <w:rFonts w:ascii="Arial" w:hAnsi="Arial" w:cs="Arial"/>
          <w:i/>
          <w:iCs/>
        </w:rPr>
        <w:t>et al.,</w:t>
      </w:r>
      <w:r w:rsidRPr="00C37B4E">
        <w:rPr>
          <w:rFonts w:ascii="Arial" w:hAnsi="Arial" w:cs="Arial"/>
        </w:rPr>
        <w:t xml:space="preserve"> 2023). The external stakeholders of the project include the suppliers, customers, the UK government, and local communities. The customers, government and suppliers can affect the quality of products offered by the company. On the other hand, the local communities can affect the overall success of the product being launched by the company. </w:t>
      </w:r>
    </w:p>
    <w:p w14:paraId="00000056" w14:textId="4A630338" w:rsidR="007B536C" w:rsidRPr="00C37B4E" w:rsidRDefault="00000000">
      <w:pPr>
        <w:pStyle w:val="Heading1"/>
        <w:rPr>
          <w:rFonts w:ascii="Arial" w:hAnsi="Arial" w:cs="Arial"/>
        </w:rPr>
      </w:pPr>
      <w:bookmarkStart w:id="16" w:name="_lm5k39tnlfw2" w:colFirst="0" w:colLast="0"/>
      <w:bookmarkStart w:id="17" w:name="_Toc216718617"/>
      <w:bookmarkEnd w:id="16"/>
      <w:r w:rsidRPr="00C37B4E">
        <w:rPr>
          <w:rFonts w:ascii="Arial" w:hAnsi="Arial" w:cs="Arial"/>
        </w:rPr>
        <w:t>Analysis of the responsibilities and roles of key stakeholders</w:t>
      </w:r>
      <w:bookmarkEnd w:id="17"/>
      <w:r w:rsidRPr="00C37B4E">
        <w:rPr>
          <w:rFonts w:ascii="Arial" w:hAnsi="Arial" w:cs="Arial"/>
        </w:rPr>
        <w:t xml:space="preserve"> </w:t>
      </w:r>
    </w:p>
    <w:p w14:paraId="00000057" w14:textId="77777777" w:rsidR="007B536C" w:rsidRPr="00C37B4E" w:rsidRDefault="00000000">
      <w:pPr>
        <w:pStyle w:val="Heading2"/>
        <w:rPr>
          <w:rFonts w:ascii="Arial" w:hAnsi="Arial" w:cs="Arial"/>
        </w:rPr>
      </w:pPr>
      <w:bookmarkStart w:id="18" w:name="_6jifstovsw1" w:colFirst="0" w:colLast="0"/>
      <w:bookmarkStart w:id="19" w:name="_Toc216718618"/>
      <w:bookmarkEnd w:id="18"/>
      <w:r w:rsidRPr="00C37B4E">
        <w:rPr>
          <w:rFonts w:ascii="Arial" w:hAnsi="Arial" w:cs="Arial"/>
        </w:rPr>
        <w:t>Internal stakeholders' roles, responsibilities, benefits and challenges</w:t>
      </w:r>
      <w:bookmarkEnd w:id="19"/>
      <w:r w:rsidRPr="00C37B4E">
        <w:rPr>
          <w:rFonts w:ascii="Arial" w:hAnsi="Arial" w:cs="Arial"/>
        </w:rPr>
        <w:t xml:space="preserve"> </w:t>
      </w:r>
    </w:p>
    <w:p w14:paraId="00000058" w14:textId="77777777" w:rsidR="007B536C" w:rsidRPr="00C37B4E" w:rsidRDefault="00000000">
      <w:pPr>
        <w:rPr>
          <w:rFonts w:ascii="Arial" w:hAnsi="Arial" w:cs="Arial"/>
        </w:rPr>
      </w:pPr>
      <w:r w:rsidRPr="00C37B4E">
        <w:rPr>
          <w:rFonts w:ascii="Arial" w:hAnsi="Arial" w:cs="Arial"/>
        </w:rPr>
        <w:t xml:space="preserve">Senior management - Senior managers have a vital duty towards shareholders, as they aim to decide the projects that can be selected and the amounts which have to be invested (Welch and Yoon, 2023). The senior managers play a major role in the </w:t>
      </w:r>
      <w:r w:rsidRPr="00C37B4E">
        <w:rPr>
          <w:rFonts w:ascii="Arial" w:hAnsi="Arial" w:cs="Arial"/>
        </w:rPr>
        <w:lastRenderedPageBreak/>
        <w:t xml:space="preserve">development of the project related to the launch of the product Trackerz. A major responsibility of the senior managers is based on their ability to optimise the problems effectively. Moreover, the benefits provided by these senior managers are based on the enhanced value provided to customers. The challenges may be related to the key investment decisions that need to be made by them. </w:t>
      </w:r>
    </w:p>
    <w:p w14:paraId="00000059" w14:textId="77777777" w:rsidR="007B536C" w:rsidRPr="00C37B4E" w:rsidRDefault="00000000">
      <w:pPr>
        <w:rPr>
          <w:rFonts w:ascii="Arial" w:hAnsi="Arial" w:cs="Arial"/>
        </w:rPr>
      </w:pPr>
      <w:r w:rsidRPr="00C37B4E">
        <w:rPr>
          <w:rFonts w:ascii="Arial" w:hAnsi="Arial" w:cs="Arial"/>
        </w:rPr>
        <w:t xml:space="preserve">Sales department - </w:t>
      </w:r>
    </w:p>
    <w:p w14:paraId="0000005A" w14:textId="77777777" w:rsidR="007B536C" w:rsidRPr="00C37B4E" w:rsidRDefault="00000000">
      <w:pPr>
        <w:rPr>
          <w:rFonts w:ascii="Arial" w:hAnsi="Arial" w:cs="Arial"/>
        </w:rPr>
      </w:pPr>
      <w:r w:rsidRPr="00C37B4E">
        <w:rPr>
          <w:rFonts w:ascii="Arial" w:hAnsi="Arial" w:cs="Arial"/>
        </w:rPr>
        <w:t xml:space="preserve">Product development team - Product development performance can be influenced by the team composition, team communication and support provided by the senior management (Marion and Fixson, 2021). The product development team has various skills, which can be used for enhancing new product development processes and leading to the formation of new products. Major benefits provided by this team are related to the completion of product development by using their unique skills. On the other hand, the challenges can be related to a lack of collaboration between the team members while developing the planned product. </w:t>
      </w:r>
    </w:p>
    <w:p w14:paraId="0000005B" w14:textId="77777777" w:rsidR="007B536C" w:rsidRPr="00C37B4E" w:rsidRDefault="00000000">
      <w:pPr>
        <w:rPr>
          <w:rFonts w:ascii="Arial" w:hAnsi="Arial" w:cs="Arial"/>
        </w:rPr>
      </w:pPr>
      <w:r w:rsidRPr="00C37B4E">
        <w:rPr>
          <w:rFonts w:ascii="Arial" w:hAnsi="Arial" w:cs="Arial"/>
        </w:rPr>
        <w:t xml:space="preserve">Marketing team - Marketing teams in a project play an important role in launching the new products, developing advertising campaigns, developing brands, and researching the market (Sodoma </w:t>
      </w:r>
      <w:r w:rsidRPr="00C37B4E">
        <w:rPr>
          <w:rFonts w:ascii="Arial" w:hAnsi="Arial" w:cs="Arial"/>
          <w:i/>
          <w:iCs/>
        </w:rPr>
        <w:t xml:space="preserve">et al., </w:t>
      </w:r>
      <w:r w:rsidRPr="00C37B4E">
        <w:rPr>
          <w:rFonts w:ascii="Arial" w:hAnsi="Arial" w:cs="Arial"/>
        </w:rPr>
        <w:t xml:space="preserve">2023).  The marketing team in this project will play a vital role in developing proper advertising campaigns, and their responsibilities are related to understanding the market. The benefits of the team are related to the thorough information provided to customers regarding the new product Trackerz. The challenges are based on the changing market needs and the availability of choices based on various platforms. </w:t>
      </w:r>
    </w:p>
    <w:p w14:paraId="0000005C" w14:textId="77777777" w:rsidR="007B536C" w:rsidRPr="00C37B4E" w:rsidRDefault="00000000">
      <w:pPr>
        <w:pStyle w:val="Heading2"/>
        <w:rPr>
          <w:rFonts w:ascii="Arial" w:hAnsi="Arial" w:cs="Arial"/>
        </w:rPr>
      </w:pPr>
      <w:bookmarkStart w:id="20" w:name="_nddvrnht8m1y" w:colFirst="0" w:colLast="0"/>
      <w:bookmarkStart w:id="21" w:name="_Toc216718619"/>
      <w:bookmarkEnd w:id="20"/>
      <w:r w:rsidRPr="00C37B4E">
        <w:rPr>
          <w:rFonts w:ascii="Arial" w:hAnsi="Arial" w:cs="Arial"/>
        </w:rPr>
        <w:t>External stakeholders' roles, responsibilities, benefits and challenges</w:t>
      </w:r>
      <w:bookmarkEnd w:id="21"/>
      <w:r w:rsidRPr="00C37B4E">
        <w:rPr>
          <w:rFonts w:ascii="Arial" w:hAnsi="Arial" w:cs="Arial"/>
        </w:rPr>
        <w:t xml:space="preserve"> </w:t>
      </w:r>
    </w:p>
    <w:p w14:paraId="0000005D" w14:textId="77777777" w:rsidR="007B536C" w:rsidRPr="00C37B4E" w:rsidRDefault="00000000">
      <w:pPr>
        <w:rPr>
          <w:rFonts w:ascii="Arial" w:hAnsi="Arial" w:cs="Arial"/>
        </w:rPr>
      </w:pPr>
      <w:r w:rsidRPr="00C37B4E">
        <w:rPr>
          <w:rFonts w:ascii="Arial" w:hAnsi="Arial" w:cs="Arial"/>
        </w:rPr>
        <w:t xml:space="preserve">Customers and local communities - Customer and community participation are vital in the development of successful projects. Community participation is a major social aspect that influences the sustainable performance of systems in the projects (Gill-Wiehl </w:t>
      </w:r>
      <w:r w:rsidRPr="00C37B4E">
        <w:rPr>
          <w:rFonts w:ascii="Arial" w:hAnsi="Arial" w:cs="Arial"/>
          <w:i/>
          <w:iCs/>
        </w:rPr>
        <w:t>et al.,</w:t>
      </w:r>
      <w:r w:rsidRPr="00C37B4E">
        <w:rPr>
          <w:rFonts w:ascii="Arial" w:hAnsi="Arial" w:cs="Arial"/>
        </w:rPr>
        <w:t xml:space="preserve"> 2022). The roles and responsibilities of local communities and customers are related to the interest they depict towards the products. Moreover, the benefits are based on the increasing demand for products among customers, and challenges may be related to the lower ability of the product to solve their issues. </w:t>
      </w:r>
    </w:p>
    <w:p w14:paraId="0000005E" w14:textId="77777777" w:rsidR="007B536C" w:rsidRPr="00C37B4E" w:rsidRDefault="00000000">
      <w:pPr>
        <w:rPr>
          <w:rFonts w:ascii="Arial" w:hAnsi="Arial" w:cs="Arial"/>
        </w:rPr>
      </w:pPr>
      <w:r w:rsidRPr="00C37B4E">
        <w:rPr>
          <w:rFonts w:ascii="Arial" w:hAnsi="Arial" w:cs="Arial"/>
        </w:rPr>
        <w:t xml:space="preserve">Suppliers - Identification of the proper suppliers is vital for the development of an appropriate supply chain relationship in the projects (John, Nwaguru and Williams, </w:t>
      </w:r>
      <w:r w:rsidRPr="00C37B4E">
        <w:rPr>
          <w:rFonts w:ascii="Arial" w:hAnsi="Arial" w:cs="Arial"/>
        </w:rPr>
        <w:lastRenderedPageBreak/>
        <w:t xml:space="preserve">2022). Suppliers will play a vital role in ensuring that the required raw materials for the product are provided to the project manager. Moreover, they are responsible for maintaining efficiency in the supply chain. The benefits of appropriate suppliers are related to reduced costs in the project, and challenges can be faced due to the selection of inappropriate suppliers. </w:t>
      </w:r>
    </w:p>
    <w:p w14:paraId="0000005F" w14:textId="77777777" w:rsidR="007B536C" w:rsidRPr="00C37B4E" w:rsidRDefault="00000000">
      <w:pPr>
        <w:rPr>
          <w:rFonts w:ascii="Arial" w:hAnsi="Arial" w:cs="Arial"/>
        </w:rPr>
      </w:pPr>
      <w:r w:rsidRPr="00C37B4E">
        <w:rPr>
          <w:rFonts w:ascii="Arial" w:hAnsi="Arial" w:cs="Arial"/>
        </w:rPr>
        <w:t xml:space="preserve">Government - The government will influence the regulations to be followed by the project manager. The benefits offered by the government are related to the grants and support that can be offered. Regulatory challenges can have a negative influence on the project's success. </w:t>
      </w:r>
    </w:p>
    <w:p w14:paraId="00000060" w14:textId="5DC54431" w:rsidR="007B536C" w:rsidRPr="00C37B4E" w:rsidRDefault="00000000">
      <w:pPr>
        <w:pStyle w:val="Heading1"/>
        <w:rPr>
          <w:rFonts w:ascii="Arial" w:hAnsi="Arial" w:cs="Arial"/>
        </w:rPr>
      </w:pPr>
      <w:bookmarkStart w:id="22" w:name="_eq0qb0iao9i4" w:colFirst="0" w:colLast="0"/>
      <w:bookmarkStart w:id="23" w:name="_Toc216718620"/>
      <w:bookmarkEnd w:id="22"/>
      <w:r w:rsidRPr="00C37B4E">
        <w:rPr>
          <w:rFonts w:ascii="Arial" w:hAnsi="Arial" w:cs="Arial"/>
        </w:rPr>
        <w:t>Stakeholder engagement analysis</w:t>
      </w:r>
      <w:bookmarkEnd w:id="23"/>
      <w:r w:rsidRPr="00C37B4E">
        <w:rPr>
          <w:rFonts w:ascii="Arial" w:hAnsi="Arial" w:cs="Arial"/>
        </w:rPr>
        <w:t xml:space="preserve"> </w:t>
      </w:r>
    </w:p>
    <w:p w14:paraId="00000061" w14:textId="77777777" w:rsidR="007B536C" w:rsidRPr="00C37B4E" w:rsidRDefault="00000000">
      <w:pPr>
        <w:pStyle w:val="Heading2"/>
        <w:rPr>
          <w:rFonts w:ascii="Arial" w:hAnsi="Arial" w:cs="Arial"/>
        </w:rPr>
      </w:pPr>
      <w:bookmarkStart w:id="24" w:name="_2kh6cas0ymj3" w:colFirst="0" w:colLast="0"/>
      <w:bookmarkStart w:id="25" w:name="_Toc216718621"/>
      <w:bookmarkEnd w:id="24"/>
      <w:r w:rsidRPr="00C37B4E">
        <w:rPr>
          <w:rFonts w:ascii="Arial" w:hAnsi="Arial" w:cs="Arial"/>
        </w:rPr>
        <w:t>RACI Matrix</w:t>
      </w:r>
      <w:bookmarkEnd w:id="25"/>
      <w:r w:rsidRPr="00C37B4E">
        <w:rPr>
          <w:rFonts w:ascii="Arial" w:hAnsi="Arial" w:cs="Arial"/>
        </w:rPr>
        <w:t xml:space="preserve"> </w:t>
      </w:r>
    </w:p>
    <w:p w14:paraId="00000062" w14:textId="77777777" w:rsidR="007B536C" w:rsidRPr="00C37B4E" w:rsidRDefault="00000000">
      <w:pPr>
        <w:rPr>
          <w:rFonts w:ascii="Arial" w:hAnsi="Arial" w:cs="Arial"/>
        </w:rPr>
      </w:pPr>
      <w:r w:rsidRPr="00C37B4E">
        <w:rPr>
          <w:rFonts w:ascii="Arial" w:hAnsi="Arial" w:cs="Arial"/>
        </w:rPr>
        <w:t xml:space="preserve">The RACI matrix has helped to highlight the key roles provided to each team member in this project of launching Trackerz. The RACI matrix informs the responsibilities of each member, indicating responsibility (A) towards the project, responsibility (R) for managing activities, those who must be informed (I) and those who must be consulted (C). Through the table below, it is evident how the team members can facilitate the entire project. </w:t>
      </w:r>
    </w:p>
    <w:p w14:paraId="00000063" w14:textId="77777777" w:rsidR="007B536C" w:rsidRPr="00C37B4E" w:rsidRDefault="007B536C">
      <w:pPr>
        <w:rPr>
          <w:rFonts w:ascii="Arial" w:hAnsi="Arial" w:cs="Arial"/>
        </w:rPr>
      </w:pPr>
    </w:p>
    <w:tbl>
      <w:tblPr>
        <w:tblStyle w:val="Table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0057C6" w:rsidRPr="00C37B4E" w14:paraId="4F5CA838" w14:textId="77777777">
        <w:tc>
          <w:tcPr>
            <w:tcW w:w="1504" w:type="dxa"/>
            <w:tcMar>
              <w:top w:w="100" w:type="dxa"/>
              <w:left w:w="100" w:type="dxa"/>
              <w:bottom w:w="100" w:type="dxa"/>
              <w:right w:w="100" w:type="dxa"/>
            </w:tcMar>
          </w:tcPr>
          <w:p w14:paraId="00000064"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 xml:space="preserve">Key operations </w:t>
            </w:r>
          </w:p>
        </w:tc>
        <w:tc>
          <w:tcPr>
            <w:tcW w:w="1504" w:type="dxa"/>
            <w:tcMar>
              <w:top w:w="100" w:type="dxa"/>
              <w:left w:w="100" w:type="dxa"/>
              <w:bottom w:w="100" w:type="dxa"/>
              <w:right w:w="100" w:type="dxa"/>
            </w:tcMar>
          </w:tcPr>
          <w:p w14:paraId="00000065"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Project development team</w:t>
            </w:r>
          </w:p>
        </w:tc>
        <w:tc>
          <w:tcPr>
            <w:tcW w:w="1504" w:type="dxa"/>
            <w:tcMar>
              <w:top w:w="100" w:type="dxa"/>
              <w:left w:w="100" w:type="dxa"/>
              <w:bottom w:w="100" w:type="dxa"/>
              <w:right w:w="100" w:type="dxa"/>
            </w:tcMar>
          </w:tcPr>
          <w:p w14:paraId="00000066"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 xml:space="preserve">Senior management </w:t>
            </w:r>
          </w:p>
        </w:tc>
        <w:tc>
          <w:tcPr>
            <w:tcW w:w="1504" w:type="dxa"/>
            <w:tcMar>
              <w:top w:w="100" w:type="dxa"/>
              <w:left w:w="100" w:type="dxa"/>
              <w:bottom w:w="100" w:type="dxa"/>
              <w:right w:w="100" w:type="dxa"/>
            </w:tcMar>
          </w:tcPr>
          <w:p w14:paraId="00000067"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 xml:space="preserve">Marketing team </w:t>
            </w:r>
          </w:p>
        </w:tc>
        <w:tc>
          <w:tcPr>
            <w:tcW w:w="1504" w:type="dxa"/>
            <w:tcMar>
              <w:top w:w="100" w:type="dxa"/>
              <w:left w:w="100" w:type="dxa"/>
              <w:bottom w:w="100" w:type="dxa"/>
              <w:right w:w="100" w:type="dxa"/>
            </w:tcMar>
          </w:tcPr>
          <w:p w14:paraId="00000068"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 xml:space="preserve">Customers </w:t>
            </w:r>
          </w:p>
        </w:tc>
        <w:tc>
          <w:tcPr>
            <w:tcW w:w="1504" w:type="dxa"/>
            <w:tcMar>
              <w:top w:w="100" w:type="dxa"/>
              <w:left w:w="100" w:type="dxa"/>
              <w:bottom w:w="100" w:type="dxa"/>
              <w:right w:w="100" w:type="dxa"/>
            </w:tcMar>
          </w:tcPr>
          <w:p w14:paraId="00000069"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Customer service department</w:t>
            </w:r>
          </w:p>
        </w:tc>
      </w:tr>
      <w:tr w:rsidR="000057C6" w:rsidRPr="00C37B4E" w14:paraId="30AE582B" w14:textId="77777777">
        <w:tc>
          <w:tcPr>
            <w:tcW w:w="1504" w:type="dxa"/>
            <w:tcMar>
              <w:top w:w="100" w:type="dxa"/>
              <w:left w:w="100" w:type="dxa"/>
              <w:bottom w:w="100" w:type="dxa"/>
              <w:right w:w="100" w:type="dxa"/>
            </w:tcMar>
          </w:tcPr>
          <w:p w14:paraId="0000006A"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Prototyping and testing</w:t>
            </w:r>
          </w:p>
        </w:tc>
        <w:tc>
          <w:tcPr>
            <w:tcW w:w="1504" w:type="dxa"/>
            <w:shd w:val="clear" w:color="auto" w:fill="FF9900"/>
            <w:tcMar>
              <w:top w:w="100" w:type="dxa"/>
              <w:left w:w="100" w:type="dxa"/>
              <w:bottom w:w="100" w:type="dxa"/>
              <w:right w:w="100" w:type="dxa"/>
            </w:tcMar>
          </w:tcPr>
          <w:p w14:paraId="0000006B"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R/A</w:t>
            </w:r>
          </w:p>
        </w:tc>
        <w:tc>
          <w:tcPr>
            <w:tcW w:w="1504" w:type="dxa"/>
            <w:shd w:val="clear" w:color="auto" w:fill="00FFFF"/>
            <w:tcMar>
              <w:top w:w="100" w:type="dxa"/>
              <w:left w:w="100" w:type="dxa"/>
              <w:bottom w:w="100" w:type="dxa"/>
              <w:right w:w="100" w:type="dxa"/>
            </w:tcMar>
          </w:tcPr>
          <w:p w14:paraId="0000006C"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C</w:t>
            </w:r>
          </w:p>
        </w:tc>
        <w:tc>
          <w:tcPr>
            <w:tcW w:w="1504" w:type="dxa"/>
            <w:shd w:val="clear" w:color="auto" w:fill="00FFFF"/>
            <w:tcMar>
              <w:top w:w="100" w:type="dxa"/>
              <w:left w:w="100" w:type="dxa"/>
              <w:bottom w:w="100" w:type="dxa"/>
              <w:right w:w="100" w:type="dxa"/>
            </w:tcMar>
          </w:tcPr>
          <w:p w14:paraId="0000006D"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C</w:t>
            </w:r>
          </w:p>
        </w:tc>
        <w:tc>
          <w:tcPr>
            <w:tcW w:w="1504" w:type="dxa"/>
            <w:shd w:val="clear" w:color="auto" w:fill="00FF00"/>
            <w:tcMar>
              <w:top w:w="100" w:type="dxa"/>
              <w:left w:w="100" w:type="dxa"/>
              <w:bottom w:w="100" w:type="dxa"/>
              <w:right w:w="100" w:type="dxa"/>
            </w:tcMar>
          </w:tcPr>
          <w:p w14:paraId="0000006E"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c>
          <w:tcPr>
            <w:tcW w:w="1504" w:type="dxa"/>
            <w:shd w:val="clear" w:color="auto" w:fill="00FF00"/>
            <w:tcMar>
              <w:top w:w="100" w:type="dxa"/>
              <w:left w:w="100" w:type="dxa"/>
              <w:bottom w:w="100" w:type="dxa"/>
              <w:right w:w="100" w:type="dxa"/>
            </w:tcMar>
          </w:tcPr>
          <w:p w14:paraId="0000006F"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r>
      <w:tr w:rsidR="000057C6" w:rsidRPr="00C37B4E" w14:paraId="2B792BB6" w14:textId="77777777">
        <w:tc>
          <w:tcPr>
            <w:tcW w:w="1504" w:type="dxa"/>
            <w:tcMar>
              <w:top w:w="100" w:type="dxa"/>
              <w:left w:w="100" w:type="dxa"/>
              <w:bottom w:w="100" w:type="dxa"/>
              <w:right w:w="100" w:type="dxa"/>
            </w:tcMar>
          </w:tcPr>
          <w:p w14:paraId="00000070"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Campaign and promotion </w:t>
            </w:r>
          </w:p>
        </w:tc>
        <w:tc>
          <w:tcPr>
            <w:tcW w:w="1504" w:type="dxa"/>
            <w:shd w:val="clear" w:color="auto" w:fill="00FFFF"/>
            <w:tcMar>
              <w:top w:w="100" w:type="dxa"/>
              <w:left w:w="100" w:type="dxa"/>
              <w:bottom w:w="100" w:type="dxa"/>
              <w:right w:w="100" w:type="dxa"/>
            </w:tcMar>
          </w:tcPr>
          <w:p w14:paraId="00000071"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C</w:t>
            </w:r>
          </w:p>
        </w:tc>
        <w:tc>
          <w:tcPr>
            <w:tcW w:w="1504" w:type="dxa"/>
            <w:shd w:val="clear" w:color="auto" w:fill="FF0000"/>
            <w:tcMar>
              <w:top w:w="100" w:type="dxa"/>
              <w:left w:w="100" w:type="dxa"/>
              <w:bottom w:w="100" w:type="dxa"/>
              <w:right w:w="100" w:type="dxa"/>
            </w:tcMar>
          </w:tcPr>
          <w:p w14:paraId="00000072"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A</w:t>
            </w:r>
          </w:p>
        </w:tc>
        <w:tc>
          <w:tcPr>
            <w:tcW w:w="1504" w:type="dxa"/>
            <w:shd w:val="clear" w:color="auto" w:fill="FFFF00"/>
            <w:tcMar>
              <w:top w:w="100" w:type="dxa"/>
              <w:left w:w="100" w:type="dxa"/>
              <w:bottom w:w="100" w:type="dxa"/>
              <w:right w:w="100" w:type="dxa"/>
            </w:tcMar>
          </w:tcPr>
          <w:p w14:paraId="00000073"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R</w:t>
            </w:r>
          </w:p>
        </w:tc>
        <w:tc>
          <w:tcPr>
            <w:tcW w:w="1504" w:type="dxa"/>
            <w:shd w:val="clear" w:color="auto" w:fill="00FF00"/>
            <w:tcMar>
              <w:top w:w="100" w:type="dxa"/>
              <w:left w:w="100" w:type="dxa"/>
              <w:bottom w:w="100" w:type="dxa"/>
              <w:right w:w="100" w:type="dxa"/>
            </w:tcMar>
          </w:tcPr>
          <w:p w14:paraId="00000074"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c>
          <w:tcPr>
            <w:tcW w:w="1504" w:type="dxa"/>
            <w:shd w:val="clear" w:color="auto" w:fill="00FF00"/>
            <w:tcMar>
              <w:top w:w="100" w:type="dxa"/>
              <w:left w:w="100" w:type="dxa"/>
              <w:bottom w:w="100" w:type="dxa"/>
              <w:right w:w="100" w:type="dxa"/>
            </w:tcMar>
          </w:tcPr>
          <w:p w14:paraId="00000075"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r>
      <w:tr w:rsidR="000057C6" w:rsidRPr="00C37B4E" w14:paraId="628EA089" w14:textId="77777777">
        <w:tc>
          <w:tcPr>
            <w:tcW w:w="1504" w:type="dxa"/>
            <w:tcMar>
              <w:top w:w="100" w:type="dxa"/>
              <w:left w:w="100" w:type="dxa"/>
              <w:bottom w:w="100" w:type="dxa"/>
              <w:right w:w="100" w:type="dxa"/>
            </w:tcMar>
          </w:tcPr>
          <w:p w14:paraId="00000076"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Sales services</w:t>
            </w:r>
          </w:p>
        </w:tc>
        <w:tc>
          <w:tcPr>
            <w:tcW w:w="1504" w:type="dxa"/>
            <w:shd w:val="clear" w:color="auto" w:fill="00FFFF"/>
            <w:tcMar>
              <w:top w:w="100" w:type="dxa"/>
              <w:left w:w="100" w:type="dxa"/>
              <w:bottom w:w="100" w:type="dxa"/>
              <w:right w:w="100" w:type="dxa"/>
            </w:tcMar>
          </w:tcPr>
          <w:p w14:paraId="00000077"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C</w:t>
            </w:r>
          </w:p>
        </w:tc>
        <w:tc>
          <w:tcPr>
            <w:tcW w:w="1504" w:type="dxa"/>
            <w:shd w:val="clear" w:color="auto" w:fill="00FFFF"/>
            <w:tcMar>
              <w:top w:w="100" w:type="dxa"/>
              <w:left w:w="100" w:type="dxa"/>
              <w:bottom w:w="100" w:type="dxa"/>
              <w:right w:w="100" w:type="dxa"/>
            </w:tcMar>
          </w:tcPr>
          <w:p w14:paraId="00000078"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C</w:t>
            </w:r>
          </w:p>
        </w:tc>
        <w:tc>
          <w:tcPr>
            <w:tcW w:w="1504" w:type="dxa"/>
            <w:shd w:val="clear" w:color="auto" w:fill="FF9900"/>
            <w:tcMar>
              <w:top w:w="100" w:type="dxa"/>
              <w:left w:w="100" w:type="dxa"/>
              <w:bottom w:w="100" w:type="dxa"/>
              <w:right w:w="100" w:type="dxa"/>
            </w:tcMar>
          </w:tcPr>
          <w:p w14:paraId="00000079"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R/A</w:t>
            </w:r>
          </w:p>
        </w:tc>
        <w:tc>
          <w:tcPr>
            <w:tcW w:w="1504" w:type="dxa"/>
            <w:shd w:val="clear" w:color="auto" w:fill="00FF00"/>
            <w:tcMar>
              <w:top w:w="100" w:type="dxa"/>
              <w:left w:w="100" w:type="dxa"/>
              <w:bottom w:w="100" w:type="dxa"/>
              <w:right w:w="100" w:type="dxa"/>
            </w:tcMar>
          </w:tcPr>
          <w:p w14:paraId="0000007A"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c>
          <w:tcPr>
            <w:tcW w:w="1504" w:type="dxa"/>
            <w:shd w:val="clear" w:color="auto" w:fill="00FF00"/>
            <w:tcMar>
              <w:top w:w="100" w:type="dxa"/>
              <w:left w:w="100" w:type="dxa"/>
              <w:bottom w:w="100" w:type="dxa"/>
              <w:right w:w="100" w:type="dxa"/>
            </w:tcMar>
          </w:tcPr>
          <w:p w14:paraId="0000007B"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r>
      <w:tr w:rsidR="000057C6" w:rsidRPr="00C37B4E" w14:paraId="14B1832F" w14:textId="77777777">
        <w:tc>
          <w:tcPr>
            <w:tcW w:w="1504" w:type="dxa"/>
            <w:tcMar>
              <w:top w:w="100" w:type="dxa"/>
              <w:left w:w="100" w:type="dxa"/>
              <w:bottom w:w="100" w:type="dxa"/>
              <w:right w:w="100" w:type="dxa"/>
            </w:tcMar>
          </w:tcPr>
          <w:p w14:paraId="0000007C"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Market regulations </w:t>
            </w:r>
          </w:p>
        </w:tc>
        <w:tc>
          <w:tcPr>
            <w:tcW w:w="1504" w:type="dxa"/>
            <w:shd w:val="clear" w:color="auto" w:fill="00FFFF"/>
            <w:tcMar>
              <w:top w:w="100" w:type="dxa"/>
              <w:left w:w="100" w:type="dxa"/>
              <w:bottom w:w="100" w:type="dxa"/>
              <w:right w:w="100" w:type="dxa"/>
            </w:tcMar>
          </w:tcPr>
          <w:p w14:paraId="0000007D"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C</w:t>
            </w:r>
          </w:p>
        </w:tc>
        <w:tc>
          <w:tcPr>
            <w:tcW w:w="1504" w:type="dxa"/>
            <w:shd w:val="clear" w:color="auto" w:fill="FF9900"/>
            <w:tcMar>
              <w:top w:w="100" w:type="dxa"/>
              <w:left w:w="100" w:type="dxa"/>
              <w:bottom w:w="100" w:type="dxa"/>
              <w:right w:w="100" w:type="dxa"/>
            </w:tcMar>
          </w:tcPr>
          <w:p w14:paraId="0000007E"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R/A</w:t>
            </w:r>
          </w:p>
        </w:tc>
        <w:tc>
          <w:tcPr>
            <w:tcW w:w="1504" w:type="dxa"/>
            <w:shd w:val="clear" w:color="auto" w:fill="00FF00"/>
            <w:tcMar>
              <w:top w:w="100" w:type="dxa"/>
              <w:left w:w="100" w:type="dxa"/>
              <w:bottom w:w="100" w:type="dxa"/>
              <w:right w:w="100" w:type="dxa"/>
            </w:tcMar>
          </w:tcPr>
          <w:p w14:paraId="0000007F"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c>
          <w:tcPr>
            <w:tcW w:w="1504" w:type="dxa"/>
            <w:shd w:val="clear" w:color="auto" w:fill="00FF00"/>
            <w:tcMar>
              <w:top w:w="100" w:type="dxa"/>
              <w:left w:w="100" w:type="dxa"/>
              <w:bottom w:w="100" w:type="dxa"/>
              <w:right w:w="100" w:type="dxa"/>
            </w:tcMar>
          </w:tcPr>
          <w:p w14:paraId="00000080"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c>
          <w:tcPr>
            <w:tcW w:w="1504" w:type="dxa"/>
            <w:shd w:val="clear" w:color="auto" w:fill="00FF00"/>
            <w:tcMar>
              <w:top w:w="100" w:type="dxa"/>
              <w:left w:w="100" w:type="dxa"/>
              <w:bottom w:w="100" w:type="dxa"/>
              <w:right w:w="100" w:type="dxa"/>
            </w:tcMar>
          </w:tcPr>
          <w:p w14:paraId="00000081"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r>
      <w:tr w:rsidR="000057C6" w:rsidRPr="00C37B4E" w14:paraId="79026CA0" w14:textId="77777777">
        <w:tc>
          <w:tcPr>
            <w:tcW w:w="1504" w:type="dxa"/>
            <w:tcMar>
              <w:top w:w="100" w:type="dxa"/>
              <w:left w:w="100" w:type="dxa"/>
              <w:bottom w:w="100" w:type="dxa"/>
              <w:right w:w="100" w:type="dxa"/>
            </w:tcMar>
          </w:tcPr>
          <w:p w14:paraId="00000082"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Accessing certification</w:t>
            </w:r>
          </w:p>
        </w:tc>
        <w:tc>
          <w:tcPr>
            <w:tcW w:w="1504" w:type="dxa"/>
            <w:shd w:val="clear" w:color="auto" w:fill="FFFF00"/>
            <w:tcMar>
              <w:top w:w="100" w:type="dxa"/>
              <w:left w:w="100" w:type="dxa"/>
              <w:bottom w:w="100" w:type="dxa"/>
              <w:right w:w="100" w:type="dxa"/>
            </w:tcMar>
          </w:tcPr>
          <w:p w14:paraId="00000083"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R</w:t>
            </w:r>
          </w:p>
        </w:tc>
        <w:tc>
          <w:tcPr>
            <w:tcW w:w="1504" w:type="dxa"/>
            <w:shd w:val="clear" w:color="auto" w:fill="FF0000"/>
            <w:tcMar>
              <w:top w:w="100" w:type="dxa"/>
              <w:left w:w="100" w:type="dxa"/>
              <w:bottom w:w="100" w:type="dxa"/>
              <w:right w:w="100" w:type="dxa"/>
            </w:tcMar>
          </w:tcPr>
          <w:p w14:paraId="00000084"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A</w:t>
            </w:r>
          </w:p>
        </w:tc>
        <w:tc>
          <w:tcPr>
            <w:tcW w:w="1504" w:type="dxa"/>
            <w:shd w:val="clear" w:color="auto" w:fill="00FF00"/>
            <w:tcMar>
              <w:top w:w="100" w:type="dxa"/>
              <w:left w:w="100" w:type="dxa"/>
              <w:bottom w:w="100" w:type="dxa"/>
              <w:right w:w="100" w:type="dxa"/>
            </w:tcMar>
          </w:tcPr>
          <w:p w14:paraId="00000085"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c>
          <w:tcPr>
            <w:tcW w:w="1504" w:type="dxa"/>
            <w:shd w:val="clear" w:color="auto" w:fill="00FF00"/>
            <w:tcMar>
              <w:top w:w="100" w:type="dxa"/>
              <w:left w:w="100" w:type="dxa"/>
              <w:bottom w:w="100" w:type="dxa"/>
              <w:right w:w="100" w:type="dxa"/>
            </w:tcMar>
          </w:tcPr>
          <w:p w14:paraId="00000086"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c>
          <w:tcPr>
            <w:tcW w:w="1504" w:type="dxa"/>
            <w:shd w:val="clear" w:color="auto" w:fill="00FF00"/>
            <w:tcMar>
              <w:top w:w="100" w:type="dxa"/>
              <w:left w:w="100" w:type="dxa"/>
              <w:bottom w:w="100" w:type="dxa"/>
              <w:right w:w="100" w:type="dxa"/>
            </w:tcMar>
          </w:tcPr>
          <w:p w14:paraId="00000087"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r>
      <w:tr w:rsidR="000057C6" w:rsidRPr="00C37B4E" w14:paraId="6D0E2C0F" w14:textId="77777777">
        <w:tc>
          <w:tcPr>
            <w:tcW w:w="1504" w:type="dxa"/>
            <w:tcMar>
              <w:top w:w="100" w:type="dxa"/>
              <w:left w:w="100" w:type="dxa"/>
              <w:bottom w:w="100" w:type="dxa"/>
              <w:right w:w="100" w:type="dxa"/>
            </w:tcMar>
          </w:tcPr>
          <w:p w14:paraId="00000088"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lastRenderedPageBreak/>
              <w:t>Customer feedback management</w:t>
            </w:r>
          </w:p>
        </w:tc>
        <w:tc>
          <w:tcPr>
            <w:tcW w:w="1504" w:type="dxa"/>
            <w:shd w:val="clear" w:color="auto" w:fill="00FFFF"/>
            <w:tcMar>
              <w:top w:w="100" w:type="dxa"/>
              <w:left w:w="100" w:type="dxa"/>
              <w:bottom w:w="100" w:type="dxa"/>
              <w:right w:w="100" w:type="dxa"/>
            </w:tcMar>
          </w:tcPr>
          <w:p w14:paraId="00000089"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C</w:t>
            </w:r>
          </w:p>
        </w:tc>
        <w:tc>
          <w:tcPr>
            <w:tcW w:w="1504" w:type="dxa"/>
            <w:shd w:val="clear" w:color="auto" w:fill="00FF00"/>
            <w:tcMar>
              <w:top w:w="100" w:type="dxa"/>
              <w:left w:w="100" w:type="dxa"/>
              <w:bottom w:w="100" w:type="dxa"/>
              <w:right w:w="100" w:type="dxa"/>
            </w:tcMar>
          </w:tcPr>
          <w:p w14:paraId="0000008A"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c>
          <w:tcPr>
            <w:tcW w:w="1504" w:type="dxa"/>
            <w:shd w:val="clear" w:color="auto" w:fill="00FF00"/>
            <w:tcMar>
              <w:top w:w="100" w:type="dxa"/>
              <w:left w:w="100" w:type="dxa"/>
              <w:bottom w:w="100" w:type="dxa"/>
              <w:right w:w="100" w:type="dxa"/>
            </w:tcMar>
          </w:tcPr>
          <w:p w14:paraId="0000008B"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I</w:t>
            </w:r>
          </w:p>
        </w:tc>
        <w:tc>
          <w:tcPr>
            <w:tcW w:w="1504" w:type="dxa"/>
            <w:shd w:val="clear" w:color="auto" w:fill="FFFF00"/>
            <w:tcMar>
              <w:top w:w="100" w:type="dxa"/>
              <w:left w:w="100" w:type="dxa"/>
              <w:bottom w:w="100" w:type="dxa"/>
              <w:right w:w="100" w:type="dxa"/>
            </w:tcMar>
          </w:tcPr>
          <w:p w14:paraId="0000008C"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R</w:t>
            </w:r>
          </w:p>
        </w:tc>
        <w:tc>
          <w:tcPr>
            <w:tcW w:w="1504" w:type="dxa"/>
            <w:shd w:val="clear" w:color="auto" w:fill="FF0000"/>
            <w:tcMar>
              <w:top w:w="100" w:type="dxa"/>
              <w:left w:w="100" w:type="dxa"/>
              <w:bottom w:w="100" w:type="dxa"/>
              <w:right w:w="100" w:type="dxa"/>
            </w:tcMar>
          </w:tcPr>
          <w:p w14:paraId="0000008D"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A</w:t>
            </w:r>
          </w:p>
        </w:tc>
      </w:tr>
    </w:tbl>
    <w:p w14:paraId="0000008E" w14:textId="77777777" w:rsidR="007B536C" w:rsidRPr="00C37B4E" w:rsidRDefault="00000000">
      <w:pPr>
        <w:jc w:val="center"/>
        <w:rPr>
          <w:rFonts w:ascii="Arial" w:hAnsi="Arial" w:cs="Arial"/>
          <w:b/>
          <w:bCs/>
        </w:rPr>
      </w:pPr>
      <w:r w:rsidRPr="00C37B4E">
        <w:rPr>
          <w:rFonts w:ascii="Arial" w:hAnsi="Arial" w:cs="Arial"/>
          <w:b/>
          <w:bCs/>
        </w:rPr>
        <w:t>Table 3: RACI matrix</w:t>
      </w:r>
    </w:p>
    <w:p w14:paraId="0000008F" w14:textId="77777777" w:rsidR="007B536C" w:rsidRPr="00C37B4E" w:rsidRDefault="00000000">
      <w:pPr>
        <w:jc w:val="center"/>
        <w:rPr>
          <w:rFonts w:ascii="Arial" w:hAnsi="Arial" w:cs="Arial"/>
        </w:rPr>
      </w:pPr>
      <w:r w:rsidRPr="00C37B4E">
        <w:rPr>
          <w:rFonts w:ascii="Arial" w:hAnsi="Arial" w:cs="Arial"/>
        </w:rPr>
        <w:t>(Source: Self-developed)</w:t>
      </w:r>
    </w:p>
    <w:p w14:paraId="00000090" w14:textId="77777777" w:rsidR="007B536C" w:rsidRPr="00C37B4E" w:rsidRDefault="00000000">
      <w:pPr>
        <w:pStyle w:val="Heading2"/>
        <w:rPr>
          <w:rFonts w:ascii="Arial" w:hAnsi="Arial" w:cs="Arial"/>
        </w:rPr>
      </w:pPr>
      <w:bookmarkStart w:id="26" w:name="_6y97tzlfvjju" w:colFirst="0" w:colLast="0"/>
      <w:bookmarkStart w:id="27" w:name="_Toc216718622"/>
      <w:bookmarkEnd w:id="26"/>
      <w:r w:rsidRPr="00C37B4E">
        <w:rPr>
          <w:rFonts w:ascii="Arial" w:hAnsi="Arial" w:cs="Arial"/>
        </w:rPr>
        <w:t>Stakeholder engagement plan</w:t>
      </w:r>
      <w:bookmarkEnd w:id="27"/>
    </w:p>
    <w:p w14:paraId="00000091" w14:textId="77777777" w:rsidR="007B536C" w:rsidRPr="00C37B4E" w:rsidRDefault="00000000">
      <w:pPr>
        <w:rPr>
          <w:rFonts w:ascii="Arial" w:hAnsi="Arial" w:cs="Arial"/>
        </w:rPr>
      </w:pPr>
      <w:r w:rsidRPr="00C37B4E">
        <w:rPr>
          <w:rFonts w:ascii="Arial" w:hAnsi="Arial" w:cs="Arial"/>
        </w:rPr>
        <w:t xml:space="preserve">Stakeholder engagement is a vital factor which can help Milbotix to launch the product "Trackerz" successfully and drive a high rate of sales. This project includes integrated management of prototyping, designing the item, creating awareness among target customers and driving sales. As per the views of Awa </w:t>
      </w:r>
      <w:r w:rsidRPr="00C37B4E">
        <w:rPr>
          <w:rFonts w:ascii="Arial" w:hAnsi="Arial" w:cs="Arial"/>
          <w:i/>
          <w:iCs/>
        </w:rPr>
        <w:t>et al.</w:t>
      </w:r>
      <w:r w:rsidRPr="00C37B4E">
        <w:rPr>
          <w:rFonts w:ascii="Arial" w:hAnsi="Arial" w:cs="Arial"/>
        </w:rPr>
        <w:t xml:space="preserve"> (2024), </w:t>
      </w:r>
      <w:r w:rsidRPr="00C37B4E">
        <w:rPr>
          <w:rFonts w:ascii="Arial" w:hAnsi="Arial" w:cs="Arial"/>
          <w:b/>
          <w:bCs/>
        </w:rPr>
        <w:t>Freeman’s Stakeholder Theory</w:t>
      </w:r>
      <w:r w:rsidRPr="00C37B4E">
        <w:rPr>
          <w:rFonts w:ascii="Arial" w:hAnsi="Arial" w:cs="Arial"/>
        </w:rPr>
        <w:t xml:space="preserve"> helps to shed light on the strategic choices undertaken by businesses to foster high engagement among the stakeholders and obtain valuable insights to shape business growth. Likewise, in the context of this project, Milbotix must focus on obtaining comprehensive communication methods to engage with the stakeholders. This includes strategic interactions with the help of digital tools and multiple communication channels. It will help the firm to focus on feedback generation and continuous improvement of the product launch plan. </w:t>
      </w:r>
    </w:p>
    <w:p w14:paraId="00000092" w14:textId="77777777" w:rsidR="007B536C" w:rsidRPr="00C37B4E" w:rsidRDefault="00000000">
      <w:pPr>
        <w:pStyle w:val="Heading2"/>
        <w:rPr>
          <w:rFonts w:ascii="Arial" w:hAnsi="Arial" w:cs="Arial"/>
        </w:rPr>
      </w:pPr>
      <w:bookmarkStart w:id="28" w:name="_ee33eta67brd" w:colFirst="0" w:colLast="0"/>
      <w:bookmarkStart w:id="29" w:name="_Toc216718623"/>
      <w:bookmarkEnd w:id="28"/>
      <w:r w:rsidRPr="00C37B4E">
        <w:rPr>
          <w:rFonts w:ascii="Arial" w:hAnsi="Arial" w:cs="Arial"/>
        </w:rPr>
        <w:t>Communication plan</w:t>
      </w:r>
      <w:bookmarkEnd w:id="29"/>
      <w:r w:rsidRPr="00C37B4E">
        <w:rPr>
          <w:rFonts w:ascii="Arial" w:hAnsi="Arial" w:cs="Arial"/>
        </w:rPr>
        <w:t xml:space="preserve"> </w:t>
      </w:r>
    </w:p>
    <w:p w14:paraId="00000093" w14:textId="77777777" w:rsidR="007B536C" w:rsidRPr="00C37B4E" w:rsidRDefault="00000000">
      <w:pPr>
        <w:rPr>
          <w:rFonts w:ascii="Arial" w:hAnsi="Arial" w:cs="Arial"/>
        </w:rPr>
      </w:pPr>
      <w:r w:rsidRPr="00C37B4E">
        <w:rPr>
          <w:rFonts w:ascii="Arial" w:hAnsi="Arial" w:cs="Arial"/>
        </w:rPr>
        <w:t xml:space="preserve">This communication plan intends to help Milbotix engage the responsible and important stakeholders in the project. A stakeholder communication plan emphasises the interest and power levels, focusing on the need to connect with these groups to achieve business success (Adepoju </w:t>
      </w:r>
      <w:r w:rsidRPr="00C37B4E">
        <w:rPr>
          <w:rFonts w:ascii="Arial" w:hAnsi="Arial" w:cs="Arial"/>
          <w:i/>
          <w:iCs/>
        </w:rPr>
        <w:t>et al.,</w:t>
      </w:r>
      <w:r w:rsidRPr="00C37B4E">
        <w:rPr>
          <w:rFonts w:ascii="Arial" w:hAnsi="Arial" w:cs="Arial"/>
        </w:rPr>
        <w:t xml:space="preserve"> 2023). This will facilitate a positive product launch and generate highly effective outcomes. </w:t>
      </w:r>
    </w:p>
    <w:tbl>
      <w:tblPr>
        <w:tblStyle w:val="Table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057C6" w:rsidRPr="00C37B4E" w14:paraId="53BD380E" w14:textId="77777777">
        <w:tc>
          <w:tcPr>
            <w:tcW w:w="2257" w:type="dxa"/>
            <w:tcMar>
              <w:top w:w="100" w:type="dxa"/>
              <w:left w:w="100" w:type="dxa"/>
              <w:bottom w:w="100" w:type="dxa"/>
              <w:right w:w="100" w:type="dxa"/>
            </w:tcMar>
          </w:tcPr>
          <w:p w14:paraId="00000094"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 xml:space="preserve">Stakeholders </w:t>
            </w:r>
          </w:p>
        </w:tc>
        <w:tc>
          <w:tcPr>
            <w:tcW w:w="2257" w:type="dxa"/>
            <w:tcMar>
              <w:top w:w="100" w:type="dxa"/>
              <w:left w:w="100" w:type="dxa"/>
              <w:bottom w:w="100" w:type="dxa"/>
              <w:right w:w="100" w:type="dxa"/>
            </w:tcMar>
          </w:tcPr>
          <w:p w14:paraId="00000095"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 xml:space="preserve">Engagement strategy </w:t>
            </w:r>
          </w:p>
        </w:tc>
        <w:tc>
          <w:tcPr>
            <w:tcW w:w="2257" w:type="dxa"/>
            <w:tcMar>
              <w:top w:w="100" w:type="dxa"/>
              <w:left w:w="100" w:type="dxa"/>
              <w:bottom w:w="100" w:type="dxa"/>
              <w:right w:w="100" w:type="dxa"/>
            </w:tcMar>
          </w:tcPr>
          <w:p w14:paraId="00000096"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 xml:space="preserve">Communication frequency </w:t>
            </w:r>
          </w:p>
        </w:tc>
        <w:tc>
          <w:tcPr>
            <w:tcW w:w="2257" w:type="dxa"/>
            <w:tcMar>
              <w:top w:w="100" w:type="dxa"/>
              <w:left w:w="100" w:type="dxa"/>
              <w:bottom w:w="100" w:type="dxa"/>
              <w:right w:w="100" w:type="dxa"/>
            </w:tcMar>
          </w:tcPr>
          <w:p w14:paraId="00000097" w14:textId="77777777" w:rsidR="007B536C" w:rsidRPr="00C37B4E" w:rsidRDefault="00000000">
            <w:pPr>
              <w:widowControl w:val="0"/>
              <w:pBdr>
                <w:top w:val="nil"/>
                <w:left w:val="nil"/>
                <w:bottom w:val="nil"/>
                <w:right w:val="nil"/>
                <w:between w:val="nil"/>
              </w:pBdr>
              <w:spacing w:line="240" w:lineRule="auto"/>
              <w:jc w:val="left"/>
              <w:rPr>
                <w:rFonts w:ascii="Arial" w:hAnsi="Arial" w:cs="Arial"/>
                <w:b/>
                <w:bCs/>
              </w:rPr>
            </w:pPr>
            <w:r w:rsidRPr="00C37B4E">
              <w:rPr>
                <w:rFonts w:ascii="Arial" w:hAnsi="Arial" w:cs="Arial"/>
                <w:b/>
                <w:bCs/>
              </w:rPr>
              <w:t xml:space="preserve">Channels </w:t>
            </w:r>
          </w:p>
        </w:tc>
      </w:tr>
      <w:tr w:rsidR="000057C6" w:rsidRPr="00C37B4E" w14:paraId="1D1C4DA0" w14:textId="77777777">
        <w:tc>
          <w:tcPr>
            <w:tcW w:w="2257" w:type="dxa"/>
            <w:tcMar>
              <w:top w:w="100" w:type="dxa"/>
              <w:left w:w="100" w:type="dxa"/>
              <w:bottom w:w="100" w:type="dxa"/>
              <w:right w:w="100" w:type="dxa"/>
            </w:tcMar>
          </w:tcPr>
          <w:p w14:paraId="00000098"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Project </w:t>
            </w:r>
          </w:p>
          <w:p w14:paraId="00000099"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Development teams</w:t>
            </w:r>
          </w:p>
          <w:p w14:paraId="0000009A" w14:textId="77777777" w:rsidR="007B536C" w:rsidRPr="00C37B4E" w:rsidRDefault="007B536C">
            <w:pPr>
              <w:widowControl w:val="0"/>
              <w:pBdr>
                <w:top w:val="nil"/>
                <w:left w:val="nil"/>
                <w:bottom w:val="nil"/>
                <w:right w:val="nil"/>
                <w:between w:val="nil"/>
              </w:pBdr>
              <w:spacing w:line="240" w:lineRule="auto"/>
              <w:jc w:val="left"/>
              <w:rPr>
                <w:rFonts w:ascii="Arial" w:hAnsi="Arial" w:cs="Arial"/>
              </w:rPr>
            </w:pPr>
          </w:p>
        </w:tc>
        <w:tc>
          <w:tcPr>
            <w:tcW w:w="2257" w:type="dxa"/>
            <w:tcMar>
              <w:top w:w="100" w:type="dxa"/>
              <w:left w:w="100" w:type="dxa"/>
              <w:bottom w:w="100" w:type="dxa"/>
              <w:right w:w="100" w:type="dxa"/>
            </w:tcMar>
          </w:tcPr>
          <w:p w14:paraId="0000009B"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Report and meetings</w:t>
            </w:r>
          </w:p>
        </w:tc>
        <w:tc>
          <w:tcPr>
            <w:tcW w:w="2257" w:type="dxa"/>
            <w:tcMar>
              <w:top w:w="100" w:type="dxa"/>
              <w:left w:w="100" w:type="dxa"/>
              <w:bottom w:w="100" w:type="dxa"/>
              <w:right w:w="100" w:type="dxa"/>
            </w:tcMar>
          </w:tcPr>
          <w:p w14:paraId="0000009C"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Everyday </w:t>
            </w:r>
          </w:p>
        </w:tc>
        <w:tc>
          <w:tcPr>
            <w:tcW w:w="2257" w:type="dxa"/>
            <w:tcMar>
              <w:top w:w="100" w:type="dxa"/>
              <w:left w:w="100" w:type="dxa"/>
              <w:bottom w:w="100" w:type="dxa"/>
              <w:right w:w="100" w:type="dxa"/>
            </w:tcMar>
          </w:tcPr>
          <w:p w14:paraId="0000009D"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Emails and face-to-face </w:t>
            </w:r>
          </w:p>
        </w:tc>
      </w:tr>
      <w:tr w:rsidR="000057C6" w:rsidRPr="00C37B4E" w14:paraId="61DAB31D" w14:textId="77777777">
        <w:tc>
          <w:tcPr>
            <w:tcW w:w="2257" w:type="dxa"/>
            <w:tcMar>
              <w:top w:w="100" w:type="dxa"/>
              <w:left w:w="100" w:type="dxa"/>
              <w:bottom w:w="100" w:type="dxa"/>
              <w:right w:w="100" w:type="dxa"/>
            </w:tcMar>
          </w:tcPr>
          <w:p w14:paraId="0000009E"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Sales and marketing teams</w:t>
            </w:r>
          </w:p>
          <w:p w14:paraId="0000009F" w14:textId="77777777" w:rsidR="007B536C" w:rsidRPr="00C37B4E" w:rsidRDefault="007B536C">
            <w:pPr>
              <w:widowControl w:val="0"/>
              <w:pBdr>
                <w:top w:val="nil"/>
                <w:left w:val="nil"/>
                <w:bottom w:val="nil"/>
                <w:right w:val="nil"/>
                <w:between w:val="nil"/>
              </w:pBdr>
              <w:spacing w:line="240" w:lineRule="auto"/>
              <w:jc w:val="left"/>
              <w:rPr>
                <w:rFonts w:ascii="Arial" w:hAnsi="Arial" w:cs="Arial"/>
              </w:rPr>
            </w:pPr>
          </w:p>
        </w:tc>
        <w:tc>
          <w:tcPr>
            <w:tcW w:w="2257" w:type="dxa"/>
            <w:tcMar>
              <w:top w:w="100" w:type="dxa"/>
              <w:left w:w="100" w:type="dxa"/>
              <w:bottom w:w="100" w:type="dxa"/>
              <w:right w:w="100" w:type="dxa"/>
            </w:tcMar>
          </w:tcPr>
          <w:p w14:paraId="000000A0"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Weekly dashboard checkups, meetings, and </w:t>
            </w:r>
            <w:r w:rsidRPr="00C37B4E">
              <w:rPr>
                <w:rFonts w:ascii="Arial" w:hAnsi="Arial" w:cs="Arial"/>
              </w:rPr>
              <w:lastRenderedPageBreak/>
              <w:t>agile updates</w:t>
            </w:r>
          </w:p>
        </w:tc>
        <w:tc>
          <w:tcPr>
            <w:tcW w:w="2257" w:type="dxa"/>
            <w:tcMar>
              <w:top w:w="100" w:type="dxa"/>
              <w:left w:w="100" w:type="dxa"/>
              <w:bottom w:w="100" w:type="dxa"/>
              <w:right w:w="100" w:type="dxa"/>
            </w:tcMar>
          </w:tcPr>
          <w:p w14:paraId="000000A1"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lastRenderedPageBreak/>
              <w:t xml:space="preserve">Weekly </w:t>
            </w:r>
          </w:p>
        </w:tc>
        <w:tc>
          <w:tcPr>
            <w:tcW w:w="2257" w:type="dxa"/>
            <w:tcMar>
              <w:top w:w="100" w:type="dxa"/>
              <w:left w:w="100" w:type="dxa"/>
              <w:bottom w:w="100" w:type="dxa"/>
              <w:right w:w="100" w:type="dxa"/>
            </w:tcMar>
          </w:tcPr>
          <w:p w14:paraId="000000A2"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Microsoft Teams, Google Meet, and face-to-face</w:t>
            </w:r>
          </w:p>
        </w:tc>
      </w:tr>
      <w:tr w:rsidR="000057C6" w:rsidRPr="00C37B4E" w14:paraId="1E163E06" w14:textId="77777777">
        <w:tc>
          <w:tcPr>
            <w:tcW w:w="2257" w:type="dxa"/>
            <w:tcMar>
              <w:top w:w="100" w:type="dxa"/>
              <w:left w:w="100" w:type="dxa"/>
              <w:bottom w:w="100" w:type="dxa"/>
              <w:right w:w="100" w:type="dxa"/>
            </w:tcMar>
          </w:tcPr>
          <w:p w14:paraId="000000A3"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Regulators (government authorities)</w:t>
            </w:r>
          </w:p>
        </w:tc>
        <w:tc>
          <w:tcPr>
            <w:tcW w:w="2257" w:type="dxa"/>
            <w:tcMar>
              <w:top w:w="100" w:type="dxa"/>
              <w:left w:w="100" w:type="dxa"/>
              <w:bottom w:w="100" w:type="dxa"/>
              <w:right w:w="100" w:type="dxa"/>
            </w:tcMar>
          </w:tcPr>
          <w:p w14:paraId="000000A4"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Compliance reports and audits </w:t>
            </w:r>
          </w:p>
        </w:tc>
        <w:tc>
          <w:tcPr>
            <w:tcW w:w="2257" w:type="dxa"/>
            <w:tcMar>
              <w:top w:w="100" w:type="dxa"/>
              <w:left w:w="100" w:type="dxa"/>
              <w:bottom w:w="100" w:type="dxa"/>
              <w:right w:w="100" w:type="dxa"/>
            </w:tcMar>
          </w:tcPr>
          <w:p w14:paraId="000000A5"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As per demand and requirement</w:t>
            </w:r>
          </w:p>
        </w:tc>
        <w:tc>
          <w:tcPr>
            <w:tcW w:w="2257" w:type="dxa"/>
            <w:tcMar>
              <w:top w:w="100" w:type="dxa"/>
              <w:left w:w="100" w:type="dxa"/>
              <w:bottom w:w="100" w:type="dxa"/>
              <w:right w:w="100" w:type="dxa"/>
            </w:tcMar>
          </w:tcPr>
          <w:p w14:paraId="000000A6"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Documentation, letters and formal papers</w:t>
            </w:r>
          </w:p>
        </w:tc>
      </w:tr>
      <w:tr w:rsidR="000057C6" w:rsidRPr="00C37B4E" w14:paraId="56562187" w14:textId="77777777">
        <w:tc>
          <w:tcPr>
            <w:tcW w:w="2257" w:type="dxa"/>
            <w:tcMar>
              <w:top w:w="100" w:type="dxa"/>
              <w:left w:w="100" w:type="dxa"/>
              <w:bottom w:w="100" w:type="dxa"/>
              <w:right w:w="100" w:type="dxa"/>
            </w:tcMar>
          </w:tcPr>
          <w:p w14:paraId="000000A7"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Investors </w:t>
            </w:r>
          </w:p>
        </w:tc>
        <w:tc>
          <w:tcPr>
            <w:tcW w:w="2257" w:type="dxa"/>
            <w:tcMar>
              <w:top w:w="100" w:type="dxa"/>
              <w:left w:w="100" w:type="dxa"/>
              <w:bottom w:w="100" w:type="dxa"/>
              <w:right w:w="100" w:type="dxa"/>
            </w:tcMar>
          </w:tcPr>
          <w:p w14:paraId="000000A8"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Financial briefings</w:t>
            </w:r>
          </w:p>
        </w:tc>
        <w:tc>
          <w:tcPr>
            <w:tcW w:w="2257" w:type="dxa"/>
            <w:tcMar>
              <w:top w:w="100" w:type="dxa"/>
              <w:left w:w="100" w:type="dxa"/>
              <w:bottom w:w="100" w:type="dxa"/>
              <w:right w:w="100" w:type="dxa"/>
            </w:tcMar>
          </w:tcPr>
          <w:p w14:paraId="000000A9"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Every month</w:t>
            </w:r>
          </w:p>
        </w:tc>
        <w:tc>
          <w:tcPr>
            <w:tcW w:w="2257" w:type="dxa"/>
            <w:tcMar>
              <w:top w:w="100" w:type="dxa"/>
              <w:left w:w="100" w:type="dxa"/>
              <w:bottom w:w="100" w:type="dxa"/>
              <w:right w:w="100" w:type="dxa"/>
            </w:tcMar>
          </w:tcPr>
          <w:p w14:paraId="000000AA"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Reports, Excel sheets</w:t>
            </w:r>
          </w:p>
        </w:tc>
      </w:tr>
      <w:tr w:rsidR="000057C6" w:rsidRPr="00C37B4E" w14:paraId="41511E78" w14:textId="77777777">
        <w:tc>
          <w:tcPr>
            <w:tcW w:w="2257" w:type="dxa"/>
            <w:tcMar>
              <w:top w:w="100" w:type="dxa"/>
              <w:left w:w="100" w:type="dxa"/>
              <w:bottom w:w="100" w:type="dxa"/>
              <w:right w:w="100" w:type="dxa"/>
            </w:tcMar>
          </w:tcPr>
          <w:p w14:paraId="000000AB"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Customers </w:t>
            </w:r>
          </w:p>
        </w:tc>
        <w:tc>
          <w:tcPr>
            <w:tcW w:w="2257" w:type="dxa"/>
            <w:tcMar>
              <w:top w:w="100" w:type="dxa"/>
              <w:left w:w="100" w:type="dxa"/>
              <w:bottom w:w="100" w:type="dxa"/>
              <w:right w:w="100" w:type="dxa"/>
            </w:tcMar>
          </w:tcPr>
          <w:p w14:paraId="000000AC"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Social media platforms such as Facebook, Instagram </w:t>
            </w:r>
          </w:p>
        </w:tc>
        <w:tc>
          <w:tcPr>
            <w:tcW w:w="2257" w:type="dxa"/>
            <w:tcMar>
              <w:top w:w="100" w:type="dxa"/>
              <w:left w:w="100" w:type="dxa"/>
              <w:bottom w:w="100" w:type="dxa"/>
              <w:right w:w="100" w:type="dxa"/>
            </w:tcMar>
          </w:tcPr>
          <w:p w14:paraId="000000AD"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Every day</w:t>
            </w:r>
          </w:p>
        </w:tc>
        <w:tc>
          <w:tcPr>
            <w:tcW w:w="2257" w:type="dxa"/>
            <w:tcMar>
              <w:top w:w="100" w:type="dxa"/>
              <w:left w:w="100" w:type="dxa"/>
              <w:bottom w:w="100" w:type="dxa"/>
              <w:right w:w="100" w:type="dxa"/>
            </w:tcMar>
          </w:tcPr>
          <w:p w14:paraId="000000AE" w14:textId="77777777" w:rsidR="007B536C" w:rsidRPr="00C37B4E" w:rsidRDefault="00000000">
            <w:pPr>
              <w:widowControl w:val="0"/>
              <w:pBdr>
                <w:top w:val="nil"/>
                <w:left w:val="nil"/>
                <w:bottom w:val="nil"/>
                <w:right w:val="nil"/>
                <w:between w:val="nil"/>
              </w:pBdr>
              <w:spacing w:line="240" w:lineRule="auto"/>
              <w:jc w:val="left"/>
              <w:rPr>
                <w:rFonts w:ascii="Arial" w:hAnsi="Arial" w:cs="Arial"/>
              </w:rPr>
            </w:pPr>
            <w:r w:rsidRPr="00C37B4E">
              <w:rPr>
                <w:rFonts w:ascii="Arial" w:hAnsi="Arial" w:cs="Arial"/>
              </w:rPr>
              <w:t xml:space="preserve">Blogs, campaigns, surveys, social media posts </w:t>
            </w:r>
          </w:p>
        </w:tc>
      </w:tr>
    </w:tbl>
    <w:p w14:paraId="000000AF" w14:textId="77777777" w:rsidR="007B536C" w:rsidRPr="00C37B4E" w:rsidRDefault="00000000">
      <w:pPr>
        <w:jc w:val="center"/>
        <w:rPr>
          <w:rFonts w:ascii="Arial" w:hAnsi="Arial" w:cs="Arial"/>
          <w:b/>
          <w:bCs/>
        </w:rPr>
      </w:pPr>
      <w:r w:rsidRPr="00C37B4E">
        <w:rPr>
          <w:rFonts w:ascii="Arial" w:hAnsi="Arial" w:cs="Arial"/>
          <w:b/>
          <w:bCs/>
        </w:rPr>
        <w:t>Table 4: Communication plan for stakeholders</w:t>
      </w:r>
    </w:p>
    <w:p w14:paraId="000000B0" w14:textId="77777777" w:rsidR="007B536C" w:rsidRPr="00C37B4E" w:rsidRDefault="00000000">
      <w:pPr>
        <w:jc w:val="center"/>
        <w:rPr>
          <w:rFonts w:ascii="Arial" w:hAnsi="Arial" w:cs="Arial"/>
        </w:rPr>
      </w:pPr>
      <w:r w:rsidRPr="00C37B4E">
        <w:rPr>
          <w:rFonts w:ascii="Arial" w:hAnsi="Arial" w:cs="Arial"/>
        </w:rPr>
        <w:t>(Source: Self-developed)</w:t>
      </w:r>
    </w:p>
    <w:p w14:paraId="000000B1" w14:textId="552B3872" w:rsidR="007B536C" w:rsidRPr="00C37B4E" w:rsidRDefault="00000000">
      <w:pPr>
        <w:pStyle w:val="Heading1"/>
        <w:rPr>
          <w:rFonts w:ascii="Arial" w:hAnsi="Arial" w:cs="Arial"/>
          <w:highlight w:val="white"/>
        </w:rPr>
      </w:pPr>
      <w:bookmarkStart w:id="30" w:name="_8osp7a2n2rv8" w:colFirst="0" w:colLast="0"/>
      <w:bookmarkStart w:id="31" w:name="_Toc216718624"/>
      <w:bookmarkEnd w:id="30"/>
      <w:r w:rsidRPr="00C37B4E">
        <w:rPr>
          <w:rFonts w:ascii="Arial" w:hAnsi="Arial" w:cs="Arial"/>
          <w:highlight w:val="white"/>
        </w:rPr>
        <w:t>Critical analysis of the process undertaken to engage stakeholders and reduce conflicts</w:t>
      </w:r>
      <w:bookmarkEnd w:id="31"/>
      <w:r w:rsidRPr="00C37B4E">
        <w:rPr>
          <w:rFonts w:ascii="Arial" w:hAnsi="Arial" w:cs="Arial"/>
          <w:highlight w:val="white"/>
        </w:rPr>
        <w:t xml:space="preserve"> </w:t>
      </w:r>
    </w:p>
    <w:p w14:paraId="000000B2" w14:textId="77777777" w:rsidR="007B536C" w:rsidRPr="00C37B4E" w:rsidRDefault="00000000">
      <w:pPr>
        <w:pStyle w:val="Heading2"/>
        <w:rPr>
          <w:rFonts w:ascii="Arial" w:hAnsi="Arial" w:cs="Arial"/>
        </w:rPr>
      </w:pPr>
      <w:bookmarkStart w:id="32" w:name="_f0gj3ku58ur7" w:colFirst="0" w:colLast="0"/>
      <w:bookmarkStart w:id="33" w:name="_Toc216718625"/>
      <w:bookmarkEnd w:id="32"/>
      <w:r w:rsidRPr="00C37B4E">
        <w:rPr>
          <w:rFonts w:ascii="Arial" w:hAnsi="Arial" w:cs="Arial"/>
        </w:rPr>
        <w:t>Implementation of a power-interest grid to examine the stakeholders</w:t>
      </w:r>
      <w:bookmarkEnd w:id="33"/>
    </w:p>
    <w:p w14:paraId="000000B3" w14:textId="77777777" w:rsidR="007B536C" w:rsidRPr="00C37B4E" w:rsidRDefault="00000000">
      <w:pPr>
        <w:rPr>
          <w:rFonts w:ascii="Arial" w:hAnsi="Arial" w:cs="Arial"/>
        </w:rPr>
      </w:pPr>
      <w:r w:rsidRPr="00C37B4E">
        <w:rPr>
          <w:rFonts w:ascii="Arial" w:hAnsi="Arial" w:cs="Arial"/>
        </w:rPr>
        <w:t xml:space="preserve">The proper management and assessment of the stakeholder relationships are based on the knowledge quality, authenticity and breadth (Ashcroft, 2017). Managing the personal or professional relationships of the stakeholders is based on various characteristics like empathy, understanding, accountability and trust. As discussed by Maqbool, Rashid and Ashfaq (2022), the power-interest matrix is an efficient tool that is used for mapping the stakeholders and characterising them effectively. The power-interest matrix is used for explaining the key process of mapping the stakeholders in project management. A power-interest matrix is a vital tool used for analysing the stakeholder satisfaction levels for any project. The power-interest matrix can be implemented for a thorough analysis of the internal and external stakeholders of the project related to the development of “Trackerz”. </w:t>
      </w:r>
    </w:p>
    <w:p w14:paraId="000000B4" w14:textId="77777777" w:rsidR="007B536C" w:rsidRPr="00C37B4E" w:rsidRDefault="007B536C">
      <w:pPr>
        <w:rPr>
          <w:rFonts w:ascii="Arial" w:hAnsi="Arial" w:cs="Arial"/>
        </w:rPr>
      </w:pPr>
    </w:p>
    <w:tbl>
      <w:tblPr>
        <w:tblStyle w:val="Table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057C6" w:rsidRPr="00C37B4E" w14:paraId="600AC70C" w14:textId="77777777">
        <w:tc>
          <w:tcPr>
            <w:tcW w:w="4514" w:type="dxa"/>
            <w:tcMar>
              <w:top w:w="100" w:type="dxa"/>
              <w:left w:w="100" w:type="dxa"/>
              <w:bottom w:w="100" w:type="dxa"/>
              <w:right w:w="100" w:type="dxa"/>
            </w:tcMar>
          </w:tcPr>
          <w:p w14:paraId="000000B5" w14:textId="77777777" w:rsidR="007B536C" w:rsidRPr="00C37B4E" w:rsidRDefault="00000000">
            <w:pPr>
              <w:widowControl w:val="0"/>
              <w:pBdr>
                <w:top w:val="nil"/>
                <w:left w:val="nil"/>
                <w:bottom w:val="nil"/>
                <w:right w:val="nil"/>
                <w:between w:val="nil"/>
              </w:pBdr>
              <w:rPr>
                <w:rFonts w:ascii="Arial" w:hAnsi="Arial" w:cs="Arial"/>
              </w:rPr>
            </w:pPr>
            <w:r w:rsidRPr="00C37B4E">
              <w:rPr>
                <w:rFonts w:ascii="Arial" w:hAnsi="Arial" w:cs="Arial"/>
              </w:rPr>
              <w:t>Keep satisfied (Low interest, high power)</w:t>
            </w:r>
          </w:p>
          <w:p w14:paraId="000000B6" w14:textId="77777777" w:rsidR="007B536C" w:rsidRPr="00C37B4E" w:rsidRDefault="00000000">
            <w:pPr>
              <w:widowControl w:val="0"/>
              <w:numPr>
                <w:ilvl w:val="0"/>
                <w:numId w:val="14"/>
              </w:numPr>
              <w:pBdr>
                <w:top w:val="nil"/>
                <w:left w:val="nil"/>
                <w:bottom w:val="nil"/>
                <w:right w:val="nil"/>
                <w:between w:val="nil"/>
              </w:pBdr>
              <w:rPr>
                <w:rFonts w:ascii="Arial" w:hAnsi="Arial" w:cs="Arial"/>
              </w:rPr>
            </w:pPr>
            <w:r w:rsidRPr="00C37B4E">
              <w:rPr>
                <w:rFonts w:ascii="Arial" w:hAnsi="Arial" w:cs="Arial"/>
              </w:rPr>
              <w:t xml:space="preserve">Government. </w:t>
            </w:r>
          </w:p>
        </w:tc>
        <w:tc>
          <w:tcPr>
            <w:tcW w:w="4514" w:type="dxa"/>
            <w:tcMar>
              <w:top w:w="100" w:type="dxa"/>
              <w:left w:w="100" w:type="dxa"/>
              <w:bottom w:w="100" w:type="dxa"/>
              <w:right w:w="100" w:type="dxa"/>
            </w:tcMar>
          </w:tcPr>
          <w:p w14:paraId="000000B7" w14:textId="77777777" w:rsidR="007B536C" w:rsidRPr="00C37B4E" w:rsidRDefault="00000000">
            <w:pPr>
              <w:widowControl w:val="0"/>
              <w:pBdr>
                <w:top w:val="nil"/>
                <w:left w:val="nil"/>
                <w:bottom w:val="nil"/>
                <w:right w:val="nil"/>
                <w:between w:val="nil"/>
              </w:pBdr>
              <w:rPr>
                <w:rFonts w:ascii="Arial" w:hAnsi="Arial" w:cs="Arial"/>
              </w:rPr>
            </w:pPr>
            <w:r w:rsidRPr="00C37B4E">
              <w:rPr>
                <w:rFonts w:ascii="Arial" w:hAnsi="Arial" w:cs="Arial"/>
              </w:rPr>
              <w:t>Key players (High interest, high power)</w:t>
            </w:r>
          </w:p>
          <w:p w14:paraId="000000B8" w14:textId="77777777" w:rsidR="007B536C" w:rsidRPr="00C37B4E" w:rsidRDefault="00000000">
            <w:pPr>
              <w:widowControl w:val="0"/>
              <w:numPr>
                <w:ilvl w:val="0"/>
                <w:numId w:val="2"/>
              </w:numPr>
              <w:pBdr>
                <w:top w:val="nil"/>
                <w:left w:val="nil"/>
                <w:bottom w:val="nil"/>
                <w:right w:val="nil"/>
                <w:between w:val="nil"/>
              </w:pBdr>
              <w:rPr>
                <w:rFonts w:ascii="Arial" w:hAnsi="Arial" w:cs="Arial"/>
              </w:rPr>
            </w:pPr>
            <w:r w:rsidRPr="00C37B4E">
              <w:rPr>
                <w:rFonts w:ascii="Arial" w:hAnsi="Arial" w:cs="Arial"/>
              </w:rPr>
              <w:t xml:space="preserve">Project manager. </w:t>
            </w:r>
          </w:p>
          <w:p w14:paraId="000000B9" w14:textId="77777777" w:rsidR="007B536C" w:rsidRPr="00C37B4E" w:rsidRDefault="00000000">
            <w:pPr>
              <w:widowControl w:val="0"/>
              <w:numPr>
                <w:ilvl w:val="0"/>
                <w:numId w:val="2"/>
              </w:numPr>
              <w:pBdr>
                <w:top w:val="nil"/>
                <w:left w:val="nil"/>
                <w:bottom w:val="nil"/>
                <w:right w:val="nil"/>
                <w:between w:val="nil"/>
              </w:pBdr>
              <w:rPr>
                <w:rFonts w:ascii="Arial" w:hAnsi="Arial" w:cs="Arial"/>
              </w:rPr>
            </w:pPr>
            <w:r w:rsidRPr="00C37B4E">
              <w:rPr>
                <w:rFonts w:ascii="Arial" w:hAnsi="Arial" w:cs="Arial"/>
              </w:rPr>
              <w:t xml:space="preserve">Senior management. </w:t>
            </w:r>
          </w:p>
          <w:p w14:paraId="000000BA" w14:textId="77777777" w:rsidR="007B536C" w:rsidRPr="00C37B4E" w:rsidRDefault="00000000">
            <w:pPr>
              <w:widowControl w:val="0"/>
              <w:numPr>
                <w:ilvl w:val="0"/>
                <w:numId w:val="2"/>
              </w:numPr>
              <w:pBdr>
                <w:top w:val="nil"/>
                <w:left w:val="nil"/>
                <w:bottom w:val="nil"/>
                <w:right w:val="nil"/>
                <w:between w:val="nil"/>
              </w:pBdr>
              <w:rPr>
                <w:rFonts w:ascii="Arial" w:hAnsi="Arial" w:cs="Arial"/>
              </w:rPr>
            </w:pPr>
            <w:r w:rsidRPr="00C37B4E">
              <w:rPr>
                <w:rFonts w:ascii="Arial" w:hAnsi="Arial" w:cs="Arial"/>
              </w:rPr>
              <w:t xml:space="preserve">Product development team. </w:t>
            </w:r>
          </w:p>
          <w:p w14:paraId="000000BB" w14:textId="77777777" w:rsidR="007B536C" w:rsidRPr="00C37B4E" w:rsidRDefault="00000000">
            <w:pPr>
              <w:widowControl w:val="0"/>
              <w:numPr>
                <w:ilvl w:val="0"/>
                <w:numId w:val="2"/>
              </w:numPr>
              <w:pBdr>
                <w:top w:val="nil"/>
                <w:left w:val="nil"/>
                <w:bottom w:val="nil"/>
                <w:right w:val="nil"/>
                <w:between w:val="nil"/>
              </w:pBdr>
              <w:rPr>
                <w:rFonts w:ascii="Arial" w:hAnsi="Arial" w:cs="Arial"/>
              </w:rPr>
            </w:pPr>
            <w:r w:rsidRPr="00C37B4E">
              <w:rPr>
                <w:rFonts w:ascii="Arial" w:hAnsi="Arial" w:cs="Arial"/>
              </w:rPr>
              <w:t xml:space="preserve">Sales department. </w:t>
            </w:r>
          </w:p>
          <w:p w14:paraId="000000BC" w14:textId="77777777" w:rsidR="007B536C" w:rsidRPr="00C37B4E" w:rsidRDefault="00000000">
            <w:pPr>
              <w:widowControl w:val="0"/>
              <w:numPr>
                <w:ilvl w:val="0"/>
                <w:numId w:val="2"/>
              </w:numPr>
              <w:pBdr>
                <w:top w:val="nil"/>
                <w:left w:val="nil"/>
                <w:bottom w:val="nil"/>
                <w:right w:val="nil"/>
                <w:between w:val="nil"/>
              </w:pBdr>
              <w:rPr>
                <w:rFonts w:ascii="Arial" w:hAnsi="Arial" w:cs="Arial"/>
              </w:rPr>
            </w:pPr>
            <w:r w:rsidRPr="00C37B4E">
              <w:rPr>
                <w:rFonts w:ascii="Arial" w:hAnsi="Arial" w:cs="Arial"/>
              </w:rPr>
              <w:lastRenderedPageBreak/>
              <w:t xml:space="preserve">Marketing team. </w:t>
            </w:r>
          </w:p>
        </w:tc>
      </w:tr>
      <w:tr w:rsidR="000057C6" w:rsidRPr="00C37B4E" w14:paraId="1882EEF4" w14:textId="77777777">
        <w:tc>
          <w:tcPr>
            <w:tcW w:w="4514" w:type="dxa"/>
            <w:tcMar>
              <w:top w:w="100" w:type="dxa"/>
              <w:left w:w="100" w:type="dxa"/>
              <w:bottom w:w="100" w:type="dxa"/>
              <w:right w:w="100" w:type="dxa"/>
            </w:tcMar>
          </w:tcPr>
          <w:p w14:paraId="000000BD" w14:textId="77777777" w:rsidR="007B536C" w:rsidRPr="00C37B4E" w:rsidRDefault="00000000">
            <w:pPr>
              <w:widowControl w:val="0"/>
              <w:pBdr>
                <w:top w:val="nil"/>
                <w:left w:val="nil"/>
                <w:bottom w:val="nil"/>
                <w:right w:val="nil"/>
                <w:between w:val="nil"/>
              </w:pBdr>
              <w:rPr>
                <w:rFonts w:ascii="Arial" w:hAnsi="Arial" w:cs="Arial"/>
              </w:rPr>
            </w:pPr>
            <w:r w:rsidRPr="00C37B4E">
              <w:rPr>
                <w:rFonts w:ascii="Arial" w:hAnsi="Arial" w:cs="Arial"/>
              </w:rPr>
              <w:lastRenderedPageBreak/>
              <w:t>Minimal efforts (Low interest, low power)</w:t>
            </w:r>
          </w:p>
        </w:tc>
        <w:tc>
          <w:tcPr>
            <w:tcW w:w="4514" w:type="dxa"/>
            <w:tcMar>
              <w:top w:w="100" w:type="dxa"/>
              <w:left w:w="100" w:type="dxa"/>
              <w:bottom w:w="100" w:type="dxa"/>
              <w:right w:w="100" w:type="dxa"/>
            </w:tcMar>
          </w:tcPr>
          <w:p w14:paraId="000000BE" w14:textId="77777777" w:rsidR="007B536C" w:rsidRPr="00C37B4E" w:rsidRDefault="00000000">
            <w:pPr>
              <w:widowControl w:val="0"/>
              <w:pBdr>
                <w:top w:val="nil"/>
                <w:left w:val="nil"/>
                <w:bottom w:val="nil"/>
                <w:right w:val="nil"/>
                <w:between w:val="nil"/>
              </w:pBdr>
              <w:rPr>
                <w:rFonts w:ascii="Arial" w:hAnsi="Arial" w:cs="Arial"/>
              </w:rPr>
            </w:pPr>
            <w:r w:rsidRPr="00C37B4E">
              <w:rPr>
                <w:rFonts w:ascii="Arial" w:hAnsi="Arial" w:cs="Arial"/>
              </w:rPr>
              <w:t>Keep informed (High interest, low power)</w:t>
            </w:r>
          </w:p>
          <w:p w14:paraId="000000BF" w14:textId="77777777" w:rsidR="007B536C" w:rsidRPr="00C37B4E" w:rsidRDefault="00000000">
            <w:pPr>
              <w:widowControl w:val="0"/>
              <w:numPr>
                <w:ilvl w:val="0"/>
                <w:numId w:val="4"/>
              </w:numPr>
              <w:pBdr>
                <w:top w:val="nil"/>
                <w:left w:val="nil"/>
                <w:bottom w:val="nil"/>
                <w:right w:val="nil"/>
                <w:between w:val="nil"/>
              </w:pBdr>
              <w:rPr>
                <w:rFonts w:ascii="Arial" w:hAnsi="Arial" w:cs="Arial"/>
              </w:rPr>
            </w:pPr>
            <w:r w:rsidRPr="00C37B4E">
              <w:rPr>
                <w:rFonts w:ascii="Arial" w:hAnsi="Arial" w:cs="Arial"/>
              </w:rPr>
              <w:t xml:space="preserve">Suppliers. </w:t>
            </w:r>
          </w:p>
          <w:p w14:paraId="000000C0" w14:textId="77777777" w:rsidR="007B536C" w:rsidRPr="00C37B4E" w:rsidRDefault="00000000">
            <w:pPr>
              <w:widowControl w:val="0"/>
              <w:numPr>
                <w:ilvl w:val="0"/>
                <w:numId w:val="4"/>
              </w:numPr>
              <w:pBdr>
                <w:top w:val="nil"/>
                <w:left w:val="nil"/>
                <w:bottom w:val="nil"/>
                <w:right w:val="nil"/>
                <w:between w:val="nil"/>
              </w:pBdr>
              <w:rPr>
                <w:rFonts w:ascii="Arial" w:hAnsi="Arial" w:cs="Arial"/>
              </w:rPr>
            </w:pPr>
            <w:r w:rsidRPr="00C37B4E">
              <w:rPr>
                <w:rFonts w:ascii="Arial" w:hAnsi="Arial" w:cs="Arial"/>
              </w:rPr>
              <w:t xml:space="preserve">Local communities. </w:t>
            </w:r>
          </w:p>
          <w:p w14:paraId="000000C1" w14:textId="77777777" w:rsidR="007B536C" w:rsidRPr="00C37B4E" w:rsidRDefault="00000000">
            <w:pPr>
              <w:widowControl w:val="0"/>
              <w:numPr>
                <w:ilvl w:val="0"/>
                <w:numId w:val="4"/>
              </w:numPr>
              <w:pBdr>
                <w:top w:val="nil"/>
                <w:left w:val="nil"/>
                <w:bottom w:val="nil"/>
                <w:right w:val="nil"/>
                <w:between w:val="nil"/>
              </w:pBdr>
              <w:rPr>
                <w:rFonts w:ascii="Arial" w:hAnsi="Arial" w:cs="Arial"/>
              </w:rPr>
            </w:pPr>
            <w:r w:rsidRPr="00C37B4E">
              <w:rPr>
                <w:rFonts w:ascii="Arial" w:hAnsi="Arial" w:cs="Arial"/>
              </w:rPr>
              <w:t xml:space="preserve">Customers. </w:t>
            </w:r>
          </w:p>
        </w:tc>
      </w:tr>
    </w:tbl>
    <w:p w14:paraId="000000C2" w14:textId="77777777" w:rsidR="007B536C" w:rsidRPr="00C37B4E" w:rsidRDefault="00000000">
      <w:pPr>
        <w:jc w:val="center"/>
        <w:rPr>
          <w:rFonts w:ascii="Arial" w:hAnsi="Arial" w:cs="Arial"/>
          <w:b/>
          <w:bCs/>
        </w:rPr>
      </w:pPr>
      <w:r w:rsidRPr="00C37B4E">
        <w:rPr>
          <w:rFonts w:ascii="Arial" w:hAnsi="Arial" w:cs="Arial"/>
          <w:b/>
          <w:bCs/>
        </w:rPr>
        <w:t>Table 1: Power-interest matrix</w:t>
      </w:r>
    </w:p>
    <w:p w14:paraId="000000C3" w14:textId="77777777" w:rsidR="007B536C" w:rsidRPr="00C37B4E" w:rsidRDefault="00000000">
      <w:pPr>
        <w:jc w:val="center"/>
        <w:rPr>
          <w:rFonts w:ascii="Arial" w:hAnsi="Arial" w:cs="Arial"/>
        </w:rPr>
      </w:pPr>
      <w:r w:rsidRPr="00C37B4E">
        <w:rPr>
          <w:rFonts w:ascii="Arial" w:hAnsi="Arial" w:cs="Arial"/>
        </w:rPr>
        <w:t>(Source: Self-developed)</w:t>
      </w:r>
    </w:p>
    <w:p w14:paraId="000000C4" w14:textId="77777777" w:rsidR="007B536C" w:rsidRPr="00C37B4E" w:rsidRDefault="00000000">
      <w:pPr>
        <w:pStyle w:val="Heading2"/>
        <w:rPr>
          <w:rFonts w:ascii="Arial" w:hAnsi="Arial" w:cs="Arial"/>
        </w:rPr>
      </w:pPr>
      <w:bookmarkStart w:id="34" w:name="_7d25z71qu7rz" w:colFirst="0" w:colLast="0"/>
      <w:bookmarkStart w:id="35" w:name="_Toc216718626"/>
      <w:bookmarkEnd w:id="34"/>
      <w:r w:rsidRPr="00C37B4E">
        <w:rPr>
          <w:rFonts w:ascii="Arial" w:hAnsi="Arial" w:cs="Arial"/>
        </w:rPr>
        <w:t>Methods of stakeholder engagement and conflicts</w:t>
      </w:r>
      <w:bookmarkEnd w:id="35"/>
    </w:p>
    <w:p w14:paraId="000000C5" w14:textId="77777777" w:rsidR="007B536C" w:rsidRPr="00C37B4E" w:rsidRDefault="00000000">
      <w:pPr>
        <w:rPr>
          <w:rFonts w:ascii="Arial" w:hAnsi="Arial" w:cs="Arial"/>
        </w:rPr>
      </w:pPr>
      <w:r w:rsidRPr="00C37B4E">
        <w:rPr>
          <w:rFonts w:ascii="Arial" w:hAnsi="Arial" w:cs="Arial"/>
        </w:rPr>
        <w:t xml:space="preserve">Traditional marketing approaches have not provided major importance towards appropriate stakeholder management. Considerable levels of research are conducted in the field of business strategy to enhance the levels of stakeholder management (Christopher, Payne and Ballantyne, 2013). As discussed by Kujala </w:t>
      </w:r>
      <w:r w:rsidRPr="00C37B4E">
        <w:rPr>
          <w:rFonts w:ascii="Arial" w:hAnsi="Arial" w:cs="Arial"/>
          <w:i/>
          <w:iCs/>
        </w:rPr>
        <w:t>et al.</w:t>
      </w:r>
      <w:r w:rsidRPr="00C37B4E">
        <w:rPr>
          <w:rFonts w:ascii="Arial" w:hAnsi="Arial" w:cs="Arial"/>
        </w:rPr>
        <w:t xml:space="preserve"> (2022), stakeholder engagement is widely used in research based on society and businesses. The understanding based on important aspects of stakeholder engagement can lead to increased challenges for the individuals. The research based on stakeholder engagement provided major prominence in the operations of various businesses. Engaging the stakeholders on a long-term basis is highly significant for companies to ensure that they can enhance stakeholder value. The project considered for the development of the new product “Trackerz” can be successful based on the support provided by its internal and external stakeholders. The appropriate engagement of these stakeholders is vital to ensure that the project can be completed successfully. </w:t>
      </w:r>
    </w:p>
    <w:p w14:paraId="000000C6" w14:textId="77777777" w:rsidR="007B536C" w:rsidRPr="00C37B4E" w:rsidRDefault="00000000">
      <w:pPr>
        <w:spacing w:before="240" w:after="240"/>
        <w:rPr>
          <w:rFonts w:ascii="Arial" w:hAnsi="Arial" w:cs="Arial"/>
        </w:rPr>
      </w:pPr>
      <w:r w:rsidRPr="00C37B4E">
        <w:rPr>
          <w:rFonts w:ascii="Arial" w:hAnsi="Arial" w:cs="Arial"/>
        </w:rPr>
        <w:t xml:space="preserve">Conflict can be defined as a situation in which various groups or two people tend to disagree due to the existing differences in their opinions, requirements or ideas. As discussed by Grzegorzek (2024), business decisions and activities may have negative and positive effects on the stakeholders. Various conflicts can arise between the groups of stakeholders when the business decisions or actions can provide significant benefits to some of the stakeholders. The differences that exist in the objectives developed by the stakeholders may increase the conflicts between them. The project completed by the members of the company based on the development of a new product can be affected adversely due to stakeholder conflicts. Moreover, another conflict that the project members can face during the project is related to the multiple </w:t>
      </w:r>
      <w:r w:rsidRPr="00C37B4E">
        <w:rPr>
          <w:rFonts w:ascii="Arial" w:hAnsi="Arial" w:cs="Arial"/>
        </w:rPr>
        <w:lastRenderedPageBreak/>
        <w:t xml:space="preserve">roles that have to be played by a single stakeholder. Moreover, the issues caused by suppliers can also have a negative influence on the formation of an efficient supply chain during the development of a new product. The remuneration issues that can occur between the managers and owners can also have a negative influence on the appropriate stakeholder management activities. </w:t>
      </w:r>
    </w:p>
    <w:p w14:paraId="000000C7" w14:textId="77777777" w:rsidR="007B536C" w:rsidRPr="00C37B4E" w:rsidRDefault="00000000">
      <w:pPr>
        <w:pStyle w:val="Heading2"/>
        <w:rPr>
          <w:rFonts w:ascii="Arial" w:hAnsi="Arial" w:cs="Arial"/>
        </w:rPr>
      </w:pPr>
      <w:bookmarkStart w:id="36" w:name="_lkyzmptls22l" w:colFirst="0" w:colLast="0"/>
      <w:bookmarkStart w:id="37" w:name="_Toc216718627"/>
      <w:bookmarkEnd w:id="36"/>
      <w:r w:rsidRPr="00C37B4E">
        <w:rPr>
          <w:rFonts w:ascii="Arial" w:hAnsi="Arial" w:cs="Arial"/>
        </w:rPr>
        <w:t>Four Cs analysis of the ways of reducing conflicts</w:t>
      </w:r>
      <w:bookmarkEnd w:id="37"/>
      <w:r w:rsidRPr="00C37B4E">
        <w:rPr>
          <w:rFonts w:ascii="Arial" w:hAnsi="Arial" w:cs="Arial"/>
        </w:rPr>
        <w:t xml:space="preserve"> </w:t>
      </w:r>
    </w:p>
    <w:p w14:paraId="000000C8" w14:textId="77777777" w:rsidR="007B536C" w:rsidRPr="00C37B4E" w:rsidRDefault="00000000">
      <w:pPr>
        <w:rPr>
          <w:rFonts w:ascii="Arial" w:hAnsi="Arial" w:cs="Arial"/>
        </w:rPr>
      </w:pPr>
      <w:r w:rsidRPr="00C37B4E">
        <w:rPr>
          <w:rFonts w:ascii="Arial" w:hAnsi="Arial" w:cs="Arial"/>
        </w:rPr>
        <w:t xml:space="preserve">The four Cs, including creativity, communication, collaboration and critical thinking, are a part of the 21st-century abilities, which are vital for individuals to ensure success in their lives and work (Somphol </w:t>
      </w:r>
      <w:r w:rsidRPr="00C37B4E">
        <w:rPr>
          <w:rFonts w:ascii="Arial" w:hAnsi="Arial" w:cs="Arial"/>
          <w:i/>
          <w:iCs/>
        </w:rPr>
        <w:t>et al.,</w:t>
      </w:r>
      <w:r w:rsidRPr="00C37B4E">
        <w:rPr>
          <w:rFonts w:ascii="Arial" w:hAnsi="Arial" w:cs="Arial"/>
        </w:rPr>
        <w:t xml:space="preserve"> 2022). Other aspects related to the four Cs that can influence the projects include communication, coordination, cooperation and collaboration. The four Cs model can be implemented for the appropriate reduction of the conflicts faced by the stakeholders in the project of developing a new product for Milbotix, “Trackerz”. </w:t>
      </w:r>
    </w:p>
    <w:p w14:paraId="000000C9" w14:textId="77777777" w:rsidR="007B536C" w:rsidRPr="00C37B4E" w:rsidRDefault="00000000">
      <w:pPr>
        <w:rPr>
          <w:rFonts w:ascii="Arial" w:hAnsi="Arial" w:cs="Arial"/>
        </w:rPr>
      </w:pPr>
      <w:r w:rsidRPr="00C37B4E">
        <w:rPr>
          <w:rFonts w:ascii="Arial" w:hAnsi="Arial" w:cs="Arial"/>
        </w:rPr>
        <w:t xml:space="preserve">Communication -  Communication is a vital aspect of the success that can be gained by the projects. The frequent and efficient communication between members is vital to ensure that the team's performance levels can be strengthened (Barros, Duarte and Machado,  2024). The project manager needs to ensure that regular communication is established with the employees and suppliers. Communication can help the project manager to understand their needs and reduce the possible issues. </w:t>
      </w:r>
    </w:p>
    <w:p w14:paraId="000000CA" w14:textId="77777777" w:rsidR="007B536C" w:rsidRPr="00C37B4E" w:rsidRDefault="00000000">
      <w:pPr>
        <w:rPr>
          <w:rFonts w:ascii="Arial" w:hAnsi="Arial" w:cs="Arial"/>
        </w:rPr>
      </w:pPr>
      <w:r w:rsidRPr="00C37B4E">
        <w:rPr>
          <w:rFonts w:ascii="Arial" w:hAnsi="Arial" w:cs="Arial"/>
        </w:rPr>
        <w:t xml:space="preserve">Coordination - The enhanced levels of coordination between the employees and senior managers can help in the fulfilment of organisational goals and objectives. </w:t>
      </w:r>
    </w:p>
    <w:p w14:paraId="000000CB" w14:textId="77777777" w:rsidR="007B536C" w:rsidRPr="00C37B4E" w:rsidRDefault="00000000">
      <w:pPr>
        <w:rPr>
          <w:rFonts w:ascii="Arial" w:hAnsi="Arial" w:cs="Arial"/>
        </w:rPr>
      </w:pPr>
      <w:r w:rsidRPr="00C37B4E">
        <w:rPr>
          <w:rFonts w:ascii="Arial" w:hAnsi="Arial" w:cs="Arial"/>
        </w:rPr>
        <w:t xml:space="preserve">Cooperation - The senior managers have to cooperate with the product development team, marketing team and the sales department to develop clear objectives. The formation of clear goals and objectives can help in the faster completion of the project. </w:t>
      </w:r>
    </w:p>
    <w:p w14:paraId="000000CC" w14:textId="77777777" w:rsidR="007B536C" w:rsidRPr="00C37B4E" w:rsidRDefault="00000000">
      <w:pPr>
        <w:rPr>
          <w:rFonts w:ascii="Arial" w:hAnsi="Arial" w:cs="Arial"/>
        </w:rPr>
      </w:pPr>
      <w:r w:rsidRPr="00C37B4E">
        <w:rPr>
          <w:rFonts w:ascii="Arial" w:hAnsi="Arial" w:cs="Arial"/>
        </w:rPr>
        <w:t xml:space="preserve">Collaboration - The project team needs to collaborate with the suppliers, the local communities and the government to ensure that goals can be achieved effectively. </w:t>
      </w:r>
    </w:p>
    <w:p w14:paraId="000000CD" w14:textId="24D25DFB" w:rsidR="007B536C" w:rsidRPr="00C37B4E" w:rsidRDefault="00000000">
      <w:pPr>
        <w:pStyle w:val="Heading1"/>
        <w:rPr>
          <w:rFonts w:ascii="Arial" w:hAnsi="Arial" w:cs="Arial"/>
        </w:rPr>
      </w:pPr>
      <w:bookmarkStart w:id="38" w:name="_lnibcgt8zjhi" w:colFirst="0" w:colLast="0"/>
      <w:bookmarkStart w:id="39" w:name="_Toc216718628"/>
      <w:bookmarkEnd w:id="38"/>
      <w:r w:rsidRPr="00C37B4E">
        <w:rPr>
          <w:rFonts w:ascii="Arial" w:hAnsi="Arial" w:cs="Arial"/>
        </w:rPr>
        <w:lastRenderedPageBreak/>
        <w:t>Evaluation of stakeholder engagement’s influence on business performance and recommendations</w:t>
      </w:r>
      <w:bookmarkEnd w:id="39"/>
      <w:r w:rsidRPr="00C37B4E">
        <w:rPr>
          <w:rFonts w:ascii="Arial" w:hAnsi="Arial" w:cs="Arial"/>
        </w:rPr>
        <w:t xml:space="preserve"> </w:t>
      </w:r>
    </w:p>
    <w:p w14:paraId="000000CE" w14:textId="77777777" w:rsidR="007B536C" w:rsidRPr="00C37B4E" w:rsidRDefault="00000000">
      <w:pPr>
        <w:pStyle w:val="Heading2"/>
        <w:rPr>
          <w:rFonts w:ascii="Arial" w:hAnsi="Arial" w:cs="Arial"/>
        </w:rPr>
      </w:pPr>
      <w:bookmarkStart w:id="40" w:name="_mw3xitewmtwp" w:colFirst="0" w:colLast="0"/>
      <w:bookmarkStart w:id="41" w:name="_Toc216718629"/>
      <w:bookmarkEnd w:id="40"/>
      <w:r w:rsidRPr="00C37B4E">
        <w:rPr>
          <w:rFonts w:ascii="Arial" w:hAnsi="Arial" w:cs="Arial"/>
        </w:rPr>
        <w:t>Influence of stakeholder engagement on business performance</w:t>
      </w:r>
      <w:bookmarkEnd w:id="41"/>
    </w:p>
    <w:p w14:paraId="000000CF" w14:textId="77777777" w:rsidR="007B536C" w:rsidRPr="00C37B4E" w:rsidRDefault="00000000">
      <w:pPr>
        <w:rPr>
          <w:rFonts w:ascii="Arial" w:hAnsi="Arial" w:cs="Arial"/>
        </w:rPr>
      </w:pPr>
      <w:r w:rsidRPr="00C37B4E">
        <w:rPr>
          <w:rFonts w:ascii="Arial" w:hAnsi="Arial" w:cs="Arial"/>
        </w:rPr>
        <w:t xml:space="preserve">Stakeholder engagement is significant to ensure that the stakeholder relationships can be stabilised and the levels of disruption can be reduced. As discussed by Hughes </w:t>
      </w:r>
      <w:r w:rsidRPr="00C37B4E">
        <w:rPr>
          <w:rFonts w:ascii="Arial" w:hAnsi="Arial" w:cs="Arial"/>
          <w:i/>
          <w:iCs/>
        </w:rPr>
        <w:t>et al.</w:t>
      </w:r>
      <w:r w:rsidRPr="00C37B4E">
        <w:rPr>
          <w:rFonts w:ascii="Arial" w:hAnsi="Arial" w:cs="Arial"/>
        </w:rPr>
        <w:t xml:space="preserve"> (2022), stakeholder engagement can help employees initiate their search behaviours, so that they can complete their roles effectively. Stakeholder engagement also proves to be a valuable process of knowledge mechanism, which can influence the activities of employees. </w:t>
      </w:r>
    </w:p>
    <w:p w14:paraId="000000D0" w14:textId="77777777" w:rsidR="007B536C" w:rsidRPr="00C37B4E" w:rsidRDefault="00000000">
      <w:pPr>
        <w:pStyle w:val="Heading3"/>
        <w:rPr>
          <w:rFonts w:ascii="Arial" w:hAnsi="Arial" w:cs="Arial"/>
        </w:rPr>
      </w:pPr>
      <w:bookmarkStart w:id="42" w:name="_6gn5r7nqudam" w:colFirst="0" w:colLast="0"/>
      <w:bookmarkStart w:id="43" w:name="_Toc216718630"/>
      <w:bookmarkEnd w:id="42"/>
      <w:r w:rsidRPr="00C37B4E">
        <w:rPr>
          <w:rFonts w:ascii="Arial" w:hAnsi="Arial" w:cs="Arial"/>
        </w:rPr>
        <w:t>Analysis of stakeholder engagement</w:t>
      </w:r>
      <w:bookmarkEnd w:id="43"/>
    </w:p>
    <w:p w14:paraId="000000D1" w14:textId="77777777" w:rsidR="007B536C" w:rsidRPr="00C37B4E" w:rsidRDefault="00000000">
      <w:pPr>
        <w:rPr>
          <w:rFonts w:ascii="Arial" w:hAnsi="Arial" w:cs="Arial"/>
        </w:rPr>
      </w:pPr>
      <w:r w:rsidRPr="00C37B4E">
        <w:rPr>
          <w:rFonts w:ascii="Arial" w:hAnsi="Arial" w:cs="Arial"/>
        </w:rPr>
        <w:t xml:space="preserve">The success of stakeholder engagement during this project can be measured by analysing various aspects of performance. The physical and financial assets of companies are quite vital for a company to enhance its survival. The structural and human capitals of the companies can have a significant impact on the performance of a firm (Xu, Haris and Liu, 2023). The analysis of the </w:t>
      </w:r>
      <w:r w:rsidRPr="00C37B4E">
        <w:rPr>
          <w:rFonts w:ascii="Arial" w:hAnsi="Arial" w:cs="Arial"/>
          <w:b/>
          <w:bCs/>
          <w:i/>
          <w:iCs/>
        </w:rPr>
        <w:t>financial performance</w:t>
      </w:r>
      <w:r w:rsidRPr="00C37B4E">
        <w:rPr>
          <w:rFonts w:ascii="Arial" w:hAnsi="Arial" w:cs="Arial"/>
        </w:rPr>
        <w:t xml:space="preserve"> of the company will be based on the increase in its revenues by around 10 per cent. The enhanced</w:t>
      </w:r>
      <w:r w:rsidRPr="00C37B4E">
        <w:rPr>
          <w:rFonts w:ascii="Arial" w:hAnsi="Arial" w:cs="Arial"/>
          <w:b/>
          <w:bCs/>
          <w:i/>
          <w:iCs/>
        </w:rPr>
        <w:t xml:space="preserve"> reputation levels</w:t>
      </w:r>
      <w:r w:rsidRPr="00C37B4E">
        <w:rPr>
          <w:rFonts w:ascii="Arial" w:hAnsi="Arial" w:cs="Arial"/>
        </w:rPr>
        <w:t xml:space="preserve"> of the company can be examined by the improvement of its brand value by around 15 per cent. The improvement of employee performance at Milbotix can be examined by evaluating their productivity levels. The enhanced productivity by around 20 per cent can depict the effectiveness of stakeholder engagement. </w:t>
      </w:r>
    </w:p>
    <w:p w14:paraId="000000D2" w14:textId="77777777" w:rsidR="007B536C" w:rsidRPr="00C37B4E" w:rsidRDefault="00000000">
      <w:pPr>
        <w:pStyle w:val="Heading3"/>
        <w:rPr>
          <w:rFonts w:ascii="Arial" w:hAnsi="Arial" w:cs="Arial"/>
        </w:rPr>
      </w:pPr>
      <w:bookmarkStart w:id="44" w:name="_jjgea8sbmqpy" w:colFirst="0" w:colLast="0"/>
      <w:bookmarkStart w:id="45" w:name="_Toc216718631"/>
      <w:bookmarkEnd w:id="44"/>
      <w:r w:rsidRPr="00C37B4E">
        <w:rPr>
          <w:rFonts w:ascii="Arial" w:hAnsi="Arial" w:cs="Arial"/>
        </w:rPr>
        <w:t>Influence of stakeholder engagement on business success</w:t>
      </w:r>
      <w:bookmarkEnd w:id="45"/>
    </w:p>
    <w:p w14:paraId="000000D3" w14:textId="77777777" w:rsidR="007B536C" w:rsidRPr="00C37B4E" w:rsidRDefault="00000000">
      <w:pPr>
        <w:rPr>
          <w:rFonts w:ascii="Arial" w:hAnsi="Arial" w:cs="Arial"/>
        </w:rPr>
      </w:pPr>
      <w:r w:rsidRPr="00C37B4E">
        <w:rPr>
          <w:rFonts w:ascii="Arial" w:hAnsi="Arial" w:cs="Arial"/>
        </w:rPr>
        <w:t xml:space="preserve">Stakeholder engagement is a critical factor that affects the leadership approaches. As discussed by Tsipursky (2023), stakeholders include the employees, suppliers, business partners, and the company has a dynamic relationship with them. The effective engagement of the stakeholders can lead to improved levels of productivity and improved financials. The companies need to depict their inclination towards increasing stakeholder engagement and focusing on the relationships that organisations can form with them. The process of addressing the concerns and issues of the stakeholders has a positive influence on the ways companies can achieve their </w:t>
      </w:r>
      <w:r w:rsidRPr="00C37B4E">
        <w:rPr>
          <w:rFonts w:ascii="Arial" w:hAnsi="Arial" w:cs="Arial"/>
        </w:rPr>
        <w:lastRenderedPageBreak/>
        <w:t xml:space="preserve">objectives and goals. Stakeholders have a huge influence on the growth of a company and its long-term levels of success. Replacement of stakeholders is not always possible for a company, so the company needs to form appropriate relations with them. According to McKinsey &amp; Company (2020), the implementation of a data-based approach towards engaging the stakeholders is vital for companies. Aspects like value and voice have a huge influence on the performance depicted by employees in the firms. The approaches used by companies to engage their stakeholders are significantly related to their value and the levels of voice. For this project, Milbotix can develop different stakeholder engagement strategies to ensure that all stakeholders are engaged effectively. The value of each stakeholder has to be considered by the project manager to develop appropriate engagement strategies for them. </w:t>
      </w:r>
    </w:p>
    <w:p w14:paraId="000000D4" w14:textId="77777777" w:rsidR="007B536C" w:rsidRPr="00C37B4E" w:rsidRDefault="00000000">
      <w:pPr>
        <w:pStyle w:val="Heading2"/>
        <w:rPr>
          <w:rFonts w:ascii="Arial" w:hAnsi="Arial" w:cs="Arial"/>
        </w:rPr>
      </w:pPr>
      <w:bookmarkStart w:id="46" w:name="_yg0k1hgpz5h4" w:colFirst="0" w:colLast="0"/>
      <w:bookmarkStart w:id="47" w:name="_Toc216718632"/>
      <w:bookmarkEnd w:id="46"/>
      <w:r w:rsidRPr="00C37B4E">
        <w:rPr>
          <w:rFonts w:ascii="Arial" w:hAnsi="Arial" w:cs="Arial"/>
        </w:rPr>
        <w:t>Future recommendations</w:t>
      </w:r>
      <w:bookmarkEnd w:id="47"/>
    </w:p>
    <w:p w14:paraId="000000D5" w14:textId="77777777" w:rsidR="007B536C" w:rsidRPr="00C37B4E" w:rsidRDefault="00000000">
      <w:pPr>
        <w:rPr>
          <w:rFonts w:ascii="Arial" w:hAnsi="Arial" w:cs="Arial"/>
        </w:rPr>
      </w:pPr>
      <w:r w:rsidRPr="00C37B4E">
        <w:rPr>
          <w:rFonts w:ascii="Arial" w:hAnsi="Arial" w:cs="Arial"/>
        </w:rPr>
        <w:t xml:space="preserve">The recommendations that can be provided to Milbotix to improve its stakeholder engagement are as follows, </w:t>
      </w:r>
    </w:p>
    <w:p w14:paraId="000000D6" w14:textId="77777777" w:rsidR="007B536C" w:rsidRPr="00C37B4E" w:rsidRDefault="00000000">
      <w:pPr>
        <w:numPr>
          <w:ilvl w:val="0"/>
          <w:numId w:val="10"/>
        </w:numPr>
        <w:rPr>
          <w:rFonts w:ascii="Arial" w:hAnsi="Arial" w:cs="Arial"/>
        </w:rPr>
      </w:pPr>
      <w:r w:rsidRPr="00C37B4E">
        <w:rPr>
          <w:rFonts w:ascii="Arial" w:hAnsi="Arial" w:cs="Arial"/>
        </w:rPr>
        <w:t xml:space="preserve">Milbotix can use appropriate data analytics strategies to ensure that the needs and concerns of the stakeholders can be understood effectively. Big data analytics is the process implemented for the analysis and interpretation of large amounts of unstructured and structured data by using advanced technologies, algorithms and machine learning (Jensen and Kadenic, 2024). Milbotix can use these modern technologies to examine the available stakeholder data. The evaluation of stakeholder data will have a positive influence on the formation of appropriate approaches to fulfil their needs. </w:t>
      </w:r>
    </w:p>
    <w:p w14:paraId="000000D7" w14:textId="77777777" w:rsidR="007B536C" w:rsidRPr="00C37B4E" w:rsidRDefault="00000000">
      <w:pPr>
        <w:numPr>
          <w:ilvl w:val="0"/>
          <w:numId w:val="10"/>
        </w:numPr>
        <w:rPr>
          <w:rFonts w:ascii="Arial" w:hAnsi="Arial" w:cs="Arial"/>
        </w:rPr>
      </w:pPr>
      <w:r w:rsidRPr="00C37B4E">
        <w:rPr>
          <w:rFonts w:ascii="Arial" w:hAnsi="Arial" w:cs="Arial"/>
        </w:rPr>
        <w:t xml:space="preserve">Milbotix needs to integrate the aspects of stakeholder engagement in the proper measurement of the performance of the organisation. The performance management and performance measurement systems help in bringing appropriate improvements in the effectiveness and efficiency levels of the companies (Nudurupati, Garengo and Bititci, 2021). Milbotix needs to improve its performance while developing a new product by implementing appropriate stakeholder engagement strategies. The improved value provided to the stakeholders, such as the employees and customers, can lead to enhanced revenues for the company. Moreover, the improvement of the contributions provided by the product development team, sales department, and marketing </w:t>
      </w:r>
      <w:r w:rsidRPr="00C37B4E">
        <w:rPr>
          <w:rFonts w:ascii="Arial" w:hAnsi="Arial" w:cs="Arial"/>
        </w:rPr>
        <w:lastRenderedPageBreak/>
        <w:t xml:space="preserve">team can lead to enhanced growth levels of the company's performance and revenues. </w:t>
      </w:r>
    </w:p>
    <w:p w14:paraId="000000D8" w14:textId="77777777" w:rsidR="007B536C" w:rsidRPr="00C37B4E" w:rsidRDefault="00000000">
      <w:pPr>
        <w:numPr>
          <w:ilvl w:val="0"/>
          <w:numId w:val="10"/>
        </w:numPr>
        <w:rPr>
          <w:rFonts w:ascii="Arial" w:hAnsi="Arial" w:cs="Arial"/>
        </w:rPr>
      </w:pPr>
      <w:r w:rsidRPr="00C37B4E">
        <w:rPr>
          <w:rFonts w:ascii="Arial" w:hAnsi="Arial" w:cs="Arial"/>
        </w:rPr>
        <w:t xml:space="preserve">Conflict is an ubiquitous aspect of teams, as they are a part of the primary building blocks within companies operating in a dynamic environment (Todorova, Goh and Weingart,  2022). Milbotix needs to develop a separate team that can play a significant role in reducing conflicts between the stakeholders. The reduced conflicts between the internal and external stakeholders can have a positive influence on the future growth and enhanced revenue levels of the company. The success of the project related to developing the new product will be based on the absence of conflicts between employees. The reduction of conflicts effectively is highly significant for the company to ensure that the Trackerz product can be successfully launched in the market. </w:t>
      </w:r>
    </w:p>
    <w:p w14:paraId="000000D9" w14:textId="67770D8D" w:rsidR="007B536C" w:rsidRPr="00C37B4E" w:rsidRDefault="00000000">
      <w:pPr>
        <w:pStyle w:val="Heading1"/>
        <w:rPr>
          <w:rFonts w:ascii="Arial" w:hAnsi="Arial" w:cs="Arial"/>
        </w:rPr>
      </w:pPr>
      <w:bookmarkStart w:id="48" w:name="_x0vnq9x1og6h" w:colFirst="0" w:colLast="0"/>
      <w:bookmarkStart w:id="49" w:name="_Toc216718633"/>
      <w:bookmarkEnd w:id="48"/>
      <w:r w:rsidRPr="00C37B4E">
        <w:rPr>
          <w:rFonts w:ascii="Arial" w:hAnsi="Arial" w:cs="Arial"/>
        </w:rPr>
        <w:t>Conclusion</w:t>
      </w:r>
      <w:bookmarkEnd w:id="49"/>
      <w:r w:rsidRPr="00C37B4E">
        <w:rPr>
          <w:rFonts w:ascii="Arial" w:hAnsi="Arial" w:cs="Arial"/>
        </w:rPr>
        <w:t xml:space="preserve"> </w:t>
      </w:r>
    </w:p>
    <w:p w14:paraId="000000DA" w14:textId="77777777" w:rsidR="007B536C" w:rsidRPr="00C37B4E" w:rsidRDefault="00000000">
      <w:pPr>
        <w:rPr>
          <w:rFonts w:ascii="Arial" w:hAnsi="Arial" w:cs="Arial"/>
        </w:rPr>
      </w:pPr>
      <w:r w:rsidRPr="00C37B4E">
        <w:rPr>
          <w:rFonts w:ascii="Arial" w:hAnsi="Arial" w:cs="Arial"/>
        </w:rPr>
        <w:t xml:space="preserve">The report can be concluded by stating that the success of a project, like developing a new product, Trackerz, by a company like Milbotix, can be supported by its stakeholders. The analysis based on the SWOT framework depicted the internal strengths and weaknesses of the company and the external opportunities and threats faced in the healthcare market. Moreover, the launch of the new wearable device can be based on the roles played by the stakeholders and the levels of contributions provided by them. The PESTEL framework evaluation depicted a clear picture based on the significant influence that the external environment factors of the healthcare sector have on the current operations of Milbotix. The project developed by the company regarding the launch of the new product is a vital aspect that is affected by its stakeholders. Moreover, the analysis of the internal stakeholders, like the project manager, senior management,  product development team, sales department and marketing team, and the external stakeholders, like suppliers, customers, the UK government, and local communities. The future growth of the company can be hugely affected by the ways Milbotix can improve stakeholder engagement. The project manager will play a vital role in ensuring that the stakeholders can be positively engaged by solving their issues and concerns. The recommendations provided in this report are related to the implementation of data analytics, linking performance management with stakeholder engagement and implementing appropriate conflict </w:t>
      </w:r>
      <w:r w:rsidRPr="00C37B4E">
        <w:rPr>
          <w:rFonts w:ascii="Arial" w:hAnsi="Arial" w:cs="Arial"/>
        </w:rPr>
        <w:lastRenderedPageBreak/>
        <w:t xml:space="preserve">management. The proper implementation of these strategies will have a positive influence on the success that Milbotix can gain after the launch of the new product. The success of this product will also lead to improvement of the business performance and its enhanced position in the sector. </w:t>
      </w:r>
    </w:p>
    <w:p w14:paraId="000000DB" w14:textId="77777777" w:rsidR="007B536C" w:rsidRPr="00C37B4E" w:rsidRDefault="007B536C">
      <w:pPr>
        <w:rPr>
          <w:rFonts w:ascii="Arial" w:hAnsi="Arial" w:cs="Arial"/>
        </w:rPr>
      </w:pPr>
    </w:p>
    <w:p w14:paraId="53EBF1BE" w14:textId="77777777" w:rsidR="006B2CBE" w:rsidRPr="00C37B4E" w:rsidRDefault="006B2CBE">
      <w:pPr>
        <w:pStyle w:val="Heading1"/>
        <w:rPr>
          <w:rFonts w:ascii="Arial" w:hAnsi="Arial" w:cs="Arial"/>
        </w:rPr>
      </w:pPr>
      <w:bookmarkStart w:id="50" w:name="_7jps03cx5n0" w:colFirst="0" w:colLast="0"/>
      <w:bookmarkEnd w:id="50"/>
      <w:r w:rsidRPr="00C37B4E">
        <w:rPr>
          <w:rFonts w:ascii="Arial" w:hAnsi="Arial" w:cs="Arial"/>
        </w:rPr>
        <w:br w:type="page"/>
      </w:r>
    </w:p>
    <w:p w14:paraId="000000DC" w14:textId="585F1D17" w:rsidR="007B536C" w:rsidRPr="00C37B4E" w:rsidRDefault="00000000">
      <w:pPr>
        <w:pStyle w:val="Heading1"/>
        <w:rPr>
          <w:rFonts w:ascii="Arial" w:hAnsi="Arial" w:cs="Arial"/>
        </w:rPr>
      </w:pPr>
      <w:bookmarkStart w:id="51" w:name="_Toc216718634"/>
      <w:r w:rsidRPr="00C37B4E">
        <w:rPr>
          <w:rFonts w:ascii="Arial" w:hAnsi="Arial" w:cs="Arial"/>
        </w:rPr>
        <w:lastRenderedPageBreak/>
        <w:t>References</w:t>
      </w:r>
      <w:bookmarkEnd w:id="51"/>
      <w:r w:rsidRPr="00C37B4E">
        <w:rPr>
          <w:rFonts w:ascii="Arial" w:hAnsi="Arial" w:cs="Arial"/>
        </w:rPr>
        <w:t xml:space="preserve"> </w:t>
      </w:r>
    </w:p>
    <w:p w14:paraId="3B0AE18D" w14:textId="77777777" w:rsidR="006B2CBE" w:rsidRPr="00C37B4E" w:rsidRDefault="006B2CBE">
      <w:pPr>
        <w:spacing w:after="200"/>
        <w:rPr>
          <w:rFonts w:ascii="Arial" w:hAnsi="Arial" w:cs="Arial"/>
        </w:rPr>
      </w:pPr>
      <w:r w:rsidRPr="00C37B4E">
        <w:rPr>
          <w:rFonts w:ascii="Arial" w:hAnsi="Arial" w:cs="Arial"/>
        </w:rPr>
        <w:t xml:space="preserve">Adepoju, A.H., Eweje, A., Collins, A. and Hamza, O., (2023) ‘Developing strategic roadmaps for data-driven organizations: A model for aligning projects with business goals’, </w:t>
      </w:r>
      <w:r w:rsidRPr="00C37B4E">
        <w:rPr>
          <w:rFonts w:ascii="Arial" w:hAnsi="Arial" w:cs="Arial"/>
          <w:i/>
          <w:iCs/>
        </w:rPr>
        <w:t>International Journal of Multidisciplinary Research and Growth Evaluation,</w:t>
      </w:r>
      <w:r w:rsidRPr="00C37B4E">
        <w:rPr>
          <w:rFonts w:ascii="Arial" w:hAnsi="Arial" w:cs="Arial"/>
        </w:rPr>
        <w:t xml:space="preserve"> 4(6), pp.1128-1140.</w:t>
      </w:r>
    </w:p>
    <w:p w14:paraId="2B7BB2D1" w14:textId="77777777" w:rsidR="006B2CBE" w:rsidRPr="00C37B4E" w:rsidRDefault="006B2CBE">
      <w:pPr>
        <w:rPr>
          <w:rFonts w:ascii="Arial" w:hAnsi="Arial" w:cs="Arial"/>
        </w:rPr>
      </w:pPr>
      <w:r w:rsidRPr="00C37B4E">
        <w:rPr>
          <w:rFonts w:ascii="Arial" w:hAnsi="Arial" w:cs="Arial"/>
        </w:rPr>
        <w:t xml:space="preserve">Ashcroft, J. (2017) </w:t>
      </w:r>
      <w:r w:rsidRPr="00C37B4E">
        <w:rPr>
          <w:rFonts w:ascii="Arial" w:hAnsi="Arial" w:cs="Arial"/>
          <w:i/>
          <w:iCs/>
        </w:rPr>
        <w:t>The relational lens: understanding, measuring, and managing stakeholder relationships.</w:t>
      </w:r>
      <w:r w:rsidRPr="00C37B4E">
        <w:rPr>
          <w:rFonts w:ascii="Arial" w:hAnsi="Arial" w:cs="Arial"/>
        </w:rPr>
        <w:t xml:space="preserve"> Cambridge: Cambridge University Press</w:t>
      </w:r>
    </w:p>
    <w:p w14:paraId="4387D88A" w14:textId="77777777" w:rsidR="006B2CBE" w:rsidRPr="00C37B4E" w:rsidRDefault="006B2CBE">
      <w:pPr>
        <w:spacing w:after="200"/>
        <w:rPr>
          <w:rFonts w:ascii="Arial" w:hAnsi="Arial" w:cs="Arial"/>
        </w:rPr>
      </w:pPr>
      <w:r w:rsidRPr="00C37B4E">
        <w:rPr>
          <w:rFonts w:ascii="Arial" w:hAnsi="Arial" w:cs="Arial"/>
        </w:rPr>
        <w:t xml:space="preserve">Awa, H.O., Etim, W. and Ogbonda, E., (2024) ‘Stakeholders, stakeholder theory and corporate social responsibility (CSR)’, </w:t>
      </w:r>
      <w:r w:rsidRPr="00C37B4E">
        <w:rPr>
          <w:rFonts w:ascii="Arial" w:hAnsi="Arial" w:cs="Arial"/>
          <w:i/>
          <w:iCs/>
        </w:rPr>
        <w:t>International Journal of Corporate Social Responsibility,</w:t>
      </w:r>
      <w:r w:rsidRPr="00C37B4E">
        <w:rPr>
          <w:rFonts w:ascii="Arial" w:hAnsi="Arial" w:cs="Arial"/>
        </w:rPr>
        <w:t xml:space="preserve"> 9(1), p.11.</w:t>
      </w:r>
    </w:p>
    <w:p w14:paraId="4D8AED17" w14:textId="77777777" w:rsidR="006B2CBE" w:rsidRPr="00C37B4E" w:rsidRDefault="006B2CBE">
      <w:pPr>
        <w:rPr>
          <w:rFonts w:ascii="Arial" w:hAnsi="Arial" w:cs="Arial"/>
        </w:rPr>
      </w:pPr>
      <w:r w:rsidRPr="00C37B4E">
        <w:rPr>
          <w:rFonts w:ascii="Arial" w:hAnsi="Arial" w:cs="Arial"/>
        </w:rPr>
        <w:t xml:space="preserve">Barros, T., Duarte, N. and Machado, M. (2024) ‘Communication, leadership and team motivation as drivers of success in project management-development of a conceptual framework’, </w:t>
      </w:r>
      <w:r w:rsidRPr="00C37B4E">
        <w:rPr>
          <w:rFonts w:ascii="Arial" w:hAnsi="Arial" w:cs="Arial"/>
          <w:i/>
          <w:iCs/>
        </w:rPr>
        <w:t>International Journal of Learning and Change,</w:t>
      </w:r>
      <w:r w:rsidRPr="00C37B4E">
        <w:rPr>
          <w:rFonts w:ascii="Arial" w:hAnsi="Arial" w:cs="Arial"/>
        </w:rPr>
        <w:t xml:space="preserve"> 16(2-3), pp.171-190.</w:t>
      </w:r>
    </w:p>
    <w:p w14:paraId="65B665B8" w14:textId="77777777" w:rsidR="006B2CBE" w:rsidRPr="00C37B4E" w:rsidRDefault="006B2CBE">
      <w:pPr>
        <w:spacing w:after="200"/>
        <w:rPr>
          <w:rFonts w:ascii="Arial" w:hAnsi="Arial" w:cs="Arial"/>
        </w:rPr>
      </w:pPr>
      <w:r w:rsidRPr="00C37B4E">
        <w:rPr>
          <w:rFonts w:ascii="Arial" w:hAnsi="Arial" w:cs="Arial"/>
        </w:rPr>
        <w:t xml:space="preserve">Borgeaud, A., (2025) </w:t>
      </w:r>
      <w:r w:rsidRPr="00C37B4E">
        <w:rPr>
          <w:rFonts w:ascii="Arial" w:hAnsi="Arial" w:cs="Arial"/>
          <w:i/>
          <w:iCs/>
        </w:rPr>
        <w:t>Wearables in the UK- statistics &amp; facts.</w:t>
      </w:r>
      <w:r w:rsidRPr="00C37B4E">
        <w:rPr>
          <w:rFonts w:ascii="Arial" w:hAnsi="Arial" w:cs="Arial"/>
        </w:rPr>
        <w:t xml:space="preserve"> Available at: </w:t>
      </w:r>
      <w:hyperlink r:id="rId9" w:anchor="topicOverview">
        <w:r w:rsidRPr="00C37B4E">
          <w:rPr>
            <w:rFonts w:ascii="Arial" w:hAnsi="Arial" w:cs="Arial"/>
            <w:u w:val="single"/>
          </w:rPr>
          <w:t>https://www.statista.com/topics/12225/wearables-in-the-uk/?srsltid=AfmBOoq16DYrSEyBXL28xI3bBeFhYjQzb5L37ZHM_hZhkzeFRjQ3dBgZ#topicOverview</w:t>
        </w:r>
      </w:hyperlink>
      <w:r w:rsidRPr="00C37B4E">
        <w:rPr>
          <w:rFonts w:ascii="Arial" w:hAnsi="Arial" w:cs="Arial"/>
        </w:rPr>
        <w:t xml:space="preserve"> (Accessed: 11 December 2025)</w:t>
      </w:r>
    </w:p>
    <w:p w14:paraId="21691FEF" w14:textId="77777777" w:rsidR="006B2CBE" w:rsidRPr="00C37B4E" w:rsidRDefault="006B2CBE">
      <w:pPr>
        <w:rPr>
          <w:rFonts w:ascii="Arial" w:hAnsi="Arial" w:cs="Arial"/>
        </w:rPr>
      </w:pPr>
      <w:r w:rsidRPr="00C37B4E">
        <w:rPr>
          <w:rFonts w:ascii="Arial" w:hAnsi="Arial" w:cs="Arial"/>
        </w:rPr>
        <w:t xml:space="preserve">Broccardo, L. and Mauro, S.G. (2024) ‘The path towards sustainability: The role of internal stakeholders and management accounting in a dialogic perspective’, </w:t>
      </w:r>
      <w:r w:rsidRPr="00C37B4E">
        <w:rPr>
          <w:rFonts w:ascii="Arial" w:hAnsi="Arial" w:cs="Arial"/>
          <w:i/>
          <w:iCs/>
        </w:rPr>
        <w:t xml:space="preserve">Corporate Social Responsibility and Environmental Management, </w:t>
      </w:r>
      <w:r w:rsidRPr="00C37B4E">
        <w:rPr>
          <w:rFonts w:ascii="Arial" w:hAnsi="Arial" w:cs="Arial"/>
        </w:rPr>
        <w:t xml:space="preserve">31(3), pp.2496-2513. </w:t>
      </w:r>
    </w:p>
    <w:p w14:paraId="58FAD05D" w14:textId="77777777" w:rsidR="006B2CBE" w:rsidRPr="00C37B4E" w:rsidRDefault="006B2CBE">
      <w:pPr>
        <w:rPr>
          <w:rFonts w:ascii="Arial" w:hAnsi="Arial" w:cs="Arial"/>
        </w:rPr>
      </w:pPr>
      <w:r w:rsidRPr="00C37B4E">
        <w:rPr>
          <w:rFonts w:ascii="Arial" w:hAnsi="Arial" w:cs="Arial"/>
        </w:rPr>
        <w:t xml:space="preserve">Christopher, M., Payne, A., and Ballantyne, D. (2013) </w:t>
      </w:r>
      <w:r w:rsidRPr="00C37B4E">
        <w:rPr>
          <w:rFonts w:ascii="Arial" w:hAnsi="Arial" w:cs="Arial"/>
          <w:i/>
          <w:iCs/>
        </w:rPr>
        <w:t>Relationship Marketing: Creating Stakeholder Value.</w:t>
      </w:r>
      <w:r w:rsidRPr="00C37B4E">
        <w:rPr>
          <w:rFonts w:ascii="Arial" w:hAnsi="Arial" w:cs="Arial"/>
        </w:rPr>
        <w:t xml:space="preserve"> Saint Louis: Taylor and Francis</w:t>
      </w:r>
    </w:p>
    <w:p w14:paraId="291876FF" w14:textId="77777777" w:rsidR="006B2CBE" w:rsidRPr="00C37B4E" w:rsidRDefault="006B2CBE">
      <w:pPr>
        <w:spacing w:after="200"/>
        <w:rPr>
          <w:rFonts w:ascii="Arial" w:hAnsi="Arial" w:cs="Arial"/>
        </w:rPr>
      </w:pPr>
      <w:r w:rsidRPr="00C37B4E">
        <w:rPr>
          <w:rFonts w:ascii="Arial" w:hAnsi="Arial" w:cs="Arial"/>
        </w:rPr>
        <w:t xml:space="preserve">Corvello, V., (2025) ‘Generative AI and the future of innovation management: A human centered perspective and an agenda for future research’, </w:t>
      </w:r>
      <w:r w:rsidRPr="00C37B4E">
        <w:rPr>
          <w:rFonts w:ascii="Arial" w:hAnsi="Arial" w:cs="Arial"/>
          <w:i/>
          <w:iCs/>
        </w:rPr>
        <w:t>Journal of Open Innovation: Technology, Market, and Complexity</w:t>
      </w:r>
      <w:r w:rsidRPr="00C37B4E">
        <w:rPr>
          <w:rFonts w:ascii="Arial" w:hAnsi="Arial" w:cs="Arial"/>
        </w:rPr>
        <w:t>, 11(1), p.100456.</w:t>
      </w:r>
    </w:p>
    <w:p w14:paraId="2A99EE1A" w14:textId="77777777" w:rsidR="006B2CBE" w:rsidRPr="00C37B4E" w:rsidRDefault="006B2CBE" w:rsidP="006B2CBE">
      <w:pPr>
        <w:spacing w:before="240" w:after="240"/>
        <w:rPr>
          <w:rFonts w:ascii="Arial" w:hAnsi="Arial" w:cs="Arial"/>
        </w:rPr>
      </w:pPr>
      <w:r w:rsidRPr="00C37B4E">
        <w:rPr>
          <w:rFonts w:ascii="Arial" w:hAnsi="Arial" w:cs="Arial"/>
        </w:rPr>
        <w:t xml:space="preserve">Dwivedi, R. and Dwivedi, P. (2021) ‘Role of stakeholders in project success: Theoretical background and approach’, </w:t>
      </w:r>
      <w:r w:rsidRPr="00C37B4E">
        <w:rPr>
          <w:rFonts w:ascii="Arial" w:hAnsi="Arial" w:cs="Arial"/>
          <w:i/>
          <w:iCs/>
        </w:rPr>
        <w:t xml:space="preserve">International journal of Finance, Insurance and Risk Management, </w:t>
      </w:r>
      <w:r w:rsidRPr="00C37B4E">
        <w:rPr>
          <w:rFonts w:ascii="Arial" w:hAnsi="Arial" w:cs="Arial"/>
        </w:rPr>
        <w:t xml:space="preserve">11(1), pp.38-49. </w:t>
      </w:r>
    </w:p>
    <w:p w14:paraId="6E5030A3" w14:textId="77777777" w:rsidR="006B2CBE" w:rsidRPr="00C37B4E" w:rsidRDefault="006B2CBE">
      <w:pPr>
        <w:spacing w:after="200"/>
        <w:rPr>
          <w:rFonts w:ascii="Arial" w:hAnsi="Arial" w:cs="Arial"/>
        </w:rPr>
      </w:pPr>
      <w:r w:rsidRPr="00C37B4E">
        <w:rPr>
          <w:rFonts w:ascii="Arial" w:hAnsi="Arial" w:cs="Arial"/>
        </w:rPr>
        <w:t xml:space="preserve">Experis (2025) </w:t>
      </w:r>
      <w:r w:rsidRPr="00C37B4E">
        <w:rPr>
          <w:rFonts w:ascii="Arial" w:hAnsi="Arial" w:cs="Arial"/>
          <w:i/>
          <w:iCs/>
        </w:rPr>
        <w:t>New year, same problems. Despite a softening in the general labour market, IT and tech organisations are still struggling to hire the talent they need.</w:t>
      </w:r>
      <w:r w:rsidRPr="00C37B4E">
        <w:rPr>
          <w:rFonts w:ascii="Arial" w:hAnsi="Arial" w:cs="Arial"/>
        </w:rPr>
        <w:t xml:space="preserve"> </w:t>
      </w:r>
      <w:r w:rsidRPr="00C37B4E">
        <w:rPr>
          <w:rFonts w:ascii="Arial" w:hAnsi="Arial" w:cs="Arial"/>
        </w:rPr>
        <w:lastRenderedPageBreak/>
        <w:t xml:space="preserve">Available at: </w:t>
      </w:r>
      <w:hyperlink r:id="rId10">
        <w:r w:rsidRPr="00C37B4E">
          <w:rPr>
            <w:rFonts w:ascii="Arial" w:hAnsi="Arial" w:cs="Arial"/>
            <w:u w:val="single"/>
          </w:rPr>
          <w:t>https://www.experis.co.uk/blog/2025/03/closing-the-digital-skills-gap-the-2025-talent-shortage?source=google.com</w:t>
        </w:r>
      </w:hyperlink>
      <w:r w:rsidRPr="00C37B4E">
        <w:rPr>
          <w:rFonts w:ascii="Arial" w:hAnsi="Arial" w:cs="Arial"/>
        </w:rPr>
        <w:t xml:space="preserve"> (Accessed: 12 December 2025)</w:t>
      </w:r>
    </w:p>
    <w:p w14:paraId="1566CB36" w14:textId="77777777" w:rsidR="006B2CBE" w:rsidRPr="00C37B4E" w:rsidRDefault="006B2CBE">
      <w:pPr>
        <w:spacing w:after="200"/>
        <w:rPr>
          <w:rFonts w:ascii="Arial" w:hAnsi="Arial" w:cs="Arial"/>
        </w:rPr>
      </w:pPr>
      <w:r w:rsidRPr="00C37B4E">
        <w:rPr>
          <w:rFonts w:ascii="Arial" w:hAnsi="Arial" w:cs="Arial"/>
        </w:rPr>
        <w:t xml:space="preserve">George, A.S., (2024) ‘The fourth industrial revolution: a primer on industry 4.0 and its transformative impact’, </w:t>
      </w:r>
      <w:r w:rsidRPr="00C37B4E">
        <w:rPr>
          <w:rFonts w:ascii="Arial" w:hAnsi="Arial" w:cs="Arial"/>
          <w:i/>
          <w:iCs/>
        </w:rPr>
        <w:t>Partners Universal Innovative Research Publication</w:t>
      </w:r>
      <w:r w:rsidRPr="00C37B4E">
        <w:rPr>
          <w:rFonts w:ascii="Arial" w:hAnsi="Arial" w:cs="Arial"/>
        </w:rPr>
        <w:t>, 2(1), pp.16-40.</w:t>
      </w:r>
    </w:p>
    <w:p w14:paraId="238EA2F9" w14:textId="77777777" w:rsidR="006B2CBE" w:rsidRPr="00C37B4E" w:rsidRDefault="006B2CBE">
      <w:pPr>
        <w:rPr>
          <w:rFonts w:ascii="Arial" w:hAnsi="Arial" w:cs="Arial"/>
        </w:rPr>
      </w:pPr>
      <w:r w:rsidRPr="00C37B4E">
        <w:rPr>
          <w:rFonts w:ascii="Arial" w:hAnsi="Arial" w:cs="Arial"/>
        </w:rPr>
        <w:t xml:space="preserve">Gill-Wiehl, A., Miles, S., Wu, J. and Kammen, D.M. (2022) ‘Beyond customer acquisition: A comprehensive review of community participation in mini grid projects’, </w:t>
      </w:r>
      <w:r w:rsidRPr="00C37B4E">
        <w:rPr>
          <w:rFonts w:ascii="Arial" w:hAnsi="Arial" w:cs="Arial"/>
          <w:i/>
          <w:iCs/>
        </w:rPr>
        <w:t xml:space="preserve">Renewable and Sustainable Energy Reviews, </w:t>
      </w:r>
      <w:r w:rsidRPr="00C37B4E">
        <w:rPr>
          <w:rFonts w:ascii="Arial" w:hAnsi="Arial" w:cs="Arial"/>
        </w:rPr>
        <w:t xml:space="preserve">153, p.111778. </w:t>
      </w:r>
    </w:p>
    <w:p w14:paraId="320EE175" w14:textId="77777777" w:rsidR="006B2CBE" w:rsidRPr="00C37B4E" w:rsidRDefault="006B2CBE" w:rsidP="006B2CBE">
      <w:pPr>
        <w:rPr>
          <w:rFonts w:ascii="Arial" w:hAnsi="Arial" w:cs="Arial"/>
        </w:rPr>
      </w:pPr>
      <w:r w:rsidRPr="00C37B4E">
        <w:rPr>
          <w:rFonts w:ascii="Arial" w:hAnsi="Arial" w:cs="Arial"/>
        </w:rPr>
        <w:t xml:space="preserve">Grzegorzek, J. (2024) </w:t>
      </w:r>
      <w:r w:rsidRPr="00C37B4E">
        <w:rPr>
          <w:rFonts w:ascii="Arial" w:hAnsi="Arial" w:cs="Arial"/>
          <w:i/>
          <w:iCs/>
        </w:rPr>
        <w:t>Stakeholder conflict. as different stakeholder groups have… | by Jerry Grzegorzek | Medium</w:t>
      </w:r>
      <w:r w:rsidRPr="00C37B4E">
        <w:rPr>
          <w:rFonts w:ascii="Arial" w:hAnsi="Arial" w:cs="Arial"/>
        </w:rPr>
        <w:t xml:space="preserve">. Available at: </w:t>
      </w:r>
      <w:hyperlink r:id="rId11">
        <w:r w:rsidRPr="00C37B4E">
          <w:rPr>
            <w:rFonts w:ascii="Arial" w:hAnsi="Arial" w:cs="Arial"/>
            <w:u w:val="single"/>
          </w:rPr>
          <w:t>https://medium.com/@jerrygrzegorzek/stakeholder-conflict-6ac43061096b</w:t>
        </w:r>
      </w:hyperlink>
      <w:r w:rsidRPr="00C37B4E">
        <w:rPr>
          <w:rFonts w:ascii="Arial" w:hAnsi="Arial" w:cs="Arial"/>
        </w:rPr>
        <w:t xml:space="preserve"> (Accessed: 15 December 2025). </w:t>
      </w:r>
    </w:p>
    <w:p w14:paraId="7FEC056A" w14:textId="77777777" w:rsidR="006B2CBE" w:rsidRPr="00C37B4E" w:rsidRDefault="006B2CBE">
      <w:pPr>
        <w:rPr>
          <w:rFonts w:ascii="Arial" w:hAnsi="Arial" w:cs="Arial"/>
        </w:rPr>
      </w:pPr>
      <w:r w:rsidRPr="00C37B4E">
        <w:rPr>
          <w:rFonts w:ascii="Arial" w:hAnsi="Arial" w:cs="Arial"/>
        </w:rPr>
        <w:t>Hughes, M., Hughes, P., Hodgkinson, I., Chang, Y.Y. and Chang, C.Y. (2022) ‘Knowledge</w:t>
      </w:r>
      <w:r w:rsidRPr="00C37B4E">
        <w:rPr>
          <w:rFonts w:ascii="Cambria Math" w:hAnsi="Cambria Math" w:cs="Cambria Math"/>
        </w:rPr>
        <w:t>‐</w:t>
      </w:r>
      <w:r w:rsidRPr="00C37B4E">
        <w:rPr>
          <w:rFonts w:ascii="Arial" w:hAnsi="Arial" w:cs="Arial"/>
        </w:rPr>
        <w:t xml:space="preserve">based theory, entrepreneurial orientation, stakeholder engagement, and firm performance’, </w:t>
      </w:r>
      <w:r w:rsidRPr="00C37B4E">
        <w:rPr>
          <w:rFonts w:ascii="Arial" w:hAnsi="Arial" w:cs="Arial"/>
          <w:i/>
          <w:iCs/>
        </w:rPr>
        <w:t xml:space="preserve">Strategic Entrepreneurship Journal, </w:t>
      </w:r>
      <w:r w:rsidRPr="00C37B4E">
        <w:rPr>
          <w:rFonts w:ascii="Arial" w:hAnsi="Arial" w:cs="Arial"/>
        </w:rPr>
        <w:t>16(3), pp.633-665.</w:t>
      </w:r>
    </w:p>
    <w:p w14:paraId="1C98B164" w14:textId="77777777" w:rsidR="006B2CBE" w:rsidRPr="00C37B4E" w:rsidRDefault="006B2CBE">
      <w:pPr>
        <w:rPr>
          <w:rFonts w:ascii="Arial" w:hAnsi="Arial" w:cs="Arial"/>
        </w:rPr>
      </w:pPr>
      <w:r w:rsidRPr="00C37B4E">
        <w:rPr>
          <w:rFonts w:ascii="Arial" w:hAnsi="Arial" w:cs="Arial"/>
        </w:rPr>
        <w:t xml:space="preserve">Jensen, M.H. and Kadenic, M.D. (2024) ‘Enhancing big data analytics deployment: uncovering stakeholder dynamics and balancing salience in project roles’, </w:t>
      </w:r>
      <w:r w:rsidRPr="00C37B4E">
        <w:rPr>
          <w:rFonts w:ascii="Arial" w:hAnsi="Arial" w:cs="Arial"/>
          <w:i/>
          <w:iCs/>
        </w:rPr>
        <w:t>Software Quality Journal,</w:t>
      </w:r>
      <w:r w:rsidRPr="00C37B4E">
        <w:rPr>
          <w:rFonts w:ascii="Arial" w:hAnsi="Arial" w:cs="Arial"/>
        </w:rPr>
        <w:t xml:space="preserve"> 32(2), pp.703-727.</w:t>
      </w:r>
    </w:p>
    <w:p w14:paraId="28DA02CD" w14:textId="77777777" w:rsidR="006B2CBE" w:rsidRPr="00C37B4E" w:rsidRDefault="006B2CBE">
      <w:pPr>
        <w:rPr>
          <w:rFonts w:ascii="Arial" w:hAnsi="Arial" w:cs="Arial"/>
        </w:rPr>
      </w:pPr>
      <w:r w:rsidRPr="00C37B4E">
        <w:rPr>
          <w:rFonts w:ascii="Arial" w:hAnsi="Arial" w:cs="Arial"/>
        </w:rPr>
        <w:t xml:space="preserve">John, N.E., Nwaguru, P. and Williams, A.J. (2022) ‘Assessing materials vendor selection in construction project supply chain: The relative importance index approach’, </w:t>
      </w:r>
      <w:r w:rsidRPr="00C37B4E">
        <w:rPr>
          <w:rFonts w:ascii="Arial" w:hAnsi="Arial" w:cs="Arial"/>
          <w:i/>
          <w:iCs/>
        </w:rPr>
        <w:t>International Journal of Construction Supply Chain Management,</w:t>
      </w:r>
      <w:r w:rsidRPr="00C37B4E">
        <w:rPr>
          <w:rFonts w:ascii="Arial" w:hAnsi="Arial" w:cs="Arial"/>
        </w:rPr>
        <w:t xml:space="preserve"> 12(2), pp.32-46. </w:t>
      </w:r>
    </w:p>
    <w:p w14:paraId="4EAA3229" w14:textId="77777777" w:rsidR="006B2CBE" w:rsidRPr="00C37B4E" w:rsidRDefault="006B2CBE">
      <w:pPr>
        <w:spacing w:after="200"/>
        <w:rPr>
          <w:rFonts w:ascii="Arial" w:hAnsi="Arial" w:cs="Arial"/>
        </w:rPr>
      </w:pPr>
      <w:r w:rsidRPr="00C37B4E">
        <w:rPr>
          <w:rFonts w:ascii="Arial" w:hAnsi="Arial" w:cs="Arial"/>
        </w:rPr>
        <w:t xml:space="preserve">Kalu, N.E., Ofobuike, C.L. and Kenechukwu, A.O., (2025) ‘Assessing the Impact of the USA-China Trade war on Global supply chains: Implications for Nigeria’s Inflation Rates’, </w:t>
      </w:r>
      <w:r w:rsidRPr="00C37B4E">
        <w:rPr>
          <w:rFonts w:ascii="Arial" w:hAnsi="Arial" w:cs="Arial"/>
          <w:i/>
          <w:iCs/>
        </w:rPr>
        <w:t>Advance Journal of Economics and Marketing Research</w:t>
      </w:r>
      <w:r w:rsidRPr="00C37B4E">
        <w:rPr>
          <w:rFonts w:ascii="Arial" w:hAnsi="Arial" w:cs="Arial"/>
        </w:rPr>
        <w:t>, 10(3), pp.12-25.</w:t>
      </w:r>
    </w:p>
    <w:p w14:paraId="725337DE" w14:textId="77777777" w:rsidR="006B2CBE" w:rsidRPr="00C37B4E" w:rsidRDefault="006B2CBE" w:rsidP="006B2CBE">
      <w:pPr>
        <w:rPr>
          <w:rFonts w:ascii="Arial" w:hAnsi="Arial" w:cs="Arial"/>
        </w:rPr>
      </w:pPr>
      <w:r w:rsidRPr="00C37B4E">
        <w:rPr>
          <w:rFonts w:ascii="Arial" w:hAnsi="Arial" w:cs="Arial"/>
        </w:rPr>
        <w:t xml:space="preserve">Kujala, J., Sachs, S., Leinonen, H., Heikkinen, A. and Laude, D. (2022) ‘Stakeholder engagement: Past, present, and future’, </w:t>
      </w:r>
      <w:r w:rsidRPr="00C37B4E">
        <w:rPr>
          <w:rFonts w:ascii="Arial" w:hAnsi="Arial" w:cs="Arial"/>
          <w:i/>
          <w:iCs/>
        </w:rPr>
        <w:t xml:space="preserve">Business &amp; Society, </w:t>
      </w:r>
      <w:r w:rsidRPr="00C37B4E">
        <w:rPr>
          <w:rFonts w:ascii="Arial" w:hAnsi="Arial" w:cs="Arial"/>
        </w:rPr>
        <w:t xml:space="preserve">61(5), pp.1136-1196. </w:t>
      </w:r>
    </w:p>
    <w:p w14:paraId="7D932BD7" w14:textId="77777777" w:rsidR="006B2CBE" w:rsidRPr="00C37B4E" w:rsidRDefault="006B2CBE">
      <w:pPr>
        <w:rPr>
          <w:rFonts w:ascii="Arial" w:hAnsi="Arial" w:cs="Arial"/>
        </w:rPr>
      </w:pPr>
      <w:r w:rsidRPr="00C37B4E">
        <w:rPr>
          <w:rFonts w:ascii="Arial" w:hAnsi="Arial" w:cs="Arial"/>
        </w:rPr>
        <w:t>Maqbool, R., Rashid, Y. and Ashfaq, S. (2022) ‘Renewable energy project success: Internal versus external stakeholders' satisfaction and influences of power</w:t>
      </w:r>
      <w:r w:rsidRPr="00C37B4E">
        <w:rPr>
          <w:rFonts w:ascii="Cambria Math" w:hAnsi="Cambria Math" w:cs="Cambria Math"/>
        </w:rPr>
        <w:t>‐</w:t>
      </w:r>
      <w:r w:rsidRPr="00C37B4E">
        <w:rPr>
          <w:rFonts w:ascii="Arial" w:hAnsi="Arial" w:cs="Arial"/>
        </w:rPr>
        <w:t xml:space="preserve">interest matrix’, </w:t>
      </w:r>
      <w:r w:rsidRPr="00C37B4E">
        <w:rPr>
          <w:rFonts w:ascii="Arial" w:hAnsi="Arial" w:cs="Arial"/>
          <w:i/>
          <w:iCs/>
        </w:rPr>
        <w:t>Sustainable Development,</w:t>
      </w:r>
      <w:r w:rsidRPr="00C37B4E">
        <w:rPr>
          <w:rFonts w:ascii="Arial" w:hAnsi="Arial" w:cs="Arial"/>
        </w:rPr>
        <w:t xml:space="preserve"> 30(6), pp.1542-1561. </w:t>
      </w:r>
    </w:p>
    <w:p w14:paraId="1205E266" w14:textId="77777777" w:rsidR="006B2CBE" w:rsidRPr="00C37B4E" w:rsidRDefault="006B2CBE">
      <w:pPr>
        <w:rPr>
          <w:rFonts w:ascii="Arial" w:hAnsi="Arial" w:cs="Arial"/>
        </w:rPr>
      </w:pPr>
      <w:r w:rsidRPr="00C37B4E">
        <w:rPr>
          <w:rFonts w:ascii="Arial" w:hAnsi="Arial" w:cs="Arial"/>
        </w:rPr>
        <w:lastRenderedPageBreak/>
        <w:t xml:space="preserve">Marion, T.J. and Fixson, S.K. (2021) ‘The transformation of the innovation process: How digital tools are changing work, collaboration, and organizations in new product development’, </w:t>
      </w:r>
      <w:r w:rsidRPr="00C37B4E">
        <w:rPr>
          <w:rFonts w:ascii="Arial" w:hAnsi="Arial" w:cs="Arial"/>
          <w:i/>
          <w:iCs/>
        </w:rPr>
        <w:t xml:space="preserve">Journal of Product Innovation Management, </w:t>
      </w:r>
      <w:r w:rsidRPr="00C37B4E">
        <w:rPr>
          <w:rFonts w:ascii="Arial" w:hAnsi="Arial" w:cs="Arial"/>
        </w:rPr>
        <w:t xml:space="preserve">38(1), pp.192-215. </w:t>
      </w:r>
    </w:p>
    <w:p w14:paraId="06CB304F" w14:textId="77777777" w:rsidR="006B2CBE" w:rsidRPr="00C37B4E" w:rsidRDefault="006B2CBE">
      <w:pPr>
        <w:spacing w:before="240" w:after="240"/>
        <w:rPr>
          <w:rFonts w:ascii="Arial" w:hAnsi="Arial" w:cs="Arial"/>
        </w:rPr>
      </w:pPr>
      <w:r w:rsidRPr="00C37B4E">
        <w:rPr>
          <w:rFonts w:ascii="Arial" w:hAnsi="Arial" w:cs="Arial"/>
        </w:rPr>
        <w:t xml:space="preserve">McKinsey &amp; Company (2020) </w:t>
      </w:r>
      <w:r w:rsidRPr="00C37B4E">
        <w:rPr>
          <w:rFonts w:ascii="Arial" w:hAnsi="Arial" w:cs="Arial"/>
          <w:i/>
          <w:iCs/>
        </w:rPr>
        <w:t>A data-backed approach to stakeholder engagement</w:t>
      </w:r>
      <w:r w:rsidRPr="00C37B4E">
        <w:rPr>
          <w:rFonts w:ascii="Arial" w:hAnsi="Arial" w:cs="Arial"/>
        </w:rPr>
        <w:t xml:space="preserve">, </w:t>
      </w:r>
      <w:r w:rsidRPr="00C37B4E">
        <w:rPr>
          <w:rFonts w:ascii="Arial" w:hAnsi="Arial" w:cs="Arial"/>
          <w:i/>
          <w:iCs/>
        </w:rPr>
        <w:t>McKinsey &amp; Company</w:t>
      </w:r>
      <w:r w:rsidRPr="00C37B4E">
        <w:rPr>
          <w:rFonts w:ascii="Arial" w:hAnsi="Arial" w:cs="Arial"/>
        </w:rPr>
        <w:t xml:space="preserve">. Available at: </w:t>
      </w:r>
      <w:hyperlink r:id="rId12">
        <w:r w:rsidRPr="00C37B4E">
          <w:rPr>
            <w:rFonts w:ascii="Arial" w:hAnsi="Arial" w:cs="Arial"/>
            <w:u w:val="single"/>
          </w:rPr>
          <w:t>https://www.mckinsey.com/capabilities/people-and-organizational-performance/our-insights/the-organization-blog/a-data-backed-approach-to-stakeholder-engagement</w:t>
        </w:r>
      </w:hyperlink>
      <w:r w:rsidRPr="00C37B4E">
        <w:rPr>
          <w:rFonts w:ascii="Arial" w:hAnsi="Arial" w:cs="Arial"/>
        </w:rPr>
        <w:t xml:space="preserve"> (Accessed: 15 December 2025). </w:t>
      </w:r>
    </w:p>
    <w:p w14:paraId="3C090497" w14:textId="77777777" w:rsidR="006B2CBE" w:rsidRPr="00C37B4E" w:rsidRDefault="006B2CBE" w:rsidP="006B2CBE">
      <w:pPr>
        <w:rPr>
          <w:rFonts w:ascii="Arial" w:hAnsi="Arial" w:cs="Arial"/>
        </w:rPr>
      </w:pPr>
      <w:r w:rsidRPr="00C37B4E">
        <w:rPr>
          <w:rFonts w:ascii="Arial" w:hAnsi="Arial" w:cs="Arial"/>
        </w:rPr>
        <w:t>Milbotix (2025)</w:t>
      </w:r>
      <w:r w:rsidRPr="00C37B4E">
        <w:rPr>
          <w:rFonts w:ascii="Arial" w:hAnsi="Arial" w:cs="Arial"/>
          <w:i/>
          <w:iCs/>
        </w:rPr>
        <w:t xml:space="preserve"> Milbotix and HUG by LAUGH® Announce Groundbreaking Collaboration to Enhance Wellbeing in Dementia Care</w:t>
      </w:r>
      <w:r w:rsidRPr="00C37B4E">
        <w:rPr>
          <w:rFonts w:ascii="Arial" w:hAnsi="Arial" w:cs="Arial"/>
        </w:rPr>
        <w:t xml:space="preserve">. Available at: </w:t>
      </w:r>
      <w:hyperlink r:id="rId13">
        <w:r w:rsidRPr="00C37B4E">
          <w:rPr>
            <w:rFonts w:ascii="Arial" w:hAnsi="Arial" w:cs="Arial"/>
            <w:u w:val="single"/>
          </w:rPr>
          <w:t>https://milbotix.com/milbotix-and-hug-by-laugh-announce-groundbreaking-collaboration-to-enhance-wellbeing-in-dementia-care/</w:t>
        </w:r>
      </w:hyperlink>
      <w:r w:rsidRPr="00C37B4E">
        <w:rPr>
          <w:rFonts w:ascii="Arial" w:hAnsi="Arial" w:cs="Arial"/>
        </w:rPr>
        <w:t xml:space="preserve"> (Accessed: 10 December 2025)</w:t>
      </w:r>
    </w:p>
    <w:p w14:paraId="4101F00B" w14:textId="77777777" w:rsidR="006B2CBE" w:rsidRPr="00C37B4E" w:rsidRDefault="006B2CBE" w:rsidP="006B2CBE">
      <w:pPr>
        <w:spacing w:before="240" w:after="240"/>
        <w:rPr>
          <w:rFonts w:ascii="Arial" w:hAnsi="Arial" w:cs="Arial"/>
        </w:rPr>
      </w:pPr>
      <w:r w:rsidRPr="00C37B4E">
        <w:rPr>
          <w:rFonts w:ascii="Arial" w:hAnsi="Arial" w:cs="Arial"/>
        </w:rPr>
        <w:t xml:space="preserve">Milbotix (2025). </w:t>
      </w:r>
      <w:r w:rsidRPr="00C37B4E">
        <w:rPr>
          <w:rFonts w:ascii="Arial" w:hAnsi="Arial" w:cs="Arial"/>
          <w:i/>
          <w:iCs/>
        </w:rPr>
        <w:t>About Milbotix</w:t>
      </w:r>
      <w:r w:rsidRPr="00C37B4E">
        <w:rPr>
          <w:rFonts w:ascii="Arial" w:hAnsi="Arial" w:cs="Arial"/>
        </w:rPr>
        <w:t xml:space="preserve">, </w:t>
      </w:r>
      <w:r w:rsidRPr="00C37B4E">
        <w:rPr>
          <w:rFonts w:ascii="Arial" w:hAnsi="Arial" w:cs="Arial"/>
          <w:i/>
          <w:iCs/>
        </w:rPr>
        <w:t>Milbotix.</w:t>
      </w:r>
      <w:r w:rsidRPr="00C37B4E">
        <w:rPr>
          <w:rFonts w:ascii="Arial" w:hAnsi="Arial" w:cs="Arial"/>
        </w:rPr>
        <w:t xml:space="preserve"> Available at: </w:t>
      </w:r>
      <w:hyperlink r:id="rId14">
        <w:r w:rsidRPr="00C37B4E">
          <w:rPr>
            <w:rFonts w:ascii="Arial" w:hAnsi="Arial" w:cs="Arial"/>
            <w:u w:val="single"/>
          </w:rPr>
          <w:t>https://milbotix.com/about/</w:t>
        </w:r>
      </w:hyperlink>
      <w:r w:rsidRPr="00C37B4E">
        <w:rPr>
          <w:rFonts w:ascii="Arial" w:hAnsi="Arial" w:cs="Arial"/>
        </w:rPr>
        <w:t xml:space="preserve"> (Accessed: 15 December 2025). </w:t>
      </w:r>
    </w:p>
    <w:p w14:paraId="0262B203" w14:textId="77777777" w:rsidR="006B2CBE" w:rsidRPr="00C37B4E" w:rsidRDefault="006B2CBE">
      <w:pPr>
        <w:spacing w:after="200"/>
        <w:rPr>
          <w:rFonts w:ascii="Arial" w:hAnsi="Arial" w:cs="Arial"/>
        </w:rPr>
      </w:pPr>
      <w:r w:rsidRPr="00C37B4E">
        <w:rPr>
          <w:rFonts w:ascii="Arial" w:hAnsi="Arial" w:cs="Arial"/>
        </w:rPr>
        <w:t xml:space="preserve">Newaz, A.I., Sikder, A.K., Rahman, M.A. and Uluagac, A.S., (2021) ‘A survey on security and privacy issues in modern healthcare systems: Attacks and defenses’, </w:t>
      </w:r>
      <w:r w:rsidRPr="00C37B4E">
        <w:rPr>
          <w:rFonts w:ascii="Arial" w:hAnsi="Arial" w:cs="Arial"/>
          <w:i/>
          <w:iCs/>
        </w:rPr>
        <w:t>ACM Transactions on Computing for Healthcare,</w:t>
      </w:r>
      <w:r w:rsidRPr="00C37B4E">
        <w:rPr>
          <w:rFonts w:ascii="Arial" w:hAnsi="Arial" w:cs="Arial"/>
        </w:rPr>
        <w:t xml:space="preserve"> 2(3), pp.1-44.</w:t>
      </w:r>
    </w:p>
    <w:p w14:paraId="1F53D2AA" w14:textId="77777777" w:rsidR="006B2CBE" w:rsidRPr="00C37B4E" w:rsidRDefault="006B2CBE">
      <w:pPr>
        <w:rPr>
          <w:rFonts w:ascii="Arial" w:hAnsi="Arial" w:cs="Arial"/>
        </w:rPr>
      </w:pPr>
      <w:r w:rsidRPr="00C37B4E">
        <w:rPr>
          <w:rFonts w:ascii="Arial" w:hAnsi="Arial" w:cs="Arial"/>
        </w:rPr>
        <w:t xml:space="preserve">Nudurupati, S.S., Garengo, P. and Bititci, U.S. (2021) ‘Impact of the changing business environment on performance measurement and management practices’, </w:t>
      </w:r>
      <w:r w:rsidRPr="00C37B4E">
        <w:rPr>
          <w:rFonts w:ascii="Arial" w:hAnsi="Arial" w:cs="Arial"/>
          <w:i/>
          <w:iCs/>
        </w:rPr>
        <w:t>International Journal of Production Economics,</w:t>
      </w:r>
      <w:r w:rsidRPr="00C37B4E">
        <w:rPr>
          <w:rFonts w:ascii="Arial" w:hAnsi="Arial" w:cs="Arial"/>
        </w:rPr>
        <w:t xml:space="preserve"> 232, p.107942.</w:t>
      </w:r>
    </w:p>
    <w:p w14:paraId="6DC598BA" w14:textId="77777777" w:rsidR="006B2CBE" w:rsidRPr="00C37B4E" w:rsidRDefault="006B2CBE">
      <w:pPr>
        <w:rPr>
          <w:rFonts w:ascii="Arial" w:hAnsi="Arial" w:cs="Arial"/>
        </w:rPr>
      </w:pPr>
      <w:r w:rsidRPr="00C37B4E">
        <w:rPr>
          <w:rFonts w:ascii="Arial" w:hAnsi="Arial" w:cs="Arial"/>
        </w:rPr>
        <w:t>Sena, V., Kanungo, R.P., Ozdemir, S., Yannopoulou, N. and Patel, P. (2023) ‘Are reshoring decisions influenced by external stakeholders and country</w:t>
      </w:r>
      <w:r w:rsidRPr="00C37B4E">
        <w:rPr>
          <w:rFonts w:ascii="Cambria Math" w:hAnsi="Cambria Math" w:cs="Cambria Math"/>
        </w:rPr>
        <w:t>‐</w:t>
      </w:r>
      <w:r w:rsidRPr="00C37B4E">
        <w:rPr>
          <w:rFonts w:ascii="Arial" w:hAnsi="Arial" w:cs="Arial"/>
        </w:rPr>
        <w:t xml:space="preserve">level environmental regulation?’, </w:t>
      </w:r>
      <w:r w:rsidRPr="00C37B4E">
        <w:rPr>
          <w:rFonts w:ascii="Arial" w:hAnsi="Arial" w:cs="Arial"/>
          <w:i/>
          <w:iCs/>
        </w:rPr>
        <w:t>British Journal of Management,</w:t>
      </w:r>
      <w:r w:rsidRPr="00C37B4E">
        <w:rPr>
          <w:rFonts w:ascii="Arial" w:hAnsi="Arial" w:cs="Arial"/>
        </w:rPr>
        <w:t xml:space="preserve"> 34(3), pp.1184-1214. </w:t>
      </w:r>
    </w:p>
    <w:p w14:paraId="508107AA" w14:textId="77777777" w:rsidR="006B2CBE" w:rsidRPr="00C37B4E" w:rsidRDefault="006B2CBE" w:rsidP="006B2CBE">
      <w:pPr>
        <w:rPr>
          <w:rFonts w:ascii="Arial" w:hAnsi="Arial" w:cs="Arial"/>
        </w:rPr>
      </w:pPr>
      <w:r w:rsidRPr="00C37B4E">
        <w:rPr>
          <w:rFonts w:ascii="Arial" w:hAnsi="Arial" w:cs="Arial"/>
        </w:rPr>
        <w:t xml:space="preserve">Sodoma, R., Kovalchuk, O., Sadura, O. and Popadynets, N. (2023) ‘Promotions and Team Building for Marketing Campaigns’, </w:t>
      </w:r>
      <w:r w:rsidRPr="00C37B4E">
        <w:rPr>
          <w:rFonts w:ascii="Arial" w:hAnsi="Arial" w:cs="Arial"/>
          <w:i/>
          <w:iCs/>
        </w:rPr>
        <w:t xml:space="preserve">Journal of Vasyl Stefanyk Precarpathian National University, </w:t>
      </w:r>
      <w:r w:rsidRPr="00C37B4E">
        <w:rPr>
          <w:rFonts w:ascii="Arial" w:hAnsi="Arial" w:cs="Arial"/>
        </w:rPr>
        <w:t xml:space="preserve">10(2), pp.59-68. </w:t>
      </w:r>
    </w:p>
    <w:p w14:paraId="010FD469" w14:textId="77777777" w:rsidR="006B2CBE" w:rsidRPr="00C37B4E" w:rsidRDefault="006B2CBE">
      <w:pPr>
        <w:rPr>
          <w:rFonts w:ascii="Arial" w:hAnsi="Arial" w:cs="Arial"/>
        </w:rPr>
      </w:pPr>
      <w:r w:rsidRPr="00C37B4E">
        <w:rPr>
          <w:rFonts w:ascii="Arial" w:hAnsi="Arial" w:cs="Arial"/>
        </w:rPr>
        <w:t xml:space="preserve">Somphol, R., Pimsak, A., Payoungkiattikun, W. and Hemtasin, C. (2022) ‘Enhancing 4Cs Skills of Secondary School Students Using Project-Based Learning’, </w:t>
      </w:r>
      <w:r w:rsidRPr="00C37B4E">
        <w:rPr>
          <w:rFonts w:ascii="Arial" w:hAnsi="Arial" w:cs="Arial"/>
          <w:i/>
          <w:iCs/>
        </w:rPr>
        <w:t>Journal of Educational Issues,</w:t>
      </w:r>
      <w:r w:rsidRPr="00C37B4E">
        <w:rPr>
          <w:rFonts w:ascii="Arial" w:hAnsi="Arial" w:cs="Arial"/>
        </w:rPr>
        <w:t xml:space="preserve"> 8(2), pp.721-731.</w:t>
      </w:r>
    </w:p>
    <w:p w14:paraId="575476D7" w14:textId="77777777" w:rsidR="006B2CBE" w:rsidRPr="00C37B4E" w:rsidRDefault="006B2CBE">
      <w:pPr>
        <w:spacing w:after="200"/>
        <w:rPr>
          <w:rFonts w:ascii="Arial" w:hAnsi="Arial" w:cs="Arial"/>
        </w:rPr>
      </w:pPr>
      <w:r w:rsidRPr="00C37B4E">
        <w:rPr>
          <w:rFonts w:ascii="Arial" w:hAnsi="Arial" w:cs="Arial"/>
        </w:rPr>
        <w:lastRenderedPageBreak/>
        <w:t xml:space="preserve">Tian, Y.J., Felber, N.A., Pageau, F., Schwab, D.R. and Wangmo, T., (2024) ‘Benefits and barriers associated with the use of smart home health technologies in the care of older persons: a systematic review’, </w:t>
      </w:r>
      <w:r w:rsidRPr="00C37B4E">
        <w:rPr>
          <w:rFonts w:ascii="Arial" w:hAnsi="Arial" w:cs="Arial"/>
          <w:i/>
          <w:iCs/>
        </w:rPr>
        <w:t>BMC geriatrics,</w:t>
      </w:r>
      <w:r w:rsidRPr="00C37B4E">
        <w:rPr>
          <w:rFonts w:ascii="Arial" w:hAnsi="Arial" w:cs="Arial"/>
        </w:rPr>
        <w:t xml:space="preserve"> 24(1), p.152.</w:t>
      </w:r>
    </w:p>
    <w:p w14:paraId="5E6006DF" w14:textId="77777777" w:rsidR="006B2CBE" w:rsidRPr="00C37B4E" w:rsidRDefault="006B2CBE">
      <w:pPr>
        <w:rPr>
          <w:rFonts w:ascii="Arial" w:hAnsi="Arial" w:cs="Arial"/>
        </w:rPr>
      </w:pPr>
      <w:r w:rsidRPr="00C37B4E">
        <w:rPr>
          <w:rFonts w:ascii="Arial" w:hAnsi="Arial" w:cs="Arial"/>
        </w:rPr>
        <w:t xml:space="preserve">Todorova, G., Goh, K.T. and Weingart, L.R. (2022) ‘The effects of conflict type and conflict expression intensity on conflict management’, </w:t>
      </w:r>
      <w:r w:rsidRPr="00C37B4E">
        <w:rPr>
          <w:rFonts w:ascii="Arial" w:hAnsi="Arial" w:cs="Arial"/>
          <w:i/>
          <w:iCs/>
        </w:rPr>
        <w:t xml:space="preserve">International Journal of Conflict Management, </w:t>
      </w:r>
      <w:r w:rsidRPr="00C37B4E">
        <w:rPr>
          <w:rFonts w:ascii="Arial" w:hAnsi="Arial" w:cs="Arial"/>
        </w:rPr>
        <w:t>33(2), pp.245-272.</w:t>
      </w:r>
    </w:p>
    <w:p w14:paraId="24F48C7A" w14:textId="77777777" w:rsidR="006B2CBE" w:rsidRPr="00C37B4E" w:rsidRDefault="006B2CBE">
      <w:pPr>
        <w:rPr>
          <w:rFonts w:ascii="Arial" w:hAnsi="Arial" w:cs="Arial"/>
        </w:rPr>
      </w:pPr>
      <w:r w:rsidRPr="00C37B4E">
        <w:rPr>
          <w:rFonts w:ascii="Arial" w:hAnsi="Arial" w:cs="Arial"/>
        </w:rPr>
        <w:t xml:space="preserve">Tsipursky, Dr.G. (2023) </w:t>
      </w:r>
      <w:r w:rsidRPr="00C37B4E">
        <w:rPr>
          <w:rFonts w:ascii="Arial" w:hAnsi="Arial" w:cs="Arial"/>
          <w:i/>
          <w:iCs/>
        </w:rPr>
        <w:t>Mastering stakeholder engagement to drive business success</w:t>
      </w:r>
      <w:r w:rsidRPr="00C37B4E">
        <w:rPr>
          <w:rFonts w:ascii="Arial" w:hAnsi="Arial" w:cs="Arial"/>
        </w:rPr>
        <w:t xml:space="preserve">, </w:t>
      </w:r>
      <w:r w:rsidRPr="00C37B4E">
        <w:rPr>
          <w:rFonts w:ascii="Arial" w:hAnsi="Arial" w:cs="Arial"/>
          <w:i/>
          <w:iCs/>
        </w:rPr>
        <w:t>Forbes</w:t>
      </w:r>
      <w:r w:rsidRPr="00C37B4E">
        <w:rPr>
          <w:rFonts w:ascii="Arial" w:hAnsi="Arial" w:cs="Arial"/>
        </w:rPr>
        <w:t xml:space="preserve">. Available at: </w:t>
      </w:r>
      <w:hyperlink r:id="rId15">
        <w:r w:rsidRPr="00C37B4E">
          <w:rPr>
            <w:rFonts w:ascii="Arial" w:hAnsi="Arial" w:cs="Arial"/>
            <w:u w:val="single"/>
          </w:rPr>
          <w:t>https://www.forbes.com/sites/glebtsipursky/2023/04/23/mastering-stakeholder-engagement-to-drive-business-success/</w:t>
        </w:r>
      </w:hyperlink>
      <w:r w:rsidRPr="00C37B4E">
        <w:rPr>
          <w:rFonts w:ascii="Arial" w:hAnsi="Arial" w:cs="Arial"/>
        </w:rPr>
        <w:t xml:space="preserve"> (Accessed: 15 December 2025). </w:t>
      </w:r>
    </w:p>
    <w:p w14:paraId="54BDFAA3" w14:textId="77777777" w:rsidR="006B2CBE" w:rsidRPr="00C37B4E" w:rsidRDefault="006B2CBE">
      <w:pPr>
        <w:rPr>
          <w:rFonts w:ascii="Arial" w:hAnsi="Arial" w:cs="Arial"/>
        </w:rPr>
      </w:pPr>
      <w:r w:rsidRPr="00C37B4E">
        <w:rPr>
          <w:rFonts w:ascii="Arial" w:hAnsi="Arial" w:cs="Arial"/>
        </w:rPr>
        <w:t xml:space="preserve">Welch, K. and Yoon, A. (2023) ‘Do high-ability managers choose ESG projects that create shareholder value? Evidence from employee opinions’, </w:t>
      </w:r>
      <w:r w:rsidRPr="00C37B4E">
        <w:rPr>
          <w:rFonts w:ascii="Arial" w:hAnsi="Arial" w:cs="Arial"/>
          <w:i/>
          <w:iCs/>
        </w:rPr>
        <w:t>Review of Accounting Studies,</w:t>
      </w:r>
      <w:r w:rsidRPr="00C37B4E">
        <w:rPr>
          <w:rFonts w:ascii="Arial" w:hAnsi="Arial" w:cs="Arial"/>
        </w:rPr>
        <w:t xml:space="preserve"> 28(4), pp.2448-2475. </w:t>
      </w:r>
    </w:p>
    <w:p w14:paraId="174522A6" w14:textId="77777777" w:rsidR="006B2CBE" w:rsidRPr="00C37B4E" w:rsidRDefault="006B2CBE">
      <w:pPr>
        <w:rPr>
          <w:rFonts w:ascii="Arial" w:hAnsi="Arial" w:cs="Arial"/>
        </w:rPr>
      </w:pPr>
      <w:r w:rsidRPr="00C37B4E">
        <w:rPr>
          <w:rFonts w:ascii="Arial" w:hAnsi="Arial" w:cs="Arial"/>
        </w:rPr>
        <w:t xml:space="preserve">Xu, J., Haris, M. and Liu, F. (2023) ‘Intellectual capital efficiency and firms' financial performance based on business life cycle’, </w:t>
      </w:r>
      <w:r w:rsidRPr="00C37B4E">
        <w:rPr>
          <w:rFonts w:ascii="Arial" w:hAnsi="Arial" w:cs="Arial"/>
          <w:i/>
          <w:iCs/>
        </w:rPr>
        <w:t>Journal of Intellectual Capital,</w:t>
      </w:r>
      <w:r w:rsidRPr="00C37B4E">
        <w:rPr>
          <w:rFonts w:ascii="Arial" w:hAnsi="Arial" w:cs="Arial"/>
        </w:rPr>
        <w:t xml:space="preserve"> 24(3), pp.653-682.</w:t>
      </w:r>
    </w:p>
    <w:sectPr w:rsidR="006B2CBE" w:rsidRPr="00C37B4E" w:rsidSect="006B2CBE">
      <w:footerReference w:type="default" r:id="rId1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CB5CC" w14:textId="77777777" w:rsidR="002745B6" w:rsidRDefault="002745B6">
      <w:pPr>
        <w:spacing w:line="240" w:lineRule="auto"/>
      </w:pPr>
      <w:r>
        <w:separator/>
      </w:r>
    </w:p>
  </w:endnote>
  <w:endnote w:type="continuationSeparator" w:id="0">
    <w:p w14:paraId="1B428280" w14:textId="77777777" w:rsidR="002745B6" w:rsidRDefault="002745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773D3AD-E719-484A-8084-BD18830F5D64}"/>
  </w:font>
  <w:font w:name="Cambria Math">
    <w:panose1 w:val="02040503050406030204"/>
    <w:charset w:val="00"/>
    <w:family w:val="roman"/>
    <w:pitch w:val="variable"/>
    <w:sig w:usb0="E00006FF" w:usb1="420024FF" w:usb2="02000000" w:usb3="00000000" w:csb0="0000019F" w:csb1="00000000"/>
    <w:embedRegular r:id="rId2" w:fontKey="{CEBC7138-51E7-4651-8E29-143194452218}"/>
  </w:font>
  <w:font w:name="Cambria">
    <w:panose1 w:val="02040503050406030204"/>
    <w:charset w:val="00"/>
    <w:family w:val="roman"/>
    <w:pitch w:val="variable"/>
    <w:sig w:usb0="E00006FF" w:usb1="420024FF" w:usb2="02000000" w:usb3="00000000" w:csb0="0000019F" w:csb1="00000000"/>
    <w:embedRegular r:id="rId3" w:fontKey="{84E72024-7054-4C8F-937E-9A79843968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005688"/>
      <w:docPartObj>
        <w:docPartGallery w:val="Page Numbers (Bottom of Page)"/>
        <w:docPartUnique/>
      </w:docPartObj>
    </w:sdtPr>
    <w:sdtEndPr>
      <w:rPr>
        <w:noProof/>
      </w:rPr>
    </w:sdtEndPr>
    <w:sdtContent>
      <w:p w14:paraId="4E82CA05" w14:textId="1C63BF01" w:rsidR="006B2CBE" w:rsidRDefault="006B2C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0FA32A" w14:textId="77777777" w:rsidR="006B2CBE" w:rsidRDefault="006B2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CB5F4" w14:textId="77777777" w:rsidR="002745B6" w:rsidRDefault="002745B6">
      <w:pPr>
        <w:spacing w:line="240" w:lineRule="auto"/>
      </w:pPr>
      <w:r>
        <w:separator/>
      </w:r>
    </w:p>
  </w:footnote>
  <w:footnote w:type="continuationSeparator" w:id="0">
    <w:p w14:paraId="5712C12E" w14:textId="77777777" w:rsidR="002745B6" w:rsidRDefault="002745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C9DA"/>
    <w:multiLevelType w:val="hybridMultilevel"/>
    <w:tmpl w:val="00000000"/>
    <w:lvl w:ilvl="0" w:tplc="63564E4A">
      <w:start w:val="1"/>
      <w:numFmt w:val="bullet"/>
      <w:lvlText w:val="●"/>
      <w:lvlJc w:val="left"/>
      <w:pPr>
        <w:ind w:left="720" w:hanging="360"/>
      </w:pPr>
      <w:rPr>
        <w:u w:val="none"/>
      </w:rPr>
    </w:lvl>
    <w:lvl w:ilvl="1" w:tplc="DF041D02">
      <w:start w:val="1"/>
      <w:numFmt w:val="bullet"/>
      <w:lvlText w:val="○"/>
      <w:lvlJc w:val="left"/>
      <w:pPr>
        <w:ind w:left="1440" w:hanging="360"/>
      </w:pPr>
      <w:rPr>
        <w:u w:val="none"/>
      </w:rPr>
    </w:lvl>
    <w:lvl w:ilvl="2" w:tplc="3CEC918C">
      <w:start w:val="1"/>
      <w:numFmt w:val="bullet"/>
      <w:lvlText w:val="■"/>
      <w:lvlJc w:val="left"/>
      <w:pPr>
        <w:ind w:left="2160" w:hanging="360"/>
      </w:pPr>
      <w:rPr>
        <w:u w:val="none"/>
      </w:rPr>
    </w:lvl>
    <w:lvl w:ilvl="3" w:tplc="44C21C94">
      <w:start w:val="1"/>
      <w:numFmt w:val="bullet"/>
      <w:lvlText w:val="●"/>
      <w:lvlJc w:val="left"/>
      <w:pPr>
        <w:ind w:left="2880" w:hanging="360"/>
      </w:pPr>
      <w:rPr>
        <w:u w:val="none"/>
      </w:rPr>
    </w:lvl>
    <w:lvl w:ilvl="4" w:tplc="DC50993C">
      <w:start w:val="1"/>
      <w:numFmt w:val="bullet"/>
      <w:lvlText w:val="○"/>
      <w:lvlJc w:val="left"/>
      <w:pPr>
        <w:ind w:left="3600" w:hanging="360"/>
      </w:pPr>
      <w:rPr>
        <w:u w:val="none"/>
      </w:rPr>
    </w:lvl>
    <w:lvl w:ilvl="5" w:tplc="3C2CBE06">
      <w:start w:val="1"/>
      <w:numFmt w:val="bullet"/>
      <w:lvlText w:val="■"/>
      <w:lvlJc w:val="left"/>
      <w:pPr>
        <w:ind w:left="4320" w:hanging="360"/>
      </w:pPr>
      <w:rPr>
        <w:u w:val="none"/>
      </w:rPr>
    </w:lvl>
    <w:lvl w:ilvl="6" w:tplc="5B52ABC0">
      <w:start w:val="1"/>
      <w:numFmt w:val="bullet"/>
      <w:lvlText w:val="●"/>
      <w:lvlJc w:val="left"/>
      <w:pPr>
        <w:ind w:left="5040" w:hanging="360"/>
      </w:pPr>
      <w:rPr>
        <w:u w:val="none"/>
      </w:rPr>
    </w:lvl>
    <w:lvl w:ilvl="7" w:tplc="78944CA0">
      <w:start w:val="1"/>
      <w:numFmt w:val="bullet"/>
      <w:lvlText w:val="○"/>
      <w:lvlJc w:val="left"/>
      <w:pPr>
        <w:ind w:left="5760" w:hanging="360"/>
      </w:pPr>
      <w:rPr>
        <w:u w:val="none"/>
      </w:rPr>
    </w:lvl>
    <w:lvl w:ilvl="8" w:tplc="F4E8FB22">
      <w:start w:val="1"/>
      <w:numFmt w:val="bullet"/>
      <w:lvlText w:val="■"/>
      <w:lvlJc w:val="left"/>
      <w:pPr>
        <w:ind w:left="6480" w:hanging="360"/>
      </w:pPr>
      <w:rPr>
        <w:u w:val="none"/>
      </w:rPr>
    </w:lvl>
  </w:abstractNum>
  <w:abstractNum w:abstractNumId="1" w15:restartNumberingAfterBreak="0">
    <w:nsid w:val="0B6D52B2"/>
    <w:multiLevelType w:val="hybridMultilevel"/>
    <w:tmpl w:val="00000000"/>
    <w:lvl w:ilvl="0" w:tplc="6444E8BE">
      <w:start w:val="1"/>
      <w:numFmt w:val="bullet"/>
      <w:lvlText w:val="●"/>
      <w:lvlJc w:val="left"/>
      <w:pPr>
        <w:ind w:left="720" w:hanging="360"/>
      </w:pPr>
      <w:rPr>
        <w:u w:val="none"/>
      </w:rPr>
    </w:lvl>
    <w:lvl w:ilvl="1" w:tplc="77F2F72C">
      <w:start w:val="1"/>
      <w:numFmt w:val="bullet"/>
      <w:lvlText w:val="○"/>
      <w:lvlJc w:val="left"/>
      <w:pPr>
        <w:ind w:left="1440" w:hanging="360"/>
      </w:pPr>
      <w:rPr>
        <w:u w:val="none"/>
      </w:rPr>
    </w:lvl>
    <w:lvl w:ilvl="2" w:tplc="1434588E">
      <w:start w:val="1"/>
      <w:numFmt w:val="bullet"/>
      <w:lvlText w:val="■"/>
      <w:lvlJc w:val="left"/>
      <w:pPr>
        <w:ind w:left="2160" w:hanging="360"/>
      </w:pPr>
      <w:rPr>
        <w:u w:val="none"/>
      </w:rPr>
    </w:lvl>
    <w:lvl w:ilvl="3" w:tplc="9C060A1E">
      <w:start w:val="1"/>
      <w:numFmt w:val="bullet"/>
      <w:lvlText w:val="●"/>
      <w:lvlJc w:val="left"/>
      <w:pPr>
        <w:ind w:left="2880" w:hanging="360"/>
      </w:pPr>
      <w:rPr>
        <w:u w:val="none"/>
      </w:rPr>
    </w:lvl>
    <w:lvl w:ilvl="4" w:tplc="6DD87192">
      <w:start w:val="1"/>
      <w:numFmt w:val="bullet"/>
      <w:lvlText w:val="○"/>
      <w:lvlJc w:val="left"/>
      <w:pPr>
        <w:ind w:left="3600" w:hanging="360"/>
      </w:pPr>
      <w:rPr>
        <w:u w:val="none"/>
      </w:rPr>
    </w:lvl>
    <w:lvl w:ilvl="5" w:tplc="55D67050">
      <w:start w:val="1"/>
      <w:numFmt w:val="bullet"/>
      <w:lvlText w:val="■"/>
      <w:lvlJc w:val="left"/>
      <w:pPr>
        <w:ind w:left="4320" w:hanging="360"/>
      </w:pPr>
      <w:rPr>
        <w:u w:val="none"/>
      </w:rPr>
    </w:lvl>
    <w:lvl w:ilvl="6" w:tplc="358CA054">
      <w:start w:val="1"/>
      <w:numFmt w:val="bullet"/>
      <w:lvlText w:val="●"/>
      <w:lvlJc w:val="left"/>
      <w:pPr>
        <w:ind w:left="5040" w:hanging="360"/>
      </w:pPr>
      <w:rPr>
        <w:u w:val="none"/>
      </w:rPr>
    </w:lvl>
    <w:lvl w:ilvl="7" w:tplc="2BD852E4">
      <w:start w:val="1"/>
      <w:numFmt w:val="bullet"/>
      <w:lvlText w:val="○"/>
      <w:lvlJc w:val="left"/>
      <w:pPr>
        <w:ind w:left="5760" w:hanging="360"/>
      </w:pPr>
      <w:rPr>
        <w:u w:val="none"/>
      </w:rPr>
    </w:lvl>
    <w:lvl w:ilvl="8" w:tplc="7BB8C6F8">
      <w:start w:val="1"/>
      <w:numFmt w:val="bullet"/>
      <w:lvlText w:val="■"/>
      <w:lvlJc w:val="left"/>
      <w:pPr>
        <w:ind w:left="6480" w:hanging="360"/>
      </w:pPr>
      <w:rPr>
        <w:u w:val="none"/>
      </w:rPr>
    </w:lvl>
  </w:abstractNum>
  <w:abstractNum w:abstractNumId="2" w15:restartNumberingAfterBreak="0">
    <w:nsid w:val="18B86482"/>
    <w:multiLevelType w:val="hybridMultilevel"/>
    <w:tmpl w:val="00000000"/>
    <w:lvl w:ilvl="0" w:tplc="D6A4DC32">
      <w:start w:val="1"/>
      <w:numFmt w:val="bullet"/>
      <w:lvlText w:val="●"/>
      <w:lvlJc w:val="left"/>
      <w:pPr>
        <w:ind w:left="720" w:hanging="360"/>
      </w:pPr>
      <w:rPr>
        <w:u w:val="none"/>
      </w:rPr>
    </w:lvl>
    <w:lvl w:ilvl="1" w:tplc="23D64898">
      <w:start w:val="1"/>
      <w:numFmt w:val="bullet"/>
      <w:lvlText w:val="○"/>
      <w:lvlJc w:val="left"/>
      <w:pPr>
        <w:ind w:left="1440" w:hanging="360"/>
      </w:pPr>
      <w:rPr>
        <w:u w:val="none"/>
      </w:rPr>
    </w:lvl>
    <w:lvl w:ilvl="2" w:tplc="49246616">
      <w:start w:val="1"/>
      <w:numFmt w:val="bullet"/>
      <w:lvlText w:val="■"/>
      <w:lvlJc w:val="left"/>
      <w:pPr>
        <w:ind w:left="2160" w:hanging="360"/>
      </w:pPr>
      <w:rPr>
        <w:u w:val="none"/>
      </w:rPr>
    </w:lvl>
    <w:lvl w:ilvl="3" w:tplc="B4AA53D8">
      <w:start w:val="1"/>
      <w:numFmt w:val="bullet"/>
      <w:lvlText w:val="●"/>
      <w:lvlJc w:val="left"/>
      <w:pPr>
        <w:ind w:left="2880" w:hanging="360"/>
      </w:pPr>
      <w:rPr>
        <w:u w:val="none"/>
      </w:rPr>
    </w:lvl>
    <w:lvl w:ilvl="4" w:tplc="EE88858C">
      <w:start w:val="1"/>
      <w:numFmt w:val="bullet"/>
      <w:lvlText w:val="○"/>
      <w:lvlJc w:val="left"/>
      <w:pPr>
        <w:ind w:left="3600" w:hanging="360"/>
      </w:pPr>
      <w:rPr>
        <w:u w:val="none"/>
      </w:rPr>
    </w:lvl>
    <w:lvl w:ilvl="5" w:tplc="C4B4ABE2">
      <w:start w:val="1"/>
      <w:numFmt w:val="bullet"/>
      <w:lvlText w:val="■"/>
      <w:lvlJc w:val="left"/>
      <w:pPr>
        <w:ind w:left="4320" w:hanging="360"/>
      </w:pPr>
      <w:rPr>
        <w:u w:val="none"/>
      </w:rPr>
    </w:lvl>
    <w:lvl w:ilvl="6" w:tplc="843EA20E">
      <w:start w:val="1"/>
      <w:numFmt w:val="bullet"/>
      <w:lvlText w:val="●"/>
      <w:lvlJc w:val="left"/>
      <w:pPr>
        <w:ind w:left="5040" w:hanging="360"/>
      </w:pPr>
      <w:rPr>
        <w:u w:val="none"/>
      </w:rPr>
    </w:lvl>
    <w:lvl w:ilvl="7" w:tplc="69BCDD8C">
      <w:start w:val="1"/>
      <w:numFmt w:val="bullet"/>
      <w:lvlText w:val="○"/>
      <w:lvlJc w:val="left"/>
      <w:pPr>
        <w:ind w:left="5760" w:hanging="360"/>
      </w:pPr>
      <w:rPr>
        <w:u w:val="none"/>
      </w:rPr>
    </w:lvl>
    <w:lvl w:ilvl="8" w:tplc="D9F89736">
      <w:start w:val="1"/>
      <w:numFmt w:val="bullet"/>
      <w:lvlText w:val="■"/>
      <w:lvlJc w:val="left"/>
      <w:pPr>
        <w:ind w:left="6480" w:hanging="360"/>
      </w:pPr>
      <w:rPr>
        <w:u w:val="none"/>
      </w:rPr>
    </w:lvl>
  </w:abstractNum>
  <w:abstractNum w:abstractNumId="3" w15:restartNumberingAfterBreak="0">
    <w:nsid w:val="2947FE28"/>
    <w:multiLevelType w:val="hybridMultilevel"/>
    <w:tmpl w:val="00000000"/>
    <w:lvl w:ilvl="0" w:tplc="EBF004B6">
      <w:start w:val="1"/>
      <w:numFmt w:val="bullet"/>
      <w:lvlText w:val="●"/>
      <w:lvlJc w:val="left"/>
      <w:pPr>
        <w:ind w:left="720" w:hanging="360"/>
      </w:pPr>
      <w:rPr>
        <w:u w:val="none"/>
      </w:rPr>
    </w:lvl>
    <w:lvl w:ilvl="1" w:tplc="03424980">
      <w:start w:val="1"/>
      <w:numFmt w:val="bullet"/>
      <w:lvlText w:val="○"/>
      <w:lvlJc w:val="left"/>
      <w:pPr>
        <w:ind w:left="1440" w:hanging="360"/>
      </w:pPr>
      <w:rPr>
        <w:u w:val="none"/>
      </w:rPr>
    </w:lvl>
    <w:lvl w:ilvl="2" w:tplc="019AE670">
      <w:start w:val="1"/>
      <w:numFmt w:val="bullet"/>
      <w:lvlText w:val="■"/>
      <w:lvlJc w:val="left"/>
      <w:pPr>
        <w:ind w:left="2160" w:hanging="360"/>
      </w:pPr>
      <w:rPr>
        <w:u w:val="none"/>
      </w:rPr>
    </w:lvl>
    <w:lvl w:ilvl="3" w:tplc="05F61262">
      <w:start w:val="1"/>
      <w:numFmt w:val="bullet"/>
      <w:lvlText w:val="●"/>
      <w:lvlJc w:val="left"/>
      <w:pPr>
        <w:ind w:left="2880" w:hanging="360"/>
      </w:pPr>
      <w:rPr>
        <w:u w:val="none"/>
      </w:rPr>
    </w:lvl>
    <w:lvl w:ilvl="4" w:tplc="A93C1708">
      <w:start w:val="1"/>
      <w:numFmt w:val="bullet"/>
      <w:lvlText w:val="○"/>
      <w:lvlJc w:val="left"/>
      <w:pPr>
        <w:ind w:left="3600" w:hanging="360"/>
      </w:pPr>
      <w:rPr>
        <w:u w:val="none"/>
      </w:rPr>
    </w:lvl>
    <w:lvl w:ilvl="5" w:tplc="D8024652">
      <w:start w:val="1"/>
      <w:numFmt w:val="bullet"/>
      <w:lvlText w:val="■"/>
      <w:lvlJc w:val="left"/>
      <w:pPr>
        <w:ind w:left="4320" w:hanging="360"/>
      </w:pPr>
      <w:rPr>
        <w:u w:val="none"/>
      </w:rPr>
    </w:lvl>
    <w:lvl w:ilvl="6" w:tplc="0A048990">
      <w:start w:val="1"/>
      <w:numFmt w:val="bullet"/>
      <w:lvlText w:val="●"/>
      <w:lvlJc w:val="left"/>
      <w:pPr>
        <w:ind w:left="5040" w:hanging="360"/>
      </w:pPr>
      <w:rPr>
        <w:u w:val="none"/>
      </w:rPr>
    </w:lvl>
    <w:lvl w:ilvl="7" w:tplc="DB54ABE4">
      <w:start w:val="1"/>
      <w:numFmt w:val="bullet"/>
      <w:lvlText w:val="○"/>
      <w:lvlJc w:val="left"/>
      <w:pPr>
        <w:ind w:left="5760" w:hanging="360"/>
      </w:pPr>
      <w:rPr>
        <w:u w:val="none"/>
      </w:rPr>
    </w:lvl>
    <w:lvl w:ilvl="8" w:tplc="F7A4E032">
      <w:start w:val="1"/>
      <w:numFmt w:val="bullet"/>
      <w:lvlText w:val="■"/>
      <w:lvlJc w:val="left"/>
      <w:pPr>
        <w:ind w:left="6480" w:hanging="360"/>
      </w:pPr>
      <w:rPr>
        <w:u w:val="none"/>
      </w:rPr>
    </w:lvl>
  </w:abstractNum>
  <w:abstractNum w:abstractNumId="4" w15:restartNumberingAfterBreak="0">
    <w:nsid w:val="2A9F93CF"/>
    <w:multiLevelType w:val="hybridMultilevel"/>
    <w:tmpl w:val="00000000"/>
    <w:lvl w:ilvl="0" w:tplc="7256AF48">
      <w:start w:val="1"/>
      <w:numFmt w:val="bullet"/>
      <w:lvlText w:val="●"/>
      <w:lvlJc w:val="left"/>
      <w:pPr>
        <w:ind w:left="720" w:hanging="360"/>
      </w:pPr>
      <w:rPr>
        <w:u w:val="none"/>
      </w:rPr>
    </w:lvl>
    <w:lvl w:ilvl="1" w:tplc="03DC71AE">
      <w:start w:val="1"/>
      <w:numFmt w:val="bullet"/>
      <w:lvlText w:val="○"/>
      <w:lvlJc w:val="left"/>
      <w:pPr>
        <w:ind w:left="1440" w:hanging="360"/>
      </w:pPr>
      <w:rPr>
        <w:u w:val="none"/>
      </w:rPr>
    </w:lvl>
    <w:lvl w:ilvl="2" w:tplc="A02A0DB4">
      <w:start w:val="1"/>
      <w:numFmt w:val="bullet"/>
      <w:lvlText w:val="■"/>
      <w:lvlJc w:val="left"/>
      <w:pPr>
        <w:ind w:left="2160" w:hanging="360"/>
      </w:pPr>
      <w:rPr>
        <w:u w:val="none"/>
      </w:rPr>
    </w:lvl>
    <w:lvl w:ilvl="3" w:tplc="00064ABA">
      <w:start w:val="1"/>
      <w:numFmt w:val="bullet"/>
      <w:lvlText w:val="●"/>
      <w:lvlJc w:val="left"/>
      <w:pPr>
        <w:ind w:left="2880" w:hanging="360"/>
      </w:pPr>
      <w:rPr>
        <w:u w:val="none"/>
      </w:rPr>
    </w:lvl>
    <w:lvl w:ilvl="4" w:tplc="273EEECA">
      <w:start w:val="1"/>
      <w:numFmt w:val="bullet"/>
      <w:lvlText w:val="○"/>
      <w:lvlJc w:val="left"/>
      <w:pPr>
        <w:ind w:left="3600" w:hanging="360"/>
      </w:pPr>
      <w:rPr>
        <w:u w:val="none"/>
      </w:rPr>
    </w:lvl>
    <w:lvl w:ilvl="5" w:tplc="439AE9A4">
      <w:start w:val="1"/>
      <w:numFmt w:val="bullet"/>
      <w:lvlText w:val="■"/>
      <w:lvlJc w:val="left"/>
      <w:pPr>
        <w:ind w:left="4320" w:hanging="360"/>
      </w:pPr>
      <w:rPr>
        <w:u w:val="none"/>
      </w:rPr>
    </w:lvl>
    <w:lvl w:ilvl="6" w:tplc="B9E88D22">
      <w:start w:val="1"/>
      <w:numFmt w:val="bullet"/>
      <w:lvlText w:val="●"/>
      <w:lvlJc w:val="left"/>
      <w:pPr>
        <w:ind w:left="5040" w:hanging="360"/>
      </w:pPr>
      <w:rPr>
        <w:u w:val="none"/>
      </w:rPr>
    </w:lvl>
    <w:lvl w:ilvl="7" w:tplc="C284DEE0">
      <w:start w:val="1"/>
      <w:numFmt w:val="bullet"/>
      <w:lvlText w:val="○"/>
      <w:lvlJc w:val="left"/>
      <w:pPr>
        <w:ind w:left="5760" w:hanging="360"/>
      </w:pPr>
      <w:rPr>
        <w:u w:val="none"/>
      </w:rPr>
    </w:lvl>
    <w:lvl w:ilvl="8" w:tplc="D8E42F04">
      <w:start w:val="1"/>
      <w:numFmt w:val="bullet"/>
      <w:lvlText w:val="■"/>
      <w:lvlJc w:val="left"/>
      <w:pPr>
        <w:ind w:left="6480" w:hanging="360"/>
      </w:pPr>
      <w:rPr>
        <w:u w:val="none"/>
      </w:rPr>
    </w:lvl>
  </w:abstractNum>
  <w:abstractNum w:abstractNumId="5" w15:restartNumberingAfterBreak="0">
    <w:nsid w:val="37F59115"/>
    <w:multiLevelType w:val="hybridMultilevel"/>
    <w:tmpl w:val="00000000"/>
    <w:lvl w:ilvl="0" w:tplc="63623960">
      <w:start w:val="1"/>
      <w:numFmt w:val="bullet"/>
      <w:lvlText w:val="●"/>
      <w:lvlJc w:val="left"/>
      <w:pPr>
        <w:ind w:left="720" w:hanging="360"/>
      </w:pPr>
      <w:rPr>
        <w:u w:val="none"/>
      </w:rPr>
    </w:lvl>
    <w:lvl w:ilvl="1" w:tplc="A9DE4C3E">
      <w:start w:val="1"/>
      <w:numFmt w:val="bullet"/>
      <w:lvlText w:val="○"/>
      <w:lvlJc w:val="left"/>
      <w:pPr>
        <w:ind w:left="1440" w:hanging="360"/>
      </w:pPr>
      <w:rPr>
        <w:u w:val="none"/>
      </w:rPr>
    </w:lvl>
    <w:lvl w:ilvl="2" w:tplc="5756EF6A">
      <w:start w:val="1"/>
      <w:numFmt w:val="bullet"/>
      <w:lvlText w:val="■"/>
      <w:lvlJc w:val="left"/>
      <w:pPr>
        <w:ind w:left="2160" w:hanging="360"/>
      </w:pPr>
      <w:rPr>
        <w:u w:val="none"/>
      </w:rPr>
    </w:lvl>
    <w:lvl w:ilvl="3" w:tplc="7F9AC5E2">
      <w:start w:val="1"/>
      <w:numFmt w:val="bullet"/>
      <w:lvlText w:val="●"/>
      <w:lvlJc w:val="left"/>
      <w:pPr>
        <w:ind w:left="2880" w:hanging="360"/>
      </w:pPr>
      <w:rPr>
        <w:u w:val="none"/>
      </w:rPr>
    </w:lvl>
    <w:lvl w:ilvl="4" w:tplc="0BA65022">
      <w:start w:val="1"/>
      <w:numFmt w:val="bullet"/>
      <w:lvlText w:val="○"/>
      <w:lvlJc w:val="left"/>
      <w:pPr>
        <w:ind w:left="3600" w:hanging="360"/>
      </w:pPr>
      <w:rPr>
        <w:u w:val="none"/>
      </w:rPr>
    </w:lvl>
    <w:lvl w:ilvl="5" w:tplc="93661556">
      <w:start w:val="1"/>
      <w:numFmt w:val="bullet"/>
      <w:lvlText w:val="■"/>
      <w:lvlJc w:val="left"/>
      <w:pPr>
        <w:ind w:left="4320" w:hanging="360"/>
      </w:pPr>
      <w:rPr>
        <w:u w:val="none"/>
      </w:rPr>
    </w:lvl>
    <w:lvl w:ilvl="6" w:tplc="E8D85206">
      <w:start w:val="1"/>
      <w:numFmt w:val="bullet"/>
      <w:lvlText w:val="●"/>
      <w:lvlJc w:val="left"/>
      <w:pPr>
        <w:ind w:left="5040" w:hanging="360"/>
      </w:pPr>
      <w:rPr>
        <w:u w:val="none"/>
      </w:rPr>
    </w:lvl>
    <w:lvl w:ilvl="7" w:tplc="1DA23FD2">
      <w:start w:val="1"/>
      <w:numFmt w:val="bullet"/>
      <w:lvlText w:val="○"/>
      <w:lvlJc w:val="left"/>
      <w:pPr>
        <w:ind w:left="5760" w:hanging="360"/>
      </w:pPr>
      <w:rPr>
        <w:u w:val="none"/>
      </w:rPr>
    </w:lvl>
    <w:lvl w:ilvl="8" w:tplc="E8662D6E">
      <w:start w:val="1"/>
      <w:numFmt w:val="bullet"/>
      <w:lvlText w:val="■"/>
      <w:lvlJc w:val="left"/>
      <w:pPr>
        <w:ind w:left="6480" w:hanging="360"/>
      </w:pPr>
      <w:rPr>
        <w:u w:val="none"/>
      </w:rPr>
    </w:lvl>
  </w:abstractNum>
  <w:abstractNum w:abstractNumId="6" w15:restartNumberingAfterBreak="0">
    <w:nsid w:val="392C8654"/>
    <w:multiLevelType w:val="hybridMultilevel"/>
    <w:tmpl w:val="00000000"/>
    <w:lvl w:ilvl="0" w:tplc="3DB476BE">
      <w:start w:val="1"/>
      <w:numFmt w:val="bullet"/>
      <w:lvlText w:val="●"/>
      <w:lvlJc w:val="left"/>
      <w:pPr>
        <w:ind w:left="720" w:hanging="360"/>
      </w:pPr>
      <w:rPr>
        <w:u w:val="none"/>
      </w:rPr>
    </w:lvl>
    <w:lvl w:ilvl="1" w:tplc="D9B21E4A">
      <w:start w:val="1"/>
      <w:numFmt w:val="bullet"/>
      <w:lvlText w:val="○"/>
      <w:lvlJc w:val="left"/>
      <w:pPr>
        <w:ind w:left="1440" w:hanging="360"/>
      </w:pPr>
      <w:rPr>
        <w:u w:val="none"/>
      </w:rPr>
    </w:lvl>
    <w:lvl w:ilvl="2" w:tplc="7BF85ABE">
      <w:start w:val="1"/>
      <w:numFmt w:val="bullet"/>
      <w:lvlText w:val="■"/>
      <w:lvlJc w:val="left"/>
      <w:pPr>
        <w:ind w:left="2160" w:hanging="360"/>
      </w:pPr>
      <w:rPr>
        <w:u w:val="none"/>
      </w:rPr>
    </w:lvl>
    <w:lvl w:ilvl="3" w:tplc="80F824FE">
      <w:start w:val="1"/>
      <w:numFmt w:val="bullet"/>
      <w:lvlText w:val="●"/>
      <w:lvlJc w:val="left"/>
      <w:pPr>
        <w:ind w:left="2880" w:hanging="360"/>
      </w:pPr>
      <w:rPr>
        <w:u w:val="none"/>
      </w:rPr>
    </w:lvl>
    <w:lvl w:ilvl="4" w:tplc="79B21E3A">
      <w:start w:val="1"/>
      <w:numFmt w:val="bullet"/>
      <w:lvlText w:val="○"/>
      <w:lvlJc w:val="left"/>
      <w:pPr>
        <w:ind w:left="3600" w:hanging="360"/>
      </w:pPr>
      <w:rPr>
        <w:u w:val="none"/>
      </w:rPr>
    </w:lvl>
    <w:lvl w:ilvl="5" w:tplc="07ACA7CE">
      <w:start w:val="1"/>
      <w:numFmt w:val="bullet"/>
      <w:lvlText w:val="■"/>
      <w:lvlJc w:val="left"/>
      <w:pPr>
        <w:ind w:left="4320" w:hanging="360"/>
      </w:pPr>
      <w:rPr>
        <w:u w:val="none"/>
      </w:rPr>
    </w:lvl>
    <w:lvl w:ilvl="6" w:tplc="3D60E188">
      <w:start w:val="1"/>
      <w:numFmt w:val="bullet"/>
      <w:lvlText w:val="●"/>
      <w:lvlJc w:val="left"/>
      <w:pPr>
        <w:ind w:left="5040" w:hanging="360"/>
      </w:pPr>
      <w:rPr>
        <w:u w:val="none"/>
      </w:rPr>
    </w:lvl>
    <w:lvl w:ilvl="7" w:tplc="A6C2D734">
      <w:start w:val="1"/>
      <w:numFmt w:val="bullet"/>
      <w:lvlText w:val="○"/>
      <w:lvlJc w:val="left"/>
      <w:pPr>
        <w:ind w:left="5760" w:hanging="360"/>
      </w:pPr>
      <w:rPr>
        <w:u w:val="none"/>
      </w:rPr>
    </w:lvl>
    <w:lvl w:ilvl="8" w:tplc="85E88886">
      <w:start w:val="1"/>
      <w:numFmt w:val="bullet"/>
      <w:lvlText w:val="■"/>
      <w:lvlJc w:val="left"/>
      <w:pPr>
        <w:ind w:left="6480" w:hanging="360"/>
      </w:pPr>
      <w:rPr>
        <w:u w:val="none"/>
      </w:rPr>
    </w:lvl>
  </w:abstractNum>
  <w:abstractNum w:abstractNumId="7" w15:restartNumberingAfterBreak="0">
    <w:nsid w:val="39DF526B"/>
    <w:multiLevelType w:val="hybridMultilevel"/>
    <w:tmpl w:val="00000000"/>
    <w:lvl w:ilvl="0" w:tplc="AD38E7C8">
      <w:start w:val="1"/>
      <w:numFmt w:val="bullet"/>
      <w:lvlText w:val="●"/>
      <w:lvlJc w:val="left"/>
      <w:pPr>
        <w:ind w:left="720" w:hanging="360"/>
      </w:pPr>
      <w:rPr>
        <w:u w:val="none"/>
      </w:rPr>
    </w:lvl>
    <w:lvl w:ilvl="1" w:tplc="79483212">
      <w:start w:val="1"/>
      <w:numFmt w:val="bullet"/>
      <w:lvlText w:val="○"/>
      <w:lvlJc w:val="left"/>
      <w:pPr>
        <w:ind w:left="1440" w:hanging="360"/>
      </w:pPr>
      <w:rPr>
        <w:u w:val="none"/>
      </w:rPr>
    </w:lvl>
    <w:lvl w:ilvl="2" w:tplc="4C34E398">
      <w:start w:val="1"/>
      <w:numFmt w:val="bullet"/>
      <w:lvlText w:val="■"/>
      <w:lvlJc w:val="left"/>
      <w:pPr>
        <w:ind w:left="2160" w:hanging="360"/>
      </w:pPr>
      <w:rPr>
        <w:u w:val="none"/>
      </w:rPr>
    </w:lvl>
    <w:lvl w:ilvl="3" w:tplc="D572018A">
      <w:start w:val="1"/>
      <w:numFmt w:val="bullet"/>
      <w:lvlText w:val="●"/>
      <w:lvlJc w:val="left"/>
      <w:pPr>
        <w:ind w:left="2880" w:hanging="360"/>
      </w:pPr>
      <w:rPr>
        <w:u w:val="none"/>
      </w:rPr>
    </w:lvl>
    <w:lvl w:ilvl="4" w:tplc="5490A83E">
      <w:start w:val="1"/>
      <w:numFmt w:val="bullet"/>
      <w:lvlText w:val="○"/>
      <w:lvlJc w:val="left"/>
      <w:pPr>
        <w:ind w:left="3600" w:hanging="360"/>
      </w:pPr>
      <w:rPr>
        <w:u w:val="none"/>
      </w:rPr>
    </w:lvl>
    <w:lvl w:ilvl="5" w:tplc="DD5EE284">
      <w:start w:val="1"/>
      <w:numFmt w:val="bullet"/>
      <w:lvlText w:val="■"/>
      <w:lvlJc w:val="left"/>
      <w:pPr>
        <w:ind w:left="4320" w:hanging="360"/>
      </w:pPr>
      <w:rPr>
        <w:u w:val="none"/>
      </w:rPr>
    </w:lvl>
    <w:lvl w:ilvl="6" w:tplc="99C46210">
      <w:start w:val="1"/>
      <w:numFmt w:val="bullet"/>
      <w:lvlText w:val="●"/>
      <w:lvlJc w:val="left"/>
      <w:pPr>
        <w:ind w:left="5040" w:hanging="360"/>
      </w:pPr>
      <w:rPr>
        <w:u w:val="none"/>
      </w:rPr>
    </w:lvl>
    <w:lvl w:ilvl="7" w:tplc="6870F0CC">
      <w:start w:val="1"/>
      <w:numFmt w:val="bullet"/>
      <w:lvlText w:val="○"/>
      <w:lvlJc w:val="left"/>
      <w:pPr>
        <w:ind w:left="5760" w:hanging="360"/>
      </w:pPr>
      <w:rPr>
        <w:u w:val="none"/>
      </w:rPr>
    </w:lvl>
    <w:lvl w:ilvl="8" w:tplc="80D869E8">
      <w:start w:val="1"/>
      <w:numFmt w:val="bullet"/>
      <w:lvlText w:val="■"/>
      <w:lvlJc w:val="left"/>
      <w:pPr>
        <w:ind w:left="6480" w:hanging="360"/>
      </w:pPr>
      <w:rPr>
        <w:u w:val="none"/>
      </w:rPr>
    </w:lvl>
  </w:abstractNum>
  <w:abstractNum w:abstractNumId="8" w15:restartNumberingAfterBreak="0">
    <w:nsid w:val="4C4ACD6E"/>
    <w:multiLevelType w:val="hybridMultilevel"/>
    <w:tmpl w:val="00000000"/>
    <w:lvl w:ilvl="0" w:tplc="0FA69504">
      <w:start w:val="1"/>
      <w:numFmt w:val="bullet"/>
      <w:lvlText w:val="●"/>
      <w:lvlJc w:val="left"/>
      <w:pPr>
        <w:ind w:left="720" w:hanging="360"/>
      </w:pPr>
      <w:rPr>
        <w:u w:val="none"/>
      </w:rPr>
    </w:lvl>
    <w:lvl w:ilvl="1" w:tplc="489E2C52">
      <w:start w:val="1"/>
      <w:numFmt w:val="bullet"/>
      <w:lvlText w:val="○"/>
      <w:lvlJc w:val="left"/>
      <w:pPr>
        <w:ind w:left="1440" w:hanging="360"/>
      </w:pPr>
      <w:rPr>
        <w:u w:val="none"/>
      </w:rPr>
    </w:lvl>
    <w:lvl w:ilvl="2" w:tplc="8BA48076">
      <w:start w:val="1"/>
      <w:numFmt w:val="bullet"/>
      <w:lvlText w:val="■"/>
      <w:lvlJc w:val="left"/>
      <w:pPr>
        <w:ind w:left="2160" w:hanging="360"/>
      </w:pPr>
      <w:rPr>
        <w:u w:val="none"/>
      </w:rPr>
    </w:lvl>
    <w:lvl w:ilvl="3" w:tplc="C4F8DEBC">
      <w:start w:val="1"/>
      <w:numFmt w:val="bullet"/>
      <w:lvlText w:val="●"/>
      <w:lvlJc w:val="left"/>
      <w:pPr>
        <w:ind w:left="2880" w:hanging="360"/>
      </w:pPr>
      <w:rPr>
        <w:u w:val="none"/>
      </w:rPr>
    </w:lvl>
    <w:lvl w:ilvl="4" w:tplc="610C7AB4">
      <w:start w:val="1"/>
      <w:numFmt w:val="bullet"/>
      <w:lvlText w:val="○"/>
      <w:lvlJc w:val="left"/>
      <w:pPr>
        <w:ind w:left="3600" w:hanging="360"/>
      </w:pPr>
      <w:rPr>
        <w:u w:val="none"/>
      </w:rPr>
    </w:lvl>
    <w:lvl w:ilvl="5" w:tplc="EDC66A9C">
      <w:start w:val="1"/>
      <w:numFmt w:val="bullet"/>
      <w:lvlText w:val="■"/>
      <w:lvlJc w:val="left"/>
      <w:pPr>
        <w:ind w:left="4320" w:hanging="360"/>
      </w:pPr>
      <w:rPr>
        <w:u w:val="none"/>
      </w:rPr>
    </w:lvl>
    <w:lvl w:ilvl="6" w:tplc="6054D9C0">
      <w:start w:val="1"/>
      <w:numFmt w:val="bullet"/>
      <w:lvlText w:val="●"/>
      <w:lvlJc w:val="left"/>
      <w:pPr>
        <w:ind w:left="5040" w:hanging="360"/>
      </w:pPr>
      <w:rPr>
        <w:u w:val="none"/>
      </w:rPr>
    </w:lvl>
    <w:lvl w:ilvl="7" w:tplc="1A3A6D4A">
      <w:start w:val="1"/>
      <w:numFmt w:val="bullet"/>
      <w:lvlText w:val="○"/>
      <w:lvlJc w:val="left"/>
      <w:pPr>
        <w:ind w:left="5760" w:hanging="360"/>
      </w:pPr>
      <w:rPr>
        <w:u w:val="none"/>
      </w:rPr>
    </w:lvl>
    <w:lvl w:ilvl="8" w:tplc="3B569BE4">
      <w:start w:val="1"/>
      <w:numFmt w:val="bullet"/>
      <w:lvlText w:val="■"/>
      <w:lvlJc w:val="left"/>
      <w:pPr>
        <w:ind w:left="6480" w:hanging="360"/>
      </w:pPr>
      <w:rPr>
        <w:u w:val="none"/>
      </w:rPr>
    </w:lvl>
  </w:abstractNum>
  <w:abstractNum w:abstractNumId="9" w15:restartNumberingAfterBreak="0">
    <w:nsid w:val="4EC5DB81"/>
    <w:multiLevelType w:val="hybridMultilevel"/>
    <w:tmpl w:val="00000000"/>
    <w:lvl w:ilvl="0" w:tplc="9B00C71C">
      <w:start w:val="1"/>
      <w:numFmt w:val="bullet"/>
      <w:lvlText w:val="●"/>
      <w:lvlJc w:val="left"/>
      <w:pPr>
        <w:ind w:left="720" w:hanging="360"/>
      </w:pPr>
      <w:rPr>
        <w:u w:val="none"/>
      </w:rPr>
    </w:lvl>
    <w:lvl w:ilvl="1" w:tplc="07942ADA">
      <w:start w:val="1"/>
      <w:numFmt w:val="bullet"/>
      <w:lvlText w:val="○"/>
      <w:lvlJc w:val="left"/>
      <w:pPr>
        <w:ind w:left="1440" w:hanging="360"/>
      </w:pPr>
      <w:rPr>
        <w:u w:val="none"/>
      </w:rPr>
    </w:lvl>
    <w:lvl w:ilvl="2" w:tplc="56EC1F46">
      <w:start w:val="1"/>
      <w:numFmt w:val="bullet"/>
      <w:lvlText w:val="■"/>
      <w:lvlJc w:val="left"/>
      <w:pPr>
        <w:ind w:left="2160" w:hanging="360"/>
      </w:pPr>
      <w:rPr>
        <w:u w:val="none"/>
      </w:rPr>
    </w:lvl>
    <w:lvl w:ilvl="3" w:tplc="392EF9D8">
      <w:start w:val="1"/>
      <w:numFmt w:val="bullet"/>
      <w:lvlText w:val="●"/>
      <w:lvlJc w:val="left"/>
      <w:pPr>
        <w:ind w:left="2880" w:hanging="360"/>
      </w:pPr>
      <w:rPr>
        <w:u w:val="none"/>
      </w:rPr>
    </w:lvl>
    <w:lvl w:ilvl="4" w:tplc="6F50BD56">
      <w:start w:val="1"/>
      <w:numFmt w:val="bullet"/>
      <w:lvlText w:val="○"/>
      <w:lvlJc w:val="left"/>
      <w:pPr>
        <w:ind w:left="3600" w:hanging="360"/>
      </w:pPr>
      <w:rPr>
        <w:u w:val="none"/>
      </w:rPr>
    </w:lvl>
    <w:lvl w:ilvl="5" w:tplc="3DD465CA">
      <w:start w:val="1"/>
      <w:numFmt w:val="bullet"/>
      <w:lvlText w:val="■"/>
      <w:lvlJc w:val="left"/>
      <w:pPr>
        <w:ind w:left="4320" w:hanging="360"/>
      </w:pPr>
      <w:rPr>
        <w:u w:val="none"/>
      </w:rPr>
    </w:lvl>
    <w:lvl w:ilvl="6" w:tplc="608AE8AE">
      <w:start w:val="1"/>
      <w:numFmt w:val="bullet"/>
      <w:lvlText w:val="●"/>
      <w:lvlJc w:val="left"/>
      <w:pPr>
        <w:ind w:left="5040" w:hanging="360"/>
      </w:pPr>
      <w:rPr>
        <w:u w:val="none"/>
      </w:rPr>
    </w:lvl>
    <w:lvl w:ilvl="7" w:tplc="20187900">
      <w:start w:val="1"/>
      <w:numFmt w:val="bullet"/>
      <w:lvlText w:val="○"/>
      <w:lvlJc w:val="left"/>
      <w:pPr>
        <w:ind w:left="5760" w:hanging="360"/>
      </w:pPr>
      <w:rPr>
        <w:u w:val="none"/>
      </w:rPr>
    </w:lvl>
    <w:lvl w:ilvl="8" w:tplc="889E74B6">
      <w:start w:val="1"/>
      <w:numFmt w:val="bullet"/>
      <w:lvlText w:val="■"/>
      <w:lvlJc w:val="left"/>
      <w:pPr>
        <w:ind w:left="6480" w:hanging="360"/>
      </w:pPr>
      <w:rPr>
        <w:u w:val="none"/>
      </w:rPr>
    </w:lvl>
  </w:abstractNum>
  <w:abstractNum w:abstractNumId="10" w15:restartNumberingAfterBreak="0">
    <w:nsid w:val="4EFEA924"/>
    <w:multiLevelType w:val="hybridMultilevel"/>
    <w:tmpl w:val="00000000"/>
    <w:lvl w:ilvl="0" w:tplc="C778D1B6">
      <w:start w:val="1"/>
      <w:numFmt w:val="bullet"/>
      <w:lvlText w:val="●"/>
      <w:lvlJc w:val="left"/>
      <w:pPr>
        <w:ind w:left="720" w:hanging="360"/>
      </w:pPr>
      <w:rPr>
        <w:u w:val="none"/>
      </w:rPr>
    </w:lvl>
    <w:lvl w:ilvl="1" w:tplc="EBCA3BE0">
      <w:start w:val="1"/>
      <w:numFmt w:val="bullet"/>
      <w:lvlText w:val="○"/>
      <w:lvlJc w:val="left"/>
      <w:pPr>
        <w:ind w:left="1440" w:hanging="360"/>
      </w:pPr>
      <w:rPr>
        <w:u w:val="none"/>
      </w:rPr>
    </w:lvl>
    <w:lvl w:ilvl="2" w:tplc="78A0EE06">
      <w:start w:val="1"/>
      <w:numFmt w:val="bullet"/>
      <w:lvlText w:val="■"/>
      <w:lvlJc w:val="left"/>
      <w:pPr>
        <w:ind w:left="2160" w:hanging="360"/>
      </w:pPr>
      <w:rPr>
        <w:u w:val="none"/>
      </w:rPr>
    </w:lvl>
    <w:lvl w:ilvl="3" w:tplc="F2F40CA2">
      <w:start w:val="1"/>
      <w:numFmt w:val="bullet"/>
      <w:lvlText w:val="●"/>
      <w:lvlJc w:val="left"/>
      <w:pPr>
        <w:ind w:left="2880" w:hanging="360"/>
      </w:pPr>
      <w:rPr>
        <w:u w:val="none"/>
      </w:rPr>
    </w:lvl>
    <w:lvl w:ilvl="4" w:tplc="F24281A8">
      <w:start w:val="1"/>
      <w:numFmt w:val="bullet"/>
      <w:lvlText w:val="○"/>
      <w:lvlJc w:val="left"/>
      <w:pPr>
        <w:ind w:left="3600" w:hanging="360"/>
      </w:pPr>
      <w:rPr>
        <w:u w:val="none"/>
      </w:rPr>
    </w:lvl>
    <w:lvl w:ilvl="5" w:tplc="697C35E0">
      <w:start w:val="1"/>
      <w:numFmt w:val="bullet"/>
      <w:lvlText w:val="■"/>
      <w:lvlJc w:val="left"/>
      <w:pPr>
        <w:ind w:left="4320" w:hanging="360"/>
      </w:pPr>
      <w:rPr>
        <w:u w:val="none"/>
      </w:rPr>
    </w:lvl>
    <w:lvl w:ilvl="6" w:tplc="2368D918">
      <w:start w:val="1"/>
      <w:numFmt w:val="bullet"/>
      <w:lvlText w:val="●"/>
      <w:lvlJc w:val="left"/>
      <w:pPr>
        <w:ind w:left="5040" w:hanging="360"/>
      </w:pPr>
      <w:rPr>
        <w:u w:val="none"/>
      </w:rPr>
    </w:lvl>
    <w:lvl w:ilvl="7" w:tplc="EA369FF6">
      <w:start w:val="1"/>
      <w:numFmt w:val="bullet"/>
      <w:lvlText w:val="○"/>
      <w:lvlJc w:val="left"/>
      <w:pPr>
        <w:ind w:left="5760" w:hanging="360"/>
      </w:pPr>
      <w:rPr>
        <w:u w:val="none"/>
      </w:rPr>
    </w:lvl>
    <w:lvl w:ilvl="8" w:tplc="2A1AACDA">
      <w:start w:val="1"/>
      <w:numFmt w:val="bullet"/>
      <w:lvlText w:val="■"/>
      <w:lvlJc w:val="left"/>
      <w:pPr>
        <w:ind w:left="6480" w:hanging="360"/>
      </w:pPr>
      <w:rPr>
        <w:u w:val="none"/>
      </w:rPr>
    </w:lvl>
  </w:abstractNum>
  <w:abstractNum w:abstractNumId="11" w15:restartNumberingAfterBreak="0">
    <w:nsid w:val="527BE2E7"/>
    <w:multiLevelType w:val="hybridMultilevel"/>
    <w:tmpl w:val="00000000"/>
    <w:lvl w:ilvl="0" w:tplc="FF1C8E54">
      <w:start w:val="1"/>
      <w:numFmt w:val="bullet"/>
      <w:lvlText w:val="●"/>
      <w:lvlJc w:val="left"/>
      <w:pPr>
        <w:ind w:left="720" w:hanging="360"/>
      </w:pPr>
      <w:rPr>
        <w:u w:val="none"/>
      </w:rPr>
    </w:lvl>
    <w:lvl w:ilvl="1" w:tplc="AFB2F6D4">
      <w:start w:val="1"/>
      <w:numFmt w:val="bullet"/>
      <w:lvlText w:val="○"/>
      <w:lvlJc w:val="left"/>
      <w:pPr>
        <w:ind w:left="1440" w:hanging="360"/>
      </w:pPr>
      <w:rPr>
        <w:u w:val="none"/>
      </w:rPr>
    </w:lvl>
    <w:lvl w:ilvl="2" w:tplc="CF3A97D8">
      <w:start w:val="1"/>
      <w:numFmt w:val="bullet"/>
      <w:lvlText w:val="■"/>
      <w:lvlJc w:val="left"/>
      <w:pPr>
        <w:ind w:left="2160" w:hanging="360"/>
      </w:pPr>
      <w:rPr>
        <w:u w:val="none"/>
      </w:rPr>
    </w:lvl>
    <w:lvl w:ilvl="3" w:tplc="DDF23790">
      <w:start w:val="1"/>
      <w:numFmt w:val="bullet"/>
      <w:lvlText w:val="●"/>
      <w:lvlJc w:val="left"/>
      <w:pPr>
        <w:ind w:left="2880" w:hanging="360"/>
      </w:pPr>
      <w:rPr>
        <w:u w:val="none"/>
      </w:rPr>
    </w:lvl>
    <w:lvl w:ilvl="4" w:tplc="EC16CBA0">
      <w:start w:val="1"/>
      <w:numFmt w:val="bullet"/>
      <w:lvlText w:val="○"/>
      <w:lvlJc w:val="left"/>
      <w:pPr>
        <w:ind w:left="3600" w:hanging="360"/>
      </w:pPr>
      <w:rPr>
        <w:u w:val="none"/>
      </w:rPr>
    </w:lvl>
    <w:lvl w:ilvl="5" w:tplc="75A49DCC">
      <w:start w:val="1"/>
      <w:numFmt w:val="bullet"/>
      <w:lvlText w:val="■"/>
      <w:lvlJc w:val="left"/>
      <w:pPr>
        <w:ind w:left="4320" w:hanging="360"/>
      </w:pPr>
      <w:rPr>
        <w:u w:val="none"/>
      </w:rPr>
    </w:lvl>
    <w:lvl w:ilvl="6" w:tplc="43CC35EA">
      <w:start w:val="1"/>
      <w:numFmt w:val="bullet"/>
      <w:lvlText w:val="●"/>
      <w:lvlJc w:val="left"/>
      <w:pPr>
        <w:ind w:left="5040" w:hanging="360"/>
      </w:pPr>
      <w:rPr>
        <w:u w:val="none"/>
      </w:rPr>
    </w:lvl>
    <w:lvl w:ilvl="7" w:tplc="E28834CA">
      <w:start w:val="1"/>
      <w:numFmt w:val="bullet"/>
      <w:lvlText w:val="○"/>
      <w:lvlJc w:val="left"/>
      <w:pPr>
        <w:ind w:left="5760" w:hanging="360"/>
      </w:pPr>
      <w:rPr>
        <w:u w:val="none"/>
      </w:rPr>
    </w:lvl>
    <w:lvl w:ilvl="8" w:tplc="AB6A7D0A">
      <w:start w:val="1"/>
      <w:numFmt w:val="bullet"/>
      <w:lvlText w:val="■"/>
      <w:lvlJc w:val="left"/>
      <w:pPr>
        <w:ind w:left="6480" w:hanging="360"/>
      </w:pPr>
      <w:rPr>
        <w:u w:val="none"/>
      </w:rPr>
    </w:lvl>
  </w:abstractNum>
  <w:abstractNum w:abstractNumId="12" w15:restartNumberingAfterBreak="0">
    <w:nsid w:val="5AC51D1C"/>
    <w:multiLevelType w:val="hybridMultilevel"/>
    <w:tmpl w:val="00000000"/>
    <w:lvl w:ilvl="0" w:tplc="BC6CF6A0">
      <w:start w:val="1"/>
      <w:numFmt w:val="bullet"/>
      <w:lvlText w:val="●"/>
      <w:lvlJc w:val="left"/>
      <w:pPr>
        <w:ind w:left="720" w:hanging="360"/>
      </w:pPr>
      <w:rPr>
        <w:u w:val="none"/>
      </w:rPr>
    </w:lvl>
    <w:lvl w:ilvl="1" w:tplc="FD22B54C">
      <w:start w:val="1"/>
      <w:numFmt w:val="bullet"/>
      <w:lvlText w:val="○"/>
      <w:lvlJc w:val="left"/>
      <w:pPr>
        <w:ind w:left="1440" w:hanging="360"/>
      </w:pPr>
      <w:rPr>
        <w:u w:val="none"/>
      </w:rPr>
    </w:lvl>
    <w:lvl w:ilvl="2" w:tplc="AB767448">
      <w:start w:val="1"/>
      <w:numFmt w:val="bullet"/>
      <w:lvlText w:val="■"/>
      <w:lvlJc w:val="left"/>
      <w:pPr>
        <w:ind w:left="2160" w:hanging="360"/>
      </w:pPr>
      <w:rPr>
        <w:u w:val="none"/>
      </w:rPr>
    </w:lvl>
    <w:lvl w:ilvl="3" w:tplc="59DCB2D8">
      <w:start w:val="1"/>
      <w:numFmt w:val="bullet"/>
      <w:lvlText w:val="●"/>
      <w:lvlJc w:val="left"/>
      <w:pPr>
        <w:ind w:left="2880" w:hanging="360"/>
      </w:pPr>
      <w:rPr>
        <w:u w:val="none"/>
      </w:rPr>
    </w:lvl>
    <w:lvl w:ilvl="4" w:tplc="76D0AB78">
      <w:start w:val="1"/>
      <w:numFmt w:val="bullet"/>
      <w:lvlText w:val="○"/>
      <w:lvlJc w:val="left"/>
      <w:pPr>
        <w:ind w:left="3600" w:hanging="360"/>
      </w:pPr>
      <w:rPr>
        <w:u w:val="none"/>
      </w:rPr>
    </w:lvl>
    <w:lvl w:ilvl="5" w:tplc="8A08D302">
      <w:start w:val="1"/>
      <w:numFmt w:val="bullet"/>
      <w:lvlText w:val="■"/>
      <w:lvlJc w:val="left"/>
      <w:pPr>
        <w:ind w:left="4320" w:hanging="360"/>
      </w:pPr>
      <w:rPr>
        <w:u w:val="none"/>
      </w:rPr>
    </w:lvl>
    <w:lvl w:ilvl="6" w:tplc="A970CAEA">
      <w:start w:val="1"/>
      <w:numFmt w:val="bullet"/>
      <w:lvlText w:val="●"/>
      <w:lvlJc w:val="left"/>
      <w:pPr>
        <w:ind w:left="5040" w:hanging="360"/>
      </w:pPr>
      <w:rPr>
        <w:u w:val="none"/>
      </w:rPr>
    </w:lvl>
    <w:lvl w:ilvl="7" w:tplc="13667628">
      <w:start w:val="1"/>
      <w:numFmt w:val="bullet"/>
      <w:lvlText w:val="○"/>
      <w:lvlJc w:val="left"/>
      <w:pPr>
        <w:ind w:left="5760" w:hanging="360"/>
      </w:pPr>
      <w:rPr>
        <w:u w:val="none"/>
      </w:rPr>
    </w:lvl>
    <w:lvl w:ilvl="8" w:tplc="792ADD60">
      <w:start w:val="1"/>
      <w:numFmt w:val="bullet"/>
      <w:lvlText w:val="■"/>
      <w:lvlJc w:val="left"/>
      <w:pPr>
        <w:ind w:left="6480" w:hanging="360"/>
      </w:pPr>
      <w:rPr>
        <w:u w:val="none"/>
      </w:rPr>
    </w:lvl>
  </w:abstractNum>
  <w:abstractNum w:abstractNumId="13" w15:restartNumberingAfterBreak="0">
    <w:nsid w:val="6587035F"/>
    <w:multiLevelType w:val="hybridMultilevel"/>
    <w:tmpl w:val="00000000"/>
    <w:lvl w:ilvl="0" w:tplc="2266E72A">
      <w:start w:val="1"/>
      <w:numFmt w:val="bullet"/>
      <w:lvlText w:val="●"/>
      <w:lvlJc w:val="left"/>
      <w:pPr>
        <w:ind w:left="720" w:hanging="360"/>
      </w:pPr>
      <w:rPr>
        <w:u w:val="none"/>
      </w:rPr>
    </w:lvl>
    <w:lvl w:ilvl="1" w:tplc="F26000AC">
      <w:start w:val="1"/>
      <w:numFmt w:val="bullet"/>
      <w:lvlText w:val="○"/>
      <w:lvlJc w:val="left"/>
      <w:pPr>
        <w:ind w:left="1440" w:hanging="360"/>
      </w:pPr>
      <w:rPr>
        <w:u w:val="none"/>
      </w:rPr>
    </w:lvl>
    <w:lvl w:ilvl="2" w:tplc="1E145A5A">
      <w:start w:val="1"/>
      <w:numFmt w:val="bullet"/>
      <w:lvlText w:val="■"/>
      <w:lvlJc w:val="left"/>
      <w:pPr>
        <w:ind w:left="2160" w:hanging="360"/>
      </w:pPr>
      <w:rPr>
        <w:u w:val="none"/>
      </w:rPr>
    </w:lvl>
    <w:lvl w:ilvl="3" w:tplc="A650C20E">
      <w:start w:val="1"/>
      <w:numFmt w:val="bullet"/>
      <w:lvlText w:val="●"/>
      <w:lvlJc w:val="left"/>
      <w:pPr>
        <w:ind w:left="2880" w:hanging="360"/>
      </w:pPr>
      <w:rPr>
        <w:u w:val="none"/>
      </w:rPr>
    </w:lvl>
    <w:lvl w:ilvl="4" w:tplc="14F45AA0">
      <w:start w:val="1"/>
      <w:numFmt w:val="bullet"/>
      <w:lvlText w:val="○"/>
      <w:lvlJc w:val="left"/>
      <w:pPr>
        <w:ind w:left="3600" w:hanging="360"/>
      </w:pPr>
      <w:rPr>
        <w:u w:val="none"/>
      </w:rPr>
    </w:lvl>
    <w:lvl w:ilvl="5" w:tplc="2E0A9A2A">
      <w:start w:val="1"/>
      <w:numFmt w:val="bullet"/>
      <w:lvlText w:val="■"/>
      <w:lvlJc w:val="left"/>
      <w:pPr>
        <w:ind w:left="4320" w:hanging="360"/>
      </w:pPr>
      <w:rPr>
        <w:u w:val="none"/>
      </w:rPr>
    </w:lvl>
    <w:lvl w:ilvl="6" w:tplc="CA6AB914">
      <w:start w:val="1"/>
      <w:numFmt w:val="bullet"/>
      <w:lvlText w:val="●"/>
      <w:lvlJc w:val="left"/>
      <w:pPr>
        <w:ind w:left="5040" w:hanging="360"/>
      </w:pPr>
      <w:rPr>
        <w:u w:val="none"/>
      </w:rPr>
    </w:lvl>
    <w:lvl w:ilvl="7" w:tplc="A904B2BE">
      <w:start w:val="1"/>
      <w:numFmt w:val="bullet"/>
      <w:lvlText w:val="○"/>
      <w:lvlJc w:val="left"/>
      <w:pPr>
        <w:ind w:left="5760" w:hanging="360"/>
      </w:pPr>
      <w:rPr>
        <w:u w:val="none"/>
      </w:rPr>
    </w:lvl>
    <w:lvl w:ilvl="8" w:tplc="B0C89A9E">
      <w:start w:val="1"/>
      <w:numFmt w:val="bullet"/>
      <w:lvlText w:val="■"/>
      <w:lvlJc w:val="left"/>
      <w:pPr>
        <w:ind w:left="6480" w:hanging="360"/>
      </w:pPr>
      <w:rPr>
        <w:u w:val="none"/>
      </w:rPr>
    </w:lvl>
  </w:abstractNum>
  <w:num w:numId="1" w16cid:durableId="1726874976">
    <w:abstractNumId w:val="4"/>
  </w:num>
  <w:num w:numId="2" w16cid:durableId="21907697">
    <w:abstractNumId w:val="0"/>
  </w:num>
  <w:num w:numId="3" w16cid:durableId="168520909">
    <w:abstractNumId w:val="10"/>
  </w:num>
  <w:num w:numId="4" w16cid:durableId="323247356">
    <w:abstractNumId w:val="2"/>
  </w:num>
  <w:num w:numId="5" w16cid:durableId="1812401493">
    <w:abstractNumId w:val="6"/>
  </w:num>
  <w:num w:numId="6" w16cid:durableId="1174733079">
    <w:abstractNumId w:val="8"/>
  </w:num>
  <w:num w:numId="7" w16cid:durableId="1236164233">
    <w:abstractNumId w:val="13"/>
  </w:num>
  <w:num w:numId="8" w16cid:durableId="721178757">
    <w:abstractNumId w:val="7"/>
  </w:num>
  <w:num w:numId="9" w16cid:durableId="737023275">
    <w:abstractNumId w:val="1"/>
  </w:num>
  <w:num w:numId="10" w16cid:durableId="1894778396">
    <w:abstractNumId w:val="9"/>
  </w:num>
  <w:num w:numId="11" w16cid:durableId="1431504815">
    <w:abstractNumId w:val="5"/>
  </w:num>
  <w:num w:numId="12" w16cid:durableId="844322768">
    <w:abstractNumId w:val="12"/>
  </w:num>
  <w:num w:numId="13" w16cid:durableId="2122605850">
    <w:abstractNumId w:val="11"/>
  </w:num>
  <w:num w:numId="14" w16cid:durableId="7054475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36C"/>
    <w:rsid w:val="000057C6"/>
    <w:rsid w:val="002745B6"/>
    <w:rsid w:val="00336A49"/>
    <w:rsid w:val="004E4E77"/>
    <w:rsid w:val="006B2CBE"/>
    <w:rsid w:val="00744094"/>
    <w:rsid w:val="007B536C"/>
    <w:rsid w:val="00AB66D9"/>
    <w:rsid w:val="00B57378"/>
    <w:rsid w:val="00C37B4E"/>
    <w:rsid w:val="00D50551"/>
    <w:rsid w:val="00DD09F2"/>
    <w:rsid w:val="00EC2446"/>
    <w:rsid w:val="00FC34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4492F"/>
  <w15:docId w15:val="{28B8E489-106E-4AA8-A6BC-8F6393E3A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bCs/>
    </w:rPr>
  </w:style>
  <w:style w:type="paragraph" w:styleId="Heading2">
    <w:name w:val="heading 2"/>
    <w:basedOn w:val="Normal"/>
    <w:next w:val="Normal"/>
    <w:pPr>
      <w:keepNext/>
      <w:keepLines/>
      <w:spacing w:before="360" w:after="120"/>
      <w:outlineLvl w:val="1"/>
    </w:pPr>
    <w:rPr>
      <w:b/>
      <w:bCs/>
      <w:i/>
      <w:iCs/>
    </w:rPr>
  </w:style>
  <w:style w:type="paragraph" w:styleId="Heading3">
    <w:name w:val="heading 3"/>
    <w:basedOn w:val="Normal"/>
    <w:next w:val="Normal"/>
    <w:pPr>
      <w:keepNext/>
      <w:keepLines/>
      <w:spacing w:before="320" w:after="80"/>
      <w:outlineLvl w:val="2"/>
    </w:pPr>
    <w:rPr>
      <w:b/>
      <w:bCs/>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table" w:customStyle="1" w:styleId="Table3">
    <w:name w:val="Table3"/>
    <w:basedOn w:val="TableNormal0"/>
    <w:tblPr>
      <w:tblStyleRowBandSize w:val="1"/>
      <w:tblStyleColBandSize w:val="1"/>
    </w:tblPr>
  </w:style>
  <w:style w:type="table" w:customStyle="1" w:styleId="Table4">
    <w:name w:val="Table4"/>
    <w:basedOn w:val="TableNormal0"/>
    <w:tblPr>
      <w:tblStyleRowBandSize w:val="1"/>
      <w:tblStyleColBandSize w:val="1"/>
    </w:tblPr>
  </w:style>
  <w:style w:type="table" w:customStyle="1" w:styleId="Table5">
    <w:name w:val="Table5"/>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6B2CBE"/>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6B2CBE"/>
    <w:pPr>
      <w:spacing w:after="100"/>
    </w:pPr>
  </w:style>
  <w:style w:type="paragraph" w:styleId="TOC2">
    <w:name w:val="toc 2"/>
    <w:basedOn w:val="Normal"/>
    <w:next w:val="Normal"/>
    <w:autoRedefine/>
    <w:uiPriority w:val="39"/>
    <w:unhideWhenUsed/>
    <w:rsid w:val="006B2CBE"/>
    <w:pPr>
      <w:spacing w:after="100"/>
      <w:ind w:left="240"/>
    </w:pPr>
  </w:style>
  <w:style w:type="paragraph" w:styleId="TOC3">
    <w:name w:val="toc 3"/>
    <w:basedOn w:val="Normal"/>
    <w:next w:val="Normal"/>
    <w:autoRedefine/>
    <w:uiPriority w:val="39"/>
    <w:unhideWhenUsed/>
    <w:rsid w:val="006B2CBE"/>
    <w:pPr>
      <w:spacing w:after="100"/>
      <w:ind w:left="480"/>
    </w:pPr>
  </w:style>
  <w:style w:type="character" w:styleId="Hyperlink">
    <w:name w:val="Hyperlink"/>
    <w:basedOn w:val="DefaultParagraphFont"/>
    <w:uiPriority w:val="99"/>
    <w:unhideWhenUsed/>
    <w:rsid w:val="006B2CBE"/>
    <w:rPr>
      <w:color w:val="0000FF" w:themeColor="hyperlink"/>
      <w:u w:val="single"/>
    </w:rPr>
  </w:style>
  <w:style w:type="paragraph" w:styleId="ListParagraph">
    <w:name w:val="List Paragraph"/>
    <w:basedOn w:val="Normal"/>
    <w:uiPriority w:val="34"/>
    <w:qFormat/>
    <w:rsid w:val="006B2CBE"/>
    <w:pPr>
      <w:ind w:left="720"/>
      <w:contextualSpacing/>
    </w:pPr>
  </w:style>
  <w:style w:type="paragraph" w:styleId="Header">
    <w:name w:val="header"/>
    <w:basedOn w:val="Normal"/>
    <w:link w:val="HeaderChar"/>
    <w:uiPriority w:val="99"/>
    <w:unhideWhenUsed/>
    <w:rsid w:val="006B2CBE"/>
    <w:pPr>
      <w:tabs>
        <w:tab w:val="center" w:pos="4513"/>
        <w:tab w:val="right" w:pos="9026"/>
      </w:tabs>
      <w:spacing w:line="240" w:lineRule="auto"/>
    </w:pPr>
  </w:style>
  <w:style w:type="character" w:customStyle="1" w:styleId="HeaderChar">
    <w:name w:val="Header Char"/>
    <w:basedOn w:val="DefaultParagraphFont"/>
    <w:link w:val="Header"/>
    <w:uiPriority w:val="99"/>
    <w:rsid w:val="006B2CBE"/>
  </w:style>
  <w:style w:type="paragraph" w:styleId="Footer">
    <w:name w:val="footer"/>
    <w:basedOn w:val="Normal"/>
    <w:link w:val="FooterChar"/>
    <w:uiPriority w:val="99"/>
    <w:unhideWhenUsed/>
    <w:rsid w:val="006B2CBE"/>
    <w:pPr>
      <w:tabs>
        <w:tab w:val="center" w:pos="4513"/>
        <w:tab w:val="right" w:pos="9026"/>
      </w:tabs>
      <w:spacing w:line="240" w:lineRule="auto"/>
    </w:pPr>
  </w:style>
  <w:style w:type="character" w:customStyle="1" w:styleId="FooterChar">
    <w:name w:val="Footer Char"/>
    <w:basedOn w:val="DefaultParagraphFont"/>
    <w:link w:val="Footer"/>
    <w:uiPriority w:val="99"/>
    <w:rsid w:val="006B2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ilbotix.com/milbotix-and-hug-by-laugh-announce-groundbreaking-collaboration-to-enhance-wellbeing-in-dementia-car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capabilities/people-and-organizational-performance/our-insights/the-organization-blog/a-data-backed-approach-to-stakeholder-engage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um.com/@jerrygrzegorzek/stakeholder-conflict-6ac43061096b" TargetMode="External"/><Relationship Id="rId5" Type="http://schemas.openxmlformats.org/officeDocument/2006/relationships/webSettings" Target="webSettings.xml"/><Relationship Id="rId15" Type="http://schemas.openxmlformats.org/officeDocument/2006/relationships/hyperlink" Target="https://www.forbes.com/sites/glebtsipursky/2023/04/23/mastering-stakeholder-engagement-to-drive-business-success/" TargetMode="External"/><Relationship Id="rId10" Type="http://schemas.openxmlformats.org/officeDocument/2006/relationships/hyperlink" Target="https://www.experis.co.uk/blog/2025/03/closing-the-digital-skills-gap-the-2025-talent-shortage?source=google.com" TargetMode="External"/><Relationship Id="rId4" Type="http://schemas.openxmlformats.org/officeDocument/2006/relationships/settings" Target="settings.xml"/><Relationship Id="rId9" Type="http://schemas.openxmlformats.org/officeDocument/2006/relationships/hyperlink" Target="https://www.statista.com/topics/12225/wearables-in-the-uk/?srsltid=AfmBOoq16DYrSEyBXL28xI3bBeFhYjQzb5L37ZHM_hZhkzeFRjQ3dBgZ" TargetMode="External"/><Relationship Id="rId14" Type="http://schemas.openxmlformats.org/officeDocument/2006/relationships/hyperlink" Target="https://milbotix.com/abou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F8311-09BC-4D60-9857-75649989A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5789</Words>
  <Characters>33000</Characters>
  <Application>Microsoft Office Word</Application>
  <DocSecurity>0</DocSecurity>
  <Lines>275</Lines>
  <Paragraphs>77</Paragraphs>
  <ScaleCrop>false</ScaleCrop>
  <Company/>
  <LinksUpToDate>false</LinksUpToDate>
  <CharactersWithSpaces>38712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Josan</cp:lastModifiedBy>
  <cp:revision>2</cp:revision>
  <dcterms:created xsi:type="dcterms:W3CDTF">2025-12-15T19:16:00Z</dcterms:created>
  <dcterms:modified xsi:type="dcterms:W3CDTF">2025-12-15T19:16:00Z</dcterms:modified>
</cp:coreProperties>
</file>