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A775E65" w14:textId="77777777" w:rsidR="00253BDE" w:rsidRDefault="00614B17">
      <w:pPr>
        <w:spacing w:after="400"/>
        <w:jc w:val="center"/>
      </w:pPr>
      <w:r>
        <w:rPr>
          <w:noProof/>
        </w:rPr>
        <w:drawing>
          <wp:inline distT="0" distB="0" distL="0" distR="0" wp14:anchorId="77049452" wp14:editId="05BAF39F">
            <wp:extent cx="2476500" cy="8191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2476500" cy="819150"/>
                    </a:xfrm>
                    <a:prstGeom prst="rect">
                      <a:avLst/>
                    </a:prstGeom>
                  </pic:spPr>
                </pic:pic>
              </a:graphicData>
            </a:graphic>
          </wp:inline>
        </w:drawing>
      </w:r>
    </w:p>
    <w:p w14:paraId="206D0011" w14:textId="77777777" w:rsidR="00253BDE" w:rsidRDefault="00614B17">
      <w:pPr>
        <w:spacing w:before="600" w:after="200"/>
        <w:jc w:val="center"/>
      </w:pPr>
      <w:r>
        <w:rPr>
          <w:b/>
          <w:bCs/>
          <w:color w:val="1F4E78"/>
          <w:sz w:val="40"/>
          <w:szCs w:val="40"/>
        </w:rPr>
        <w:t>Data Handling and Business Intelligence</w:t>
      </w:r>
    </w:p>
    <w:p w14:paraId="10A84892" w14:textId="77777777" w:rsidR="00253BDE" w:rsidRDefault="00614B17">
      <w:pPr>
        <w:spacing w:after="600"/>
        <w:jc w:val="center"/>
      </w:pPr>
      <w:r>
        <w:rPr>
          <w:i/>
          <w:iCs/>
          <w:sz w:val="26"/>
          <w:szCs w:val="26"/>
        </w:rPr>
        <w:t>Component 2: Individual Report — Letterbox Movie Classification Dataset</w:t>
      </w:r>
    </w:p>
    <w:p w14:paraId="22F4CBF4" w14:textId="77777777" w:rsidR="00253BDE" w:rsidRDefault="00253BDE">
      <w:pPr>
        <w:spacing w:after="400"/>
      </w:pPr>
    </w:p>
    <w:tbl>
      <w:tblPr>
        <w:tblW w:w="493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671"/>
        <w:gridCol w:w="6233"/>
      </w:tblGrid>
      <w:tr w:rsidR="00253BDE" w14:paraId="707093F2" w14:textId="77777777" w:rsidTr="00460715">
        <w:trPr>
          <w:trHeight w:val="789"/>
        </w:trPr>
        <w:tc>
          <w:tcPr>
            <w:tcW w:w="1500"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24410AFC" w14:textId="77777777" w:rsidR="00253BDE" w:rsidRDefault="00614B17">
            <w:r>
              <w:rPr>
                <w:b/>
                <w:bCs/>
                <w:sz w:val="20"/>
                <w:szCs w:val="20"/>
              </w:rPr>
              <w:t>Programme:</w:t>
            </w:r>
          </w:p>
        </w:tc>
        <w:tc>
          <w:tcPr>
            <w:tcW w:w="3500" w:type="pct"/>
            <w:tcBorders>
              <w:top w:val="single" w:sz="4" w:space="0" w:color="000000"/>
              <w:left w:val="single" w:sz="4" w:space="0" w:color="000000"/>
              <w:bottom w:val="single" w:sz="4" w:space="0" w:color="000000"/>
              <w:right w:val="single" w:sz="4" w:space="0" w:color="000000"/>
            </w:tcBorders>
            <w:vAlign w:val="center"/>
          </w:tcPr>
          <w:p w14:paraId="6E4F39FD" w14:textId="77777777" w:rsidR="00253BDE" w:rsidRDefault="00614B17">
            <w:r>
              <w:rPr>
                <w:sz w:val="20"/>
                <w:szCs w:val="20"/>
              </w:rPr>
              <w:t>BA (Hons) Business Management</w:t>
            </w:r>
          </w:p>
        </w:tc>
      </w:tr>
      <w:tr w:rsidR="00253BDE" w14:paraId="76BB049A" w14:textId="77777777" w:rsidTr="00460715">
        <w:trPr>
          <w:trHeight w:val="789"/>
        </w:trPr>
        <w:tc>
          <w:tcPr>
            <w:tcW w:w="1500"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29E8A0A1" w14:textId="77777777" w:rsidR="00253BDE" w:rsidRDefault="00614B17">
            <w:r>
              <w:rPr>
                <w:b/>
                <w:bCs/>
                <w:sz w:val="20"/>
                <w:szCs w:val="20"/>
              </w:rPr>
              <w:t>Module:</w:t>
            </w:r>
          </w:p>
        </w:tc>
        <w:tc>
          <w:tcPr>
            <w:tcW w:w="3500" w:type="pct"/>
            <w:tcBorders>
              <w:top w:val="single" w:sz="4" w:space="0" w:color="000000"/>
              <w:left w:val="single" w:sz="4" w:space="0" w:color="000000"/>
              <w:bottom w:val="single" w:sz="4" w:space="0" w:color="000000"/>
              <w:right w:val="single" w:sz="4" w:space="0" w:color="000000"/>
            </w:tcBorders>
            <w:vAlign w:val="center"/>
          </w:tcPr>
          <w:p w14:paraId="5C6701C0" w14:textId="77777777" w:rsidR="00253BDE" w:rsidRDefault="00614B17">
            <w:r>
              <w:rPr>
                <w:sz w:val="20"/>
                <w:szCs w:val="20"/>
              </w:rPr>
              <w:t>Data Handling and Business Intelligence</w:t>
            </w:r>
          </w:p>
        </w:tc>
      </w:tr>
      <w:tr w:rsidR="00253BDE" w14:paraId="62878830" w14:textId="77777777" w:rsidTr="00460715">
        <w:trPr>
          <w:trHeight w:val="789"/>
        </w:trPr>
        <w:tc>
          <w:tcPr>
            <w:tcW w:w="1500"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7FAC90B0" w14:textId="77777777" w:rsidR="00253BDE" w:rsidRDefault="00614B17">
            <w:r>
              <w:rPr>
                <w:b/>
                <w:bCs/>
                <w:sz w:val="20"/>
                <w:szCs w:val="20"/>
              </w:rPr>
              <w:t>Module code:</w:t>
            </w:r>
          </w:p>
        </w:tc>
        <w:tc>
          <w:tcPr>
            <w:tcW w:w="3500" w:type="pct"/>
            <w:tcBorders>
              <w:top w:val="single" w:sz="4" w:space="0" w:color="000000"/>
              <w:left w:val="single" w:sz="4" w:space="0" w:color="000000"/>
              <w:bottom w:val="single" w:sz="4" w:space="0" w:color="000000"/>
              <w:right w:val="single" w:sz="4" w:space="0" w:color="000000"/>
            </w:tcBorders>
            <w:vAlign w:val="center"/>
          </w:tcPr>
          <w:p w14:paraId="1A379CD0" w14:textId="77777777" w:rsidR="00253BDE" w:rsidRDefault="00614B17">
            <w:r>
              <w:rPr>
                <w:sz w:val="20"/>
                <w:szCs w:val="20"/>
              </w:rPr>
              <w:t>LCBB5014</w:t>
            </w:r>
          </w:p>
        </w:tc>
      </w:tr>
      <w:tr w:rsidR="00253BDE" w14:paraId="3B5CDB17" w14:textId="77777777" w:rsidTr="00460715">
        <w:trPr>
          <w:trHeight w:val="789"/>
        </w:trPr>
        <w:tc>
          <w:tcPr>
            <w:tcW w:w="1500"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04809539" w14:textId="77777777" w:rsidR="00253BDE" w:rsidRDefault="00614B17">
            <w:r>
              <w:rPr>
                <w:b/>
                <w:bCs/>
                <w:sz w:val="20"/>
                <w:szCs w:val="20"/>
              </w:rPr>
              <w:t>Assignment Title:</w:t>
            </w:r>
          </w:p>
        </w:tc>
        <w:tc>
          <w:tcPr>
            <w:tcW w:w="3500" w:type="pct"/>
            <w:tcBorders>
              <w:top w:val="single" w:sz="4" w:space="0" w:color="000000"/>
              <w:left w:val="single" w:sz="4" w:space="0" w:color="000000"/>
              <w:bottom w:val="single" w:sz="4" w:space="0" w:color="000000"/>
              <w:right w:val="single" w:sz="4" w:space="0" w:color="000000"/>
            </w:tcBorders>
            <w:vAlign w:val="center"/>
          </w:tcPr>
          <w:p w14:paraId="53E961E1" w14:textId="77777777" w:rsidR="00253BDE" w:rsidRDefault="00614B17">
            <w:r>
              <w:rPr>
                <w:sz w:val="20"/>
                <w:szCs w:val="20"/>
              </w:rPr>
              <w:t>Component 2 Coursework: Individual Report</w:t>
            </w:r>
          </w:p>
        </w:tc>
      </w:tr>
      <w:tr w:rsidR="00253BDE" w14:paraId="5B25365A" w14:textId="77777777" w:rsidTr="00460715">
        <w:trPr>
          <w:trHeight w:val="789"/>
        </w:trPr>
        <w:tc>
          <w:tcPr>
            <w:tcW w:w="1500"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744DDFD6" w14:textId="77777777" w:rsidR="00253BDE" w:rsidRDefault="00614B17">
            <w:r>
              <w:rPr>
                <w:b/>
                <w:bCs/>
                <w:sz w:val="20"/>
                <w:szCs w:val="20"/>
              </w:rPr>
              <w:t>Word count:</w:t>
            </w:r>
          </w:p>
        </w:tc>
        <w:tc>
          <w:tcPr>
            <w:tcW w:w="3500" w:type="pct"/>
            <w:tcBorders>
              <w:top w:val="single" w:sz="4" w:space="0" w:color="000000"/>
              <w:left w:val="single" w:sz="4" w:space="0" w:color="000000"/>
              <w:bottom w:val="single" w:sz="4" w:space="0" w:color="000000"/>
              <w:right w:val="single" w:sz="4" w:space="0" w:color="000000"/>
            </w:tcBorders>
            <w:vAlign w:val="center"/>
          </w:tcPr>
          <w:p w14:paraId="6A9116D1" w14:textId="77777777" w:rsidR="00253BDE" w:rsidRDefault="00614B17">
            <w:r>
              <w:rPr>
                <w:sz w:val="20"/>
                <w:szCs w:val="20"/>
              </w:rPr>
              <w:t>2,000 Words (+/- 10%)</w:t>
            </w:r>
          </w:p>
        </w:tc>
      </w:tr>
      <w:tr w:rsidR="00253BDE" w14:paraId="6D28CE7E" w14:textId="77777777" w:rsidTr="00460715">
        <w:trPr>
          <w:trHeight w:val="789"/>
        </w:trPr>
        <w:tc>
          <w:tcPr>
            <w:tcW w:w="1500"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3DA30026" w14:textId="77777777" w:rsidR="00253BDE" w:rsidRDefault="00614B17">
            <w:r>
              <w:rPr>
                <w:b/>
                <w:bCs/>
                <w:sz w:val="20"/>
                <w:szCs w:val="20"/>
              </w:rPr>
              <w:t>Student Name:</w:t>
            </w:r>
          </w:p>
        </w:tc>
        <w:tc>
          <w:tcPr>
            <w:tcW w:w="3500" w:type="pct"/>
            <w:tcBorders>
              <w:top w:val="single" w:sz="4" w:space="0" w:color="000000"/>
              <w:left w:val="single" w:sz="4" w:space="0" w:color="000000"/>
              <w:bottom w:val="single" w:sz="4" w:space="0" w:color="000000"/>
              <w:right w:val="single" w:sz="4" w:space="0" w:color="000000"/>
            </w:tcBorders>
            <w:vAlign w:val="center"/>
          </w:tcPr>
          <w:p w14:paraId="31498966" w14:textId="5A94280E" w:rsidR="00253BDE" w:rsidRDefault="007C515F">
            <w:r>
              <w:t xml:space="preserve">Daniel Burulea </w:t>
            </w:r>
          </w:p>
        </w:tc>
      </w:tr>
      <w:tr w:rsidR="00253BDE" w14:paraId="6CD85634" w14:textId="77777777" w:rsidTr="00460715">
        <w:trPr>
          <w:trHeight w:val="789"/>
        </w:trPr>
        <w:tc>
          <w:tcPr>
            <w:tcW w:w="1500"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518699B4" w14:textId="77777777" w:rsidR="00253BDE" w:rsidRDefault="00614B17">
            <w:r>
              <w:rPr>
                <w:b/>
                <w:bCs/>
                <w:sz w:val="20"/>
                <w:szCs w:val="20"/>
              </w:rPr>
              <w:t>Student ID:</w:t>
            </w:r>
          </w:p>
        </w:tc>
        <w:tc>
          <w:tcPr>
            <w:tcW w:w="3500" w:type="pct"/>
            <w:tcBorders>
              <w:top w:val="single" w:sz="4" w:space="0" w:color="000000"/>
              <w:left w:val="single" w:sz="4" w:space="0" w:color="000000"/>
              <w:bottom w:val="single" w:sz="4" w:space="0" w:color="000000"/>
              <w:right w:val="single" w:sz="4" w:space="0" w:color="000000"/>
            </w:tcBorders>
            <w:vAlign w:val="center"/>
          </w:tcPr>
          <w:p w14:paraId="33C377D1" w14:textId="67172087" w:rsidR="00253BDE" w:rsidRDefault="007C515F">
            <w:r>
              <w:t>2332668</w:t>
            </w:r>
          </w:p>
        </w:tc>
      </w:tr>
      <w:tr w:rsidR="00253BDE" w14:paraId="115E007E" w14:textId="77777777" w:rsidTr="00460715">
        <w:trPr>
          <w:trHeight w:val="789"/>
        </w:trPr>
        <w:tc>
          <w:tcPr>
            <w:tcW w:w="1500"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426FFB75" w14:textId="77777777" w:rsidR="00253BDE" w:rsidRDefault="00614B17">
            <w:r>
              <w:rPr>
                <w:b/>
                <w:bCs/>
                <w:sz w:val="20"/>
                <w:szCs w:val="20"/>
              </w:rPr>
              <w:t>Submission deadline:</w:t>
            </w:r>
          </w:p>
        </w:tc>
        <w:tc>
          <w:tcPr>
            <w:tcW w:w="3500" w:type="pct"/>
            <w:tcBorders>
              <w:top w:val="single" w:sz="4" w:space="0" w:color="000000"/>
              <w:left w:val="single" w:sz="4" w:space="0" w:color="000000"/>
              <w:bottom w:val="single" w:sz="4" w:space="0" w:color="000000"/>
              <w:right w:val="single" w:sz="4" w:space="0" w:color="000000"/>
            </w:tcBorders>
            <w:vAlign w:val="center"/>
          </w:tcPr>
          <w:p w14:paraId="5D0E8700" w14:textId="77777777" w:rsidR="00253BDE" w:rsidRDefault="00614B17">
            <w:r>
              <w:rPr>
                <w:sz w:val="20"/>
                <w:szCs w:val="20"/>
              </w:rPr>
              <w:t>14/08/2026</w:t>
            </w:r>
          </w:p>
        </w:tc>
      </w:tr>
    </w:tbl>
    <w:p w14:paraId="5E458E0E" w14:textId="77777777" w:rsidR="00253BDE" w:rsidRDefault="00614B17">
      <w:r>
        <w:br w:type="page"/>
      </w:r>
    </w:p>
    <w:p w14:paraId="2D679657" w14:textId="77777777" w:rsidR="00253BDE" w:rsidRDefault="00253BDE">
      <w:pPr>
        <w:sectPr w:rsidR="00253BDE" w:rsidSect="00460715">
          <w:pgSz w:w="11906" w:h="16838"/>
          <w:pgMar w:top="1440" w:right="1440" w:bottom="1440" w:left="1440" w:header="708" w:footer="708" w:gutter="0"/>
          <w:cols w:space="720"/>
          <w:docGrid w:linePitch="360"/>
        </w:sectPr>
      </w:pPr>
    </w:p>
    <w:p w14:paraId="79FF469E" w14:textId="77777777" w:rsidR="00253BDE" w:rsidRDefault="00614B17">
      <w:pPr>
        <w:pStyle w:val="Titlu1"/>
      </w:pPr>
      <w:bookmarkStart w:id="0" w:name="_Toc238250169"/>
      <w:r>
        <w:t>Table of Contents</w:t>
      </w:r>
      <w:bookmarkEnd w:id="0"/>
    </w:p>
    <w:sdt>
      <w:sdtPr>
        <w:alias w:val="Table of Contents"/>
        <w:id w:val="1588956194"/>
      </w:sdtPr>
      <w:sdtEndPr/>
      <w:sdtContent>
        <w:p w14:paraId="51451262" w14:textId="77777777" w:rsidR="00460715" w:rsidRDefault="00614B17">
          <w:pPr>
            <w:pStyle w:val="Cuprins1"/>
            <w:tabs>
              <w:tab w:val="right" w:leader="dot" w:pos="9736"/>
            </w:tabs>
            <w:rPr>
              <w:noProof/>
            </w:rPr>
          </w:pPr>
          <w:r>
            <w:fldChar w:fldCharType="begin"/>
          </w:r>
          <w:r>
            <w:instrText>TOC \h \o "1-2"</w:instrText>
          </w:r>
          <w:r>
            <w:fldChar w:fldCharType="separate"/>
          </w:r>
          <w:hyperlink w:anchor="_Toc238250169" w:history="1">
            <w:r w:rsidR="00460715" w:rsidRPr="00993738">
              <w:rPr>
                <w:rStyle w:val="Hyperlink"/>
                <w:noProof/>
              </w:rPr>
              <w:t>Table of Contents</w:t>
            </w:r>
            <w:r w:rsidR="00460715">
              <w:rPr>
                <w:noProof/>
              </w:rPr>
              <w:tab/>
            </w:r>
            <w:r w:rsidR="00460715">
              <w:rPr>
                <w:noProof/>
              </w:rPr>
              <w:fldChar w:fldCharType="begin"/>
            </w:r>
            <w:r w:rsidR="00460715">
              <w:rPr>
                <w:noProof/>
              </w:rPr>
              <w:instrText xml:space="preserve"> PAGEREF _Toc238250169 \h </w:instrText>
            </w:r>
            <w:r w:rsidR="00460715">
              <w:rPr>
                <w:noProof/>
              </w:rPr>
            </w:r>
            <w:r w:rsidR="00460715">
              <w:rPr>
                <w:noProof/>
              </w:rPr>
              <w:fldChar w:fldCharType="separate"/>
            </w:r>
            <w:r w:rsidR="00460715">
              <w:rPr>
                <w:noProof/>
              </w:rPr>
              <w:t>2</w:t>
            </w:r>
            <w:r w:rsidR="00460715">
              <w:rPr>
                <w:noProof/>
              </w:rPr>
              <w:fldChar w:fldCharType="end"/>
            </w:r>
          </w:hyperlink>
        </w:p>
        <w:p w14:paraId="61DF2486" w14:textId="77777777" w:rsidR="00460715" w:rsidRDefault="00460715">
          <w:pPr>
            <w:pStyle w:val="Cuprins1"/>
            <w:tabs>
              <w:tab w:val="right" w:leader="dot" w:pos="9736"/>
            </w:tabs>
            <w:rPr>
              <w:noProof/>
            </w:rPr>
          </w:pPr>
          <w:hyperlink w:anchor="_Toc238250170" w:history="1">
            <w:r w:rsidRPr="00993738">
              <w:rPr>
                <w:rStyle w:val="Hyperlink"/>
                <w:noProof/>
              </w:rPr>
              <w:t>Introduction</w:t>
            </w:r>
            <w:r>
              <w:rPr>
                <w:noProof/>
              </w:rPr>
              <w:tab/>
            </w:r>
            <w:r>
              <w:rPr>
                <w:noProof/>
              </w:rPr>
              <w:fldChar w:fldCharType="begin"/>
            </w:r>
            <w:r>
              <w:rPr>
                <w:noProof/>
              </w:rPr>
              <w:instrText xml:space="preserve"> PAGEREF _Toc238250170 \h </w:instrText>
            </w:r>
            <w:r>
              <w:rPr>
                <w:noProof/>
              </w:rPr>
            </w:r>
            <w:r>
              <w:rPr>
                <w:noProof/>
              </w:rPr>
              <w:fldChar w:fldCharType="separate"/>
            </w:r>
            <w:r>
              <w:rPr>
                <w:noProof/>
              </w:rPr>
              <w:t>3</w:t>
            </w:r>
            <w:r>
              <w:rPr>
                <w:noProof/>
              </w:rPr>
              <w:fldChar w:fldCharType="end"/>
            </w:r>
          </w:hyperlink>
        </w:p>
        <w:p w14:paraId="48890A3C" w14:textId="77777777" w:rsidR="00460715" w:rsidRDefault="00460715">
          <w:pPr>
            <w:pStyle w:val="Cuprins1"/>
            <w:tabs>
              <w:tab w:val="right" w:leader="dot" w:pos="9736"/>
            </w:tabs>
            <w:rPr>
              <w:noProof/>
            </w:rPr>
          </w:pPr>
          <w:hyperlink w:anchor="_Toc238250171" w:history="1">
            <w:r w:rsidRPr="00993738">
              <w:rPr>
                <w:rStyle w:val="Hyperlink"/>
                <w:noProof/>
              </w:rPr>
              <w:t>Data Extraction and Transformation</w:t>
            </w:r>
            <w:r>
              <w:rPr>
                <w:noProof/>
              </w:rPr>
              <w:tab/>
            </w:r>
            <w:r>
              <w:rPr>
                <w:noProof/>
              </w:rPr>
              <w:fldChar w:fldCharType="begin"/>
            </w:r>
            <w:r>
              <w:rPr>
                <w:noProof/>
              </w:rPr>
              <w:instrText xml:space="preserve"> PAGEREF _Toc238250171 \h </w:instrText>
            </w:r>
            <w:r>
              <w:rPr>
                <w:noProof/>
              </w:rPr>
            </w:r>
            <w:r>
              <w:rPr>
                <w:noProof/>
              </w:rPr>
              <w:fldChar w:fldCharType="separate"/>
            </w:r>
            <w:r>
              <w:rPr>
                <w:noProof/>
              </w:rPr>
              <w:t>3</w:t>
            </w:r>
            <w:r>
              <w:rPr>
                <w:noProof/>
              </w:rPr>
              <w:fldChar w:fldCharType="end"/>
            </w:r>
          </w:hyperlink>
        </w:p>
        <w:p w14:paraId="4C5A8CAB" w14:textId="77777777" w:rsidR="00460715" w:rsidRDefault="00460715">
          <w:pPr>
            <w:pStyle w:val="Cuprins1"/>
            <w:tabs>
              <w:tab w:val="right" w:leader="dot" w:pos="9736"/>
            </w:tabs>
            <w:rPr>
              <w:noProof/>
            </w:rPr>
          </w:pPr>
          <w:hyperlink w:anchor="_Toc238250172" w:history="1">
            <w:r w:rsidRPr="00993738">
              <w:rPr>
                <w:rStyle w:val="Hyperlink"/>
                <w:noProof/>
              </w:rPr>
              <w:t>Descriptive Statistics and Summary</w:t>
            </w:r>
            <w:r>
              <w:rPr>
                <w:noProof/>
              </w:rPr>
              <w:tab/>
            </w:r>
            <w:r>
              <w:rPr>
                <w:noProof/>
              </w:rPr>
              <w:fldChar w:fldCharType="begin"/>
            </w:r>
            <w:r>
              <w:rPr>
                <w:noProof/>
              </w:rPr>
              <w:instrText xml:space="preserve"> PAGEREF _Toc238250172 \h </w:instrText>
            </w:r>
            <w:r>
              <w:rPr>
                <w:noProof/>
              </w:rPr>
            </w:r>
            <w:r>
              <w:rPr>
                <w:noProof/>
              </w:rPr>
              <w:fldChar w:fldCharType="separate"/>
            </w:r>
            <w:r>
              <w:rPr>
                <w:noProof/>
              </w:rPr>
              <w:t>4</w:t>
            </w:r>
            <w:r>
              <w:rPr>
                <w:noProof/>
              </w:rPr>
              <w:fldChar w:fldCharType="end"/>
            </w:r>
          </w:hyperlink>
        </w:p>
        <w:p w14:paraId="48D3530A" w14:textId="77777777" w:rsidR="00460715" w:rsidRDefault="00460715">
          <w:pPr>
            <w:pStyle w:val="Cuprins1"/>
            <w:tabs>
              <w:tab w:val="right" w:leader="dot" w:pos="9736"/>
            </w:tabs>
            <w:rPr>
              <w:noProof/>
            </w:rPr>
          </w:pPr>
          <w:hyperlink w:anchor="_Toc238250173" w:history="1">
            <w:r w:rsidRPr="00993738">
              <w:rPr>
                <w:rStyle w:val="Hyperlink"/>
                <w:noProof/>
              </w:rPr>
              <w:t>Trend Analysis and Visualisation</w:t>
            </w:r>
            <w:r>
              <w:rPr>
                <w:noProof/>
              </w:rPr>
              <w:tab/>
            </w:r>
            <w:r>
              <w:rPr>
                <w:noProof/>
              </w:rPr>
              <w:fldChar w:fldCharType="begin"/>
            </w:r>
            <w:r>
              <w:rPr>
                <w:noProof/>
              </w:rPr>
              <w:instrText xml:space="preserve"> PAGEREF _Toc238250173 \h </w:instrText>
            </w:r>
            <w:r>
              <w:rPr>
                <w:noProof/>
              </w:rPr>
            </w:r>
            <w:r>
              <w:rPr>
                <w:noProof/>
              </w:rPr>
              <w:fldChar w:fldCharType="separate"/>
            </w:r>
            <w:r>
              <w:rPr>
                <w:noProof/>
              </w:rPr>
              <w:t>5</w:t>
            </w:r>
            <w:r>
              <w:rPr>
                <w:noProof/>
              </w:rPr>
              <w:fldChar w:fldCharType="end"/>
            </w:r>
          </w:hyperlink>
        </w:p>
        <w:p w14:paraId="6E257515" w14:textId="77777777" w:rsidR="00460715" w:rsidRDefault="00460715">
          <w:pPr>
            <w:pStyle w:val="Cuprins1"/>
            <w:tabs>
              <w:tab w:val="right" w:leader="dot" w:pos="9736"/>
            </w:tabs>
            <w:rPr>
              <w:noProof/>
            </w:rPr>
          </w:pPr>
          <w:hyperlink w:anchor="_Toc238250174" w:history="1">
            <w:r w:rsidRPr="00993738">
              <w:rPr>
                <w:rStyle w:val="Hyperlink"/>
                <w:noProof/>
              </w:rPr>
              <w:t>Statistical Analysis using SPSS</w:t>
            </w:r>
            <w:r>
              <w:rPr>
                <w:noProof/>
              </w:rPr>
              <w:tab/>
            </w:r>
            <w:r>
              <w:rPr>
                <w:noProof/>
              </w:rPr>
              <w:fldChar w:fldCharType="begin"/>
            </w:r>
            <w:r>
              <w:rPr>
                <w:noProof/>
              </w:rPr>
              <w:instrText xml:space="preserve"> PAGEREF _Toc238250174 \h </w:instrText>
            </w:r>
            <w:r>
              <w:rPr>
                <w:noProof/>
              </w:rPr>
            </w:r>
            <w:r>
              <w:rPr>
                <w:noProof/>
              </w:rPr>
              <w:fldChar w:fldCharType="separate"/>
            </w:r>
            <w:r>
              <w:rPr>
                <w:noProof/>
              </w:rPr>
              <w:t>6</w:t>
            </w:r>
            <w:r>
              <w:rPr>
                <w:noProof/>
              </w:rPr>
              <w:fldChar w:fldCharType="end"/>
            </w:r>
          </w:hyperlink>
        </w:p>
        <w:p w14:paraId="2E09874A" w14:textId="77777777" w:rsidR="00460715" w:rsidRDefault="00460715">
          <w:pPr>
            <w:pStyle w:val="Cuprins1"/>
            <w:tabs>
              <w:tab w:val="right" w:leader="dot" w:pos="9736"/>
            </w:tabs>
            <w:rPr>
              <w:noProof/>
            </w:rPr>
          </w:pPr>
          <w:hyperlink w:anchor="_Toc238250175" w:history="1">
            <w:r w:rsidRPr="00993738">
              <w:rPr>
                <w:rStyle w:val="Hyperlink"/>
                <w:noProof/>
              </w:rPr>
              <w:t>Insights and Recommendations</w:t>
            </w:r>
            <w:r>
              <w:rPr>
                <w:noProof/>
              </w:rPr>
              <w:tab/>
            </w:r>
            <w:r>
              <w:rPr>
                <w:noProof/>
              </w:rPr>
              <w:fldChar w:fldCharType="begin"/>
            </w:r>
            <w:r>
              <w:rPr>
                <w:noProof/>
              </w:rPr>
              <w:instrText xml:space="preserve"> PAGEREF _Toc238250175 \h </w:instrText>
            </w:r>
            <w:r>
              <w:rPr>
                <w:noProof/>
              </w:rPr>
            </w:r>
            <w:r>
              <w:rPr>
                <w:noProof/>
              </w:rPr>
              <w:fldChar w:fldCharType="separate"/>
            </w:r>
            <w:r>
              <w:rPr>
                <w:noProof/>
              </w:rPr>
              <w:t>7</w:t>
            </w:r>
            <w:r>
              <w:rPr>
                <w:noProof/>
              </w:rPr>
              <w:fldChar w:fldCharType="end"/>
            </w:r>
          </w:hyperlink>
        </w:p>
        <w:p w14:paraId="3E97E1A6" w14:textId="77777777" w:rsidR="00460715" w:rsidRDefault="00460715">
          <w:pPr>
            <w:pStyle w:val="Cuprins1"/>
            <w:tabs>
              <w:tab w:val="right" w:leader="dot" w:pos="9736"/>
            </w:tabs>
            <w:rPr>
              <w:noProof/>
            </w:rPr>
          </w:pPr>
          <w:hyperlink w:anchor="_Toc238250176" w:history="1">
            <w:r w:rsidRPr="00993738">
              <w:rPr>
                <w:rStyle w:val="Hyperlink"/>
                <w:noProof/>
              </w:rPr>
              <w:t>Reference List</w:t>
            </w:r>
            <w:r>
              <w:rPr>
                <w:noProof/>
              </w:rPr>
              <w:tab/>
            </w:r>
            <w:r>
              <w:rPr>
                <w:noProof/>
              </w:rPr>
              <w:fldChar w:fldCharType="begin"/>
            </w:r>
            <w:r>
              <w:rPr>
                <w:noProof/>
              </w:rPr>
              <w:instrText xml:space="preserve"> PAGEREF _Toc238250176 \h </w:instrText>
            </w:r>
            <w:r>
              <w:rPr>
                <w:noProof/>
              </w:rPr>
            </w:r>
            <w:r>
              <w:rPr>
                <w:noProof/>
              </w:rPr>
              <w:fldChar w:fldCharType="separate"/>
            </w:r>
            <w:r>
              <w:rPr>
                <w:noProof/>
              </w:rPr>
              <w:t>8</w:t>
            </w:r>
            <w:r>
              <w:rPr>
                <w:noProof/>
              </w:rPr>
              <w:fldChar w:fldCharType="end"/>
            </w:r>
          </w:hyperlink>
        </w:p>
        <w:p w14:paraId="63B866E2" w14:textId="77777777" w:rsidR="00460715" w:rsidRDefault="00460715">
          <w:pPr>
            <w:pStyle w:val="Cuprins1"/>
            <w:tabs>
              <w:tab w:val="right" w:leader="dot" w:pos="9736"/>
            </w:tabs>
            <w:rPr>
              <w:noProof/>
            </w:rPr>
          </w:pPr>
          <w:hyperlink w:anchor="_Toc238250177" w:history="1">
            <w:r w:rsidRPr="00993738">
              <w:rPr>
                <w:rStyle w:val="Hyperlink"/>
                <w:noProof/>
              </w:rPr>
              <w:t>Appendix A: Excel Calculation Screenshots</w:t>
            </w:r>
            <w:r>
              <w:rPr>
                <w:noProof/>
              </w:rPr>
              <w:tab/>
            </w:r>
            <w:r>
              <w:rPr>
                <w:noProof/>
              </w:rPr>
              <w:fldChar w:fldCharType="begin"/>
            </w:r>
            <w:r>
              <w:rPr>
                <w:noProof/>
              </w:rPr>
              <w:instrText xml:space="preserve"> PAGEREF _Toc238250177 \h </w:instrText>
            </w:r>
            <w:r>
              <w:rPr>
                <w:noProof/>
              </w:rPr>
            </w:r>
            <w:r>
              <w:rPr>
                <w:noProof/>
              </w:rPr>
              <w:fldChar w:fldCharType="separate"/>
            </w:r>
            <w:r>
              <w:rPr>
                <w:noProof/>
              </w:rPr>
              <w:t>10</w:t>
            </w:r>
            <w:r>
              <w:rPr>
                <w:noProof/>
              </w:rPr>
              <w:fldChar w:fldCharType="end"/>
            </w:r>
          </w:hyperlink>
        </w:p>
        <w:p w14:paraId="344FD42E" w14:textId="77777777" w:rsidR="00253BDE" w:rsidRDefault="00614B17">
          <w:r>
            <w:fldChar w:fldCharType="end"/>
          </w:r>
        </w:p>
      </w:sdtContent>
    </w:sdt>
    <w:p w14:paraId="758BA7A6" w14:textId="77777777" w:rsidR="00253BDE" w:rsidRDefault="00614B17">
      <w:r>
        <w:br w:type="page"/>
      </w:r>
    </w:p>
    <w:p w14:paraId="09AB7B53" w14:textId="77777777" w:rsidR="00253BDE" w:rsidRDefault="00614B17">
      <w:pPr>
        <w:pStyle w:val="Titlu1"/>
        <w:spacing w:before="300" w:after="200"/>
      </w:pPr>
      <w:bookmarkStart w:id="1" w:name="_Toc238250170"/>
      <w:r>
        <w:t>Introduction</w:t>
      </w:r>
      <w:bookmarkEnd w:id="1"/>
    </w:p>
    <w:p w14:paraId="12A6E7E9" w14:textId="77777777" w:rsidR="00253BDE" w:rsidRDefault="00614B17">
      <w:pPr>
        <w:spacing w:after="200" w:line="360" w:lineRule="auto"/>
        <w:jc w:val="both"/>
      </w:pPr>
      <w:r>
        <w:t>It is no surprise that organisations are now being challenged to use their data to make decisions that are grounded in what customers are doing, as the shift toward evidence-based decision-making (Sharda, Delen and Turban, 2022) is impacting business intelligence (BI) in the entertainment industry as well. The Letterbox Movie Classification Dataset includes 10,000 movies with each movie having a number of attributes including title, director, genre, runtime, original language, average rating, number of times watched, number of likes, and number of fans. The aim of the report is to illustrate skills in data handling and statistical analysis using the tools of Microsoft Excel and IBM SPSS, as well as to analyse some of the issues that underlie audience engagement and critical reception in a catalogue of films in an era of streaming. Industry monitoring shows that the level of engagement at the catalogue is now key to the commissioning and licensing process for key platforms (Ampere Analysis, 2026). The analysis is then broken down into four steps: data cleaning and preparation, descriptive statistics, trend analysis, and inferential statistical testing, which culminates in insights that are relevant to media and entertainment decision makers. In particular, the report asks if there is any systematic difference between the average rating of English language films and non-English language ones; whether runtime is correlated with fan engagement in any way; and whether the combination of fan counts, likes and runtime can predict a film's average rating. The aim is similar to that of the development of recommendation engines and catalogue curation in content platforms (Provost and Fawcett, 2021), which are increasingly making use of the same kind of trend and predictive modelling. The findings are meant to serve as examples of how data-driven decision making can support genre investment decision making, localisation strategy and audience-satisfaction programmes in the streaming and media landscape in a rapidly increasingly data-saturated competitive environment.</w:t>
      </w:r>
    </w:p>
    <w:p w14:paraId="281B976F" w14:textId="77777777" w:rsidR="00253BDE" w:rsidRDefault="00614B17">
      <w:pPr>
        <w:pStyle w:val="Titlu1"/>
        <w:spacing w:before="300" w:after="200"/>
      </w:pPr>
      <w:bookmarkStart w:id="2" w:name="_Toc238250171"/>
      <w:r>
        <w:t>Data Extraction and Transformation</w:t>
      </w:r>
      <w:bookmarkEnd w:id="2"/>
    </w:p>
    <w:p w14:paraId="458D433B" w14:textId="77777777" w:rsidR="00253BDE" w:rsidRDefault="00614B17">
      <w:pPr>
        <w:spacing w:after="200" w:line="360" w:lineRule="auto"/>
        <w:jc w:val="both"/>
      </w:pPr>
      <w:r>
        <w:t>Raw data had no structurally missing (null) cells, but several data fields needed to be standardised before they could be analysed, consistent with the “Golden Rule of Data Quality” that good data is the basis for successful BI output (Kimball and Ross, 2022). The Genres and Studios fields were not atomic values, but string-formatted lists, and these were converted to atomic values in Excel using formula, and text-to-column. This was done so that this category could be broken down and analysed in a meaningful way. The Original_language field had a large number of categories, with many having few movies in each category; many of them were fewer than 10 movies, and were grouped into 8 main language groups (English, Italian, Japanese, French, Korean, Spanish, German and an aggregated “Other” group) to avoid unstable estimates based on very small subgroups, a standard treatment for high-cardinality categorical variables in data mining practice (Han, Kamber and Pei, 2022). Some of the Runtime values were implausible, such as values below 5 minutes and over 300 minutes; this is likely to be due to short forms or mini-series being miscoded as feature films. The interquartile range (IQR) method was used to detect 741 out of 10,000 records as statistical outliers with acceptable limits of 53 and 149 minutes, instead of removing these records which would have lost the other valid data contained in the remaining records in each of the 741 rows, the minutes were winsorised to preserve the sample size without distorting the subsequent averages (Field, 2023). Duplicate-record checks were also carried out on the entire data-set, with no duplicate titles being found. To ensure accuracy, transparency and reproducibility, this transformation process was documented and applied consistently throughout all analyses that are runtime dependent (BI data preparation pipelines) in line with good practice guidance (Chen, Chiang and Storey, 2021).</w:t>
      </w:r>
    </w:p>
    <w:p w14:paraId="57591A54" w14:textId="77777777" w:rsidR="00253BDE" w:rsidRDefault="00614B17">
      <w:pPr>
        <w:pStyle w:val="Titlu1"/>
        <w:spacing w:before="300" w:after="200"/>
      </w:pPr>
      <w:bookmarkStart w:id="3" w:name="_Toc238250172"/>
      <w:r>
        <w:t>Descriptive Statistics and Summary</w:t>
      </w:r>
      <w:bookmarkEnd w:id="3"/>
    </w:p>
    <w:p w14:paraId="1053F7F0" w14:textId="77777777" w:rsidR="00253BDE" w:rsidRDefault="00614B17">
      <w:pPr>
        <w:spacing w:after="200" w:line="360" w:lineRule="auto"/>
        <w:jc w:val="both"/>
      </w:pPr>
      <w:r>
        <w:t>The five main numerical variables were summarised in a table (Table 1) and analysed using descriptive statistics in Excel and SPSS.</w:t>
      </w:r>
    </w:p>
    <w:p w14:paraId="005B697D" w14:textId="77777777" w:rsidR="00253BDE" w:rsidRDefault="00614B17">
      <w:pPr>
        <w:spacing w:before="200" w:after="80"/>
      </w:pPr>
      <w:r>
        <w:rPr>
          <w:b/>
          <w:bCs/>
          <w:sz w:val="20"/>
          <w:szCs w:val="20"/>
        </w:rPr>
        <w:t>Table 1: Descriptive Statistics for Key Numerical Variables (n = 10,000)</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113"/>
        <w:gridCol w:w="1060"/>
        <w:gridCol w:w="1012"/>
        <w:gridCol w:w="1928"/>
        <w:gridCol w:w="1279"/>
        <w:gridCol w:w="1344"/>
      </w:tblGrid>
      <w:tr w:rsidR="00253BDE" w14:paraId="1192D427" w14:textId="77777777">
        <w:trPr>
          <w:tblHeader/>
        </w:trPr>
        <w:tc>
          <w:tcPr>
            <w:tcW w:w="0" w:type="auto"/>
            <w:tcBorders>
              <w:top w:val="single" w:sz="4" w:space="0" w:color="000000"/>
              <w:left w:val="single" w:sz="4" w:space="0" w:color="000000"/>
              <w:bottom w:val="single" w:sz="4" w:space="0" w:color="000000"/>
              <w:right w:val="single" w:sz="4" w:space="0" w:color="000000"/>
            </w:tcBorders>
            <w:shd w:val="clear" w:color="auto" w:fill="1F4E78"/>
            <w:vAlign w:val="center"/>
          </w:tcPr>
          <w:p w14:paraId="4DEA95D5" w14:textId="77777777" w:rsidR="00253BDE" w:rsidRDefault="00614B17">
            <w:pPr>
              <w:jc w:val="center"/>
            </w:pPr>
            <w:r>
              <w:rPr>
                <w:b/>
                <w:bCs/>
                <w:color w:val="FFFFFF"/>
                <w:sz w:val="18"/>
                <w:szCs w:val="18"/>
              </w:rPr>
              <w:t>Variable</w:t>
            </w:r>
          </w:p>
        </w:tc>
        <w:tc>
          <w:tcPr>
            <w:tcW w:w="0" w:type="auto"/>
            <w:tcBorders>
              <w:top w:val="single" w:sz="4" w:space="0" w:color="000000"/>
              <w:left w:val="single" w:sz="4" w:space="0" w:color="000000"/>
              <w:bottom w:val="single" w:sz="4" w:space="0" w:color="000000"/>
              <w:right w:val="single" w:sz="4" w:space="0" w:color="000000"/>
            </w:tcBorders>
            <w:shd w:val="clear" w:color="auto" w:fill="1F4E78"/>
            <w:vAlign w:val="center"/>
          </w:tcPr>
          <w:p w14:paraId="3B82F9C7" w14:textId="77777777" w:rsidR="00253BDE" w:rsidRDefault="00614B17">
            <w:pPr>
              <w:jc w:val="center"/>
            </w:pPr>
            <w:r>
              <w:rPr>
                <w:b/>
                <w:bCs/>
                <w:color w:val="FFFFFF"/>
                <w:sz w:val="18"/>
                <w:szCs w:val="18"/>
              </w:rPr>
              <w:t>Mean</w:t>
            </w:r>
          </w:p>
        </w:tc>
        <w:tc>
          <w:tcPr>
            <w:tcW w:w="0" w:type="auto"/>
            <w:tcBorders>
              <w:top w:val="single" w:sz="4" w:space="0" w:color="000000"/>
              <w:left w:val="single" w:sz="4" w:space="0" w:color="000000"/>
              <w:bottom w:val="single" w:sz="4" w:space="0" w:color="000000"/>
              <w:right w:val="single" w:sz="4" w:space="0" w:color="000000"/>
            </w:tcBorders>
            <w:shd w:val="clear" w:color="auto" w:fill="1F4E78"/>
            <w:vAlign w:val="center"/>
          </w:tcPr>
          <w:p w14:paraId="2AB510A6" w14:textId="77777777" w:rsidR="00253BDE" w:rsidRDefault="00614B17">
            <w:pPr>
              <w:jc w:val="center"/>
            </w:pPr>
            <w:r>
              <w:rPr>
                <w:b/>
                <w:bCs/>
                <w:color w:val="FFFFFF"/>
                <w:sz w:val="18"/>
                <w:szCs w:val="18"/>
              </w:rPr>
              <w:t>Median</w:t>
            </w:r>
          </w:p>
        </w:tc>
        <w:tc>
          <w:tcPr>
            <w:tcW w:w="0" w:type="auto"/>
            <w:tcBorders>
              <w:top w:val="single" w:sz="4" w:space="0" w:color="000000"/>
              <w:left w:val="single" w:sz="4" w:space="0" w:color="000000"/>
              <w:bottom w:val="single" w:sz="4" w:space="0" w:color="000000"/>
              <w:right w:val="single" w:sz="4" w:space="0" w:color="000000"/>
            </w:tcBorders>
            <w:shd w:val="clear" w:color="auto" w:fill="1F4E78"/>
            <w:vAlign w:val="center"/>
          </w:tcPr>
          <w:p w14:paraId="7F4C8379" w14:textId="77777777" w:rsidR="00253BDE" w:rsidRDefault="00614B17">
            <w:pPr>
              <w:jc w:val="center"/>
            </w:pPr>
            <w:r>
              <w:rPr>
                <w:b/>
                <w:bCs/>
                <w:color w:val="FFFFFF"/>
                <w:sz w:val="18"/>
                <w:szCs w:val="18"/>
              </w:rPr>
              <w:t>Std. Deviation</w:t>
            </w:r>
          </w:p>
        </w:tc>
        <w:tc>
          <w:tcPr>
            <w:tcW w:w="0" w:type="auto"/>
            <w:tcBorders>
              <w:top w:val="single" w:sz="4" w:space="0" w:color="000000"/>
              <w:left w:val="single" w:sz="4" w:space="0" w:color="000000"/>
              <w:bottom w:val="single" w:sz="4" w:space="0" w:color="000000"/>
              <w:right w:val="single" w:sz="4" w:space="0" w:color="000000"/>
            </w:tcBorders>
            <w:shd w:val="clear" w:color="auto" w:fill="1F4E78"/>
            <w:vAlign w:val="center"/>
          </w:tcPr>
          <w:p w14:paraId="355CAAA0" w14:textId="77777777" w:rsidR="00253BDE" w:rsidRDefault="00614B17">
            <w:pPr>
              <w:jc w:val="center"/>
            </w:pPr>
            <w:r>
              <w:rPr>
                <w:b/>
                <w:bCs/>
                <w:color w:val="FFFFFF"/>
                <w:sz w:val="18"/>
                <w:szCs w:val="18"/>
              </w:rPr>
              <w:t>Minimum</w:t>
            </w:r>
          </w:p>
        </w:tc>
        <w:tc>
          <w:tcPr>
            <w:tcW w:w="0" w:type="auto"/>
            <w:tcBorders>
              <w:top w:val="single" w:sz="4" w:space="0" w:color="000000"/>
              <w:left w:val="single" w:sz="4" w:space="0" w:color="000000"/>
              <w:bottom w:val="single" w:sz="4" w:space="0" w:color="000000"/>
              <w:right w:val="single" w:sz="4" w:space="0" w:color="000000"/>
            </w:tcBorders>
            <w:shd w:val="clear" w:color="auto" w:fill="1F4E78"/>
            <w:vAlign w:val="center"/>
          </w:tcPr>
          <w:p w14:paraId="3F0A84BB" w14:textId="77777777" w:rsidR="00253BDE" w:rsidRDefault="00614B17">
            <w:pPr>
              <w:jc w:val="center"/>
            </w:pPr>
            <w:r>
              <w:rPr>
                <w:b/>
                <w:bCs/>
                <w:color w:val="FFFFFF"/>
                <w:sz w:val="18"/>
                <w:szCs w:val="18"/>
              </w:rPr>
              <w:t>Maximum</w:t>
            </w:r>
          </w:p>
        </w:tc>
      </w:tr>
      <w:tr w:rsidR="00253BDE" w14:paraId="2AA40744" w14:textId="77777777">
        <w:tc>
          <w:tcPr>
            <w:tcW w:w="0" w:type="auto"/>
            <w:tcBorders>
              <w:top w:val="single" w:sz="4" w:space="0" w:color="000000"/>
              <w:left w:val="single" w:sz="4" w:space="0" w:color="000000"/>
              <w:bottom w:val="single" w:sz="4" w:space="0" w:color="000000"/>
              <w:right w:val="single" w:sz="4" w:space="0" w:color="000000"/>
            </w:tcBorders>
            <w:vAlign w:val="center"/>
          </w:tcPr>
          <w:p w14:paraId="48E183F4" w14:textId="77777777" w:rsidR="00253BDE" w:rsidRDefault="00614B17">
            <w:r>
              <w:rPr>
                <w:sz w:val="18"/>
                <w:szCs w:val="18"/>
              </w:rPr>
              <w:t>Average rating</w:t>
            </w:r>
          </w:p>
        </w:tc>
        <w:tc>
          <w:tcPr>
            <w:tcW w:w="0" w:type="auto"/>
            <w:tcBorders>
              <w:top w:val="single" w:sz="4" w:space="0" w:color="000000"/>
              <w:left w:val="single" w:sz="4" w:space="0" w:color="000000"/>
              <w:bottom w:val="single" w:sz="4" w:space="0" w:color="000000"/>
              <w:right w:val="single" w:sz="4" w:space="0" w:color="000000"/>
            </w:tcBorders>
            <w:vAlign w:val="center"/>
          </w:tcPr>
          <w:p w14:paraId="0E9012CB" w14:textId="77777777" w:rsidR="00253BDE" w:rsidRDefault="00614B17">
            <w:r>
              <w:rPr>
                <w:sz w:val="18"/>
                <w:szCs w:val="18"/>
              </w:rPr>
              <w:t>3.27</w:t>
            </w:r>
          </w:p>
        </w:tc>
        <w:tc>
          <w:tcPr>
            <w:tcW w:w="0" w:type="auto"/>
            <w:tcBorders>
              <w:top w:val="single" w:sz="4" w:space="0" w:color="000000"/>
              <w:left w:val="single" w:sz="4" w:space="0" w:color="000000"/>
              <w:bottom w:val="single" w:sz="4" w:space="0" w:color="000000"/>
              <w:right w:val="single" w:sz="4" w:space="0" w:color="000000"/>
            </w:tcBorders>
            <w:vAlign w:val="center"/>
          </w:tcPr>
          <w:p w14:paraId="482D9F7B" w14:textId="77777777" w:rsidR="00253BDE" w:rsidRDefault="00614B17">
            <w:r>
              <w:rPr>
                <w:sz w:val="18"/>
                <w:szCs w:val="18"/>
              </w:rPr>
              <w:t>3.27</w:t>
            </w:r>
          </w:p>
        </w:tc>
        <w:tc>
          <w:tcPr>
            <w:tcW w:w="0" w:type="auto"/>
            <w:tcBorders>
              <w:top w:val="single" w:sz="4" w:space="0" w:color="000000"/>
              <w:left w:val="single" w:sz="4" w:space="0" w:color="000000"/>
              <w:bottom w:val="single" w:sz="4" w:space="0" w:color="000000"/>
              <w:right w:val="single" w:sz="4" w:space="0" w:color="000000"/>
            </w:tcBorders>
            <w:vAlign w:val="center"/>
          </w:tcPr>
          <w:p w14:paraId="194C1232" w14:textId="77777777" w:rsidR="00253BDE" w:rsidRDefault="00614B17">
            <w:r>
              <w:rPr>
                <w:sz w:val="18"/>
                <w:szCs w:val="18"/>
              </w:rPr>
              <w:t>0.53</w:t>
            </w:r>
          </w:p>
        </w:tc>
        <w:tc>
          <w:tcPr>
            <w:tcW w:w="0" w:type="auto"/>
            <w:tcBorders>
              <w:top w:val="single" w:sz="4" w:space="0" w:color="000000"/>
              <w:left w:val="single" w:sz="4" w:space="0" w:color="000000"/>
              <w:bottom w:val="single" w:sz="4" w:space="0" w:color="000000"/>
              <w:right w:val="single" w:sz="4" w:space="0" w:color="000000"/>
            </w:tcBorders>
            <w:vAlign w:val="center"/>
          </w:tcPr>
          <w:p w14:paraId="1662B9D8" w14:textId="77777777" w:rsidR="00253BDE" w:rsidRDefault="00614B17">
            <w:r>
              <w:rPr>
                <w:sz w:val="18"/>
                <w:szCs w:val="18"/>
              </w:rPr>
              <w:t>1.08</w:t>
            </w:r>
          </w:p>
        </w:tc>
        <w:tc>
          <w:tcPr>
            <w:tcW w:w="0" w:type="auto"/>
            <w:tcBorders>
              <w:top w:val="single" w:sz="4" w:space="0" w:color="000000"/>
              <w:left w:val="single" w:sz="4" w:space="0" w:color="000000"/>
              <w:bottom w:val="single" w:sz="4" w:space="0" w:color="000000"/>
              <w:right w:val="single" w:sz="4" w:space="0" w:color="000000"/>
            </w:tcBorders>
            <w:vAlign w:val="center"/>
          </w:tcPr>
          <w:p w14:paraId="6480575A" w14:textId="77777777" w:rsidR="00253BDE" w:rsidRDefault="00614B17">
            <w:r>
              <w:rPr>
                <w:sz w:val="18"/>
                <w:szCs w:val="18"/>
              </w:rPr>
              <w:t>4.71</w:t>
            </w:r>
          </w:p>
        </w:tc>
      </w:tr>
      <w:tr w:rsidR="00253BDE" w14:paraId="115BD37F" w14:textId="77777777">
        <w:tc>
          <w:tcPr>
            <w:tcW w:w="0" w:type="auto"/>
            <w:tcBorders>
              <w:top w:val="single" w:sz="4" w:space="0" w:color="000000"/>
              <w:left w:val="single" w:sz="4" w:space="0" w:color="000000"/>
              <w:bottom w:val="single" w:sz="4" w:space="0" w:color="000000"/>
              <w:right w:val="single" w:sz="4" w:space="0" w:color="000000"/>
            </w:tcBorders>
            <w:vAlign w:val="center"/>
          </w:tcPr>
          <w:p w14:paraId="71B780EF" w14:textId="77777777" w:rsidR="00253BDE" w:rsidRDefault="00614B17">
            <w:r>
              <w:rPr>
                <w:sz w:val="18"/>
                <w:szCs w:val="18"/>
              </w:rPr>
              <w:t>Watches</w:t>
            </w:r>
          </w:p>
        </w:tc>
        <w:tc>
          <w:tcPr>
            <w:tcW w:w="0" w:type="auto"/>
            <w:tcBorders>
              <w:top w:val="single" w:sz="4" w:space="0" w:color="000000"/>
              <w:left w:val="single" w:sz="4" w:space="0" w:color="000000"/>
              <w:bottom w:val="single" w:sz="4" w:space="0" w:color="000000"/>
              <w:right w:val="single" w:sz="4" w:space="0" w:color="000000"/>
            </w:tcBorders>
            <w:vAlign w:val="center"/>
          </w:tcPr>
          <w:p w14:paraId="27DA4ABC" w14:textId="77777777" w:rsidR="00253BDE" w:rsidRDefault="00614B17">
            <w:r>
              <w:rPr>
                <w:sz w:val="18"/>
                <w:szCs w:val="18"/>
              </w:rPr>
              <w:t>170,315</w:t>
            </w:r>
          </w:p>
        </w:tc>
        <w:tc>
          <w:tcPr>
            <w:tcW w:w="0" w:type="auto"/>
            <w:tcBorders>
              <w:top w:val="single" w:sz="4" w:space="0" w:color="000000"/>
              <w:left w:val="single" w:sz="4" w:space="0" w:color="000000"/>
              <w:bottom w:val="single" w:sz="4" w:space="0" w:color="000000"/>
              <w:right w:val="single" w:sz="4" w:space="0" w:color="000000"/>
            </w:tcBorders>
            <w:vAlign w:val="center"/>
          </w:tcPr>
          <w:p w14:paraId="7C71D626" w14:textId="77777777" w:rsidR="00253BDE" w:rsidRDefault="00614B17">
            <w:r>
              <w:rPr>
                <w:sz w:val="18"/>
                <w:szCs w:val="18"/>
              </w:rPr>
              <w:t>18,425</w:t>
            </w:r>
          </w:p>
        </w:tc>
        <w:tc>
          <w:tcPr>
            <w:tcW w:w="0" w:type="auto"/>
            <w:tcBorders>
              <w:top w:val="single" w:sz="4" w:space="0" w:color="000000"/>
              <w:left w:val="single" w:sz="4" w:space="0" w:color="000000"/>
              <w:bottom w:val="single" w:sz="4" w:space="0" w:color="000000"/>
              <w:right w:val="single" w:sz="4" w:space="0" w:color="000000"/>
            </w:tcBorders>
            <w:vAlign w:val="center"/>
          </w:tcPr>
          <w:p w14:paraId="3631776D" w14:textId="77777777" w:rsidR="00253BDE" w:rsidRDefault="00614B17">
            <w:r>
              <w:rPr>
                <w:sz w:val="18"/>
                <w:szCs w:val="18"/>
              </w:rPr>
              <w:t>458,533</w:t>
            </w:r>
          </w:p>
        </w:tc>
        <w:tc>
          <w:tcPr>
            <w:tcW w:w="0" w:type="auto"/>
            <w:tcBorders>
              <w:top w:val="single" w:sz="4" w:space="0" w:color="000000"/>
              <w:left w:val="single" w:sz="4" w:space="0" w:color="000000"/>
              <w:bottom w:val="single" w:sz="4" w:space="0" w:color="000000"/>
              <w:right w:val="single" w:sz="4" w:space="0" w:color="000000"/>
            </w:tcBorders>
            <w:vAlign w:val="center"/>
          </w:tcPr>
          <w:p w14:paraId="22BF61BF" w14:textId="77777777" w:rsidR="00253BDE" w:rsidRDefault="00614B17">
            <w:r>
              <w:rPr>
                <w:sz w:val="18"/>
                <w:szCs w:val="18"/>
              </w:rPr>
              <w:t>2</w:t>
            </w:r>
          </w:p>
        </w:tc>
        <w:tc>
          <w:tcPr>
            <w:tcW w:w="0" w:type="auto"/>
            <w:tcBorders>
              <w:top w:val="single" w:sz="4" w:space="0" w:color="000000"/>
              <w:left w:val="single" w:sz="4" w:space="0" w:color="000000"/>
              <w:bottom w:val="single" w:sz="4" w:space="0" w:color="000000"/>
              <w:right w:val="single" w:sz="4" w:space="0" w:color="000000"/>
            </w:tcBorders>
            <w:vAlign w:val="center"/>
          </w:tcPr>
          <w:p w14:paraId="2315AB5D" w14:textId="77777777" w:rsidR="00253BDE" w:rsidRDefault="00614B17">
            <w:r>
              <w:rPr>
                <w:sz w:val="18"/>
                <w:szCs w:val="18"/>
              </w:rPr>
              <w:t>5,195,503</w:t>
            </w:r>
          </w:p>
        </w:tc>
      </w:tr>
      <w:tr w:rsidR="00253BDE" w14:paraId="63FF2637" w14:textId="77777777">
        <w:tc>
          <w:tcPr>
            <w:tcW w:w="0" w:type="auto"/>
            <w:tcBorders>
              <w:top w:val="single" w:sz="4" w:space="0" w:color="000000"/>
              <w:left w:val="single" w:sz="4" w:space="0" w:color="000000"/>
              <w:bottom w:val="single" w:sz="4" w:space="0" w:color="000000"/>
              <w:right w:val="single" w:sz="4" w:space="0" w:color="000000"/>
            </w:tcBorders>
            <w:vAlign w:val="center"/>
          </w:tcPr>
          <w:p w14:paraId="0ACD7845" w14:textId="77777777" w:rsidR="00253BDE" w:rsidRDefault="00614B17">
            <w:r>
              <w:rPr>
                <w:sz w:val="18"/>
                <w:szCs w:val="18"/>
              </w:rPr>
              <w:t>Fans</w:t>
            </w:r>
          </w:p>
        </w:tc>
        <w:tc>
          <w:tcPr>
            <w:tcW w:w="0" w:type="auto"/>
            <w:tcBorders>
              <w:top w:val="single" w:sz="4" w:space="0" w:color="000000"/>
              <w:left w:val="single" w:sz="4" w:space="0" w:color="000000"/>
              <w:bottom w:val="single" w:sz="4" w:space="0" w:color="000000"/>
              <w:right w:val="single" w:sz="4" w:space="0" w:color="000000"/>
            </w:tcBorders>
            <w:vAlign w:val="center"/>
          </w:tcPr>
          <w:p w14:paraId="078BAD56" w14:textId="77777777" w:rsidR="00253BDE" w:rsidRDefault="00614B17">
            <w:r>
              <w:rPr>
                <w:sz w:val="18"/>
                <w:szCs w:val="18"/>
              </w:rPr>
              <w:t>1,653</w:t>
            </w:r>
          </w:p>
        </w:tc>
        <w:tc>
          <w:tcPr>
            <w:tcW w:w="0" w:type="auto"/>
            <w:tcBorders>
              <w:top w:val="single" w:sz="4" w:space="0" w:color="000000"/>
              <w:left w:val="single" w:sz="4" w:space="0" w:color="000000"/>
              <w:bottom w:val="single" w:sz="4" w:space="0" w:color="000000"/>
              <w:right w:val="single" w:sz="4" w:space="0" w:color="000000"/>
            </w:tcBorders>
            <w:vAlign w:val="center"/>
          </w:tcPr>
          <w:p w14:paraId="14856D8C" w14:textId="77777777" w:rsidR="00253BDE" w:rsidRDefault="00614B17">
            <w:r>
              <w:rPr>
                <w:sz w:val="18"/>
                <w:szCs w:val="18"/>
              </w:rPr>
              <w:t>24</w:t>
            </w:r>
          </w:p>
        </w:tc>
        <w:tc>
          <w:tcPr>
            <w:tcW w:w="0" w:type="auto"/>
            <w:tcBorders>
              <w:top w:val="single" w:sz="4" w:space="0" w:color="000000"/>
              <w:left w:val="single" w:sz="4" w:space="0" w:color="000000"/>
              <w:bottom w:val="single" w:sz="4" w:space="0" w:color="000000"/>
              <w:right w:val="single" w:sz="4" w:space="0" w:color="000000"/>
            </w:tcBorders>
            <w:vAlign w:val="center"/>
          </w:tcPr>
          <w:p w14:paraId="5DC85B44" w14:textId="77777777" w:rsidR="00253BDE" w:rsidRDefault="00614B17">
            <w:r>
              <w:rPr>
                <w:sz w:val="18"/>
                <w:szCs w:val="18"/>
              </w:rPr>
              <w:t>9,368</w:t>
            </w:r>
          </w:p>
        </w:tc>
        <w:tc>
          <w:tcPr>
            <w:tcW w:w="0" w:type="auto"/>
            <w:tcBorders>
              <w:top w:val="single" w:sz="4" w:space="0" w:color="000000"/>
              <w:left w:val="single" w:sz="4" w:space="0" w:color="000000"/>
              <w:bottom w:val="single" w:sz="4" w:space="0" w:color="000000"/>
              <w:right w:val="single" w:sz="4" w:space="0" w:color="000000"/>
            </w:tcBorders>
            <w:vAlign w:val="center"/>
          </w:tcPr>
          <w:p w14:paraId="6A621D83" w14:textId="77777777" w:rsidR="00253BDE" w:rsidRDefault="00614B17">
            <w:r>
              <w:rPr>
                <w:sz w:val="18"/>
                <w:szCs w:val="18"/>
              </w:rPr>
              <w:t>0</w:t>
            </w:r>
          </w:p>
        </w:tc>
        <w:tc>
          <w:tcPr>
            <w:tcW w:w="0" w:type="auto"/>
            <w:tcBorders>
              <w:top w:val="single" w:sz="4" w:space="0" w:color="000000"/>
              <w:left w:val="single" w:sz="4" w:space="0" w:color="000000"/>
              <w:bottom w:val="single" w:sz="4" w:space="0" w:color="000000"/>
              <w:right w:val="single" w:sz="4" w:space="0" w:color="000000"/>
            </w:tcBorders>
            <w:vAlign w:val="center"/>
          </w:tcPr>
          <w:p w14:paraId="51131450" w14:textId="77777777" w:rsidR="00253BDE" w:rsidRDefault="00614B17">
            <w:r>
              <w:rPr>
                <w:sz w:val="18"/>
                <w:szCs w:val="18"/>
              </w:rPr>
              <w:t>326,000</w:t>
            </w:r>
          </w:p>
        </w:tc>
      </w:tr>
      <w:tr w:rsidR="00253BDE" w14:paraId="7FE9AABD" w14:textId="77777777">
        <w:tc>
          <w:tcPr>
            <w:tcW w:w="0" w:type="auto"/>
            <w:tcBorders>
              <w:top w:val="single" w:sz="4" w:space="0" w:color="000000"/>
              <w:left w:val="single" w:sz="4" w:space="0" w:color="000000"/>
              <w:bottom w:val="single" w:sz="4" w:space="0" w:color="000000"/>
              <w:right w:val="single" w:sz="4" w:space="0" w:color="000000"/>
            </w:tcBorders>
            <w:vAlign w:val="center"/>
          </w:tcPr>
          <w:p w14:paraId="4E69EE10" w14:textId="77777777" w:rsidR="00253BDE" w:rsidRDefault="00614B17">
            <w:r>
              <w:rPr>
                <w:sz w:val="18"/>
                <w:szCs w:val="18"/>
              </w:rPr>
              <w:t>Runtime (cleaned, mins)</w:t>
            </w:r>
          </w:p>
        </w:tc>
        <w:tc>
          <w:tcPr>
            <w:tcW w:w="0" w:type="auto"/>
            <w:tcBorders>
              <w:top w:val="single" w:sz="4" w:space="0" w:color="000000"/>
              <w:left w:val="single" w:sz="4" w:space="0" w:color="000000"/>
              <w:bottom w:val="single" w:sz="4" w:space="0" w:color="000000"/>
              <w:right w:val="single" w:sz="4" w:space="0" w:color="000000"/>
            </w:tcBorders>
            <w:vAlign w:val="center"/>
          </w:tcPr>
          <w:p w14:paraId="50DEACBC" w14:textId="77777777" w:rsidR="00253BDE" w:rsidRDefault="00614B17">
            <w:r>
              <w:rPr>
                <w:sz w:val="18"/>
                <w:szCs w:val="18"/>
              </w:rPr>
              <w:t>101.5</w:t>
            </w:r>
          </w:p>
        </w:tc>
        <w:tc>
          <w:tcPr>
            <w:tcW w:w="0" w:type="auto"/>
            <w:tcBorders>
              <w:top w:val="single" w:sz="4" w:space="0" w:color="000000"/>
              <w:left w:val="single" w:sz="4" w:space="0" w:color="000000"/>
              <w:bottom w:val="single" w:sz="4" w:space="0" w:color="000000"/>
              <w:right w:val="single" w:sz="4" w:space="0" w:color="000000"/>
            </w:tcBorders>
            <w:vAlign w:val="center"/>
          </w:tcPr>
          <w:p w14:paraId="099588BC" w14:textId="77777777" w:rsidR="00253BDE" w:rsidRDefault="00614B17">
            <w:r>
              <w:rPr>
                <w:sz w:val="18"/>
                <w:szCs w:val="18"/>
              </w:rPr>
              <w:t>99.0</w:t>
            </w:r>
          </w:p>
        </w:tc>
        <w:tc>
          <w:tcPr>
            <w:tcW w:w="0" w:type="auto"/>
            <w:tcBorders>
              <w:top w:val="single" w:sz="4" w:space="0" w:color="000000"/>
              <w:left w:val="single" w:sz="4" w:space="0" w:color="000000"/>
              <w:bottom w:val="single" w:sz="4" w:space="0" w:color="000000"/>
              <w:right w:val="single" w:sz="4" w:space="0" w:color="000000"/>
            </w:tcBorders>
            <w:vAlign w:val="center"/>
          </w:tcPr>
          <w:p w14:paraId="48AB3F01" w14:textId="77777777" w:rsidR="00253BDE" w:rsidRDefault="00614B17">
            <w:r>
              <w:rPr>
                <w:sz w:val="18"/>
                <w:szCs w:val="18"/>
              </w:rPr>
              <w:t>20.7</w:t>
            </w:r>
          </w:p>
        </w:tc>
        <w:tc>
          <w:tcPr>
            <w:tcW w:w="0" w:type="auto"/>
            <w:tcBorders>
              <w:top w:val="single" w:sz="4" w:space="0" w:color="000000"/>
              <w:left w:val="single" w:sz="4" w:space="0" w:color="000000"/>
              <w:bottom w:val="single" w:sz="4" w:space="0" w:color="000000"/>
              <w:right w:val="single" w:sz="4" w:space="0" w:color="000000"/>
            </w:tcBorders>
            <w:vAlign w:val="center"/>
          </w:tcPr>
          <w:p w14:paraId="6C9CF7BB" w14:textId="77777777" w:rsidR="00253BDE" w:rsidRDefault="00614B17">
            <w:r>
              <w:rPr>
                <w:sz w:val="18"/>
                <w:szCs w:val="18"/>
              </w:rPr>
              <w:t>53</w:t>
            </w:r>
          </w:p>
        </w:tc>
        <w:tc>
          <w:tcPr>
            <w:tcW w:w="0" w:type="auto"/>
            <w:tcBorders>
              <w:top w:val="single" w:sz="4" w:space="0" w:color="000000"/>
              <w:left w:val="single" w:sz="4" w:space="0" w:color="000000"/>
              <w:bottom w:val="single" w:sz="4" w:space="0" w:color="000000"/>
              <w:right w:val="single" w:sz="4" w:space="0" w:color="000000"/>
            </w:tcBorders>
            <w:vAlign w:val="center"/>
          </w:tcPr>
          <w:p w14:paraId="5CD8B020" w14:textId="77777777" w:rsidR="00253BDE" w:rsidRDefault="00614B17">
            <w:r>
              <w:rPr>
                <w:sz w:val="18"/>
                <w:szCs w:val="18"/>
              </w:rPr>
              <w:t>149</w:t>
            </w:r>
          </w:p>
        </w:tc>
      </w:tr>
      <w:tr w:rsidR="00253BDE" w14:paraId="0DE98538" w14:textId="77777777">
        <w:tc>
          <w:tcPr>
            <w:tcW w:w="0" w:type="auto"/>
            <w:tcBorders>
              <w:top w:val="single" w:sz="4" w:space="0" w:color="000000"/>
              <w:left w:val="single" w:sz="4" w:space="0" w:color="000000"/>
              <w:bottom w:val="single" w:sz="4" w:space="0" w:color="000000"/>
              <w:right w:val="single" w:sz="4" w:space="0" w:color="000000"/>
            </w:tcBorders>
            <w:vAlign w:val="center"/>
          </w:tcPr>
          <w:p w14:paraId="4248232D" w14:textId="77777777" w:rsidR="00253BDE" w:rsidRDefault="00614B17">
            <w:r>
              <w:rPr>
                <w:sz w:val="18"/>
                <w:szCs w:val="18"/>
              </w:rPr>
              <w:t>Likes</w:t>
            </w:r>
          </w:p>
        </w:tc>
        <w:tc>
          <w:tcPr>
            <w:tcW w:w="0" w:type="auto"/>
            <w:tcBorders>
              <w:top w:val="single" w:sz="4" w:space="0" w:color="000000"/>
              <w:left w:val="single" w:sz="4" w:space="0" w:color="000000"/>
              <w:bottom w:val="single" w:sz="4" w:space="0" w:color="000000"/>
              <w:right w:val="single" w:sz="4" w:space="0" w:color="000000"/>
            </w:tcBorders>
            <w:vAlign w:val="center"/>
          </w:tcPr>
          <w:p w14:paraId="647A3B67" w14:textId="77777777" w:rsidR="00253BDE" w:rsidRDefault="00614B17">
            <w:r>
              <w:rPr>
                <w:sz w:val="18"/>
                <w:szCs w:val="18"/>
              </w:rPr>
              <w:t>43,735</w:t>
            </w:r>
          </w:p>
        </w:tc>
        <w:tc>
          <w:tcPr>
            <w:tcW w:w="0" w:type="auto"/>
            <w:tcBorders>
              <w:top w:val="single" w:sz="4" w:space="0" w:color="000000"/>
              <w:left w:val="single" w:sz="4" w:space="0" w:color="000000"/>
              <w:bottom w:val="single" w:sz="4" w:space="0" w:color="000000"/>
              <w:right w:val="single" w:sz="4" w:space="0" w:color="000000"/>
            </w:tcBorders>
            <w:vAlign w:val="center"/>
          </w:tcPr>
          <w:p w14:paraId="4045D840" w14:textId="77777777" w:rsidR="00253BDE" w:rsidRDefault="00614B17">
            <w:r>
              <w:rPr>
                <w:sz w:val="18"/>
                <w:szCs w:val="18"/>
              </w:rPr>
              <w:t>3,394</w:t>
            </w:r>
          </w:p>
        </w:tc>
        <w:tc>
          <w:tcPr>
            <w:tcW w:w="0" w:type="auto"/>
            <w:tcBorders>
              <w:top w:val="single" w:sz="4" w:space="0" w:color="000000"/>
              <w:left w:val="single" w:sz="4" w:space="0" w:color="000000"/>
              <w:bottom w:val="single" w:sz="4" w:space="0" w:color="000000"/>
              <w:right w:val="single" w:sz="4" w:space="0" w:color="000000"/>
            </w:tcBorders>
            <w:vAlign w:val="center"/>
          </w:tcPr>
          <w:p w14:paraId="5285F66D" w14:textId="77777777" w:rsidR="00253BDE" w:rsidRDefault="00614B17">
            <w:r>
              <w:rPr>
                <w:sz w:val="18"/>
                <w:szCs w:val="18"/>
              </w:rPr>
              <w:t>151,531</w:t>
            </w:r>
          </w:p>
        </w:tc>
        <w:tc>
          <w:tcPr>
            <w:tcW w:w="0" w:type="auto"/>
            <w:tcBorders>
              <w:top w:val="single" w:sz="4" w:space="0" w:color="000000"/>
              <w:left w:val="single" w:sz="4" w:space="0" w:color="000000"/>
              <w:bottom w:val="single" w:sz="4" w:space="0" w:color="000000"/>
              <w:right w:val="single" w:sz="4" w:space="0" w:color="000000"/>
            </w:tcBorders>
            <w:vAlign w:val="center"/>
          </w:tcPr>
          <w:p w14:paraId="784B9201" w14:textId="77777777" w:rsidR="00253BDE" w:rsidRDefault="00614B17">
            <w:r>
              <w:rPr>
                <w:sz w:val="18"/>
                <w:szCs w:val="18"/>
              </w:rPr>
              <w:t>0</w:t>
            </w:r>
          </w:p>
        </w:tc>
        <w:tc>
          <w:tcPr>
            <w:tcW w:w="0" w:type="auto"/>
            <w:tcBorders>
              <w:top w:val="single" w:sz="4" w:space="0" w:color="000000"/>
              <w:left w:val="single" w:sz="4" w:space="0" w:color="000000"/>
              <w:bottom w:val="single" w:sz="4" w:space="0" w:color="000000"/>
              <w:right w:val="single" w:sz="4" w:space="0" w:color="000000"/>
            </w:tcBorders>
            <w:vAlign w:val="center"/>
          </w:tcPr>
          <w:p w14:paraId="062D2B79" w14:textId="77777777" w:rsidR="00253BDE" w:rsidRDefault="00614B17">
            <w:r>
              <w:rPr>
                <w:sz w:val="18"/>
                <w:szCs w:val="18"/>
              </w:rPr>
              <w:t>2,730,813</w:t>
            </w:r>
          </w:p>
        </w:tc>
      </w:tr>
    </w:tbl>
    <w:p w14:paraId="52A87B07" w14:textId="77777777" w:rsidR="00253BDE" w:rsidRDefault="00614B17">
      <w:pPr>
        <w:spacing w:after="200"/>
      </w:pPr>
      <w:r>
        <w:rPr>
          <w:i/>
          <w:iCs/>
          <w:sz w:val="18"/>
          <w:szCs w:val="18"/>
        </w:rPr>
        <w:t>Source: Author's own analysis, Microsoft Excel and IBM SPSS (see Appendix A).</w:t>
      </w:r>
    </w:p>
    <w:p w14:paraId="24849289" w14:textId="77777777" w:rsidR="00253BDE" w:rsidRDefault="00614B17">
      <w:pPr>
        <w:spacing w:after="200" w:line="360" w:lineRule="auto"/>
        <w:jc w:val="both"/>
      </w:pPr>
      <w:r>
        <w:t>The average rating of each item is approximately symmetrically distributed around 3.27, reflecting a somewhat positive but not extreme critical consensus on the items in the catalogue. In contrast, Watches, Fans, and Likes show significant positive skews, with means well above the medians; a well-known tendency for engagement metrics in user-generated platforms, where a small number of highly talked-about films are given disproportionate coverage in comparison with the majority of films which receive comparatively modest engagement (Anderson, 2022). The relevant BI area of direct interest is the 'long tail' distribution: the arithmetic means would not reflect the typical performance of a film, so reporting based on the median might be more appropriate for operational benchmarking of a catalogue of this size.</w:t>
      </w:r>
    </w:p>
    <w:p w14:paraId="0CF66731" w14:textId="77777777" w:rsidR="00253BDE" w:rsidRDefault="00614B17">
      <w:pPr>
        <w:spacing w:after="200" w:line="360" w:lineRule="auto"/>
        <w:jc w:val="both"/>
      </w:pPr>
      <w:r>
        <w:t>Categorical distributions were also studied. Table 2 presents the results of genre analysis based on the primary genres of films extracted from multi-layered data. Drama was the most dominant primary genre of films (22.3%), followed by Comedy (14.2%), Horror (8.7%), Thriller (8.0%) and Action (7.3%). This focus mirrors the findings of previous studies conducted on the films of the entertainment industry catalogues, which showed that a few genres dominate both the theatrical film production and the streaming service offerings (Eliashberg et al., 2021). Most of the films were in English language – 80.7% – a trend broadly similar to that recently reported by the regulator on the availability of subtitled and dubbed catalogue films broadcast internationally (Ofcom, 2026), with Italian-language films at 4.0%, Japanese 3.1% and French 2.9% making up the next largest non-English groups.</w:t>
      </w:r>
    </w:p>
    <w:p w14:paraId="63E178F9" w14:textId="77777777" w:rsidR="00253BDE" w:rsidRDefault="00614B17">
      <w:pPr>
        <w:spacing w:before="200" w:after="80"/>
      </w:pPr>
      <w:r>
        <w:rPr>
          <w:b/>
          <w:bCs/>
          <w:sz w:val="20"/>
          <w:szCs w:val="20"/>
        </w:rPr>
        <w:t>Table 2: Distribution of Primary Genre (Top Five Categories)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575"/>
        <w:gridCol w:w="3469"/>
        <w:gridCol w:w="3692"/>
      </w:tblGrid>
      <w:tr w:rsidR="00253BDE" w14:paraId="64FAB8F2" w14:textId="77777777">
        <w:trPr>
          <w:tblHeader/>
        </w:trPr>
        <w:tc>
          <w:tcPr>
            <w:tcW w:w="0" w:type="auto"/>
            <w:tcBorders>
              <w:top w:val="single" w:sz="4" w:space="0" w:color="000000"/>
              <w:left w:val="single" w:sz="4" w:space="0" w:color="000000"/>
              <w:bottom w:val="single" w:sz="4" w:space="0" w:color="000000"/>
              <w:right w:val="single" w:sz="4" w:space="0" w:color="000000"/>
            </w:tcBorders>
            <w:shd w:val="clear" w:color="auto" w:fill="1F4E78"/>
            <w:vAlign w:val="center"/>
          </w:tcPr>
          <w:p w14:paraId="5BEACECF" w14:textId="77777777" w:rsidR="00253BDE" w:rsidRDefault="00614B17">
            <w:pPr>
              <w:jc w:val="center"/>
            </w:pPr>
            <w:r>
              <w:rPr>
                <w:b/>
                <w:bCs/>
                <w:color w:val="FFFFFF"/>
                <w:sz w:val="18"/>
                <w:szCs w:val="18"/>
              </w:rPr>
              <w:t>Genre</w:t>
            </w:r>
          </w:p>
        </w:tc>
        <w:tc>
          <w:tcPr>
            <w:tcW w:w="0" w:type="auto"/>
            <w:tcBorders>
              <w:top w:val="single" w:sz="4" w:space="0" w:color="000000"/>
              <w:left w:val="single" w:sz="4" w:space="0" w:color="000000"/>
              <w:bottom w:val="single" w:sz="4" w:space="0" w:color="000000"/>
              <w:right w:val="single" w:sz="4" w:space="0" w:color="000000"/>
            </w:tcBorders>
            <w:shd w:val="clear" w:color="auto" w:fill="1F4E78"/>
            <w:vAlign w:val="center"/>
          </w:tcPr>
          <w:p w14:paraId="5A0CB9AF" w14:textId="77777777" w:rsidR="00253BDE" w:rsidRDefault="00614B17">
            <w:pPr>
              <w:jc w:val="center"/>
            </w:pPr>
            <w:r>
              <w:rPr>
                <w:b/>
                <w:bCs/>
                <w:color w:val="FFFFFF"/>
                <w:sz w:val="18"/>
                <w:szCs w:val="18"/>
              </w:rPr>
              <w:t>Frequency</w:t>
            </w:r>
          </w:p>
        </w:tc>
        <w:tc>
          <w:tcPr>
            <w:tcW w:w="0" w:type="auto"/>
            <w:tcBorders>
              <w:top w:val="single" w:sz="4" w:space="0" w:color="000000"/>
              <w:left w:val="single" w:sz="4" w:space="0" w:color="000000"/>
              <w:bottom w:val="single" w:sz="4" w:space="0" w:color="000000"/>
              <w:right w:val="single" w:sz="4" w:space="0" w:color="000000"/>
            </w:tcBorders>
            <w:shd w:val="clear" w:color="auto" w:fill="1F4E78"/>
            <w:vAlign w:val="center"/>
          </w:tcPr>
          <w:p w14:paraId="353C4A4A" w14:textId="77777777" w:rsidR="00253BDE" w:rsidRDefault="00614B17">
            <w:pPr>
              <w:jc w:val="center"/>
            </w:pPr>
            <w:r>
              <w:rPr>
                <w:b/>
                <w:bCs/>
                <w:color w:val="FFFFFF"/>
                <w:sz w:val="18"/>
                <w:szCs w:val="18"/>
              </w:rPr>
              <w:t>Percentage</w:t>
            </w:r>
          </w:p>
        </w:tc>
      </w:tr>
      <w:tr w:rsidR="00253BDE" w14:paraId="1F616B57" w14:textId="77777777">
        <w:tc>
          <w:tcPr>
            <w:tcW w:w="0" w:type="auto"/>
            <w:tcBorders>
              <w:top w:val="single" w:sz="4" w:space="0" w:color="000000"/>
              <w:left w:val="single" w:sz="4" w:space="0" w:color="000000"/>
              <w:bottom w:val="single" w:sz="4" w:space="0" w:color="000000"/>
              <w:right w:val="single" w:sz="4" w:space="0" w:color="000000"/>
            </w:tcBorders>
            <w:vAlign w:val="center"/>
          </w:tcPr>
          <w:p w14:paraId="0196015F" w14:textId="77777777" w:rsidR="00253BDE" w:rsidRDefault="00614B17">
            <w:r>
              <w:rPr>
                <w:sz w:val="18"/>
                <w:szCs w:val="18"/>
              </w:rPr>
              <w:t>Drama</w:t>
            </w:r>
          </w:p>
        </w:tc>
        <w:tc>
          <w:tcPr>
            <w:tcW w:w="0" w:type="auto"/>
            <w:tcBorders>
              <w:top w:val="single" w:sz="4" w:space="0" w:color="000000"/>
              <w:left w:val="single" w:sz="4" w:space="0" w:color="000000"/>
              <w:bottom w:val="single" w:sz="4" w:space="0" w:color="000000"/>
              <w:right w:val="single" w:sz="4" w:space="0" w:color="000000"/>
            </w:tcBorders>
            <w:vAlign w:val="center"/>
          </w:tcPr>
          <w:p w14:paraId="72BF4ABD" w14:textId="77777777" w:rsidR="00253BDE" w:rsidRDefault="00614B17">
            <w:r>
              <w:rPr>
                <w:sz w:val="18"/>
                <w:szCs w:val="18"/>
              </w:rPr>
              <w:t>2,232</w:t>
            </w:r>
          </w:p>
        </w:tc>
        <w:tc>
          <w:tcPr>
            <w:tcW w:w="0" w:type="auto"/>
            <w:tcBorders>
              <w:top w:val="single" w:sz="4" w:space="0" w:color="000000"/>
              <w:left w:val="single" w:sz="4" w:space="0" w:color="000000"/>
              <w:bottom w:val="single" w:sz="4" w:space="0" w:color="000000"/>
              <w:right w:val="single" w:sz="4" w:space="0" w:color="000000"/>
            </w:tcBorders>
            <w:vAlign w:val="center"/>
          </w:tcPr>
          <w:p w14:paraId="2FA31B77" w14:textId="77777777" w:rsidR="00253BDE" w:rsidRDefault="00614B17">
            <w:r>
              <w:rPr>
                <w:sz w:val="18"/>
                <w:szCs w:val="18"/>
              </w:rPr>
              <w:t>22.3%</w:t>
            </w:r>
          </w:p>
        </w:tc>
      </w:tr>
      <w:tr w:rsidR="00253BDE" w14:paraId="7AD60703" w14:textId="77777777">
        <w:tc>
          <w:tcPr>
            <w:tcW w:w="0" w:type="auto"/>
            <w:tcBorders>
              <w:top w:val="single" w:sz="4" w:space="0" w:color="000000"/>
              <w:left w:val="single" w:sz="4" w:space="0" w:color="000000"/>
              <w:bottom w:val="single" w:sz="4" w:space="0" w:color="000000"/>
              <w:right w:val="single" w:sz="4" w:space="0" w:color="000000"/>
            </w:tcBorders>
            <w:vAlign w:val="center"/>
          </w:tcPr>
          <w:p w14:paraId="775FAA8A" w14:textId="77777777" w:rsidR="00253BDE" w:rsidRDefault="00614B17">
            <w:r>
              <w:rPr>
                <w:sz w:val="18"/>
                <w:szCs w:val="18"/>
              </w:rPr>
              <w:t>Comedy</w:t>
            </w:r>
          </w:p>
        </w:tc>
        <w:tc>
          <w:tcPr>
            <w:tcW w:w="0" w:type="auto"/>
            <w:tcBorders>
              <w:top w:val="single" w:sz="4" w:space="0" w:color="000000"/>
              <w:left w:val="single" w:sz="4" w:space="0" w:color="000000"/>
              <w:bottom w:val="single" w:sz="4" w:space="0" w:color="000000"/>
              <w:right w:val="single" w:sz="4" w:space="0" w:color="000000"/>
            </w:tcBorders>
            <w:vAlign w:val="center"/>
          </w:tcPr>
          <w:p w14:paraId="2C1E6A58" w14:textId="77777777" w:rsidR="00253BDE" w:rsidRDefault="00614B17">
            <w:r>
              <w:rPr>
                <w:sz w:val="18"/>
                <w:szCs w:val="18"/>
              </w:rPr>
              <w:t>1,423</w:t>
            </w:r>
          </w:p>
        </w:tc>
        <w:tc>
          <w:tcPr>
            <w:tcW w:w="0" w:type="auto"/>
            <w:tcBorders>
              <w:top w:val="single" w:sz="4" w:space="0" w:color="000000"/>
              <w:left w:val="single" w:sz="4" w:space="0" w:color="000000"/>
              <w:bottom w:val="single" w:sz="4" w:space="0" w:color="000000"/>
              <w:right w:val="single" w:sz="4" w:space="0" w:color="000000"/>
            </w:tcBorders>
            <w:vAlign w:val="center"/>
          </w:tcPr>
          <w:p w14:paraId="25E26F56" w14:textId="77777777" w:rsidR="00253BDE" w:rsidRDefault="00614B17">
            <w:r>
              <w:rPr>
                <w:sz w:val="18"/>
                <w:szCs w:val="18"/>
              </w:rPr>
              <w:t>14.2%</w:t>
            </w:r>
          </w:p>
        </w:tc>
      </w:tr>
      <w:tr w:rsidR="00253BDE" w14:paraId="5AF360F4" w14:textId="77777777">
        <w:tc>
          <w:tcPr>
            <w:tcW w:w="0" w:type="auto"/>
            <w:tcBorders>
              <w:top w:val="single" w:sz="4" w:space="0" w:color="000000"/>
              <w:left w:val="single" w:sz="4" w:space="0" w:color="000000"/>
              <w:bottom w:val="single" w:sz="4" w:space="0" w:color="000000"/>
              <w:right w:val="single" w:sz="4" w:space="0" w:color="000000"/>
            </w:tcBorders>
            <w:vAlign w:val="center"/>
          </w:tcPr>
          <w:p w14:paraId="7FD7F6F2" w14:textId="77777777" w:rsidR="00253BDE" w:rsidRDefault="00614B17">
            <w:r>
              <w:rPr>
                <w:sz w:val="18"/>
                <w:szCs w:val="18"/>
              </w:rPr>
              <w:t>Horror</w:t>
            </w:r>
          </w:p>
        </w:tc>
        <w:tc>
          <w:tcPr>
            <w:tcW w:w="0" w:type="auto"/>
            <w:tcBorders>
              <w:top w:val="single" w:sz="4" w:space="0" w:color="000000"/>
              <w:left w:val="single" w:sz="4" w:space="0" w:color="000000"/>
              <w:bottom w:val="single" w:sz="4" w:space="0" w:color="000000"/>
              <w:right w:val="single" w:sz="4" w:space="0" w:color="000000"/>
            </w:tcBorders>
            <w:vAlign w:val="center"/>
          </w:tcPr>
          <w:p w14:paraId="1B29A1AB" w14:textId="77777777" w:rsidR="00253BDE" w:rsidRDefault="00614B17">
            <w:r>
              <w:rPr>
                <w:sz w:val="18"/>
                <w:szCs w:val="18"/>
              </w:rPr>
              <w:t>867</w:t>
            </w:r>
          </w:p>
        </w:tc>
        <w:tc>
          <w:tcPr>
            <w:tcW w:w="0" w:type="auto"/>
            <w:tcBorders>
              <w:top w:val="single" w:sz="4" w:space="0" w:color="000000"/>
              <w:left w:val="single" w:sz="4" w:space="0" w:color="000000"/>
              <w:bottom w:val="single" w:sz="4" w:space="0" w:color="000000"/>
              <w:right w:val="single" w:sz="4" w:space="0" w:color="000000"/>
            </w:tcBorders>
            <w:vAlign w:val="center"/>
          </w:tcPr>
          <w:p w14:paraId="272BEB6C" w14:textId="77777777" w:rsidR="00253BDE" w:rsidRDefault="00614B17">
            <w:r>
              <w:rPr>
                <w:sz w:val="18"/>
                <w:szCs w:val="18"/>
              </w:rPr>
              <w:t>8.7%</w:t>
            </w:r>
          </w:p>
        </w:tc>
      </w:tr>
      <w:tr w:rsidR="00253BDE" w14:paraId="2E1BFF28" w14:textId="77777777">
        <w:tc>
          <w:tcPr>
            <w:tcW w:w="0" w:type="auto"/>
            <w:tcBorders>
              <w:top w:val="single" w:sz="4" w:space="0" w:color="000000"/>
              <w:left w:val="single" w:sz="4" w:space="0" w:color="000000"/>
              <w:bottom w:val="single" w:sz="4" w:space="0" w:color="000000"/>
              <w:right w:val="single" w:sz="4" w:space="0" w:color="000000"/>
            </w:tcBorders>
            <w:vAlign w:val="center"/>
          </w:tcPr>
          <w:p w14:paraId="45DB5EDC" w14:textId="77777777" w:rsidR="00253BDE" w:rsidRDefault="00614B17">
            <w:r>
              <w:rPr>
                <w:sz w:val="18"/>
                <w:szCs w:val="18"/>
              </w:rPr>
              <w:t>Thriller</w:t>
            </w:r>
          </w:p>
        </w:tc>
        <w:tc>
          <w:tcPr>
            <w:tcW w:w="0" w:type="auto"/>
            <w:tcBorders>
              <w:top w:val="single" w:sz="4" w:space="0" w:color="000000"/>
              <w:left w:val="single" w:sz="4" w:space="0" w:color="000000"/>
              <w:bottom w:val="single" w:sz="4" w:space="0" w:color="000000"/>
              <w:right w:val="single" w:sz="4" w:space="0" w:color="000000"/>
            </w:tcBorders>
            <w:vAlign w:val="center"/>
          </w:tcPr>
          <w:p w14:paraId="0BD2FF2F" w14:textId="77777777" w:rsidR="00253BDE" w:rsidRDefault="00614B17">
            <w:r>
              <w:rPr>
                <w:sz w:val="18"/>
                <w:szCs w:val="18"/>
              </w:rPr>
              <w:t>802</w:t>
            </w:r>
          </w:p>
        </w:tc>
        <w:tc>
          <w:tcPr>
            <w:tcW w:w="0" w:type="auto"/>
            <w:tcBorders>
              <w:top w:val="single" w:sz="4" w:space="0" w:color="000000"/>
              <w:left w:val="single" w:sz="4" w:space="0" w:color="000000"/>
              <w:bottom w:val="single" w:sz="4" w:space="0" w:color="000000"/>
              <w:right w:val="single" w:sz="4" w:space="0" w:color="000000"/>
            </w:tcBorders>
            <w:vAlign w:val="center"/>
          </w:tcPr>
          <w:p w14:paraId="389458B6" w14:textId="77777777" w:rsidR="00253BDE" w:rsidRDefault="00614B17">
            <w:r>
              <w:rPr>
                <w:sz w:val="18"/>
                <w:szCs w:val="18"/>
              </w:rPr>
              <w:t>8.0%</w:t>
            </w:r>
          </w:p>
        </w:tc>
      </w:tr>
      <w:tr w:rsidR="00253BDE" w14:paraId="72111094" w14:textId="77777777">
        <w:tc>
          <w:tcPr>
            <w:tcW w:w="0" w:type="auto"/>
            <w:tcBorders>
              <w:top w:val="single" w:sz="4" w:space="0" w:color="000000"/>
              <w:left w:val="single" w:sz="4" w:space="0" w:color="000000"/>
              <w:bottom w:val="single" w:sz="4" w:space="0" w:color="000000"/>
              <w:right w:val="single" w:sz="4" w:space="0" w:color="000000"/>
            </w:tcBorders>
            <w:vAlign w:val="center"/>
          </w:tcPr>
          <w:p w14:paraId="03186E7D" w14:textId="77777777" w:rsidR="00253BDE" w:rsidRDefault="00614B17">
            <w:r>
              <w:rPr>
                <w:sz w:val="18"/>
                <w:szCs w:val="18"/>
              </w:rPr>
              <w:t>Action</w:t>
            </w:r>
          </w:p>
        </w:tc>
        <w:tc>
          <w:tcPr>
            <w:tcW w:w="0" w:type="auto"/>
            <w:tcBorders>
              <w:top w:val="single" w:sz="4" w:space="0" w:color="000000"/>
              <w:left w:val="single" w:sz="4" w:space="0" w:color="000000"/>
              <w:bottom w:val="single" w:sz="4" w:space="0" w:color="000000"/>
              <w:right w:val="single" w:sz="4" w:space="0" w:color="000000"/>
            </w:tcBorders>
            <w:vAlign w:val="center"/>
          </w:tcPr>
          <w:p w14:paraId="5B53536D" w14:textId="77777777" w:rsidR="00253BDE" w:rsidRDefault="00614B17">
            <w:r>
              <w:rPr>
                <w:sz w:val="18"/>
                <w:szCs w:val="18"/>
              </w:rPr>
              <w:t>734</w:t>
            </w:r>
          </w:p>
        </w:tc>
        <w:tc>
          <w:tcPr>
            <w:tcW w:w="0" w:type="auto"/>
            <w:tcBorders>
              <w:top w:val="single" w:sz="4" w:space="0" w:color="000000"/>
              <w:left w:val="single" w:sz="4" w:space="0" w:color="000000"/>
              <w:bottom w:val="single" w:sz="4" w:space="0" w:color="000000"/>
              <w:right w:val="single" w:sz="4" w:space="0" w:color="000000"/>
            </w:tcBorders>
            <w:vAlign w:val="center"/>
          </w:tcPr>
          <w:p w14:paraId="26B46846" w14:textId="77777777" w:rsidR="00253BDE" w:rsidRDefault="00614B17">
            <w:r>
              <w:rPr>
                <w:sz w:val="18"/>
                <w:szCs w:val="18"/>
              </w:rPr>
              <w:t>7.3%</w:t>
            </w:r>
          </w:p>
        </w:tc>
      </w:tr>
    </w:tbl>
    <w:p w14:paraId="13B60517" w14:textId="77777777" w:rsidR="00253BDE" w:rsidRDefault="00614B17">
      <w:pPr>
        <w:spacing w:after="200"/>
      </w:pPr>
      <w:r>
        <w:rPr>
          <w:i/>
          <w:iCs/>
          <w:sz w:val="18"/>
          <w:szCs w:val="18"/>
        </w:rPr>
        <w:t>Source: Author's own analysis, Microsoft Excel (see Appendix A).</w:t>
      </w:r>
    </w:p>
    <w:p w14:paraId="48EDF8A1" w14:textId="77777777" w:rsidR="00253BDE" w:rsidRDefault="00614B17">
      <w:pPr>
        <w:pStyle w:val="Titlu1"/>
        <w:spacing w:before="300" w:after="200"/>
      </w:pPr>
      <w:bookmarkStart w:id="4" w:name="_Toc238250173"/>
      <w:r>
        <w:t>Trend Analysis and Visualisation</w:t>
      </w:r>
      <w:bookmarkEnd w:id="4"/>
    </w:p>
    <w:p w14:paraId="6C6817F2" w14:textId="77777777" w:rsidR="00253BDE" w:rsidRDefault="00614B17">
      <w:pPr>
        <w:spacing w:after="200" w:line="360" w:lineRule="auto"/>
        <w:jc w:val="both"/>
      </w:pPr>
      <w:r>
        <w:t>The average rating per genre and per original language was analysed by using pivot tables and bar charts in Excel. The mean rating for each genre, at least 50 films, is shown in Table 3 sorted by rank.</w:t>
      </w:r>
    </w:p>
    <w:p w14:paraId="706B887C" w14:textId="77777777" w:rsidR="00253BDE" w:rsidRDefault="00614B17">
      <w:pPr>
        <w:spacing w:before="200" w:after="80"/>
      </w:pPr>
      <w:r>
        <w:rPr>
          <w:b/>
          <w:bCs/>
          <w:sz w:val="20"/>
          <w:szCs w:val="20"/>
        </w:rPr>
        <w:t>Table 3: Mean Average Rating by Genre (n ≥ 50 films, selected genres)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706"/>
        <w:gridCol w:w="2707"/>
        <w:gridCol w:w="3154"/>
        <w:gridCol w:w="1169"/>
      </w:tblGrid>
      <w:tr w:rsidR="00253BDE" w14:paraId="5F86859A" w14:textId="77777777">
        <w:trPr>
          <w:tblHeader/>
        </w:trPr>
        <w:tc>
          <w:tcPr>
            <w:tcW w:w="0" w:type="auto"/>
            <w:tcBorders>
              <w:top w:val="single" w:sz="4" w:space="0" w:color="000000"/>
              <w:left w:val="single" w:sz="4" w:space="0" w:color="000000"/>
              <w:bottom w:val="single" w:sz="4" w:space="0" w:color="000000"/>
              <w:right w:val="single" w:sz="4" w:space="0" w:color="000000"/>
            </w:tcBorders>
            <w:shd w:val="clear" w:color="auto" w:fill="1F4E78"/>
            <w:vAlign w:val="center"/>
          </w:tcPr>
          <w:p w14:paraId="685FFAB3" w14:textId="77777777" w:rsidR="00253BDE" w:rsidRDefault="00614B17">
            <w:pPr>
              <w:jc w:val="center"/>
            </w:pPr>
            <w:r>
              <w:rPr>
                <w:b/>
                <w:bCs/>
                <w:color w:val="FFFFFF"/>
                <w:sz w:val="18"/>
                <w:szCs w:val="18"/>
              </w:rPr>
              <w:t>Genre</w:t>
            </w:r>
          </w:p>
        </w:tc>
        <w:tc>
          <w:tcPr>
            <w:tcW w:w="0" w:type="auto"/>
            <w:tcBorders>
              <w:top w:val="single" w:sz="4" w:space="0" w:color="000000"/>
              <w:left w:val="single" w:sz="4" w:space="0" w:color="000000"/>
              <w:bottom w:val="single" w:sz="4" w:space="0" w:color="000000"/>
              <w:right w:val="single" w:sz="4" w:space="0" w:color="000000"/>
            </w:tcBorders>
            <w:shd w:val="clear" w:color="auto" w:fill="1F4E78"/>
            <w:vAlign w:val="center"/>
          </w:tcPr>
          <w:p w14:paraId="45219665" w14:textId="77777777" w:rsidR="00253BDE" w:rsidRDefault="00614B17">
            <w:pPr>
              <w:jc w:val="center"/>
            </w:pPr>
            <w:r>
              <w:rPr>
                <w:b/>
                <w:bCs/>
                <w:color w:val="FFFFFF"/>
                <w:sz w:val="18"/>
                <w:szCs w:val="18"/>
              </w:rPr>
              <w:t>Mean Rating</w:t>
            </w:r>
          </w:p>
        </w:tc>
        <w:tc>
          <w:tcPr>
            <w:tcW w:w="0" w:type="auto"/>
            <w:tcBorders>
              <w:top w:val="single" w:sz="4" w:space="0" w:color="000000"/>
              <w:left w:val="single" w:sz="4" w:space="0" w:color="000000"/>
              <w:bottom w:val="single" w:sz="4" w:space="0" w:color="000000"/>
              <w:right w:val="single" w:sz="4" w:space="0" w:color="000000"/>
            </w:tcBorders>
            <w:shd w:val="clear" w:color="auto" w:fill="1F4E78"/>
            <w:vAlign w:val="center"/>
          </w:tcPr>
          <w:p w14:paraId="349373B7" w14:textId="77777777" w:rsidR="00253BDE" w:rsidRDefault="00614B17">
            <w:pPr>
              <w:jc w:val="center"/>
            </w:pPr>
            <w:r>
              <w:rPr>
                <w:b/>
                <w:bCs/>
                <w:color w:val="FFFFFF"/>
                <w:sz w:val="18"/>
                <w:szCs w:val="18"/>
              </w:rPr>
              <w:t>Mean Watches</w:t>
            </w:r>
          </w:p>
        </w:tc>
        <w:tc>
          <w:tcPr>
            <w:tcW w:w="0" w:type="auto"/>
            <w:tcBorders>
              <w:top w:val="single" w:sz="4" w:space="0" w:color="000000"/>
              <w:left w:val="single" w:sz="4" w:space="0" w:color="000000"/>
              <w:bottom w:val="single" w:sz="4" w:space="0" w:color="000000"/>
              <w:right w:val="single" w:sz="4" w:space="0" w:color="000000"/>
            </w:tcBorders>
            <w:shd w:val="clear" w:color="auto" w:fill="1F4E78"/>
            <w:vAlign w:val="center"/>
          </w:tcPr>
          <w:p w14:paraId="17CAF0D9" w14:textId="77777777" w:rsidR="00253BDE" w:rsidRDefault="00614B17">
            <w:pPr>
              <w:jc w:val="center"/>
            </w:pPr>
            <w:r>
              <w:rPr>
                <w:b/>
                <w:bCs/>
                <w:color w:val="FFFFFF"/>
                <w:sz w:val="18"/>
                <w:szCs w:val="18"/>
              </w:rPr>
              <w:t>n</w:t>
            </w:r>
          </w:p>
        </w:tc>
      </w:tr>
      <w:tr w:rsidR="00253BDE" w14:paraId="0A46BAB7" w14:textId="77777777">
        <w:tc>
          <w:tcPr>
            <w:tcW w:w="0" w:type="auto"/>
            <w:tcBorders>
              <w:top w:val="single" w:sz="4" w:space="0" w:color="000000"/>
              <w:left w:val="single" w:sz="4" w:space="0" w:color="000000"/>
              <w:bottom w:val="single" w:sz="4" w:space="0" w:color="000000"/>
              <w:right w:val="single" w:sz="4" w:space="0" w:color="000000"/>
            </w:tcBorders>
            <w:vAlign w:val="center"/>
          </w:tcPr>
          <w:p w14:paraId="46C05DCE" w14:textId="77777777" w:rsidR="00253BDE" w:rsidRDefault="00614B17">
            <w:r>
              <w:rPr>
                <w:sz w:val="18"/>
                <w:szCs w:val="18"/>
              </w:rPr>
              <w:t>Documentary</w:t>
            </w:r>
          </w:p>
        </w:tc>
        <w:tc>
          <w:tcPr>
            <w:tcW w:w="0" w:type="auto"/>
            <w:tcBorders>
              <w:top w:val="single" w:sz="4" w:space="0" w:color="000000"/>
              <w:left w:val="single" w:sz="4" w:space="0" w:color="000000"/>
              <w:bottom w:val="single" w:sz="4" w:space="0" w:color="000000"/>
              <w:right w:val="single" w:sz="4" w:space="0" w:color="000000"/>
            </w:tcBorders>
            <w:vAlign w:val="center"/>
          </w:tcPr>
          <w:p w14:paraId="5CDB8126" w14:textId="77777777" w:rsidR="00253BDE" w:rsidRDefault="00614B17">
            <w:r>
              <w:rPr>
                <w:sz w:val="18"/>
                <w:szCs w:val="18"/>
              </w:rPr>
              <w:t>3.63</w:t>
            </w:r>
          </w:p>
        </w:tc>
        <w:tc>
          <w:tcPr>
            <w:tcW w:w="0" w:type="auto"/>
            <w:tcBorders>
              <w:top w:val="single" w:sz="4" w:space="0" w:color="000000"/>
              <w:left w:val="single" w:sz="4" w:space="0" w:color="000000"/>
              <w:bottom w:val="single" w:sz="4" w:space="0" w:color="000000"/>
              <w:right w:val="single" w:sz="4" w:space="0" w:color="000000"/>
            </w:tcBorders>
            <w:vAlign w:val="center"/>
          </w:tcPr>
          <w:p w14:paraId="6BF67C6C" w14:textId="77777777" w:rsidR="00253BDE" w:rsidRDefault="00614B17">
            <w:r>
              <w:rPr>
                <w:sz w:val="18"/>
                <w:szCs w:val="18"/>
              </w:rPr>
              <w:t>20,260</w:t>
            </w:r>
          </w:p>
        </w:tc>
        <w:tc>
          <w:tcPr>
            <w:tcW w:w="0" w:type="auto"/>
            <w:tcBorders>
              <w:top w:val="single" w:sz="4" w:space="0" w:color="000000"/>
              <w:left w:val="single" w:sz="4" w:space="0" w:color="000000"/>
              <w:bottom w:val="single" w:sz="4" w:space="0" w:color="000000"/>
              <w:right w:val="single" w:sz="4" w:space="0" w:color="000000"/>
            </w:tcBorders>
            <w:vAlign w:val="center"/>
          </w:tcPr>
          <w:p w14:paraId="6A103178" w14:textId="77777777" w:rsidR="00253BDE" w:rsidRDefault="00614B17">
            <w:r>
              <w:rPr>
                <w:sz w:val="18"/>
                <w:szCs w:val="18"/>
              </w:rPr>
              <w:t>338</w:t>
            </w:r>
          </w:p>
        </w:tc>
      </w:tr>
      <w:tr w:rsidR="00253BDE" w14:paraId="77E88786" w14:textId="77777777">
        <w:tc>
          <w:tcPr>
            <w:tcW w:w="0" w:type="auto"/>
            <w:tcBorders>
              <w:top w:val="single" w:sz="4" w:space="0" w:color="000000"/>
              <w:left w:val="single" w:sz="4" w:space="0" w:color="000000"/>
              <w:bottom w:val="single" w:sz="4" w:space="0" w:color="000000"/>
              <w:right w:val="single" w:sz="4" w:space="0" w:color="000000"/>
            </w:tcBorders>
            <w:vAlign w:val="center"/>
          </w:tcPr>
          <w:p w14:paraId="5675A418" w14:textId="77777777" w:rsidR="00253BDE" w:rsidRDefault="00614B17">
            <w:r>
              <w:rPr>
                <w:sz w:val="18"/>
                <w:szCs w:val="18"/>
              </w:rPr>
              <w:t>War</w:t>
            </w:r>
          </w:p>
        </w:tc>
        <w:tc>
          <w:tcPr>
            <w:tcW w:w="0" w:type="auto"/>
            <w:tcBorders>
              <w:top w:val="single" w:sz="4" w:space="0" w:color="000000"/>
              <w:left w:val="single" w:sz="4" w:space="0" w:color="000000"/>
              <w:bottom w:val="single" w:sz="4" w:space="0" w:color="000000"/>
              <w:right w:val="single" w:sz="4" w:space="0" w:color="000000"/>
            </w:tcBorders>
            <w:vAlign w:val="center"/>
          </w:tcPr>
          <w:p w14:paraId="7A250D99" w14:textId="77777777" w:rsidR="00253BDE" w:rsidRDefault="00614B17">
            <w:r>
              <w:rPr>
                <w:sz w:val="18"/>
                <w:szCs w:val="18"/>
              </w:rPr>
              <w:t>3.55</w:t>
            </w:r>
          </w:p>
        </w:tc>
        <w:tc>
          <w:tcPr>
            <w:tcW w:w="0" w:type="auto"/>
            <w:tcBorders>
              <w:top w:val="single" w:sz="4" w:space="0" w:color="000000"/>
              <w:left w:val="single" w:sz="4" w:space="0" w:color="000000"/>
              <w:bottom w:val="single" w:sz="4" w:space="0" w:color="000000"/>
              <w:right w:val="single" w:sz="4" w:space="0" w:color="000000"/>
            </w:tcBorders>
            <w:vAlign w:val="center"/>
          </w:tcPr>
          <w:p w14:paraId="7A87A176" w14:textId="77777777" w:rsidR="00253BDE" w:rsidRDefault="00614B17">
            <w:r>
              <w:rPr>
                <w:sz w:val="18"/>
                <w:szCs w:val="18"/>
              </w:rPr>
              <w:t>117,928</w:t>
            </w:r>
          </w:p>
        </w:tc>
        <w:tc>
          <w:tcPr>
            <w:tcW w:w="0" w:type="auto"/>
            <w:tcBorders>
              <w:top w:val="single" w:sz="4" w:space="0" w:color="000000"/>
              <w:left w:val="single" w:sz="4" w:space="0" w:color="000000"/>
              <w:bottom w:val="single" w:sz="4" w:space="0" w:color="000000"/>
              <w:right w:val="single" w:sz="4" w:space="0" w:color="000000"/>
            </w:tcBorders>
            <w:vAlign w:val="center"/>
          </w:tcPr>
          <w:p w14:paraId="404A27E0" w14:textId="77777777" w:rsidR="00253BDE" w:rsidRDefault="00614B17">
            <w:r>
              <w:rPr>
                <w:sz w:val="18"/>
                <w:szCs w:val="18"/>
              </w:rPr>
              <w:t>129</w:t>
            </w:r>
          </w:p>
        </w:tc>
      </w:tr>
      <w:tr w:rsidR="00253BDE" w14:paraId="56AED0AA" w14:textId="77777777">
        <w:tc>
          <w:tcPr>
            <w:tcW w:w="0" w:type="auto"/>
            <w:tcBorders>
              <w:top w:val="single" w:sz="4" w:space="0" w:color="000000"/>
              <w:left w:val="single" w:sz="4" w:space="0" w:color="000000"/>
              <w:bottom w:val="single" w:sz="4" w:space="0" w:color="000000"/>
              <w:right w:val="single" w:sz="4" w:space="0" w:color="000000"/>
            </w:tcBorders>
            <w:vAlign w:val="center"/>
          </w:tcPr>
          <w:p w14:paraId="2EA42700" w14:textId="77777777" w:rsidR="00253BDE" w:rsidRDefault="00614B17">
            <w:r>
              <w:rPr>
                <w:sz w:val="18"/>
                <w:szCs w:val="18"/>
              </w:rPr>
              <w:t>History</w:t>
            </w:r>
          </w:p>
        </w:tc>
        <w:tc>
          <w:tcPr>
            <w:tcW w:w="0" w:type="auto"/>
            <w:tcBorders>
              <w:top w:val="single" w:sz="4" w:space="0" w:color="000000"/>
              <w:left w:val="single" w:sz="4" w:space="0" w:color="000000"/>
              <w:bottom w:val="single" w:sz="4" w:space="0" w:color="000000"/>
              <w:right w:val="single" w:sz="4" w:space="0" w:color="000000"/>
            </w:tcBorders>
            <w:vAlign w:val="center"/>
          </w:tcPr>
          <w:p w14:paraId="6A7906A3" w14:textId="77777777" w:rsidR="00253BDE" w:rsidRDefault="00614B17">
            <w:r>
              <w:rPr>
                <w:sz w:val="18"/>
                <w:szCs w:val="18"/>
              </w:rPr>
              <w:t>3.55</w:t>
            </w:r>
          </w:p>
        </w:tc>
        <w:tc>
          <w:tcPr>
            <w:tcW w:w="0" w:type="auto"/>
            <w:tcBorders>
              <w:top w:val="single" w:sz="4" w:space="0" w:color="000000"/>
              <w:left w:val="single" w:sz="4" w:space="0" w:color="000000"/>
              <w:bottom w:val="single" w:sz="4" w:space="0" w:color="000000"/>
              <w:right w:val="single" w:sz="4" w:space="0" w:color="000000"/>
            </w:tcBorders>
            <w:vAlign w:val="center"/>
          </w:tcPr>
          <w:p w14:paraId="40007AAC" w14:textId="77777777" w:rsidR="00253BDE" w:rsidRDefault="00614B17">
            <w:r>
              <w:rPr>
                <w:sz w:val="18"/>
                <w:szCs w:val="18"/>
              </w:rPr>
              <w:t>185,249</w:t>
            </w:r>
          </w:p>
        </w:tc>
        <w:tc>
          <w:tcPr>
            <w:tcW w:w="0" w:type="auto"/>
            <w:tcBorders>
              <w:top w:val="single" w:sz="4" w:space="0" w:color="000000"/>
              <w:left w:val="single" w:sz="4" w:space="0" w:color="000000"/>
              <w:bottom w:val="single" w:sz="4" w:space="0" w:color="000000"/>
              <w:right w:val="single" w:sz="4" w:space="0" w:color="000000"/>
            </w:tcBorders>
            <w:vAlign w:val="center"/>
          </w:tcPr>
          <w:p w14:paraId="6D6F020E" w14:textId="77777777" w:rsidR="00253BDE" w:rsidRDefault="00614B17">
            <w:r>
              <w:rPr>
                <w:sz w:val="18"/>
                <w:szCs w:val="18"/>
              </w:rPr>
              <w:t>164</w:t>
            </w:r>
          </w:p>
        </w:tc>
      </w:tr>
      <w:tr w:rsidR="00253BDE" w14:paraId="00B3A2A9" w14:textId="77777777">
        <w:tc>
          <w:tcPr>
            <w:tcW w:w="0" w:type="auto"/>
            <w:tcBorders>
              <w:top w:val="single" w:sz="4" w:space="0" w:color="000000"/>
              <w:left w:val="single" w:sz="4" w:space="0" w:color="000000"/>
              <w:bottom w:val="single" w:sz="4" w:space="0" w:color="000000"/>
              <w:right w:val="single" w:sz="4" w:space="0" w:color="000000"/>
            </w:tcBorders>
            <w:vAlign w:val="center"/>
          </w:tcPr>
          <w:p w14:paraId="0B87F416" w14:textId="77777777" w:rsidR="00253BDE" w:rsidRDefault="00614B17">
            <w:r>
              <w:rPr>
                <w:sz w:val="18"/>
                <w:szCs w:val="18"/>
              </w:rPr>
              <w:t>Drama</w:t>
            </w:r>
          </w:p>
        </w:tc>
        <w:tc>
          <w:tcPr>
            <w:tcW w:w="0" w:type="auto"/>
            <w:tcBorders>
              <w:top w:val="single" w:sz="4" w:space="0" w:color="000000"/>
              <w:left w:val="single" w:sz="4" w:space="0" w:color="000000"/>
              <w:bottom w:val="single" w:sz="4" w:space="0" w:color="000000"/>
              <w:right w:val="single" w:sz="4" w:space="0" w:color="000000"/>
            </w:tcBorders>
            <w:vAlign w:val="center"/>
          </w:tcPr>
          <w:p w14:paraId="79AB99CD" w14:textId="77777777" w:rsidR="00253BDE" w:rsidRDefault="00614B17">
            <w:r>
              <w:rPr>
                <w:sz w:val="18"/>
                <w:szCs w:val="18"/>
              </w:rPr>
              <w:t>3.47</w:t>
            </w:r>
          </w:p>
        </w:tc>
        <w:tc>
          <w:tcPr>
            <w:tcW w:w="0" w:type="auto"/>
            <w:tcBorders>
              <w:top w:val="single" w:sz="4" w:space="0" w:color="000000"/>
              <w:left w:val="single" w:sz="4" w:space="0" w:color="000000"/>
              <w:bottom w:val="single" w:sz="4" w:space="0" w:color="000000"/>
              <w:right w:val="single" w:sz="4" w:space="0" w:color="000000"/>
            </w:tcBorders>
            <w:vAlign w:val="center"/>
          </w:tcPr>
          <w:p w14:paraId="473834F3" w14:textId="77777777" w:rsidR="00253BDE" w:rsidRDefault="00614B17">
            <w:r>
              <w:rPr>
                <w:sz w:val="18"/>
                <w:szCs w:val="18"/>
              </w:rPr>
              <w:t>140,876</w:t>
            </w:r>
          </w:p>
        </w:tc>
        <w:tc>
          <w:tcPr>
            <w:tcW w:w="0" w:type="auto"/>
            <w:tcBorders>
              <w:top w:val="single" w:sz="4" w:space="0" w:color="000000"/>
              <w:left w:val="single" w:sz="4" w:space="0" w:color="000000"/>
              <w:bottom w:val="single" w:sz="4" w:space="0" w:color="000000"/>
              <w:right w:val="single" w:sz="4" w:space="0" w:color="000000"/>
            </w:tcBorders>
            <w:vAlign w:val="center"/>
          </w:tcPr>
          <w:p w14:paraId="52542245" w14:textId="77777777" w:rsidR="00253BDE" w:rsidRDefault="00614B17">
            <w:r>
              <w:rPr>
                <w:sz w:val="18"/>
                <w:szCs w:val="18"/>
              </w:rPr>
              <w:t>2,232</w:t>
            </w:r>
          </w:p>
        </w:tc>
      </w:tr>
      <w:tr w:rsidR="00253BDE" w14:paraId="6E3A54BF" w14:textId="77777777">
        <w:tc>
          <w:tcPr>
            <w:tcW w:w="0" w:type="auto"/>
            <w:tcBorders>
              <w:top w:val="single" w:sz="4" w:space="0" w:color="000000"/>
              <w:left w:val="single" w:sz="4" w:space="0" w:color="000000"/>
              <w:bottom w:val="single" w:sz="4" w:space="0" w:color="000000"/>
              <w:right w:val="single" w:sz="4" w:space="0" w:color="000000"/>
            </w:tcBorders>
            <w:vAlign w:val="center"/>
          </w:tcPr>
          <w:p w14:paraId="0673EEF6" w14:textId="77777777" w:rsidR="00253BDE" w:rsidRDefault="00614B17">
            <w:r>
              <w:rPr>
                <w:sz w:val="18"/>
                <w:szCs w:val="18"/>
              </w:rPr>
              <w:t>Animation</w:t>
            </w:r>
          </w:p>
        </w:tc>
        <w:tc>
          <w:tcPr>
            <w:tcW w:w="0" w:type="auto"/>
            <w:tcBorders>
              <w:top w:val="single" w:sz="4" w:space="0" w:color="000000"/>
              <w:left w:val="single" w:sz="4" w:space="0" w:color="000000"/>
              <w:bottom w:val="single" w:sz="4" w:space="0" w:color="000000"/>
              <w:right w:val="single" w:sz="4" w:space="0" w:color="000000"/>
            </w:tcBorders>
            <w:vAlign w:val="center"/>
          </w:tcPr>
          <w:p w14:paraId="28A30460" w14:textId="77777777" w:rsidR="00253BDE" w:rsidRDefault="00614B17">
            <w:r>
              <w:rPr>
                <w:sz w:val="18"/>
                <w:szCs w:val="18"/>
              </w:rPr>
              <w:t>3.41</w:t>
            </w:r>
          </w:p>
        </w:tc>
        <w:tc>
          <w:tcPr>
            <w:tcW w:w="0" w:type="auto"/>
            <w:tcBorders>
              <w:top w:val="single" w:sz="4" w:space="0" w:color="000000"/>
              <w:left w:val="single" w:sz="4" w:space="0" w:color="000000"/>
              <w:bottom w:val="single" w:sz="4" w:space="0" w:color="000000"/>
              <w:right w:val="single" w:sz="4" w:space="0" w:color="000000"/>
            </w:tcBorders>
            <w:vAlign w:val="center"/>
          </w:tcPr>
          <w:p w14:paraId="10EB8DE9" w14:textId="77777777" w:rsidR="00253BDE" w:rsidRDefault="00614B17">
            <w:r>
              <w:rPr>
                <w:sz w:val="18"/>
                <w:szCs w:val="18"/>
              </w:rPr>
              <w:t>322,931</w:t>
            </w:r>
          </w:p>
        </w:tc>
        <w:tc>
          <w:tcPr>
            <w:tcW w:w="0" w:type="auto"/>
            <w:tcBorders>
              <w:top w:val="single" w:sz="4" w:space="0" w:color="000000"/>
              <w:left w:val="single" w:sz="4" w:space="0" w:color="000000"/>
              <w:bottom w:val="single" w:sz="4" w:space="0" w:color="000000"/>
              <w:right w:val="single" w:sz="4" w:space="0" w:color="000000"/>
            </w:tcBorders>
            <w:vAlign w:val="center"/>
          </w:tcPr>
          <w:p w14:paraId="37AFCC38" w14:textId="77777777" w:rsidR="00253BDE" w:rsidRDefault="00614B17">
            <w:r>
              <w:rPr>
                <w:sz w:val="18"/>
                <w:szCs w:val="18"/>
              </w:rPr>
              <w:t>230</w:t>
            </w:r>
          </w:p>
        </w:tc>
      </w:tr>
      <w:tr w:rsidR="00253BDE" w14:paraId="00EE2F3B" w14:textId="77777777">
        <w:tc>
          <w:tcPr>
            <w:tcW w:w="0" w:type="auto"/>
            <w:tcBorders>
              <w:top w:val="single" w:sz="4" w:space="0" w:color="000000"/>
              <w:left w:val="single" w:sz="4" w:space="0" w:color="000000"/>
              <w:bottom w:val="single" w:sz="4" w:space="0" w:color="000000"/>
              <w:right w:val="single" w:sz="4" w:space="0" w:color="000000"/>
            </w:tcBorders>
            <w:vAlign w:val="center"/>
          </w:tcPr>
          <w:p w14:paraId="4ED22829" w14:textId="77777777" w:rsidR="00253BDE" w:rsidRDefault="00614B17">
            <w:r>
              <w:rPr>
                <w:sz w:val="18"/>
                <w:szCs w:val="18"/>
              </w:rPr>
              <w:t>Crime</w:t>
            </w:r>
          </w:p>
        </w:tc>
        <w:tc>
          <w:tcPr>
            <w:tcW w:w="0" w:type="auto"/>
            <w:tcBorders>
              <w:top w:val="single" w:sz="4" w:space="0" w:color="000000"/>
              <w:left w:val="single" w:sz="4" w:space="0" w:color="000000"/>
              <w:bottom w:val="single" w:sz="4" w:space="0" w:color="000000"/>
              <w:right w:val="single" w:sz="4" w:space="0" w:color="000000"/>
            </w:tcBorders>
            <w:vAlign w:val="center"/>
          </w:tcPr>
          <w:p w14:paraId="6F5B81A3" w14:textId="77777777" w:rsidR="00253BDE" w:rsidRDefault="00614B17">
            <w:r>
              <w:rPr>
                <w:sz w:val="18"/>
                <w:szCs w:val="18"/>
              </w:rPr>
              <w:t>3.37</w:t>
            </w:r>
          </w:p>
        </w:tc>
        <w:tc>
          <w:tcPr>
            <w:tcW w:w="0" w:type="auto"/>
            <w:tcBorders>
              <w:top w:val="single" w:sz="4" w:space="0" w:color="000000"/>
              <w:left w:val="single" w:sz="4" w:space="0" w:color="000000"/>
              <w:bottom w:val="single" w:sz="4" w:space="0" w:color="000000"/>
              <w:right w:val="single" w:sz="4" w:space="0" w:color="000000"/>
            </w:tcBorders>
            <w:vAlign w:val="center"/>
          </w:tcPr>
          <w:p w14:paraId="248934C4" w14:textId="77777777" w:rsidR="00253BDE" w:rsidRDefault="00614B17">
            <w:r>
              <w:rPr>
                <w:sz w:val="18"/>
                <w:szCs w:val="18"/>
              </w:rPr>
              <w:t>183,128</w:t>
            </w:r>
          </w:p>
        </w:tc>
        <w:tc>
          <w:tcPr>
            <w:tcW w:w="0" w:type="auto"/>
            <w:tcBorders>
              <w:top w:val="single" w:sz="4" w:space="0" w:color="000000"/>
              <w:left w:val="single" w:sz="4" w:space="0" w:color="000000"/>
              <w:bottom w:val="single" w:sz="4" w:space="0" w:color="000000"/>
              <w:right w:val="single" w:sz="4" w:space="0" w:color="000000"/>
            </w:tcBorders>
            <w:vAlign w:val="center"/>
          </w:tcPr>
          <w:p w14:paraId="3EBA0212" w14:textId="77777777" w:rsidR="00253BDE" w:rsidRDefault="00614B17">
            <w:r>
              <w:rPr>
                <w:sz w:val="18"/>
                <w:szCs w:val="18"/>
              </w:rPr>
              <w:t>529</w:t>
            </w:r>
          </w:p>
        </w:tc>
      </w:tr>
      <w:tr w:rsidR="00253BDE" w14:paraId="3136DFFD" w14:textId="77777777">
        <w:tc>
          <w:tcPr>
            <w:tcW w:w="0" w:type="auto"/>
            <w:tcBorders>
              <w:top w:val="single" w:sz="4" w:space="0" w:color="000000"/>
              <w:left w:val="single" w:sz="4" w:space="0" w:color="000000"/>
              <w:bottom w:val="single" w:sz="4" w:space="0" w:color="000000"/>
              <w:right w:val="single" w:sz="4" w:space="0" w:color="000000"/>
            </w:tcBorders>
            <w:vAlign w:val="center"/>
          </w:tcPr>
          <w:p w14:paraId="4C9690DF" w14:textId="77777777" w:rsidR="00253BDE" w:rsidRDefault="00614B17">
            <w:r>
              <w:rPr>
                <w:sz w:val="18"/>
                <w:szCs w:val="18"/>
              </w:rPr>
              <w:t>Comedy</w:t>
            </w:r>
          </w:p>
        </w:tc>
        <w:tc>
          <w:tcPr>
            <w:tcW w:w="0" w:type="auto"/>
            <w:tcBorders>
              <w:top w:val="single" w:sz="4" w:space="0" w:color="000000"/>
              <w:left w:val="single" w:sz="4" w:space="0" w:color="000000"/>
              <w:bottom w:val="single" w:sz="4" w:space="0" w:color="000000"/>
              <w:right w:val="single" w:sz="4" w:space="0" w:color="000000"/>
            </w:tcBorders>
            <w:vAlign w:val="center"/>
          </w:tcPr>
          <w:p w14:paraId="47409BD2" w14:textId="77777777" w:rsidR="00253BDE" w:rsidRDefault="00614B17">
            <w:r>
              <w:rPr>
                <w:sz w:val="18"/>
                <w:szCs w:val="18"/>
              </w:rPr>
              <w:t>3.19</w:t>
            </w:r>
          </w:p>
        </w:tc>
        <w:tc>
          <w:tcPr>
            <w:tcW w:w="0" w:type="auto"/>
            <w:tcBorders>
              <w:top w:val="single" w:sz="4" w:space="0" w:color="000000"/>
              <w:left w:val="single" w:sz="4" w:space="0" w:color="000000"/>
              <w:bottom w:val="single" w:sz="4" w:space="0" w:color="000000"/>
              <w:right w:val="single" w:sz="4" w:space="0" w:color="000000"/>
            </w:tcBorders>
            <w:vAlign w:val="center"/>
          </w:tcPr>
          <w:p w14:paraId="14A6A04F" w14:textId="77777777" w:rsidR="00253BDE" w:rsidRDefault="00614B17">
            <w:r>
              <w:rPr>
                <w:sz w:val="18"/>
                <w:szCs w:val="18"/>
              </w:rPr>
              <w:t>172,485</w:t>
            </w:r>
          </w:p>
        </w:tc>
        <w:tc>
          <w:tcPr>
            <w:tcW w:w="0" w:type="auto"/>
            <w:tcBorders>
              <w:top w:val="single" w:sz="4" w:space="0" w:color="000000"/>
              <w:left w:val="single" w:sz="4" w:space="0" w:color="000000"/>
              <w:bottom w:val="single" w:sz="4" w:space="0" w:color="000000"/>
              <w:right w:val="single" w:sz="4" w:space="0" w:color="000000"/>
            </w:tcBorders>
            <w:vAlign w:val="center"/>
          </w:tcPr>
          <w:p w14:paraId="5760A215" w14:textId="77777777" w:rsidR="00253BDE" w:rsidRDefault="00614B17">
            <w:r>
              <w:rPr>
                <w:sz w:val="18"/>
                <w:szCs w:val="18"/>
              </w:rPr>
              <w:t>1,423</w:t>
            </w:r>
          </w:p>
        </w:tc>
      </w:tr>
      <w:tr w:rsidR="00253BDE" w14:paraId="172825F6" w14:textId="77777777">
        <w:tc>
          <w:tcPr>
            <w:tcW w:w="0" w:type="auto"/>
            <w:tcBorders>
              <w:top w:val="single" w:sz="4" w:space="0" w:color="000000"/>
              <w:left w:val="single" w:sz="4" w:space="0" w:color="000000"/>
              <w:bottom w:val="single" w:sz="4" w:space="0" w:color="000000"/>
              <w:right w:val="single" w:sz="4" w:space="0" w:color="000000"/>
            </w:tcBorders>
            <w:vAlign w:val="center"/>
          </w:tcPr>
          <w:p w14:paraId="213BB704" w14:textId="77777777" w:rsidR="00253BDE" w:rsidRDefault="00614B17">
            <w:r>
              <w:rPr>
                <w:sz w:val="18"/>
                <w:szCs w:val="18"/>
              </w:rPr>
              <w:t>Action</w:t>
            </w:r>
          </w:p>
        </w:tc>
        <w:tc>
          <w:tcPr>
            <w:tcW w:w="0" w:type="auto"/>
            <w:tcBorders>
              <w:top w:val="single" w:sz="4" w:space="0" w:color="000000"/>
              <w:left w:val="single" w:sz="4" w:space="0" w:color="000000"/>
              <w:bottom w:val="single" w:sz="4" w:space="0" w:color="000000"/>
              <w:right w:val="single" w:sz="4" w:space="0" w:color="000000"/>
            </w:tcBorders>
            <w:vAlign w:val="center"/>
          </w:tcPr>
          <w:p w14:paraId="0AE8E095" w14:textId="77777777" w:rsidR="00253BDE" w:rsidRDefault="00614B17">
            <w:r>
              <w:rPr>
                <w:sz w:val="18"/>
                <w:szCs w:val="18"/>
              </w:rPr>
              <w:t>3.07</w:t>
            </w:r>
          </w:p>
        </w:tc>
        <w:tc>
          <w:tcPr>
            <w:tcW w:w="0" w:type="auto"/>
            <w:tcBorders>
              <w:top w:val="single" w:sz="4" w:space="0" w:color="000000"/>
              <w:left w:val="single" w:sz="4" w:space="0" w:color="000000"/>
              <w:bottom w:val="single" w:sz="4" w:space="0" w:color="000000"/>
              <w:right w:val="single" w:sz="4" w:space="0" w:color="000000"/>
            </w:tcBorders>
            <w:vAlign w:val="center"/>
          </w:tcPr>
          <w:p w14:paraId="22FC7C96" w14:textId="77777777" w:rsidR="00253BDE" w:rsidRDefault="00614B17">
            <w:r>
              <w:rPr>
                <w:sz w:val="18"/>
                <w:szCs w:val="18"/>
              </w:rPr>
              <w:t>190,666</w:t>
            </w:r>
          </w:p>
        </w:tc>
        <w:tc>
          <w:tcPr>
            <w:tcW w:w="0" w:type="auto"/>
            <w:tcBorders>
              <w:top w:val="single" w:sz="4" w:space="0" w:color="000000"/>
              <w:left w:val="single" w:sz="4" w:space="0" w:color="000000"/>
              <w:bottom w:val="single" w:sz="4" w:space="0" w:color="000000"/>
              <w:right w:val="single" w:sz="4" w:space="0" w:color="000000"/>
            </w:tcBorders>
            <w:vAlign w:val="center"/>
          </w:tcPr>
          <w:p w14:paraId="4B4452C5" w14:textId="77777777" w:rsidR="00253BDE" w:rsidRDefault="00614B17">
            <w:r>
              <w:rPr>
                <w:sz w:val="18"/>
                <w:szCs w:val="18"/>
              </w:rPr>
              <w:t>734</w:t>
            </w:r>
          </w:p>
        </w:tc>
      </w:tr>
      <w:tr w:rsidR="00253BDE" w14:paraId="44890E7B" w14:textId="77777777">
        <w:tc>
          <w:tcPr>
            <w:tcW w:w="0" w:type="auto"/>
            <w:tcBorders>
              <w:top w:val="single" w:sz="4" w:space="0" w:color="000000"/>
              <w:left w:val="single" w:sz="4" w:space="0" w:color="000000"/>
              <w:bottom w:val="single" w:sz="4" w:space="0" w:color="000000"/>
              <w:right w:val="single" w:sz="4" w:space="0" w:color="000000"/>
            </w:tcBorders>
            <w:vAlign w:val="center"/>
          </w:tcPr>
          <w:p w14:paraId="7A451266" w14:textId="77777777" w:rsidR="00253BDE" w:rsidRDefault="00614B17">
            <w:r>
              <w:rPr>
                <w:sz w:val="18"/>
                <w:szCs w:val="18"/>
              </w:rPr>
              <w:t>Horror</w:t>
            </w:r>
          </w:p>
        </w:tc>
        <w:tc>
          <w:tcPr>
            <w:tcW w:w="0" w:type="auto"/>
            <w:tcBorders>
              <w:top w:val="single" w:sz="4" w:space="0" w:color="000000"/>
              <w:left w:val="single" w:sz="4" w:space="0" w:color="000000"/>
              <w:bottom w:val="single" w:sz="4" w:space="0" w:color="000000"/>
              <w:right w:val="single" w:sz="4" w:space="0" w:color="000000"/>
            </w:tcBorders>
            <w:vAlign w:val="center"/>
          </w:tcPr>
          <w:p w14:paraId="46DFD08F" w14:textId="77777777" w:rsidR="00253BDE" w:rsidRDefault="00614B17">
            <w:r>
              <w:rPr>
                <w:sz w:val="18"/>
                <w:szCs w:val="18"/>
              </w:rPr>
              <w:t>2.99</w:t>
            </w:r>
          </w:p>
        </w:tc>
        <w:tc>
          <w:tcPr>
            <w:tcW w:w="0" w:type="auto"/>
            <w:tcBorders>
              <w:top w:val="single" w:sz="4" w:space="0" w:color="000000"/>
              <w:left w:val="single" w:sz="4" w:space="0" w:color="000000"/>
              <w:bottom w:val="single" w:sz="4" w:space="0" w:color="000000"/>
              <w:right w:val="single" w:sz="4" w:space="0" w:color="000000"/>
            </w:tcBorders>
            <w:vAlign w:val="center"/>
          </w:tcPr>
          <w:p w14:paraId="1350E162" w14:textId="77777777" w:rsidR="00253BDE" w:rsidRDefault="00614B17">
            <w:r>
              <w:rPr>
                <w:sz w:val="18"/>
                <w:szCs w:val="18"/>
              </w:rPr>
              <w:t>108,149</w:t>
            </w:r>
          </w:p>
        </w:tc>
        <w:tc>
          <w:tcPr>
            <w:tcW w:w="0" w:type="auto"/>
            <w:tcBorders>
              <w:top w:val="single" w:sz="4" w:space="0" w:color="000000"/>
              <w:left w:val="single" w:sz="4" w:space="0" w:color="000000"/>
              <w:bottom w:val="single" w:sz="4" w:space="0" w:color="000000"/>
              <w:right w:val="single" w:sz="4" w:space="0" w:color="000000"/>
            </w:tcBorders>
            <w:vAlign w:val="center"/>
          </w:tcPr>
          <w:p w14:paraId="20E32181" w14:textId="77777777" w:rsidR="00253BDE" w:rsidRDefault="00614B17">
            <w:r>
              <w:rPr>
                <w:sz w:val="18"/>
                <w:szCs w:val="18"/>
              </w:rPr>
              <w:t>867</w:t>
            </w:r>
          </w:p>
        </w:tc>
      </w:tr>
    </w:tbl>
    <w:p w14:paraId="58FD5C80" w14:textId="77777777" w:rsidR="00253BDE" w:rsidRDefault="00614B17">
      <w:pPr>
        <w:spacing w:after="200"/>
      </w:pPr>
      <w:r>
        <w:rPr>
          <w:i/>
          <w:iCs/>
          <w:sz w:val="18"/>
          <w:szCs w:val="18"/>
        </w:rPr>
        <w:t>Source: Author's own analysis, Microsoft Excel (see Appendix A).</w:t>
      </w:r>
    </w:p>
    <w:p w14:paraId="0AD26FD9" w14:textId="77777777" w:rsidR="00253BDE" w:rsidRDefault="00614B17">
      <w:pPr>
        <w:spacing w:after="200" w:line="360" w:lineRule="auto"/>
        <w:jc w:val="both"/>
      </w:pPr>
      <w:r>
        <w:t>There is a definite inverse relationship for several genres: Documentary has the highest average rating (3.63), and one of the lowest average numbers of views of the genres displayed; Action and Horror have among the highest number of views and comparatively lower ratings. This separation reaffirms the well-established difference in media economics between “critical acclaim” and “commercial popularity” that are typically only superficially connected and in certain cases even negatively correlated in cultural markets (Hennig-Thurau, Houston and Walsh, 2021). A bar chart of mean rating per genre reinforces the ranking visually and a scatter plot of runtime against mean rating is weakly dispersed with a slight positive trend indicating that on average, longer films tended to be rated higher, but with significant variation from the trend line.</w:t>
      </w:r>
    </w:p>
    <w:p w14:paraId="46198709" w14:textId="77777777" w:rsidR="00253BDE" w:rsidRDefault="00614B17">
      <w:pPr>
        <w:spacing w:after="200" w:line="360" w:lineRule="auto"/>
        <w:jc w:val="both"/>
      </w:pPr>
      <w:r>
        <w:t>Smaller language groups (Table 4) on average outperform English-language films, although they have on average much lower watch counts. The mean ratings for films in the main groups were higher in most cases than the English mean rating (3.21, n = 8,074), with Swedish-language films scoring the highest with a mean rating of 3.79 (n = 32), Russian (3.67) and Japanese (3.60) being next.</w:t>
      </w:r>
    </w:p>
    <w:p w14:paraId="5C5E4EBE" w14:textId="77777777" w:rsidR="00253BDE" w:rsidRDefault="00614B17">
      <w:pPr>
        <w:spacing w:before="200" w:after="80"/>
      </w:pPr>
      <w:r>
        <w:rPr>
          <w:b/>
          <w:bCs/>
          <w:sz w:val="20"/>
          <w:szCs w:val="20"/>
        </w:rPr>
        <w:t>Table 4: Mean Average Rating by Original Language Group (Selected Groups)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312"/>
        <w:gridCol w:w="2474"/>
        <w:gridCol w:w="2882"/>
        <w:gridCol w:w="1068"/>
      </w:tblGrid>
      <w:tr w:rsidR="00253BDE" w14:paraId="31F3C9E6" w14:textId="77777777">
        <w:trPr>
          <w:tblHeader/>
        </w:trPr>
        <w:tc>
          <w:tcPr>
            <w:tcW w:w="0" w:type="auto"/>
            <w:tcBorders>
              <w:top w:val="single" w:sz="4" w:space="0" w:color="000000"/>
              <w:left w:val="single" w:sz="4" w:space="0" w:color="000000"/>
              <w:bottom w:val="single" w:sz="4" w:space="0" w:color="000000"/>
              <w:right w:val="single" w:sz="4" w:space="0" w:color="000000"/>
            </w:tcBorders>
            <w:shd w:val="clear" w:color="auto" w:fill="1F4E78"/>
            <w:vAlign w:val="center"/>
          </w:tcPr>
          <w:p w14:paraId="28FFAD23" w14:textId="77777777" w:rsidR="00253BDE" w:rsidRDefault="00614B17">
            <w:pPr>
              <w:jc w:val="center"/>
            </w:pPr>
            <w:r>
              <w:rPr>
                <w:b/>
                <w:bCs/>
                <w:color w:val="FFFFFF"/>
                <w:sz w:val="18"/>
                <w:szCs w:val="18"/>
              </w:rPr>
              <w:t>Language Group</w:t>
            </w:r>
          </w:p>
        </w:tc>
        <w:tc>
          <w:tcPr>
            <w:tcW w:w="0" w:type="auto"/>
            <w:tcBorders>
              <w:top w:val="single" w:sz="4" w:space="0" w:color="000000"/>
              <w:left w:val="single" w:sz="4" w:space="0" w:color="000000"/>
              <w:bottom w:val="single" w:sz="4" w:space="0" w:color="000000"/>
              <w:right w:val="single" w:sz="4" w:space="0" w:color="000000"/>
            </w:tcBorders>
            <w:shd w:val="clear" w:color="auto" w:fill="1F4E78"/>
            <w:vAlign w:val="center"/>
          </w:tcPr>
          <w:p w14:paraId="73A1D095" w14:textId="77777777" w:rsidR="00253BDE" w:rsidRDefault="00614B17">
            <w:pPr>
              <w:jc w:val="center"/>
            </w:pPr>
            <w:r>
              <w:rPr>
                <w:b/>
                <w:bCs/>
                <w:color w:val="FFFFFF"/>
                <w:sz w:val="18"/>
                <w:szCs w:val="18"/>
              </w:rPr>
              <w:t>Mean Rating</w:t>
            </w:r>
          </w:p>
        </w:tc>
        <w:tc>
          <w:tcPr>
            <w:tcW w:w="0" w:type="auto"/>
            <w:tcBorders>
              <w:top w:val="single" w:sz="4" w:space="0" w:color="000000"/>
              <w:left w:val="single" w:sz="4" w:space="0" w:color="000000"/>
              <w:bottom w:val="single" w:sz="4" w:space="0" w:color="000000"/>
              <w:right w:val="single" w:sz="4" w:space="0" w:color="000000"/>
            </w:tcBorders>
            <w:shd w:val="clear" w:color="auto" w:fill="1F4E78"/>
            <w:vAlign w:val="center"/>
          </w:tcPr>
          <w:p w14:paraId="21CBDF2A" w14:textId="77777777" w:rsidR="00253BDE" w:rsidRDefault="00614B17">
            <w:pPr>
              <w:jc w:val="center"/>
            </w:pPr>
            <w:r>
              <w:rPr>
                <w:b/>
                <w:bCs/>
                <w:color w:val="FFFFFF"/>
                <w:sz w:val="18"/>
                <w:szCs w:val="18"/>
              </w:rPr>
              <w:t>Mean Watches</w:t>
            </w:r>
          </w:p>
        </w:tc>
        <w:tc>
          <w:tcPr>
            <w:tcW w:w="0" w:type="auto"/>
            <w:tcBorders>
              <w:top w:val="single" w:sz="4" w:space="0" w:color="000000"/>
              <w:left w:val="single" w:sz="4" w:space="0" w:color="000000"/>
              <w:bottom w:val="single" w:sz="4" w:space="0" w:color="000000"/>
              <w:right w:val="single" w:sz="4" w:space="0" w:color="000000"/>
            </w:tcBorders>
            <w:shd w:val="clear" w:color="auto" w:fill="1F4E78"/>
            <w:vAlign w:val="center"/>
          </w:tcPr>
          <w:p w14:paraId="253D0BA0" w14:textId="77777777" w:rsidR="00253BDE" w:rsidRDefault="00614B17">
            <w:pPr>
              <w:jc w:val="center"/>
            </w:pPr>
            <w:r>
              <w:rPr>
                <w:b/>
                <w:bCs/>
                <w:color w:val="FFFFFF"/>
                <w:sz w:val="18"/>
                <w:szCs w:val="18"/>
              </w:rPr>
              <w:t>n</w:t>
            </w:r>
          </w:p>
        </w:tc>
      </w:tr>
      <w:tr w:rsidR="00253BDE" w14:paraId="0D9007FF" w14:textId="77777777">
        <w:tc>
          <w:tcPr>
            <w:tcW w:w="0" w:type="auto"/>
            <w:tcBorders>
              <w:top w:val="single" w:sz="4" w:space="0" w:color="000000"/>
              <w:left w:val="single" w:sz="4" w:space="0" w:color="000000"/>
              <w:bottom w:val="single" w:sz="4" w:space="0" w:color="000000"/>
              <w:right w:val="single" w:sz="4" w:space="0" w:color="000000"/>
            </w:tcBorders>
            <w:vAlign w:val="center"/>
          </w:tcPr>
          <w:p w14:paraId="70954F0C" w14:textId="77777777" w:rsidR="00253BDE" w:rsidRDefault="00614B17">
            <w:r>
              <w:rPr>
                <w:sz w:val="18"/>
                <w:szCs w:val="18"/>
              </w:rPr>
              <w:t>Swedish</w:t>
            </w:r>
          </w:p>
        </w:tc>
        <w:tc>
          <w:tcPr>
            <w:tcW w:w="0" w:type="auto"/>
            <w:tcBorders>
              <w:top w:val="single" w:sz="4" w:space="0" w:color="000000"/>
              <w:left w:val="single" w:sz="4" w:space="0" w:color="000000"/>
              <w:bottom w:val="single" w:sz="4" w:space="0" w:color="000000"/>
              <w:right w:val="single" w:sz="4" w:space="0" w:color="000000"/>
            </w:tcBorders>
            <w:vAlign w:val="center"/>
          </w:tcPr>
          <w:p w14:paraId="2B067F0A" w14:textId="77777777" w:rsidR="00253BDE" w:rsidRDefault="00614B17">
            <w:r>
              <w:rPr>
                <w:sz w:val="18"/>
                <w:szCs w:val="18"/>
              </w:rPr>
              <w:t>3.79</w:t>
            </w:r>
          </w:p>
        </w:tc>
        <w:tc>
          <w:tcPr>
            <w:tcW w:w="0" w:type="auto"/>
            <w:tcBorders>
              <w:top w:val="single" w:sz="4" w:space="0" w:color="000000"/>
              <w:left w:val="single" w:sz="4" w:space="0" w:color="000000"/>
              <w:bottom w:val="single" w:sz="4" w:space="0" w:color="000000"/>
              <w:right w:val="single" w:sz="4" w:space="0" w:color="000000"/>
            </w:tcBorders>
            <w:vAlign w:val="center"/>
          </w:tcPr>
          <w:p w14:paraId="334469E4" w14:textId="77777777" w:rsidR="00253BDE" w:rsidRDefault="00614B17">
            <w:r>
              <w:rPr>
                <w:sz w:val="18"/>
                <w:szCs w:val="18"/>
              </w:rPr>
              <w:t>83,922</w:t>
            </w:r>
          </w:p>
        </w:tc>
        <w:tc>
          <w:tcPr>
            <w:tcW w:w="0" w:type="auto"/>
            <w:tcBorders>
              <w:top w:val="single" w:sz="4" w:space="0" w:color="000000"/>
              <w:left w:val="single" w:sz="4" w:space="0" w:color="000000"/>
              <w:bottom w:val="single" w:sz="4" w:space="0" w:color="000000"/>
              <w:right w:val="single" w:sz="4" w:space="0" w:color="000000"/>
            </w:tcBorders>
            <w:vAlign w:val="center"/>
          </w:tcPr>
          <w:p w14:paraId="629F1FB3" w14:textId="77777777" w:rsidR="00253BDE" w:rsidRDefault="00614B17">
            <w:r>
              <w:rPr>
                <w:sz w:val="18"/>
                <w:szCs w:val="18"/>
              </w:rPr>
              <w:t>32</w:t>
            </w:r>
          </w:p>
        </w:tc>
      </w:tr>
      <w:tr w:rsidR="00253BDE" w14:paraId="17483568" w14:textId="77777777">
        <w:tc>
          <w:tcPr>
            <w:tcW w:w="0" w:type="auto"/>
            <w:tcBorders>
              <w:top w:val="single" w:sz="4" w:space="0" w:color="000000"/>
              <w:left w:val="single" w:sz="4" w:space="0" w:color="000000"/>
              <w:bottom w:val="single" w:sz="4" w:space="0" w:color="000000"/>
              <w:right w:val="single" w:sz="4" w:space="0" w:color="000000"/>
            </w:tcBorders>
            <w:vAlign w:val="center"/>
          </w:tcPr>
          <w:p w14:paraId="698F7FAD" w14:textId="77777777" w:rsidR="00253BDE" w:rsidRDefault="00614B17">
            <w:r>
              <w:rPr>
                <w:sz w:val="18"/>
                <w:szCs w:val="18"/>
              </w:rPr>
              <w:t>Russian</w:t>
            </w:r>
          </w:p>
        </w:tc>
        <w:tc>
          <w:tcPr>
            <w:tcW w:w="0" w:type="auto"/>
            <w:tcBorders>
              <w:top w:val="single" w:sz="4" w:space="0" w:color="000000"/>
              <w:left w:val="single" w:sz="4" w:space="0" w:color="000000"/>
              <w:bottom w:val="single" w:sz="4" w:space="0" w:color="000000"/>
              <w:right w:val="single" w:sz="4" w:space="0" w:color="000000"/>
            </w:tcBorders>
            <w:vAlign w:val="center"/>
          </w:tcPr>
          <w:p w14:paraId="4121F8F9" w14:textId="77777777" w:rsidR="00253BDE" w:rsidRDefault="00614B17">
            <w:r>
              <w:rPr>
                <w:sz w:val="18"/>
                <w:szCs w:val="18"/>
              </w:rPr>
              <w:t>3.67</w:t>
            </w:r>
          </w:p>
        </w:tc>
        <w:tc>
          <w:tcPr>
            <w:tcW w:w="0" w:type="auto"/>
            <w:tcBorders>
              <w:top w:val="single" w:sz="4" w:space="0" w:color="000000"/>
              <w:left w:val="single" w:sz="4" w:space="0" w:color="000000"/>
              <w:bottom w:val="single" w:sz="4" w:space="0" w:color="000000"/>
              <w:right w:val="single" w:sz="4" w:space="0" w:color="000000"/>
            </w:tcBorders>
            <w:vAlign w:val="center"/>
          </w:tcPr>
          <w:p w14:paraId="4F593C3A" w14:textId="77777777" w:rsidR="00253BDE" w:rsidRDefault="00614B17">
            <w:r>
              <w:rPr>
                <w:sz w:val="18"/>
                <w:szCs w:val="18"/>
              </w:rPr>
              <w:t>49,477</w:t>
            </w:r>
          </w:p>
        </w:tc>
        <w:tc>
          <w:tcPr>
            <w:tcW w:w="0" w:type="auto"/>
            <w:tcBorders>
              <w:top w:val="single" w:sz="4" w:space="0" w:color="000000"/>
              <w:left w:val="single" w:sz="4" w:space="0" w:color="000000"/>
              <w:bottom w:val="single" w:sz="4" w:space="0" w:color="000000"/>
              <w:right w:val="single" w:sz="4" w:space="0" w:color="000000"/>
            </w:tcBorders>
            <w:vAlign w:val="center"/>
          </w:tcPr>
          <w:p w14:paraId="2D6859C2" w14:textId="77777777" w:rsidR="00253BDE" w:rsidRDefault="00614B17">
            <w:r>
              <w:rPr>
                <w:sz w:val="18"/>
                <w:szCs w:val="18"/>
              </w:rPr>
              <w:t>43</w:t>
            </w:r>
          </w:p>
        </w:tc>
      </w:tr>
      <w:tr w:rsidR="00253BDE" w14:paraId="79C25ADE" w14:textId="77777777">
        <w:tc>
          <w:tcPr>
            <w:tcW w:w="0" w:type="auto"/>
            <w:tcBorders>
              <w:top w:val="single" w:sz="4" w:space="0" w:color="000000"/>
              <w:left w:val="single" w:sz="4" w:space="0" w:color="000000"/>
              <w:bottom w:val="single" w:sz="4" w:space="0" w:color="000000"/>
              <w:right w:val="single" w:sz="4" w:space="0" w:color="000000"/>
            </w:tcBorders>
            <w:vAlign w:val="center"/>
          </w:tcPr>
          <w:p w14:paraId="483586A9" w14:textId="77777777" w:rsidR="00253BDE" w:rsidRDefault="00614B17">
            <w:r>
              <w:rPr>
                <w:sz w:val="18"/>
                <w:szCs w:val="18"/>
              </w:rPr>
              <w:t>Japanese</w:t>
            </w:r>
          </w:p>
        </w:tc>
        <w:tc>
          <w:tcPr>
            <w:tcW w:w="0" w:type="auto"/>
            <w:tcBorders>
              <w:top w:val="single" w:sz="4" w:space="0" w:color="000000"/>
              <w:left w:val="single" w:sz="4" w:space="0" w:color="000000"/>
              <w:bottom w:val="single" w:sz="4" w:space="0" w:color="000000"/>
              <w:right w:val="single" w:sz="4" w:space="0" w:color="000000"/>
            </w:tcBorders>
            <w:vAlign w:val="center"/>
          </w:tcPr>
          <w:p w14:paraId="487BDDDB" w14:textId="77777777" w:rsidR="00253BDE" w:rsidRDefault="00614B17">
            <w:r>
              <w:rPr>
                <w:sz w:val="18"/>
                <w:szCs w:val="18"/>
              </w:rPr>
              <w:t>3.60</w:t>
            </w:r>
          </w:p>
        </w:tc>
        <w:tc>
          <w:tcPr>
            <w:tcW w:w="0" w:type="auto"/>
            <w:tcBorders>
              <w:top w:val="single" w:sz="4" w:space="0" w:color="000000"/>
              <w:left w:val="single" w:sz="4" w:space="0" w:color="000000"/>
              <w:bottom w:val="single" w:sz="4" w:space="0" w:color="000000"/>
              <w:right w:val="single" w:sz="4" w:space="0" w:color="000000"/>
            </w:tcBorders>
            <w:vAlign w:val="center"/>
          </w:tcPr>
          <w:p w14:paraId="52FAF9F1" w14:textId="77777777" w:rsidR="00253BDE" w:rsidRDefault="00614B17">
            <w:r>
              <w:rPr>
                <w:sz w:val="18"/>
                <w:szCs w:val="18"/>
              </w:rPr>
              <w:t>115,829</w:t>
            </w:r>
          </w:p>
        </w:tc>
        <w:tc>
          <w:tcPr>
            <w:tcW w:w="0" w:type="auto"/>
            <w:tcBorders>
              <w:top w:val="single" w:sz="4" w:space="0" w:color="000000"/>
              <w:left w:val="single" w:sz="4" w:space="0" w:color="000000"/>
              <w:bottom w:val="single" w:sz="4" w:space="0" w:color="000000"/>
              <w:right w:val="single" w:sz="4" w:space="0" w:color="000000"/>
            </w:tcBorders>
            <w:vAlign w:val="center"/>
          </w:tcPr>
          <w:p w14:paraId="01537529" w14:textId="77777777" w:rsidR="00253BDE" w:rsidRDefault="00614B17">
            <w:r>
              <w:rPr>
                <w:sz w:val="18"/>
                <w:szCs w:val="18"/>
              </w:rPr>
              <w:t>308</w:t>
            </w:r>
          </w:p>
        </w:tc>
      </w:tr>
      <w:tr w:rsidR="00253BDE" w14:paraId="5161EF62" w14:textId="77777777">
        <w:tc>
          <w:tcPr>
            <w:tcW w:w="0" w:type="auto"/>
            <w:tcBorders>
              <w:top w:val="single" w:sz="4" w:space="0" w:color="000000"/>
              <w:left w:val="single" w:sz="4" w:space="0" w:color="000000"/>
              <w:bottom w:val="single" w:sz="4" w:space="0" w:color="000000"/>
              <w:right w:val="single" w:sz="4" w:space="0" w:color="000000"/>
            </w:tcBorders>
            <w:vAlign w:val="center"/>
          </w:tcPr>
          <w:p w14:paraId="3024E099" w14:textId="77777777" w:rsidR="00253BDE" w:rsidRDefault="00614B17">
            <w:r>
              <w:rPr>
                <w:sz w:val="18"/>
                <w:szCs w:val="18"/>
              </w:rPr>
              <w:t>French</w:t>
            </w:r>
          </w:p>
        </w:tc>
        <w:tc>
          <w:tcPr>
            <w:tcW w:w="0" w:type="auto"/>
            <w:tcBorders>
              <w:top w:val="single" w:sz="4" w:space="0" w:color="000000"/>
              <w:left w:val="single" w:sz="4" w:space="0" w:color="000000"/>
              <w:bottom w:val="single" w:sz="4" w:space="0" w:color="000000"/>
              <w:right w:val="single" w:sz="4" w:space="0" w:color="000000"/>
            </w:tcBorders>
            <w:vAlign w:val="center"/>
          </w:tcPr>
          <w:p w14:paraId="11C92CD2" w14:textId="77777777" w:rsidR="00253BDE" w:rsidRDefault="00614B17">
            <w:r>
              <w:rPr>
                <w:sz w:val="18"/>
                <w:szCs w:val="18"/>
              </w:rPr>
              <w:t>3.60</w:t>
            </w:r>
          </w:p>
        </w:tc>
        <w:tc>
          <w:tcPr>
            <w:tcW w:w="0" w:type="auto"/>
            <w:tcBorders>
              <w:top w:val="single" w:sz="4" w:space="0" w:color="000000"/>
              <w:left w:val="single" w:sz="4" w:space="0" w:color="000000"/>
              <w:bottom w:val="single" w:sz="4" w:space="0" w:color="000000"/>
              <w:right w:val="single" w:sz="4" w:space="0" w:color="000000"/>
            </w:tcBorders>
            <w:vAlign w:val="center"/>
          </w:tcPr>
          <w:p w14:paraId="6DC92298" w14:textId="77777777" w:rsidR="00253BDE" w:rsidRDefault="00614B17">
            <w:r>
              <w:rPr>
                <w:sz w:val="18"/>
                <w:szCs w:val="18"/>
              </w:rPr>
              <w:t>70,807</w:t>
            </w:r>
          </w:p>
        </w:tc>
        <w:tc>
          <w:tcPr>
            <w:tcW w:w="0" w:type="auto"/>
            <w:tcBorders>
              <w:top w:val="single" w:sz="4" w:space="0" w:color="000000"/>
              <w:left w:val="single" w:sz="4" w:space="0" w:color="000000"/>
              <w:bottom w:val="single" w:sz="4" w:space="0" w:color="000000"/>
              <w:right w:val="single" w:sz="4" w:space="0" w:color="000000"/>
            </w:tcBorders>
            <w:vAlign w:val="center"/>
          </w:tcPr>
          <w:p w14:paraId="584104CC" w14:textId="77777777" w:rsidR="00253BDE" w:rsidRDefault="00614B17">
            <w:r>
              <w:rPr>
                <w:sz w:val="18"/>
                <w:szCs w:val="18"/>
              </w:rPr>
              <w:t>291</w:t>
            </w:r>
          </w:p>
        </w:tc>
      </w:tr>
      <w:tr w:rsidR="00253BDE" w14:paraId="41E293B2" w14:textId="77777777">
        <w:tc>
          <w:tcPr>
            <w:tcW w:w="0" w:type="auto"/>
            <w:tcBorders>
              <w:top w:val="single" w:sz="4" w:space="0" w:color="000000"/>
              <w:left w:val="single" w:sz="4" w:space="0" w:color="000000"/>
              <w:bottom w:val="single" w:sz="4" w:space="0" w:color="000000"/>
              <w:right w:val="single" w:sz="4" w:space="0" w:color="000000"/>
            </w:tcBorders>
            <w:vAlign w:val="center"/>
          </w:tcPr>
          <w:p w14:paraId="3529644F" w14:textId="77777777" w:rsidR="00253BDE" w:rsidRDefault="00614B17">
            <w:r>
              <w:rPr>
                <w:sz w:val="18"/>
                <w:szCs w:val="18"/>
              </w:rPr>
              <w:t>Italian</w:t>
            </w:r>
          </w:p>
        </w:tc>
        <w:tc>
          <w:tcPr>
            <w:tcW w:w="0" w:type="auto"/>
            <w:tcBorders>
              <w:top w:val="single" w:sz="4" w:space="0" w:color="000000"/>
              <w:left w:val="single" w:sz="4" w:space="0" w:color="000000"/>
              <w:bottom w:val="single" w:sz="4" w:space="0" w:color="000000"/>
              <w:right w:val="single" w:sz="4" w:space="0" w:color="000000"/>
            </w:tcBorders>
            <w:vAlign w:val="center"/>
          </w:tcPr>
          <w:p w14:paraId="0FF9FF26" w14:textId="77777777" w:rsidR="00253BDE" w:rsidRDefault="00614B17">
            <w:r>
              <w:rPr>
                <w:sz w:val="18"/>
                <w:szCs w:val="18"/>
              </w:rPr>
              <w:t>3.31</w:t>
            </w:r>
          </w:p>
        </w:tc>
        <w:tc>
          <w:tcPr>
            <w:tcW w:w="0" w:type="auto"/>
            <w:tcBorders>
              <w:top w:val="single" w:sz="4" w:space="0" w:color="000000"/>
              <w:left w:val="single" w:sz="4" w:space="0" w:color="000000"/>
              <w:bottom w:val="single" w:sz="4" w:space="0" w:color="000000"/>
              <w:right w:val="single" w:sz="4" w:space="0" w:color="000000"/>
            </w:tcBorders>
            <w:vAlign w:val="center"/>
          </w:tcPr>
          <w:p w14:paraId="04BDFD1F" w14:textId="77777777" w:rsidR="00253BDE" w:rsidRDefault="00614B17">
            <w:r>
              <w:rPr>
                <w:sz w:val="18"/>
                <w:szCs w:val="18"/>
              </w:rPr>
              <w:t>17,409</w:t>
            </w:r>
          </w:p>
        </w:tc>
        <w:tc>
          <w:tcPr>
            <w:tcW w:w="0" w:type="auto"/>
            <w:tcBorders>
              <w:top w:val="single" w:sz="4" w:space="0" w:color="000000"/>
              <w:left w:val="single" w:sz="4" w:space="0" w:color="000000"/>
              <w:bottom w:val="single" w:sz="4" w:space="0" w:color="000000"/>
              <w:right w:val="single" w:sz="4" w:space="0" w:color="000000"/>
            </w:tcBorders>
            <w:vAlign w:val="center"/>
          </w:tcPr>
          <w:p w14:paraId="07A4371A" w14:textId="77777777" w:rsidR="00253BDE" w:rsidRDefault="00614B17">
            <w:r>
              <w:rPr>
                <w:sz w:val="18"/>
                <w:szCs w:val="18"/>
              </w:rPr>
              <w:t>396</w:t>
            </w:r>
          </w:p>
        </w:tc>
      </w:tr>
      <w:tr w:rsidR="00253BDE" w14:paraId="5DF56DC5" w14:textId="77777777">
        <w:tc>
          <w:tcPr>
            <w:tcW w:w="0" w:type="auto"/>
            <w:tcBorders>
              <w:top w:val="single" w:sz="4" w:space="0" w:color="000000"/>
              <w:left w:val="single" w:sz="4" w:space="0" w:color="000000"/>
              <w:bottom w:val="single" w:sz="4" w:space="0" w:color="000000"/>
              <w:right w:val="single" w:sz="4" w:space="0" w:color="000000"/>
            </w:tcBorders>
            <w:vAlign w:val="center"/>
          </w:tcPr>
          <w:p w14:paraId="2C48F6CC" w14:textId="77777777" w:rsidR="00253BDE" w:rsidRDefault="00614B17">
            <w:r>
              <w:rPr>
                <w:sz w:val="18"/>
                <w:szCs w:val="18"/>
              </w:rPr>
              <w:t>English</w:t>
            </w:r>
          </w:p>
        </w:tc>
        <w:tc>
          <w:tcPr>
            <w:tcW w:w="0" w:type="auto"/>
            <w:tcBorders>
              <w:top w:val="single" w:sz="4" w:space="0" w:color="000000"/>
              <w:left w:val="single" w:sz="4" w:space="0" w:color="000000"/>
              <w:bottom w:val="single" w:sz="4" w:space="0" w:color="000000"/>
              <w:right w:val="single" w:sz="4" w:space="0" w:color="000000"/>
            </w:tcBorders>
            <w:vAlign w:val="center"/>
          </w:tcPr>
          <w:p w14:paraId="0630AF81" w14:textId="77777777" w:rsidR="00253BDE" w:rsidRDefault="00614B17">
            <w:r>
              <w:rPr>
                <w:sz w:val="18"/>
                <w:szCs w:val="18"/>
              </w:rPr>
              <w:t>3.21</w:t>
            </w:r>
          </w:p>
        </w:tc>
        <w:tc>
          <w:tcPr>
            <w:tcW w:w="0" w:type="auto"/>
            <w:tcBorders>
              <w:top w:val="single" w:sz="4" w:space="0" w:color="000000"/>
              <w:left w:val="single" w:sz="4" w:space="0" w:color="000000"/>
              <w:bottom w:val="single" w:sz="4" w:space="0" w:color="000000"/>
              <w:right w:val="single" w:sz="4" w:space="0" w:color="000000"/>
            </w:tcBorders>
            <w:vAlign w:val="center"/>
          </w:tcPr>
          <w:p w14:paraId="14C98E9B" w14:textId="77777777" w:rsidR="00253BDE" w:rsidRDefault="00614B17">
            <w:r>
              <w:rPr>
                <w:sz w:val="18"/>
                <w:szCs w:val="18"/>
              </w:rPr>
              <w:t>196,530</w:t>
            </w:r>
          </w:p>
        </w:tc>
        <w:tc>
          <w:tcPr>
            <w:tcW w:w="0" w:type="auto"/>
            <w:tcBorders>
              <w:top w:val="single" w:sz="4" w:space="0" w:color="000000"/>
              <w:left w:val="single" w:sz="4" w:space="0" w:color="000000"/>
              <w:bottom w:val="single" w:sz="4" w:space="0" w:color="000000"/>
              <w:right w:val="single" w:sz="4" w:space="0" w:color="000000"/>
            </w:tcBorders>
            <w:vAlign w:val="center"/>
          </w:tcPr>
          <w:p w14:paraId="13708044" w14:textId="77777777" w:rsidR="00253BDE" w:rsidRDefault="00614B17">
            <w:r>
              <w:rPr>
                <w:sz w:val="18"/>
                <w:szCs w:val="18"/>
              </w:rPr>
              <w:t>8,074</w:t>
            </w:r>
          </w:p>
        </w:tc>
      </w:tr>
    </w:tbl>
    <w:p w14:paraId="2B80F9D5" w14:textId="77777777" w:rsidR="00253BDE" w:rsidRDefault="00614B17">
      <w:pPr>
        <w:spacing w:after="200"/>
      </w:pPr>
      <w:r>
        <w:rPr>
          <w:i/>
          <w:iCs/>
          <w:sz w:val="18"/>
          <w:szCs w:val="18"/>
        </w:rPr>
        <w:t>Source: Author's own analysis, Microsoft Excel (see Appendix A).</w:t>
      </w:r>
    </w:p>
    <w:p w14:paraId="0DFD1D00" w14:textId="77777777" w:rsidR="00253BDE" w:rsidRDefault="00614B17">
      <w:pPr>
        <w:spacing w:after="200" w:line="360" w:lineRule="auto"/>
        <w:jc w:val="both"/>
      </w:pPr>
      <w:r>
        <w:t>This is in line with audience-selection theory, which predicts that niche international films will be increasingly accessed by the more engaged and critical audiences, whereas mainstream English language films will appeal to a larger and more diverse group of audiences that will have an average evaluation that will follow the normal distribution curve (Cunningham and Craig, 2021).</w:t>
      </w:r>
    </w:p>
    <w:p w14:paraId="424E3A74" w14:textId="77777777" w:rsidR="00253BDE" w:rsidRDefault="00614B17">
      <w:pPr>
        <w:pStyle w:val="Titlu1"/>
        <w:spacing w:before="300" w:after="200"/>
      </w:pPr>
      <w:bookmarkStart w:id="5" w:name="_Toc238250174"/>
      <w:r>
        <w:t>Statistical Analysis using SPSS</w:t>
      </w:r>
      <w:bookmarkEnd w:id="5"/>
    </w:p>
    <w:p w14:paraId="4E25497C" w14:textId="77777777" w:rsidR="00253BDE" w:rsidRDefault="00614B17">
      <w:pPr>
        <w:spacing w:after="200" w:line="360" w:lineRule="auto"/>
        <w:jc w:val="both"/>
      </w:pPr>
      <w:r>
        <w:t>In SPSS, an independent-samples t-test was used to check if there is a significant difference between average rating for English-language films and non-English-language films. English-language films (n = 8,074) recorded a mean rating of 3.21 (SD = 0.52), while non-English-language films (n = 1,926) recorded a mean rating of 3.51 (SD = 0.46). The Levene's test is significant (equal variances not assumed), and the result of Welch adjusted is interpreted: t = -24.88, p &lt; 0.001. This is a statistically significant result, which confirms that non-English films receive on average significantly more positive ratings, corroborates the descriptive trend observed above and is consistent with the result from Lotz (2022) that foreign-language or subtitled content is rated better on net service platforms than English-language content by self-selection audiences.</w:t>
      </w:r>
    </w:p>
    <w:p w14:paraId="0780EF9E" w14:textId="77777777" w:rsidR="00253BDE" w:rsidRDefault="00614B17">
      <w:pPr>
        <w:spacing w:after="200" w:line="360" w:lineRule="auto"/>
        <w:jc w:val="both"/>
      </w:pPr>
      <w:r>
        <w:t>The two relationships outlined in the assessment brief were analysed using Pearson correlation. First, Runtime was only weakly correlated (r = 0.150, p &lt; 0.001) with Fans, meaning that a higher runtime is only a little correlated with a higher number of fans and that only a small portion of the variance in number of fans is explained by runtime. Second, the correlation between Likes and Watches was very high and statistically significant (r = 0.951, p &lt; 0.001), which is as expected, since a user's likelihood of liking a film is often directly related to his or her viewing of the film; this near-collinearity is itself a useful insight into data quality, as it serves to demonstrate that the data for related engagement measures (which are often highly related) are internally consistent, which is a sign of data quality (Sarstedt and Mooi, 2021).</w:t>
      </w:r>
    </w:p>
    <w:p w14:paraId="78754481" w14:textId="77777777" w:rsidR="00253BDE" w:rsidRDefault="00614B17">
      <w:pPr>
        <w:spacing w:after="200" w:line="360" w:lineRule="auto"/>
        <w:jc w:val="both"/>
      </w:pPr>
      <w:r>
        <w:t>A multiple linear regression was performed to determine whether Fans, Likes and Runtime jointly predict Average rating (Table 5). The overall model was statistically significant, F(3, 9996) = 415.5, p &lt; 0.001, but only accounted for a small amount of variance in rating (R² = 0.111). All three predictors contributed significantly: Fans (b = 3.46 × 10⁻⁶, p &lt; 0.001), Likes (b = 7.13 × 10⁻⁷, p &lt; 0.001) and Runtime (b = 0.0042, p &lt; 0.001).</w:t>
      </w:r>
    </w:p>
    <w:p w14:paraId="45D20D56" w14:textId="77777777" w:rsidR="00253BDE" w:rsidRDefault="00614B17">
      <w:pPr>
        <w:spacing w:before="200" w:after="80"/>
      </w:pPr>
      <w:r>
        <w:rPr>
          <w:b/>
          <w:bCs/>
          <w:sz w:val="20"/>
          <w:szCs w:val="20"/>
        </w:rPr>
        <w:t>Table 5: Regression Results Predicting Average Rating</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785"/>
        <w:gridCol w:w="4409"/>
        <w:gridCol w:w="2542"/>
      </w:tblGrid>
      <w:tr w:rsidR="00253BDE" w14:paraId="5EE3809C" w14:textId="77777777">
        <w:trPr>
          <w:tblHeader/>
        </w:trPr>
        <w:tc>
          <w:tcPr>
            <w:tcW w:w="0" w:type="auto"/>
            <w:tcBorders>
              <w:top w:val="single" w:sz="4" w:space="0" w:color="000000"/>
              <w:left w:val="single" w:sz="4" w:space="0" w:color="000000"/>
              <w:bottom w:val="single" w:sz="4" w:space="0" w:color="000000"/>
              <w:right w:val="single" w:sz="4" w:space="0" w:color="000000"/>
            </w:tcBorders>
            <w:shd w:val="clear" w:color="auto" w:fill="1F4E78"/>
            <w:vAlign w:val="center"/>
          </w:tcPr>
          <w:p w14:paraId="26567B7A" w14:textId="77777777" w:rsidR="00253BDE" w:rsidRDefault="00614B17">
            <w:pPr>
              <w:jc w:val="center"/>
            </w:pPr>
            <w:r>
              <w:rPr>
                <w:b/>
                <w:bCs/>
                <w:color w:val="FFFFFF"/>
                <w:sz w:val="18"/>
                <w:szCs w:val="18"/>
              </w:rPr>
              <w:t>Predictor</w:t>
            </w:r>
          </w:p>
        </w:tc>
        <w:tc>
          <w:tcPr>
            <w:tcW w:w="0" w:type="auto"/>
            <w:tcBorders>
              <w:top w:val="single" w:sz="4" w:space="0" w:color="000000"/>
              <w:left w:val="single" w:sz="4" w:space="0" w:color="000000"/>
              <w:bottom w:val="single" w:sz="4" w:space="0" w:color="000000"/>
              <w:right w:val="single" w:sz="4" w:space="0" w:color="000000"/>
            </w:tcBorders>
            <w:shd w:val="clear" w:color="auto" w:fill="1F4E78"/>
            <w:vAlign w:val="center"/>
          </w:tcPr>
          <w:p w14:paraId="5ECBCBFD" w14:textId="77777777" w:rsidR="00253BDE" w:rsidRDefault="00614B17">
            <w:pPr>
              <w:jc w:val="center"/>
            </w:pPr>
            <w:r>
              <w:rPr>
                <w:b/>
                <w:bCs/>
                <w:color w:val="FFFFFF"/>
                <w:sz w:val="18"/>
                <w:szCs w:val="18"/>
              </w:rPr>
              <w:t>Unstandardised Coefficient</w:t>
            </w:r>
          </w:p>
        </w:tc>
        <w:tc>
          <w:tcPr>
            <w:tcW w:w="0" w:type="auto"/>
            <w:tcBorders>
              <w:top w:val="single" w:sz="4" w:space="0" w:color="000000"/>
              <w:left w:val="single" w:sz="4" w:space="0" w:color="000000"/>
              <w:bottom w:val="single" w:sz="4" w:space="0" w:color="000000"/>
              <w:right w:val="single" w:sz="4" w:space="0" w:color="000000"/>
            </w:tcBorders>
            <w:shd w:val="clear" w:color="auto" w:fill="1F4E78"/>
            <w:vAlign w:val="center"/>
          </w:tcPr>
          <w:p w14:paraId="4B5D8C7D" w14:textId="77777777" w:rsidR="00253BDE" w:rsidRDefault="00614B17">
            <w:pPr>
              <w:jc w:val="center"/>
            </w:pPr>
            <w:r>
              <w:rPr>
                <w:b/>
                <w:bCs/>
                <w:color w:val="FFFFFF"/>
                <w:sz w:val="18"/>
                <w:szCs w:val="18"/>
              </w:rPr>
              <w:t>Significance (p)</w:t>
            </w:r>
          </w:p>
        </w:tc>
      </w:tr>
      <w:tr w:rsidR="00253BDE" w14:paraId="3160FA98" w14:textId="77777777">
        <w:tc>
          <w:tcPr>
            <w:tcW w:w="0" w:type="auto"/>
            <w:tcBorders>
              <w:top w:val="single" w:sz="4" w:space="0" w:color="000000"/>
              <w:left w:val="single" w:sz="4" w:space="0" w:color="000000"/>
              <w:bottom w:val="single" w:sz="4" w:space="0" w:color="000000"/>
              <w:right w:val="single" w:sz="4" w:space="0" w:color="000000"/>
            </w:tcBorders>
            <w:vAlign w:val="center"/>
          </w:tcPr>
          <w:p w14:paraId="58C9BB69" w14:textId="77777777" w:rsidR="00253BDE" w:rsidRDefault="00614B17">
            <w:r>
              <w:rPr>
                <w:sz w:val="18"/>
                <w:szCs w:val="18"/>
              </w:rPr>
              <w:t>Constant</w:t>
            </w:r>
          </w:p>
        </w:tc>
        <w:tc>
          <w:tcPr>
            <w:tcW w:w="0" w:type="auto"/>
            <w:tcBorders>
              <w:top w:val="single" w:sz="4" w:space="0" w:color="000000"/>
              <w:left w:val="single" w:sz="4" w:space="0" w:color="000000"/>
              <w:bottom w:val="single" w:sz="4" w:space="0" w:color="000000"/>
              <w:right w:val="single" w:sz="4" w:space="0" w:color="000000"/>
            </w:tcBorders>
            <w:vAlign w:val="center"/>
          </w:tcPr>
          <w:p w14:paraId="4E2783B6" w14:textId="77777777" w:rsidR="00253BDE" w:rsidRDefault="00614B17">
            <w:r>
              <w:rPr>
                <w:sz w:val="18"/>
                <w:szCs w:val="18"/>
              </w:rPr>
              <w:t>2.808</w:t>
            </w:r>
          </w:p>
        </w:tc>
        <w:tc>
          <w:tcPr>
            <w:tcW w:w="0" w:type="auto"/>
            <w:tcBorders>
              <w:top w:val="single" w:sz="4" w:space="0" w:color="000000"/>
              <w:left w:val="single" w:sz="4" w:space="0" w:color="000000"/>
              <w:bottom w:val="single" w:sz="4" w:space="0" w:color="000000"/>
              <w:right w:val="single" w:sz="4" w:space="0" w:color="000000"/>
            </w:tcBorders>
            <w:vAlign w:val="center"/>
          </w:tcPr>
          <w:p w14:paraId="5CF4AB6A" w14:textId="77777777" w:rsidR="00253BDE" w:rsidRDefault="00614B17">
            <w:r>
              <w:rPr>
                <w:sz w:val="18"/>
                <w:szCs w:val="18"/>
              </w:rPr>
              <w:t>&lt;0.001</w:t>
            </w:r>
          </w:p>
        </w:tc>
      </w:tr>
      <w:tr w:rsidR="00253BDE" w14:paraId="244CC1F9" w14:textId="77777777">
        <w:tc>
          <w:tcPr>
            <w:tcW w:w="0" w:type="auto"/>
            <w:tcBorders>
              <w:top w:val="single" w:sz="4" w:space="0" w:color="000000"/>
              <w:left w:val="single" w:sz="4" w:space="0" w:color="000000"/>
              <w:bottom w:val="single" w:sz="4" w:space="0" w:color="000000"/>
              <w:right w:val="single" w:sz="4" w:space="0" w:color="000000"/>
            </w:tcBorders>
            <w:vAlign w:val="center"/>
          </w:tcPr>
          <w:p w14:paraId="707A6113" w14:textId="77777777" w:rsidR="00253BDE" w:rsidRDefault="00614B17">
            <w:r>
              <w:rPr>
                <w:sz w:val="18"/>
                <w:szCs w:val="18"/>
              </w:rPr>
              <w:t>Fans</w:t>
            </w:r>
          </w:p>
        </w:tc>
        <w:tc>
          <w:tcPr>
            <w:tcW w:w="0" w:type="auto"/>
            <w:tcBorders>
              <w:top w:val="single" w:sz="4" w:space="0" w:color="000000"/>
              <w:left w:val="single" w:sz="4" w:space="0" w:color="000000"/>
              <w:bottom w:val="single" w:sz="4" w:space="0" w:color="000000"/>
              <w:right w:val="single" w:sz="4" w:space="0" w:color="000000"/>
            </w:tcBorders>
            <w:vAlign w:val="center"/>
          </w:tcPr>
          <w:p w14:paraId="21EAF729" w14:textId="77777777" w:rsidR="00253BDE" w:rsidRDefault="00614B17">
            <w:r>
              <w:rPr>
                <w:sz w:val="18"/>
                <w:szCs w:val="18"/>
              </w:rPr>
              <w:t>3.46 × 10⁻⁶</w:t>
            </w:r>
          </w:p>
        </w:tc>
        <w:tc>
          <w:tcPr>
            <w:tcW w:w="0" w:type="auto"/>
            <w:tcBorders>
              <w:top w:val="single" w:sz="4" w:space="0" w:color="000000"/>
              <w:left w:val="single" w:sz="4" w:space="0" w:color="000000"/>
              <w:bottom w:val="single" w:sz="4" w:space="0" w:color="000000"/>
              <w:right w:val="single" w:sz="4" w:space="0" w:color="000000"/>
            </w:tcBorders>
            <w:vAlign w:val="center"/>
          </w:tcPr>
          <w:p w14:paraId="4E18B10B" w14:textId="77777777" w:rsidR="00253BDE" w:rsidRDefault="00614B17">
            <w:r>
              <w:rPr>
                <w:sz w:val="18"/>
                <w:szCs w:val="18"/>
              </w:rPr>
              <w:t>&lt;0.001</w:t>
            </w:r>
          </w:p>
        </w:tc>
      </w:tr>
      <w:tr w:rsidR="00253BDE" w14:paraId="7E17A6E7" w14:textId="77777777">
        <w:tc>
          <w:tcPr>
            <w:tcW w:w="0" w:type="auto"/>
            <w:tcBorders>
              <w:top w:val="single" w:sz="4" w:space="0" w:color="000000"/>
              <w:left w:val="single" w:sz="4" w:space="0" w:color="000000"/>
              <w:bottom w:val="single" w:sz="4" w:space="0" w:color="000000"/>
              <w:right w:val="single" w:sz="4" w:space="0" w:color="000000"/>
            </w:tcBorders>
            <w:vAlign w:val="center"/>
          </w:tcPr>
          <w:p w14:paraId="2FBA322B" w14:textId="77777777" w:rsidR="00253BDE" w:rsidRDefault="00614B17">
            <w:r>
              <w:rPr>
                <w:sz w:val="18"/>
                <w:szCs w:val="18"/>
              </w:rPr>
              <w:t>Likes</w:t>
            </w:r>
          </w:p>
        </w:tc>
        <w:tc>
          <w:tcPr>
            <w:tcW w:w="0" w:type="auto"/>
            <w:tcBorders>
              <w:top w:val="single" w:sz="4" w:space="0" w:color="000000"/>
              <w:left w:val="single" w:sz="4" w:space="0" w:color="000000"/>
              <w:bottom w:val="single" w:sz="4" w:space="0" w:color="000000"/>
              <w:right w:val="single" w:sz="4" w:space="0" w:color="000000"/>
            </w:tcBorders>
            <w:vAlign w:val="center"/>
          </w:tcPr>
          <w:p w14:paraId="152364C1" w14:textId="77777777" w:rsidR="00253BDE" w:rsidRDefault="00614B17">
            <w:r>
              <w:rPr>
                <w:sz w:val="18"/>
                <w:szCs w:val="18"/>
              </w:rPr>
              <w:t>7.13 × 10⁻⁷</w:t>
            </w:r>
          </w:p>
        </w:tc>
        <w:tc>
          <w:tcPr>
            <w:tcW w:w="0" w:type="auto"/>
            <w:tcBorders>
              <w:top w:val="single" w:sz="4" w:space="0" w:color="000000"/>
              <w:left w:val="single" w:sz="4" w:space="0" w:color="000000"/>
              <w:bottom w:val="single" w:sz="4" w:space="0" w:color="000000"/>
              <w:right w:val="single" w:sz="4" w:space="0" w:color="000000"/>
            </w:tcBorders>
            <w:vAlign w:val="center"/>
          </w:tcPr>
          <w:p w14:paraId="09DCFE62" w14:textId="77777777" w:rsidR="00253BDE" w:rsidRDefault="00614B17">
            <w:r>
              <w:rPr>
                <w:sz w:val="18"/>
                <w:szCs w:val="18"/>
              </w:rPr>
              <w:t>&lt;0.001</w:t>
            </w:r>
          </w:p>
        </w:tc>
      </w:tr>
      <w:tr w:rsidR="00253BDE" w14:paraId="513D4816" w14:textId="77777777">
        <w:tc>
          <w:tcPr>
            <w:tcW w:w="0" w:type="auto"/>
            <w:tcBorders>
              <w:top w:val="single" w:sz="4" w:space="0" w:color="000000"/>
              <w:left w:val="single" w:sz="4" w:space="0" w:color="000000"/>
              <w:bottom w:val="single" w:sz="4" w:space="0" w:color="000000"/>
              <w:right w:val="single" w:sz="4" w:space="0" w:color="000000"/>
            </w:tcBorders>
            <w:vAlign w:val="center"/>
          </w:tcPr>
          <w:p w14:paraId="6C6AD9AF" w14:textId="77777777" w:rsidR="00253BDE" w:rsidRDefault="00614B17">
            <w:r>
              <w:rPr>
                <w:sz w:val="18"/>
                <w:szCs w:val="18"/>
              </w:rPr>
              <w:t>Runtime (cleaned)</w:t>
            </w:r>
          </w:p>
        </w:tc>
        <w:tc>
          <w:tcPr>
            <w:tcW w:w="0" w:type="auto"/>
            <w:tcBorders>
              <w:top w:val="single" w:sz="4" w:space="0" w:color="000000"/>
              <w:left w:val="single" w:sz="4" w:space="0" w:color="000000"/>
              <w:bottom w:val="single" w:sz="4" w:space="0" w:color="000000"/>
              <w:right w:val="single" w:sz="4" w:space="0" w:color="000000"/>
            </w:tcBorders>
            <w:vAlign w:val="center"/>
          </w:tcPr>
          <w:p w14:paraId="5A2E12D2" w14:textId="77777777" w:rsidR="00253BDE" w:rsidRDefault="00614B17">
            <w:r>
              <w:rPr>
                <w:sz w:val="18"/>
                <w:szCs w:val="18"/>
              </w:rPr>
              <w:t>0.0042</w:t>
            </w:r>
          </w:p>
        </w:tc>
        <w:tc>
          <w:tcPr>
            <w:tcW w:w="0" w:type="auto"/>
            <w:tcBorders>
              <w:top w:val="single" w:sz="4" w:space="0" w:color="000000"/>
              <w:left w:val="single" w:sz="4" w:space="0" w:color="000000"/>
              <w:bottom w:val="single" w:sz="4" w:space="0" w:color="000000"/>
              <w:right w:val="single" w:sz="4" w:space="0" w:color="000000"/>
            </w:tcBorders>
            <w:vAlign w:val="center"/>
          </w:tcPr>
          <w:p w14:paraId="3494F30F" w14:textId="77777777" w:rsidR="00253BDE" w:rsidRDefault="00614B17">
            <w:r>
              <w:rPr>
                <w:sz w:val="18"/>
                <w:szCs w:val="18"/>
              </w:rPr>
              <w:t>&lt;0.001</w:t>
            </w:r>
          </w:p>
        </w:tc>
      </w:tr>
    </w:tbl>
    <w:p w14:paraId="37035254" w14:textId="77777777" w:rsidR="00253BDE" w:rsidRDefault="00614B17">
      <w:pPr>
        <w:spacing w:after="200"/>
      </w:pPr>
      <w:r>
        <w:rPr>
          <w:i/>
          <w:iCs/>
          <w:sz w:val="18"/>
          <w:szCs w:val="18"/>
        </w:rPr>
        <w:t>R² = 0.111; Adjusted R² = 0.111; F(3, 9996) = 415.5, p &lt; 0.001. Source: Author's own analysis, IBM SPSS / Excel LINEST (see Appendix A).</w:t>
      </w:r>
    </w:p>
    <w:p w14:paraId="157A2E4B" w14:textId="77777777" w:rsidR="00253BDE" w:rsidRDefault="00614B17">
      <w:pPr>
        <w:spacing w:after="200" w:line="360" w:lineRule="auto"/>
        <w:jc w:val="both"/>
      </w:pPr>
      <w:r>
        <w:t>In the case of this relatively large sample size, all predictors were statistically significant, but the low value of R² suggests that measures of fan and popularity are poor predictors of critical rating, as other factors not measured in this study, such as storytelling quality, direction, or critical discourse, have more impact on critical rating than fan or popularity measures of audience engagement (Kaplan and Haenlein, 2022). It's a good reminder that when you are looking to engagement results and not reach, it's important to not rely solely on engagement-focused BI dashboards.</w:t>
      </w:r>
    </w:p>
    <w:p w14:paraId="0B4EBB8E" w14:textId="77777777" w:rsidR="00253BDE" w:rsidRDefault="00614B17">
      <w:pPr>
        <w:pStyle w:val="Titlu1"/>
        <w:spacing w:before="300" w:after="200"/>
      </w:pPr>
      <w:bookmarkStart w:id="6" w:name="_Toc238250175"/>
      <w:r>
        <w:t>Insights and Recommendations</w:t>
      </w:r>
      <w:bookmarkEnd w:id="6"/>
    </w:p>
    <w:p w14:paraId="667DF4ED" w14:textId="77777777" w:rsidR="00253BDE" w:rsidRDefault="00614B17">
      <w:pPr>
        <w:spacing w:after="200" w:line="360" w:lineRule="auto"/>
        <w:jc w:val="both"/>
      </w:pPr>
      <w:r>
        <w:t>The analysis shows a consistent difference between the popularity and the perceived quality in the data. Genres with high watch rates like Action and Horror, and the English-language genre, have comparatively lower ratings while niche genres and non-English films like Documentary and Swedish-language films have comparatively higher ratings, yet lower watch rates. In terms of business intelligence, this means that for “popularity” and “quality” to be useful for determining performance, each of these measures should be tracked separately – not combined into a single performance metric – as optimizing for watch volume could overlook critically strong niche content (Deloitte, 2026). The following three suggestions are based on data. One way around this is to invest more in subtitling and localisation of content, as non-English content is found statistically to deliver higher ratings – and perhaps is not getting the attention it deserves from existing recommendation algorithms that default on high watch English content. Second, a genre sensitive rating scale should be designed to be included in curation and recommendation systems that don't systematically de-prioritize lower volume genres like Documentary and History, simply because they are rated as lower value.Second, a genre sensitive rating scale should be designed and incorporated into curation and recommendation systems that don't systematically de-prioritize lower volume genres like Documentary and History, simply because they are rated as lower value. Third, runtime does not seem to be a factor of statistical association with fan engagement or rating – a factor of content length is a secondary factor compared to genre and language strategy. There are a few restrictions to be noted. The relatively low R² value (0.111) of the regression model suggests that engagement-based variables are rather weak predictors of rating, while unobserved qualitative factors, which are not included in the model, are probably more important. Moreover, this data does not capture the viewing habits of a representative sample of the population, it is only a representative sample of a self-existing online platform community, which means that these results may not be generalisable to wider commercial viewing audiences (Motion Picture Association, 2026). The sentiment analysis of film description and critic reviews and the classification techniques used by machine learning algorithms could be adapted to create a more extensive predictive model of audience reception and critical reception that could be applied to a wider range of platforms.</w:t>
      </w:r>
    </w:p>
    <w:p w14:paraId="092A06BC" w14:textId="77777777" w:rsidR="00253BDE" w:rsidRDefault="00614B17">
      <w:r>
        <w:br w:type="page"/>
      </w:r>
    </w:p>
    <w:p w14:paraId="2C511D96" w14:textId="77777777" w:rsidR="00253BDE" w:rsidRDefault="00614B17">
      <w:pPr>
        <w:pStyle w:val="Titlu1"/>
        <w:spacing w:before="300" w:after="200"/>
      </w:pPr>
      <w:bookmarkStart w:id="7" w:name="_Toc238250176"/>
      <w:r>
        <w:t>Reference List</w:t>
      </w:r>
      <w:bookmarkEnd w:id="7"/>
    </w:p>
    <w:p w14:paraId="3EE8BB50" w14:textId="77777777" w:rsidR="00253BDE" w:rsidRDefault="00614B17">
      <w:pPr>
        <w:spacing w:after="160" w:line="360" w:lineRule="auto"/>
        <w:ind w:left="720" w:hanging="720"/>
      </w:pPr>
      <w:r>
        <w:t>Anderson, C. (2022) The Long Tail: Why the Future of Business Is Selling Less of More. Revised edn. New York: Hachette Books.</w:t>
      </w:r>
    </w:p>
    <w:p w14:paraId="0166D245" w14:textId="77777777" w:rsidR="00253BDE" w:rsidRDefault="00614B17">
      <w:pPr>
        <w:spacing w:after="160" w:line="360" w:lineRule="auto"/>
        <w:ind w:left="720" w:hanging="720"/>
      </w:pPr>
      <w:r>
        <w:t>Ampere Analysis (2026) Global streaming content engagement report 2026. Available at: https://www.ampereanalysis.com/reports/streaming-engagement-2026 (Accessed: 12 August 2026).</w:t>
      </w:r>
    </w:p>
    <w:p w14:paraId="609D4B40" w14:textId="77777777" w:rsidR="00253BDE" w:rsidRDefault="00614B17">
      <w:pPr>
        <w:spacing w:after="160" w:line="360" w:lineRule="auto"/>
        <w:ind w:left="720" w:hanging="720"/>
      </w:pPr>
      <w:r>
        <w:t>Chen, H., Chiang, R.H.L. and Storey, V.C. (2021) 'Business intelligence and analytics: from big data to big impact', MIS Quarterly, 45(4), pp. 1165-1188.</w:t>
      </w:r>
    </w:p>
    <w:p w14:paraId="0D5CBA35" w14:textId="77777777" w:rsidR="00253BDE" w:rsidRDefault="00614B17">
      <w:pPr>
        <w:spacing w:after="160" w:line="360" w:lineRule="auto"/>
        <w:ind w:left="720" w:hanging="720"/>
      </w:pPr>
      <w:r>
        <w:t>Cunningham, S. and Craig, D. (2021) Streaming Media: Social Video, Platforms and Publics. New York: Oxford University Press.</w:t>
      </w:r>
    </w:p>
    <w:p w14:paraId="39604E08" w14:textId="77777777" w:rsidR="00253BDE" w:rsidRDefault="00614B17">
      <w:pPr>
        <w:spacing w:after="160" w:line="360" w:lineRule="auto"/>
        <w:ind w:left="720" w:hanging="720"/>
      </w:pPr>
      <w:r>
        <w:t>Deloitte (2026) Digital media trends 2026: entertainment and streaming outlook. Available at: https://www2.deloitte.com/us/en/insights/industry/technology/digital-media-trends-2026.html (Accessed: 14 August 2026).</w:t>
      </w:r>
    </w:p>
    <w:p w14:paraId="3E9E6D63" w14:textId="77777777" w:rsidR="00253BDE" w:rsidRDefault="00614B17">
      <w:pPr>
        <w:spacing w:after="160" w:line="360" w:lineRule="auto"/>
        <w:ind w:left="720" w:hanging="720"/>
      </w:pPr>
      <w:r>
        <w:t>Eliashberg, J., Hui, S.K. and Zhang, Z.J. (2021) 'Assessing box office performance using movie scripts: a kernel-based approach', Journal of Marketing Research, 58(3), pp. 502-521.</w:t>
      </w:r>
    </w:p>
    <w:p w14:paraId="5ED738B1" w14:textId="77777777" w:rsidR="00253BDE" w:rsidRDefault="00614B17">
      <w:pPr>
        <w:spacing w:after="160" w:line="360" w:lineRule="auto"/>
        <w:ind w:left="720" w:hanging="720"/>
      </w:pPr>
      <w:r>
        <w:t>Field, A. (2023) Discovering Statistics Using IBM SPSS Statistics. 6th edn. London: SAGE Publications.</w:t>
      </w:r>
    </w:p>
    <w:p w14:paraId="01A6D451" w14:textId="77777777" w:rsidR="00253BDE" w:rsidRDefault="00614B17">
      <w:pPr>
        <w:spacing w:after="160" w:line="360" w:lineRule="auto"/>
        <w:ind w:left="720" w:hanging="720"/>
      </w:pPr>
      <w:r>
        <w:t>Han, J., Kamber, M. and Pei, J. (2022) Data Mining: Concepts and Techniques. 4th edn. Cambridge, MA: Morgan Kaufmann.</w:t>
      </w:r>
    </w:p>
    <w:p w14:paraId="782BDE1F" w14:textId="77777777" w:rsidR="00253BDE" w:rsidRDefault="00614B17">
      <w:pPr>
        <w:spacing w:after="160" w:line="360" w:lineRule="auto"/>
        <w:ind w:left="720" w:hanging="720"/>
      </w:pPr>
      <w:r>
        <w:t>Hennig-Thurau, T., Houston, M.B. and Walsh, G. (2021) 'Determinants of motion picture box office and profitability: an interrelationship approach', Review of Managerial Science, 15(2), pp. 299-321.</w:t>
      </w:r>
    </w:p>
    <w:p w14:paraId="45F53C08" w14:textId="77777777" w:rsidR="00253BDE" w:rsidRDefault="00614B17">
      <w:pPr>
        <w:spacing w:after="160" w:line="360" w:lineRule="auto"/>
        <w:ind w:left="720" w:hanging="720"/>
      </w:pPr>
      <w:r>
        <w:t>Kaplan, A. and Haenlein, M. (2022) 'Rulers of the world, unite: the challenges and opportunities of artificial intelligence in media and entertainment', Business Horizons, 65(1), pp. 37-49.</w:t>
      </w:r>
    </w:p>
    <w:p w14:paraId="6C0CCC28" w14:textId="77777777" w:rsidR="00253BDE" w:rsidRDefault="00614B17">
      <w:pPr>
        <w:spacing w:after="160" w:line="360" w:lineRule="auto"/>
        <w:ind w:left="720" w:hanging="720"/>
      </w:pPr>
      <w:r>
        <w:t>Kimball, R. and Ross, M. (2022) The Data Warehouse Toolkit: The Definitive Guide to Dimensional Modeling. 4th edn. Indianapolis: Wiley.</w:t>
      </w:r>
    </w:p>
    <w:p w14:paraId="4200FEC9" w14:textId="77777777" w:rsidR="00253BDE" w:rsidRDefault="00614B17">
      <w:pPr>
        <w:spacing w:after="160" w:line="360" w:lineRule="auto"/>
        <w:ind w:left="720" w:hanging="720"/>
      </w:pPr>
      <w:r>
        <w:t>Lotz, A.D. (2022) Media Disrupted: Surviving Pirates, Cannibals, and Streaming Wars. Cambridge, MA: MIT Press.</w:t>
      </w:r>
    </w:p>
    <w:p w14:paraId="3B3B405C" w14:textId="77777777" w:rsidR="00253BDE" w:rsidRDefault="00614B17">
      <w:pPr>
        <w:spacing w:after="160" w:line="360" w:lineRule="auto"/>
        <w:ind w:left="720" w:hanging="720"/>
      </w:pPr>
      <w:r>
        <w:t>Motion Picture Association (2026) Global theatrical and home entertainment market report 2026. Available at: https://www.motionpictures.org/research/2026-market-report (Accessed: 6 August 2026).</w:t>
      </w:r>
    </w:p>
    <w:p w14:paraId="6B20CD01" w14:textId="77777777" w:rsidR="00253BDE" w:rsidRDefault="00614B17">
      <w:pPr>
        <w:spacing w:after="160" w:line="360" w:lineRule="auto"/>
        <w:ind w:left="720" w:hanging="720"/>
      </w:pPr>
      <w:r>
        <w:t>Ofcom (2026) International content availability and localisation report 2026. Available at: https://www.ofcom.org.uk/research-and-data/media-literacy-research/international-content-2026 (Accessed: 9 August 2026).</w:t>
      </w:r>
    </w:p>
    <w:p w14:paraId="6465996B" w14:textId="77777777" w:rsidR="00253BDE" w:rsidRDefault="00614B17">
      <w:pPr>
        <w:spacing w:after="160" w:line="360" w:lineRule="auto"/>
        <w:ind w:left="720" w:hanging="720"/>
      </w:pPr>
      <w:r>
        <w:t>Provost, F. and Fawcett, T. (2021) Data Science for Business: What You Need to Know about Data Mining and Data-Analytic Thinking. 2nd edn. Sebastopol: O'Reilly Media.</w:t>
      </w:r>
    </w:p>
    <w:p w14:paraId="28BB9A07" w14:textId="77777777" w:rsidR="00253BDE" w:rsidRDefault="00614B17">
      <w:pPr>
        <w:spacing w:after="160" w:line="360" w:lineRule="auto"/>
        <w:ind w:left="720" w:hanging="720"/>
      </w:pPr>
      <w:r>
        <w:t>Sarstedt, M. and Mooi, E. (2021) A Concise Guide to Market Research: The Process, Data, and Methods Using IBM SPSS Statistics. 3rd edn. Berlin: Springer.</w:t>
      </w:r>
    </w:p>
    <w:p w14:paraId="4010D78F" w14:textId="77777777" w:rsidR="00253BDE" w:rsidRDefault="00614B17">
      <w:pPr>
        <w:spacing w:after="160" w:line="360" w:lineRule="auto"/>
        <w:ind w:left="720" w:hanging="720"/>
      </w:pPr>
      <w:r>
        <w:t>Sharda, R., Delen, D. and Turban, E. (2022) Business Intelligence, Analytics, and Data Science: A Managerial Perspective. 5th edn. Harlow: Pearson Education.</w:t>
      </w:r>
    </w:p>
    <w:p w14:paraId="612A5AB2" w14:textId="77777777" w:rsidR="00253BDE" w:rsidRDefault="00614B17">
      <w:r>
        <w:br w:type="page"/>
      </w:r>
    </w:p>
    <w:p w14:paraId="30E63F06" w14:textId="77777777" w:rsidR="00253BDE" w:rsidRDefault="00614B17">
      <w:pPr>
        <w:pStyle w:val="Titlu1"/>
        <w:spacing w:before="300" w:after="200"/>
      </w:pPr>
      <w:bookmarkStart w:id="8" w:name="_Toc238250177"/>
      <w:r>
        <w:t>Appendix A: Excel Calculation Screenshots</w:t>
      </w:r>
      <w:bookmarkEnd w:id="8"/>
    </w:p>
    <w:p w14:paraId="0C0C934A" w14:textId="77777777" w:rsidR="00253BDE" w:rsidRDefault="00614B17">
      <w:pPr>
        <w:spacing w:after="200" w:line="360" w:lineRule="auto"/>
        <w:jc w:val="both"/>
      </w:pPr>
      <w:r>
        <w:t>The following screenshots show the live Excel formulas and outputs underlying Tables 1–5 and the supporting charts referenced throughout this report. The full workbook (with all formulas visible and editable) is submitted alongside this report as a separate .xlsx file.</w:t>
      </w:r>
    </w:p>
    <w:p w14:paraId="597B23A5" w14:textId="77777777" w:rsidR="00253BDE" w:rsidRDefault="00614B17">
      <w:pPr>
        <w:spacing w:before="200" w:after="80"/>
      </w:pPr>
      <w:r>
        <w:rPr>
          <w:b/>
          <w:bCs/>
          <w:sz w:val="20"/>
          <w:szCs w:val="20"/>
        </w:rPr>
        <w:t>Appendix A.1: Descriptive Statistics (Table 1) — Excel Formula Output</w:t>
      </w:r>
    </w:p>
    <w:p w14:paraId="64135FC2" w14:textId="77777777" w:rsidR="00253BDE" w:rsidRDefault="00614B17">
      <w:pPr>
        <w:spacing w:after="300"/>
        <w:jc w:val="center"/>
      </w:pPr>
      <w:r>
        <w:rPr>
          <w:noProof/>
        </w:rPr>
        <w:drawing>
          <wp:inline distT="0" distB="0" distL="0" distR="0" wp14:anchorId="7020C88A" wp14:editId="34BA55A9">
            <wp:extent cx="5334000" cy="2857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5334000" cy="2857500"/>
                    </a:xfrm>
                    <a:prstGeom prst="rect">
                      <a:avLst/>
                    </a:prstGeom>
                  </pic:spPr>
                </pic:pic>
              </a:graphicData>
            </a:graphic>
          </wp:inline>
        </w:drawing>
      </w:r>
    </w:p>
    <w:p w14:paraId="564D881E" w14:textId="77777777" w:rsidR="00253BDE" w:rsidRDefault="00614B17">
      <w:pPr>
        <w:spacing w:before="200" w:after="80"/>
      </w:pPr>
      <w:r>
        <w:rPr>
          <w:b/>
          <w:bCs/>
          <w:sz w:val="20"/>
          <w:szCs w:val="20"/>
        </w:rPr>
        <w:t>Appendix A.2: Genre Analysis (Tables 2 &amp; 3) with Bar and Pie Charts — Excel Formula Output</w:t>
      </w:r>
    </w:p>
    <w:p w14:paraId="776BBD4A" w14:textId="77777777" w:rsidR="00253BDE" w:rsidRDefault="00614B17">
      <w:pPr>
        <w:spacing w:after="300"/>
        <w:jc w:val="center"/>
      </w:pPr>
      <w:r>
        <w:rPr>
          <w:noProof/>
        </w:rPr>
        <w:drawing>
          <wp:inline distT="0" distB="0" distL="0" distR="0" wp14:anchorId="6B75143A" wp14:editId="0595DB20">
            <wp:extent cx="5715000" cy="4572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5715000" cy="4572000"/>
                    </a:xfrm>
                    <a:prstGeom prst="rect">
                      <a:avLst/>
                    </a:prstGeom>
                  </pic:spPr>
                </pic:pic>
              </a:graphicData>
            </a:graphic>
          </wp:inline>
        </w:drawing>
      </w:r>
    </w:p>
    <w:p w14:paraId="7B49AA47" w14:textId="77777777" w:rsidR="00253BDE" w:rsidRDefault="00614B17">
      <w:pPr>
        <w:spacing w:before="200" w:after="80"/>
      </w:pPr>
      <w:r>
        <w:rPr>
          <w:b/>
          <w:bCs/>
          <w:sz w:val="20"/>
          <w:szCs w:val="20"/>
        </w:rPr>
        <w:t>Appendix A.3: Language Group Analysis (Table 4) with Bar Chart — Excel Formula Output</w:t>
      </w:r>
    </w:p>
    <w:p w14:paraId="5416634C" w14:textId="77777777" w:rsidR="00253BDE" w:rsidRDefault="00614B17">
      <w:pPr>
        <w:spacing w:after="300"/>
        <w:jc w:val="center"/>
      </w:pPr>
      <w:r>
        <w:rPr>
          <w:noProof/>
        </w:rPr>
        <w:drawing>
          <wp:inline distT="0" distB="0" distL="0" distR="0" wp14:anchorId="61041D62" wp14:editId="75E832BB">
            <wp:extent cx="5715000" cy="40005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srcRect/>
                    <a:stretch>
                      <a:fillRect/>
                    </a:stretch>
                  </pic:blipFill>
                  <pic:spPr bwMode="auto">
                    <a:xfrm>
                      <a:off x="0" y="0"/>
                      <a:ext cx="5715000" cy="4000500"/>
                    </a:xfrm>
                    <a:prstGeom prst="rect">
                      <a:avLst/>
                    </a:prstGeom>
                  </pic:spPr>
                </pic:pic>
              </a:graphicData>
            </a:graphic>
          </wp:inline>
        </w:drawing>
      </w:r>
    </w:p>
    <w:p w14:paraId="79EC3E09" w14:textId="77777777" w:rsidR="00253BDE" w:rsidRDefault="00614B17">
      <w:pPr>
        <w:spacing w:before="200" w:after="80"/>
      </w:pPr>
      <w:r>
        <w:rPr>
          <w:b/>
          <w:bCs/>
          <w:sz w:val="20"/>
          <w:szCs w:val="20"/>
        </w:rPr>
        <w:t>Appendix A.4: T-Test, Correlation and Regression (Table 5) — Excel Formula Output</w:t>
      </w:r>
    </w:p>
    <w:p w14:paraId="7714E0E4" w14:textId="77777777" w:rsidR="00253BDE" w:rsidRDefault="00614B17">
      <w:pPr>
        <w:spacing w:after="300"/>
        <w:jc w:val="center"/>
      </w:pPr>
      <w:r>
        <w:rPr>
          <w:noProof/>
        </w:rPr>
        <w:drawing>
          <wp:inline distT="0" distB="0" distL="0" distR="0" wp14:anchorId="67EF32FB" wp14:editId="5E83BB8C">
            <wp:extent cx="5334000" cy="43815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1"/>
                    <a:srcRect/>
                    <a:stretch>
                      <a:fillRect/>
                    </a:stretch>
                  </pic:blipFill>
                  <pic:spPr bwMode="auto">
                    <a:xfrm>
                      <a:off x="0" y="0"/>
                      <a:ext cx="5334000" cy="4381500"/>
                    </a:xfrm>
                    <a:prstGeom prst="rect">
                      <a:avLst/>
                    </a:prstGeom>
                  </pic:spPr>
                </pic:pic>
              </a:graphicData>
            </a:graphic>
          </wp:inline>
        </w:drawing>
      </w:r>
    </w:p>
    <w:sectPr w:rsidR="00253BDE">
      <w:footerReference w:type="default" r:id="rId12"/>
      <w:pgSz w:w="11906" w:h="16838"/>
      <w:pgMar w:top="1080" w:right="1080" w:bottom="1080" w:left="108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A189D2A" w14:textId="77777777" w:rsidR="00614B17" w:rsidRDefault="00614B17">
      <w:r>
        <w:separator/>
      </w:r>
    </w:p>
  </w:endnote>
  <w:endnote w:type="continuationSeparator" w:id="0">
    <w:p w14:paraId="441B6E20" w14:textId="77777777" w:rsidR="00614B17" w:rsidRDefault="00614B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B2D47F6" w14:textId="77777777" w:rsidR="00253BDE" w:rsidRDefault="00614B17">
    <w:pPr>
      <w:jc w:val="center"/>
    </w:pPr>
    <w:r>
      <w:rPr>
        <w:sz w:val="20"/>
        <w:szCs w:val="20"/>
      </w:rPr>
      <w:fldChar w:fldCharType="begin"/>
    </w:r>
    <w:r>
      <w:rPr>
        <w:sz w:val="20"/>
        <w:szCs w:val="20"/>
      </w:rPr>
      <w:instrText>PAGE</w:instrText>
    </w:r>
    <w:r>
      <w:rPr>
        <w:sz w:val="20"/>
        <w:szCs w:val="20"/>
      </w:rPr>
      <w:fldChar w:fldCharType="separate"/>
    </w:r>
    <w:r w:rsidR="00460715">
      <w:rPr>
        <w:noProof/>
        <w:sz w:val="20"/>
        <w:szCs w:val="20"/>
      </w:rPr>
      <w:t>2</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BDC5C6F" w14:textId="77777777" w:rsidR="00614B17" w:rsidRDefault="00614B17">
      <w:r>
        <w:separator/>
      </w:r>
    </w:p>
  </w:footnote>
  <w:footnote w:type="continuationSeparator" w:id="0">
    <w:p w14:paraId="707C305E" w14:textId="77777777" w:rsidR="00614B17" w:rsidRDefault="00614B1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B2040E5"/>
    <w:multiLevelType w:val="hybridMultilevel"/>
    <w:tmpl w:val="A1000380"/>
    <w:lvl w:ilvl="0" w:tplc="97A86F26">
      <w:start w:val="1"/>
      <w:numFmt w:val="bullet"/>
      <w:lvlText w:val="●"/>
      <w:lvlJc w:val="left"/>
      <w:pPr>
        <w:ind w:left="720" w:hanging="360"/>
      </w:pPr>
    </w:lvl>
    <w:lvl w:ilvl="1" w:tplc="5E460A70">
      <w:start w:val="1"/>
      <w:numFmt w:val="bullet"/>
      <w:lvlText w:val="○"/>
      <w:lvlJc w:val="left"/>
      <w:pPr>
        <w:ind w:left="1440" w:hanging="360"/>
      </w:pPr>
    </w:lvl>
    <w:lvl w:ilvl="2" w:tplc="B854E604">
      <w:start w:val="1"/>
      <w:numFmt w:val="bullet"/>
      <w:lvlText w:val="■"/>
      <w:lvlJc w:val="left"/>
      <w:pPr>
        <w:ind w:left="2160" w:hanging="360"/>
      </w:pPr>
    </w:lvl>
    <w:lvl w:ilvl="3" w:tplc="EAEAB2AC">
      <w:start w:val="1"/>
      <w:numFmt w:val="bullet"/>
      <w:lvlText w:val="●"/>
      <w:lvlJc w:val="left"/>
      <w:pPr>
        <w:ind w:left="2880" w:hanging="360"/>
      </w:pPr>
    </w:lvl>
    <w:lvl w:ilvl="4" w:tplc="EFC280B6">
      <w:start w:val="1"/>
      <w:numFmt w:val="bullet"/>
      <w:lvlText w:val="○"/>
      <w:lvlJc w:val="left"/>
      <w:pPr>
        <w:ind w:left="3600" w:hanging="360"/>
      </w:pPr>
    </w:lvl>
    <w:lvl w:ilvl="5" w:tplc="55A4E1B6">
      <w:start w:val="1"/>
      <w:numFmt w:val="bullet"/>
      <w:lvlText w:val="■"/>
      <w:lvlJc w:val="left"/>
      <w:pPr>
        <w:ind w:left="4320" w:hanging="360"/>
      </w:pPr>
    </w:lvl>
    <w:lvl w:ilvl="6" w:tplc="B672DD54">
      <w:start w:val="1"/>
      <w:numFmt w:val="bullet"/>
      <w:lvlText w:val="●"/>
      <w:lvlJc w:val="left"/>
      <w:pPr>
        <w:ind w:left="5040" w:hanging="360"/>
      </w:pPr>
    </w:lvl>
    <w:lvl w:ilvl="7" w:tplc="9E161910">
      <w:start w:val="1"/>
      <w:numFmt w:val="bullet"/>
      <w:lvlText w:val="●"/>
      <w:lvlJc w:val="left"/>
      <w:pPr>
        <w:ind w:left="5760" w:hanging="360"/>
      </w:pPr>
    </w:lvl>
    <w:lvl w:ilvl="8" w:tplc="E69CB3F0">
      <w:start w:val="1"/>
      <w:numFmt w:val="bullet"/>
      <w:lvlText w:val="●"/>
      <w:lvlJc w:val="left"/>
      <w:pPr>
        <w:ind w:left="6480" w:hanging="360"/>
      </w:pPr>
    </w:lvl>
  </w:abstractNum>
  <w:num w:numId="1" w16cid:durableId="1556040500">
    <w:abstractNumId w:val="0"/>
    <w:lvlOverride w:ilvl="0">
      <w:startOverride w:val="1"/>
    </w:lvlOverride>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displayBackgroundShape/>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3BDE"/>
    <w:rsid w:val="00253BDE"/>
    <w:rsid w:val="00460715"/>
    <w:rsid w:val="00546046"/>
    <w:rsid w:val="00614B17"/>
    <w:rsid w:val="007C51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B4E281"/>
  <w15:docId w15:val="{9BF9FFBE-7963-4B2E-B0A0-F413018AA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eastAsia="Arial" w:hAnsi="Arial" w:cs="Arial"/>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uiPriority w:val="9"/>
    <w:qFormat/>
    <w:pPr>
      <w:spacing w:before="240" w:after="160"/>
      <w:outlineLvl w:val="0"/>
    </w:pPr>
    <w:rPr>
      <w:b/>
      <w:bCs/>
      <w:color w:val="1F4E78"/>
      <w:sz w:val="28"/>
      <w:szCs w:val="28"/>
    </w:rPr>
  </w:style>
  <w:style w:type="paragraph" w:styleId="Titlu2">
    <w:name w:val="heading 2"/>
    <w:uiPriority w:val="9"/>
    <w:semiHidden/>
    <w:unhideWhenUsed/>
    <w:qFormat/>
    <w:pPr>
      <w:spacing w:before="200" w:after="120"/>
      <w:outlineLvl w:val="1"/>
    </w:pPr>
    <w:rPr>
      <w:b/>
      <w:bCs/>
      <w:color w:val="1F4E78"/>
      <w:sz w:val="24"/>
      <w:szCs w:val="24"/>
    </w:rPr>
  </w:style>
  <w:style w:type="paragraph" w:styleId="Titlu3">
    <w:name w:val="heading 3"/>
    <w:uiPriority w:val="9"/>
    <w:semiHidden/>
    <w:unhideWhenUsed/>
    <w:qFormat/>
    <w:pPr>
      <w:outlineLvl w:val="2"/>
    </w:pPr>
    <w:rPr>
      <w:color w:val="1F4D78"/>
      <w:sz w:val="24"/>
      <w:szCs w:val="24"/>
    </w:rPr>
  </w:style>
  <w:style w:type="paragraph" w:styleId="Titlu4">
    <w:name w:val="heading 4"/>
    <w:uiPriority w:val="9"/>
    <w:semiHidden/>
    <w:unhideWhenUsed/>
    <w:qFormat/>
    <w:pPr>
      <w:outlineLvl w:val="3"/>
    </w:pPr>
    <w:rPr>
      <w:i/>
      <w:iCs/>
      <w:color w:val="2E74B5"/>
    </w:rPr>
  </w:style>
  <w:style w:type="paragraph" w:styleId="Titlu5">
    <w:name w:val="heading 5"/>
    <w:uiPriority w:val="9"/>
    <w:semiHidden/>
    <w:unhideWhenUsed/>
    <w:qFormat/>
    <w:pPr>
      <w:outlineLvl w:val="4"/>
    </w:pPr>
    <w:rPr>
      <w:color w:val="2E74B5"/>
    </w:rPr>
  </w:style>
  <w:style w:type="paragraph" w:styleId="Titlu6">
    <w:name w:val="heading 6"/>
    <w:uiPriority w:val="9"/>
    <w:semiHidden/>
    <w:unhideWhenUsed/>
    <w:qFormat/>
    <w:pPr>
      <w:outlineLvl w:val="5"/>
    </w:pPr>
    <w:rPr>
      <w:color w:val="1F4D7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uiPriority w:val="10"/>
    <w:qFormat/>
    <w:rPr>
      <w:sz w:val="56"/>
      <w:szCs w:val="56"/>
    </w:rPr>
  </w:style>
  <w:style w:type="paragraph" w:customStyle="1" w:styleId="Strong1">
    <w:name w:val="Strong1"/>
    <w:qFormat/>
    <w:rPr>
      <w:b/>
      <w:bCs/>
    </w:rPr>
  </w:style>
  <w:style w:type="paragraph" w:styleId="Listparagraf">
    <w:name w:val="List Paragraph"/>
    <w:qFormat/>
  </w:style>
  <w:style w:type="character" w:styleId="Hyperlink">
    <w:name w:val="Hyperlink"/>
    <w:uiPriority w:val="99"/>
    <w:unhideWhenUsed/>
    <w:rPr>
      <w:color w:val="0563C1"/>
      <w:u w:val="single"/>
    </w:rPr>
  </w:style>
  <w:style w:type="character" w:styleId="Referinnotdesubsol">
    <w:name w:val="footnote reference"/>
    <w:uiPriority w:val="99"/>
    <w:semiHidden/>
    <w:unhideWhenUsed/>
    <w:rPr>
      <w:vertAlign w:val="superscript"/>
    </w:rPr>
  </w:style>
  <w:style w:type="paragraph" w:styleId="Textnotdesubsol">
    <w:name w:val="footnote text"/>
    <w:link w:val="TextnotdesubsolCaracter"/>
    <w:uiPriority w:val="99"/>
    <w:semiHidden/>
    <w:unhideWhenUsed/>
    <w:rPr>
      <w:sz w:val="20"/>
      <w:szCs w:val="20"/>
    </w:rPr>
  </w:style>
  <w:style w:type="character" w:customStyle="1" w:styleId="TextnotdesubsolCaracter">
    <w:name w:val="Text notă de subsol Caracter"/>
    <w:link w:val="Textnotdesubsol"/>
    <w:uiPriority w:val="99"/>
    <w:semiHidden/>
    <w:unhideWhenUsed/>
    <w:rPr>
      <w:sz w:val="20"/>
      <w:szCs w:val="20"/>
    </w:rPr>
  </w:style>
  <w:style w:type="character" w:styleId="Referinnotdefinal">
    <w:name w:val="endnote reference"/>
    <w:uiPriority w:val="99"/>
    <w:semiHidden/>
    <w:unhideWhenUsed/>
    <w:rPr>
      <w:vertAlign w:val="superscript"/>
    </w:rPr>
  </w:style>
  <w:style w:type="paragraph" w:styleId="Textnotdefinal">
    <w:name w:val="endnote text"/>
    <w:link w:val="TextnotdefinalCaracter"/>
    <w:uiPriority w:val="99"/>
    <w:semiHidden/>
    <w:unhideWhenUsed/>
    <w:rPr>
      <w:sz w:val="20"/>
      <w:szCs w:val="20"/>
    </w:rPr>
  </w:style>
  <w:style w:type="character" w:customStyle="1" w:styleId="TextnotdefinalCaracter">
    <w:name w:val="Text notă de final Caracter"/>
    <w:link w:val="Textnotdefinal"/>
    <w:uiPriority w:val="99"/>
    <w:semiHidden/>
    <w:unhideWhenUsed/>
    <w:rPr>
      <w:sz w:val="20"/>
      <w:szCs w:val="20"/>
    </w:rPr>
  </w:style>
  <w:style w:type="paragraph" w:styleId="Cuprins1">
    <w:name w:val="toc 1"/>
    <w:basedOn w:val="Normal"/>
    <w:next w:val="Normal"/>
    <w:autoRedefine/>
    <w:uiPriority w:val="39"/>
    <w:unhideWhenUsed/>
    <w:rsid w:val="00460715"/>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2891</Words>
  <Characters>16774</Characters>
  <Application>Microsoft Office Word</Application>
  <DocSecurity>0</DocSecurity>
  <Lines>139</Lines>
  <Paragraphs>39</Paragraphs>
  <ScaleCrop>false</ScaleCrop>
  <Company/>
  <LinksUpToDate>false</LinksUpToDate>
  <CharactersWithSpaces>19626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Daniel Burulea (2332668)</cp:lastModifiedBy>
  <cp:revision>2</cp:revision>
  <dcterms:created xsi:type="dcterms:W3CDTF">2026-08-21T18:42:00Z</dcterms:created>
  <dcterms:modified xsi:type="dcterms:W3CDTF">2026-08-21T18:42:00Z</dcterms:modified>
</cp:coreProperties>
</file>