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013D6" w14:textId="77777777" w:rsidR="00B56A83" w:rsidRPr="0057013C" w:rsidRDefault="00B56A83">
      <w:pPr>
        <w:pStyle w:val="Normal1"/>
        <w:spacing w:line="480" w:lineRule="auto"/>
        <w:jc w:val="center"/>
        <w:rPr>
          <w:rFonts w:ascii="Times New Roman" w:eastAsia="Times New Roman" w:hAnsi="Times New Roman" w:cs="Times New Roman"/>
          <w:sz w:val="24"/>
          <w:szCs w:val="24"/>
          <w:lang w:val="en-GB"/>
        </w:rPr>
      </w:pPr>
    </w:p>
    <w:p w14:paraId="3C75D09D" w14:textId="1E8C9341" w:rsidR="00B56A83" w:rsidRDefault="00B842BD">
      <w:pPr>
        <w:pStyle w:val="Normal1"/>
        <w:spacing w:line="480" w:lineRule="auto"/>
        <w:jc w:val="center"/>
        <w:rPr>
          <w:rFonts w:ascii="Times New Roman" w:eastAsia="Times New Roman" w:hAnsi="Times New Roman" w:cs="Times New Roman"/>
          <w:b/>
          <w:bCs/>
          <w:sz w:val="36"/>
          <w:szCs w:val="36"/>
          <w:lang w:val="en-GB"/>
        </w:rPr>
      </w:pPr>
      <w:r>
        <w:rPr>
          <w:rFonts w:ascii="Times New Roman" w:eastAsia="Times New Roman" w:hAnsi="Times New Roman" w:cs="Times New Roman"/>
          <w:b/>
          <w:bCs/>
          <w:sz w:val="36"/>
          <w:szCs w:val="36"/>
          <w:lang w:val="en-GB"/>
        </w:rPr>
        <w:t>Management Economics</w:t>
      </w:r>
    </w:p>
    <w:p w14:paraId="3B05E375" w14:textId="3C438618" w:rsidR="00B842BD" w:rsidRDefault="00B842BD">
      <w:pPr>
        <w:pStyle w:val="Normal1"/>
        <w:spacing w:line="480" w:lineRule="auto"/>
        <w:jc w:val="center"/>
        <w:rPr>
          <w:rFonts w:ascii="Times New Roman" w:eastAsia="Times New Roman" w:hAnsi="Times New Roman" w:cs="Times New Roman"/>
          <w:b/>
          <w:bCs/>
          <w:sz w:val="36"/>
          <w:szCs w:val="36"/>
          <w:lang w:val="en-GB"/>
        </w:rPr>
      </w:pPr>
      <w:r>
        <w:rPr>
          <w:rFonts w:ascii="Times New Roman" w:eastAsia="Times New Roman" w:hAnsi="Times New Roman" w:cs="Times New Roman"/>
          <w:b/>
          <w:bCs/>
          <w:sz w:val="36"/>
          <w:szCs w:val="36"/>
          <w:lang w:val="en-GB"/>
        </w:rPr>
        <w:t>Course code:</w:t>
      </w:r>
      <w:r w:rsidR="00481480">
        <w:rPr>
          <w:rFonts w:ascii="Times New Roman" w:eastAsia="Times New Roman" w:hAnsi="Times New Roman" w:cs="Times New Roman"/>
          <w:b/>
          <w:bCs/>
          <w:sz w:val="36"/>
          <w:szCs w:val="36"/>
          <w:lang w:val="en-GB"/>
        </w:rPr>
        <w:t>L</w:t>
      </w:r>
      <w:r w:rsidR="003E206D">
        <w:rPr>
          <w:rFonts w:ascii="Times New Roman" w:eastAsia="Times New Roman" w:hAnsi="Times New Roman" w:cs="Times New Roman"/>
          <w:b/>
          <w:bCs/>
          <w:sz w:val="36"/>
          <w:szCs w:val="36"/>
          <w:lang w:val="en-GB"/>
        </w:rPr>
        <w:t>CBB</w:t>
      </w:r>
      <w:r w:rsidR="002058A2">
        <w:rPr>
          <w:rFonts w:ascii="Times New Roman" w:eastAsia="Times New Roman" w:hAnsi="Times New Roman" w:cs="Times New Roman"/>
          <w:b/>
          <w:bCs/>
          <w:sz w:val="36"/>
          <w:szCs w:val="36"/>
          <w:lang w:val="en-GB"/>
        </w:rPr>
        <w:t>5008</w:t>
      </w:r>
    </w:p>
    <w:p w14:paraId="6BB4DDAD" w14:textId="724DC0B8" w:rsidR="00B842BD" w:rsidRDefault="00B842BD">
      <w:pPr>
        <w:pStyle w:val="Normal1"/>
        <w:spacing w:line="480" w:lineRule="auto"/>
        <w:jc w:val="center"/>
        <w:rPr>
          <w:rFonts w:ascii="Times New Roman" w:eastAsia="Times New Roman" w:hAnsi="Times New Roman" w:cs="Times New Roman"/>
          <w:b/>
          <w:bCs/>
          <w:sz w:val="36"/>
          <w:szCs w:val="36"/>
          <w:lang w:val="en-GB"/>
        </w:rPr>
      </w:pPr>
      <w:r>
        <w:rPr>
          <w:rFonts w:ascii="Times New Roman" w:eastAsia="Times New Roman" w:hAnsi="Times New Roman" w:cs="Times New Roman"/>
          <w:b/>
          <w:bCs/>
          <w:sz w:val="36"/>
          <w:szCs w:val="36"/>
          <w:lang w:val="en-GB"/>
        </w:rPr>
        <w:t>Student name:Petronela Hurmuzache</w:t>
      </w:r>
    </w:p>
    <w:p w14:paraId="12574487" w14:textId="033A40C9" w:rsidR="00CE7ABA" w:rsidRDefault="00CE7ABA">
      <w:pPr>
        <w:pStyle w:val="Normal1"/>
        <w:spacing w:line="480" w:lineRule="auto"/>
        <w:jc w:val="center"/>
        <w:rPr>
          <w:rFonts w:ascii="Times New Roman" w:eastAsia="Times New Roman" w:hAnsi="Times New Roman" w:cs="Times New Roman"/>
          <w:b/>
          <w:bCs/>
          <w:sz w:val="36"/>
          <w:szCs w:val="36"/>
          <w:lang w:val="en-GB"/>
        </w:rPr>
      </w:pPr>
      <w:r>
        <w:rPr>
          <w:rFonts w:ascii="Times New Roman" w:eastAsia="Times New Roman" w:hAnsi="Times New Roman" w:cs="Times New Roman"/>
          <w:b/>
          <w:bCs/>
          <w:sz w:val="36"/>
          <w:szCs w:val="36"/>
          <w:lang w:val="en-GB"/>
        </w:rPr>
        <w:t>Student id:2114679</w:t>
      </w:r>
    </w:p>
    <w:p w14:paraId="61FCE10A" w14:textId="2ECC6BAC" w:rsidR="00B842BD" w:rsidRPr="00B842BD" w:rsidRDefault="00CE7ABA">
      <w:pPr>
        <w:pStyle w:val="Normal1"/>
        <w:spacing w:line="480" w:lineRule="auto"/>
        <w:jc w:val="center"/>
        <w:rPr>
          <w:rFonts w:ascii="Times New Roman" w:eastAsia="Times New Roman" w:hAnsi="Times New Roman" w:cs="Times New Roman"/>
          <w:b/>
          <w:bCs/>
          <w:sz w:val="36"/>
          <w:szCs w:val="36"/>
          <w:lang w:val="en-GB"/>
        </w:rPr>
      </w:pPr>
      <w:r>
        <w:rPr>
          <w:rFonts w:ascii="Times New Roman" w:eastAsia="Times New Roman" w:hAnsi="Times New Roman" w:cs="Times New Roman"/>
          <w:b/>
          <w:bCs/>
          <w:sz w:val="36"/>
          <w:szCs w:val="36"/>
          <w:lang w:val="en-GB"/>
        </w:rPr>
        <w:t>Lecturer name:</w:t>
      </w:r>
      <w:r w:rsidR="00DE45BD">
        <w:rPr>
          <w:rFonts w:ascii="Times New Roman" w:eastAsia="Times New Roman" w:hAnsi="Times New Roman" w:cs="Times New Roman"/>
          <w:b/>
          <w:bCs/>
          <w:sz w:val="36"/>
          <w:szCs w:val="36"/>
          <w:lang w:val="en-GB"/>
        </w:rPr>
        <w:t>Taye</w:t>
      </w:r>
      <w:r w:rsidR="00C5788A">
        <w:rPr>
          <w:rFonts w:ascii="Times New Roman" w:eastAsia="Times New Roman" w:hAnsi="Times New Roman" w:cs="Times New Roman"/>
          <w:b/>
          <w:bCs/>
          <w:sz w:val="36"/>
          <w:szCs w:val="36"/>
          <w:lang w:val="en-GB"/>
        </w:rPr>
        <w:t xml:space="preserve"> </w:t>
      </w:r>
      <w:r w:rsidR="002E6287">
        <w:rPr>
          <w:rFonts w:ascii="Times New Roman" w:eastAsia="Times New Roman" w:hAnsi="Times New Roman" w:cs="Times New Roman"/>
          <w:b/>
          <w:bCs/>
          <w:sz w:val="36"/>
          <w:szCs w:val="36"/>
          <w:lang w:val="en-GB"/>
        </w:rPr>
        <w:t>Tymoth</w:t>
      </w:r>
      <w:r w:rsidR="004D72B7">
        <w:rPr>
          <w:rFonts w:ascii="Times New Roman" w:eastAsia="Times New Roman" w:hAnsi="Times New Roman" w:cs="Times New Roman"/>
          <w:b/>
          <w:bCs/>
          <w:sz w:val="36"/>
          <w:szCs w:val="36"/>
          <w:lang w:val="en-GB"/>
        </w:rPr>
        <w:t>y</w:t>
      </w:r>
      <w:r w:rsidR="00C5788A">
        <w:rPr>
          <w:rFonts w:ascii="Times New Roman" w:eastAsia="Times New Roman" w:hAnsi="Times New Roman" w:cs="Times New Roman"/>
          <w:b/>
          <w:bCs/>
          <w:sz w:val="36"/>
          <w:szCs w:val="36"/>
          <w:lang w:val="en-GB"/>
        </w:rPr>
        <w:t xml:space="preserve"> </w:t>
      </w:r>
      <w:r w:rsidR="004D72B7">
        <w:rPr>
          <w:rFonts w:ascii="Times New Roman" w:eastAsia="Times New Roman" w:hAnsi="Times New Roman" w:cs="Times New Roman"/>
          <w:b/>
          <w:bCs/>
          <w:sz w:val="36"/>
          <w:szCs w:val="36"/>
          <w:lang w:val="en-GB"/>
        </w:rPr>
        <w:t>Osadi</w:t>
      </w:r>
      <w:r w:rsidR="00C4117E">
        <w:rPr>
          <w:rFonts w:ascii="Times New Roman" w:eastAsia="Times New Roman" w:hAnsi="Times New Roman" w:cs="Times New Roman"/>
          <w:b/>
          <w:bCs/>
          <w:sz w:val="36"/>
          <w:szCs w:val="36"/>
          <w:lang w:val="en-GB"/>
        </w:rPr>
        <w:t>y</w:t>
      </w:r>
      <w:r w:rsidR="004D72B7">
        <w:rPr>
          <w:rFonts w:ascii="Times New Roman" w:eastAsia="Times New Roman" w:hAnsi="Times New Roman" w:cs="Times New Roman"/>
          <w:b/>
          <w:bCs/>
          <w:sz w:val="36"/>
          <w:szCs w:val="36"/>
          <w:lang w:val="en-GB"/>
        </w:rPr>
        <w:t>a</w:t>
      </w:r>
    </w:p>
    <w:p w14:paraId="0ED0FB38" w14:textId="77777777" w:rsidR="00B56A83" w:rsidRPr="0057013C" w:rsidRDefault="00B56A83">
      <w:pPr>
        <w:pStyle w:val="Normal1"/>
        <w:spacing w:line="480" w:lineRule="auto"/>
        <w:jc w:val="center"/>
        <w:rPr>
          <w:rFonts w:ascii="Times New Roman" w:eastAsia="Times New Roman" w:hAnsi="Times New Roman" w:cs="Times New Roman"/>
          <w:sz w:val="24"/>
          <w:szCs w:val="24"/>
          <w:lang w:val="en-GB"/>
        </w:rPr>
      </w:pPr>
    </w:p>
    <w:p w14:paraId="02424134" w14:textId="77777777" w:rsidR="00B56A83" w:rsidRPr="0057013C" w:rsidRDefault="00B56A83">
      <w:pPr>
        <w:pStyle w:val="Normal1"/>
        <w:spacing w:line="480" w:lineRule="auto"/>
        <w:jc w:val="center"/>
        <w:rPr>
          <w:rFonts w:ascii="Times New Roman" w:eastAsia="Times New Roman" w:hAnsi="Times New Roman" w:cs="Times New Roman"/>
          <w:sz w:val="24"/>
          <w:szCs w:val="24"/>
          <w:lang w:val="en-GB"/>
        </w:rPr>
      </w:pPr>
    </w:p>
    <w:p w14:paraId="42CC21A9" w14:textId="77777777" w:rsidR="00B56A83" w:rsidRPr="0057013C" w:rsidRDefault="00B56A83">
      <w:pPr>
        <w:pStyle w:val="Normal1"/>
        <w:spacing w:line="480" w:lineRule="auto"/>
        <w:jc w:val="center"/>
        <w:rPr>
          <w:rFonts w:ascii="Times New Roman" w:eastAsia="Times New Roman" w:hAnsi="Times New Roman" w:cs="Times New Roman"/>
          <w:sz w:val="24"/>
          <w:szCs w:val="24"/>
          <w:lang w:val="en-GB"/>
        </w:rPr>
      </w:pPr>
    </w:p>
    <w:p w14:paraId="2C342BF6" w14:textId="77777777" w:rsidR="00B56A83" w:rsidRPr="0057013C" w:rsidRDefault="00B56A83">
      <w:pPr>
        <w:pStyle w:val="Normal1"/>
        <w:spacing w:line="480" w:lineRule="auto"/>
        <w:jc w:val="center"/>
        <w:rPr>
          <w:rFonts w:ascii="Times New Roman" w:eastAsia="Times New Roman" w:hAnsi="Times New Roman" w:cs="Times New Roman"/>
          <w:sz w:val="24"/>
          <w:szCs w:val="24"/>
          <w:lang w:val="en-GB"/>
        </w:rPr>
      </w:pPr>
    </w:p>
    <w:p w14:paraId="6887457F" w14:textId="77777777" w:rsidR="00B56A83" w:rsidRPr="0057013C" w:rsidRDefault="00B56A83">
      <w:pPr>
        <w:pStyle w:val="Normal1"/>
        <w:spacing w:line="480" w:lineRule="auto"/>
        <w:jc w:val="center"/>
        <w:rPr>
          <w:rFonts w:ascii="Times New Roman" w:eastAsia="Times New Roman" w:hAnsi="Times New Roman" w:cs="Times New Roman"/>
          <w:sz w:val="24"/>
          <w:szCs w:val="24"/>
          <w:lang w:val="en-GB"/>
        </w:rPr>
      </w:pPr>
    </w:p>
    <w:p w14:paraId="2881FDC4" w14:textId="77777777" w:rsidR="00B56A83" w:rsidRPr="0057013C" w:rsidRDefault="00B56A83">
      <w:pPr>
        <w:pStyle w:val="Normal1"/>
        <w:spacing w:line="480" w:lineRule="auto"/>
        <w:jc w:val="center"/>
        <w:rPr>
          <w:rFonts w:ascii="Times New Roman" w:eastAsia="Times New Roman" w:hAnsi="Times New Roman" w:cs="Times New Roman"/>
          <w:sz w:val="24"/>
          <w:szCs w:val="24"/>
          <w:lang w:val="en-GB"/>
        </w:rPr>
      </w:pPr>
    </w:p>
    <w:p w14:paraId="1DF11FDF" w14:textId="77777777" w:rsidR="00B56A83" w:rsidRPr="0057013C" w:rsidRDefault="00C07395">
      <w:pPr>
        <w:pStyle w:val="Normal1"/>
        <w:spacing w:line="480" w:lineRule="auto"/>
        <w:jc w:val="center"/>
        <w:rPr>
          <w:rFonts w:ascii="Times New Roman" w:eastAsia="Times New Roman" w:hAnsi="Times New Roman" w:cs="Times New Roman"/>
          <w:sz w:val="24"/>
          <w:szCs w:val="24"/>
          <w:lang w:val="en-GB"/>
        </w:rPr>
      </w:pPr>
      <w:r w:rsidRPr="0057013C">
        <w:rPr>
          <w:rFonts w:ascii="Times New Roman" w:eastAsia="Times New Roman" w:hAnsi="Times New Roman" w:cs="Times New Roman"/>
          <w:b/>
          <w:sz w:val="54"/>
          <w:szCs w:val="54"/>
          <w:lang w:val="en-GB"/>
        </w:rPr>
        <w:t>Management Economics</w:t>
      </w:r>
      <w:r w:rsidRPr="0057013C">
        <w:rPr>
          <w:lang w:val="en-GB"/>
        </w:rPr>
        <w:br w:type="page"/>
      </w:r>
    </w:p>
    <w:p w14:paraId="4660756B" w14:textId="77777777" w:rsidR="00B14473" w:rsidRPr="00BE23A2" w:rsidRDefault="00B14473" w:rsidP="00BE23A2">
      <w:pPr>
        <w:rPr>
          <w:b/>
          <w:bCs/>
          <w:u w:val="single"/>
          <w:lang w:val="en-GB"/>
        </w:rPr>
      </w:pPr>
      <w:r w:rsidRPr="00BE23A2">
        <w:rPr>
          <w:b/>
          <w:bCs/>
          <w:u w:val="single"/>
          <w:lang w:val="en-GB"/>
        </w:rPr>
        <w:lastRenderedPageBreak/>
        <w:t>Fundamental economic problems and solutions by following the law of supply and demand</w:t>
      </w:r>
    </w:p>
    <w:p w14:paraId="7D8567AE" w14:textId="77777777" w:rsidR="00C15871" w:rsidRPr="00BE23A2" w:rsidRDefault="00C15871" w:rsidP="00B14473">
      <w:pPr>
        <w:rPr>
          <w:rFonts w:cs="Times New Roman"/>
          <w:szCs w:val="24"/>
          <w:lang w:val="en-GB" w:eastAsia="en-IN"/>
        </w:rPr>
      </w:pPr>
      <w:r w:rsidRPr="00BE23A2">
        <w:rPr>
          <w:lang w:val="en-GB" w:eastAsia="en-IN"/>
        </w:rPr>
        <w:t xml:space="preserve">The global impact of COVID-19 has severely affected various industries in the market. There are several companies and organizations in the world which have suffered from this pandemic situation. This pandemic situation has also disrupted supply chain management, a major development in economics and a shortage in the market. In the UK, there have been some uneven changes in economic development during the time of COVID-19 as per the Fed Global Supply Chain barometer. The UK has suffered from fuel supply in the time of Brexit and COVID-19 and some areas have experienced a drop of 20% in fuel availability during these crises. This essay will discuss fundamental economic problems and will suggest various ways through which these problems can be resolved. The relevance of demand and supply chain will be illuminated in this essay and the differentiation between elasticity and inelasticity of demand in the context of price changes in the cost of fuel will be illustrated. This assignment will elaborate on the laws of demand and supply. </w:t>
      </w:r>
    </w:p>
    <w:p w14:paraId="01E767F0" w14:textId="2F6BC6E8" w:rsidR="00B56A83" w:rsidRPr="00BE23A2" w:rsidRDefault="00C07395" w:rsidP="00B14473">
      <w:pPr>
        <w:rPr>
          <w:lang w:val="en-GB"/>
        </w:rPr>
      </w:pPr>
      <w:r w:rsidRPr="00BE23A2">
        <w:rPr>
          <w:lang w:val="en-GB"/>
        </w:rPr>
        <w:t>During the Covid-19 era, Brexit and changes in consumer behaviors have created an array of fundamental economic issues that have drastically altered the global business landscape.</w:t>
      </w:r>
      <w:r w:rsidRPr="00BE23A2">
        <w:rPr>
          <w:highlight w:val="white"/>
          <w:lang w:val="en-GB"/>
        </w:rPr>
        <w:t xml:space="preserve"> </w:t>
      </w:r>
      <w:r w:rsidRPr="00BE23A2">
        <w:rPr>
          <w:lang w:val="en-GB"/>
        </w:rPr>
        <w:t>The stringent Covid-19 laws have disrupted traditional trade practices making the operations very complex.</w:t>
      </w:r>
      <w:r w:rsidRPr="00BE23A2">
        <w:rPr>
          <w:highlight w:val="white"/>
          <w:lang w:val="en-GB"/>
        </w:rPr>
        <w:t xml:space="preserve"> </w:t>
      </w:r>
      <w:r w:rsidRPr="00BE23A2">
        <w:rPr>
          <w:lang w:val="en-GB"/>
        </w:rPr>
        <w:t>Supply scarcity of goods, coupled with a lack of drivers, have been exacerbating scarcity and price variations, especially in light of the increased demand.</w:t>
      </w:r>
      <w:r w:rsidRPr="00BE23A2">
        <w:rPr>
          <w:highlight w:val="white"/>
          <w:lang w:val="en-GB"/>
        </w:rPr>
        <w:t xml:space="preserve"> </w:t>
      </w:r>
      <w:r w:rsidRPr="00BE23A2">
        <w:rPr>
          <w:lang w:val="en-GB"/>
        </w:rPr>
        <w:t>However, the uncertainties of Brexit have added to the problem, affecting demand and destabilizing supply chain infrastructure.</w:t>
      </w:r>
      <w:r w:rsidRPr="00BE23A2">
        <w:rPr>
          <w:highlight w:val="white"/>
          <w:lang w:val="en-GB"/>
        </w:rPr>
        <w:t xml:space="preserve"> </w:t>
      </w:r>
      <w:r w:rsidRPr="00BE23A2">
        <w:rPr>
          <w:lang w:val="en-GB"/>
        </w:rPr>
        <w:t>Economically, this environment is characterized by precarious demands from consumers against overstretched supply lines (</w:t>
      </w:r>
      <w:r w:rsidRPr="00BE23A2">
        <w:rPr>
          <w:color w:val="222222"/>
          <w:highlight w:val="white"/>
          <w:lang w:val="en-GB"/>
        </w:rPr>
        <w:t>Golovnin, 2022</w:t>
      </w:r>
      <w:r w:rsidRPr="00BE23A2">
        <w:rPr>
          <w:lang w:val="en-GB"/>
        </w:rPr>
        <w:t>).</w:t>
      </w:r>
      <w:r w:rsidRPr="00BE23A2">
        <w:rPr>
          <w:highlight w:val="white"/>
          <w:lang w:val="en-GB"/>
        </w:rPr>
        <w:t xml:space="preserve"> </w:t>
      </w:r>
      <w:r w:rsidRPr="00BE23A2">
        <w:rPr>
          <w:lang w:val="en-GB"/>
        </w:rPr>
        <w:t>There are not enough drivers because of the pandemic and Brexit issue. Such is the complication that any firm faces when responding to changing consumer patterns.</w:t>
      </w:r>
      <w:r w:rsidRPr="00BE23A2">
        <w:rPr>
          <w:highlight w:val="white"/>
          <w:lang w:val="en-GB"/>
        </w:rPr>
        <w:t xml:space="preserve"> </w:t>
      </w:r>
      <w:r w:rsidRPr="00BE23A2">
        <w:rPr>
          <w:lang w:val="en-GB"/>
        </w:rPr>
        <w:t>Thus, shortages and volatility in prices have been evident outcomes of this turbulent macroeconomic environment.</w:t>
      </w:r>
      <w:r w:rsidRPr="00BE23A2">
        <w:rPr>
          <w:highlight w:val="white"/>
          <w:lang w:val="en-GB"/>
        </w:rPr>
        <w:t xml:space="preserve"> </w:t>
      </w:r>
      <w:r w:rsidRPr="00BE23A2">
        <w:rPr>
          <w:lang w:val="en-GB"/>
        </w:rPr>
        <w:t xml:space="preserve">The businesses have to contend with multifaceted </w:t>
      </w:r>
      <w:r w:rsidRPr="00BE23A2">
        <w:rPr>
          <w:lang w:val="en-GB"/>
        </w:rPr>
        <w:lastRenderedPageBreak/>
        <w:t>challenges where they should be able to make adjustments to the regulatory changes, supply chain disturbances together with the shifting customer tastes with agility and strategic forward-looking (</w:t>
      </w:r>
      <w:r w:rsidRPr="00BE23A2">
        <w:rPr>
          <w:color w:val="222222"/>
          <w:highlight w:val="white"/>
          <w:lang w:val="en-GB"/>
        </w:rPr>
        <w:t>Leavy, 2023</w:t>
      </w:r>
      <w:r w:rsidRPr="00BE23A2">
        <w:rPr>
          <w:lang w:val="en-GB"/>
        </w:rPr>
        <w:t>).</w:t>
      </w:r>
      <w:r w:rsidRPr="00BE23A2">
        <w:rPr>
          <w:highlight w:val="white"/>
          <w:lang w:val="en-GB"/>
        </w:rPr>
        <w:t xml:space="preserve"> </w:t>
      </w:r>
      <w:r w:rsidRPr="00BE23A2">
        <w:rPr>
          <w:lang w:val="en-GB"/>
        </w:rPr>
        <w:t>In a changing world the arena of global business is undergoing transformation and calls for rethinking of conventional strategies that may be effective for sustainable economic development.</w:t>
      </w:r>
      <w:r w:rsidRPr="00BE23A2">
        <w:rPr>
          <w:highlight w:val="white"/>
          <w:lang w:val="en-GB"/>
        </w:rPr>
        <w:t xml:space="preserve"> </w:t>
      </w:r>
      <w:r w:rsidRPr="00BE23A2">
        <w:rPr>
          <w:lang w:val="en-GB"/>
        </w:rPr>
        <w:t>A major characteristic of the economic environment today is rampant buy up in panic, as people respond to the shortage of essential goods and amplify their fears of scarcity.</w:t>
      </w:r>
      <w:r w:rsidRPr="00BE23A2">
        <w:rPr>
          <w:highlight w:val="white"/>
          <w:lang w:val="en-GB"/>
        </w:rPr>
        <w:t xml:space="preserve"> </w:t>
      </w:r>
      <w:r w:rsidRPr="00BE23A2">
        <w:rPr>
          <w:lang w:val="en-GB"/>
        </w:rPr>
        <w:t>This trend has been highly visible in the fuel industry with price instability being caused by scarcity and other factors like a sudden outflow of EU drivers and supply chain disruptions.</w:t>
      </w:r>
      <w:r w:rsidRPr="00BE23A2">
        <w:rPr>
          <w:highlight w:val="white"/>
          <w:lang w:val="en-GB"/>
        </w:rPr>
        <w:t xml:space="preserve"> </w:t>
      </w:r>
      <w:r w:rsidRPr="00BE23A2">
        <w:rPr>
          <w:lang w:val="en-GB"/>
        </w:rPr>
        <w:t>High borrowing has been triggered by increased expenditure due to rise in the cost of living with a possible future repercussion.</w:t>
      </w:r>
      <w:r w:rsidRPr="00BE23A2">
        <w:rPr>
          <w:highlight w:val="white"/>
          <w:lang w:val="en-GB"/>
        </w:rPr>
        <w:t xml:space="preserve"> </w:t>
      </w:r>
      <w:r w:rsidRPr="00BE23A2">
        <w:rPr>
          <w:lang w:val="en-GB"/>
        </w:rPr>
        <w:t>As furlough programs wind up and redundancies increase, individuals and businesses experience even more pressure on their finances. People are also struggling with the cost of living coupled with excessive borrowings and are at risk of bankruptcies.</w:t>
      </w:r>
      <w:r w:rsidRPr="00BE23A2">
        <w:rPr>
          <w:highlight w:val="white"/>
          <w:lang w:val="en-GB"/>
        </w:rPr>
        <w:t xml:space="preserve"> </w:t>
      </w:r>
      <w:r w:rsidRPr="00BE23A2">
        <w:rPr>
          <w:lang w:val="en-GB"/>
        </w:rPr>
        <w:t>The panic buying, supply chain interruptions and financial weaknesses in this economic landscape underscore the need for interventions that build resilience and sustainability.</w:t>
      </w:r>
      <w:r w:rsidRPr="00BE23A2">
        <w:rPr>
          <w:highlight w:val="white"/>
          <w:lang w:val="en-GB"/>
        </w:rPr>
        <w:t xml:space="preserve"> </w:t>
      </w:r>
      <w:r w:rsidRPr="00BE23A2">
        <w:rPr>
          <w:lang w:val="en-GB"/>
        </w:rPr>
        <w:t>The consumer preference from service to goods has changed the nature of business in different industries requiring that businesses change their strategies.</w:t>
      </w:r>
      <w:r w:rsidRPr="00BE23A2">
        <w:rPr>
          <w:highlight w:val="white"/>
          <w:lang w:val="en-GB"/>
        </w:rPr>
        <w:t xml:space="preserve"> </w:t>
      </w:r>
      <w:r w:rsidRPr="00BE23A2">
        <w:rPr>
          <w:lang w:val="en-GB"/>
        </w:rPr>
        <w:t>Lifestyle, priorities, and patterns of consumption have been reshaped by the pandemic, and any business unwilling to adapt swiftly faces a big challenge.</w:t>
      </w:r>
      <w:r w:rsidRPr="00BE23A2">
        <w:rPr>
          <w:highlight w:val="white"/>
          <w:lang w:val="en-GB"/>
        </w:rPr>
        <w:t xml:space="preserve"> </w:t>
      </w:r>
      <w:r w:rsidRPr="00BE23A2">
        <w:rPr>
          <w:lang w:val="en-GB"/>
        </w:rPr>
        <w:t>The change has led to cascading effects on supply chains as companies try to balance between new consumer demands and disturbances.</w:t>
      </w:r>
      <w:r w:rsidRPr="00BE23A2">
        <w:rPr>
          <w:highlight w:val="white"/>
          <w:lang w:val="en-GB"/>
        </w:rPr>
        <w:t xml:space="preserve"> </w:t>
      </w:r>
      <w:r w:rsidRPr="00BE23A2">
        <w:rPr>
          <w:lang w:val="en-GB"/>
        </w:rPr>
        <w:t>Amidst this complex economic environment, the keys to survival and success are adaptation, resilience, and strategic planning (</w:t>
      </w:r>
      <w:r w:rsidRPr="00BE23A2">
        <w:rPr>
          <w:color w:val="222222"/>
          <w:highlight w:val="white"/>
          <w:lang w:val="en-GB"/>
        </w:rPr>
        <w:t>SaxunovA, et. al., 2022</w:t>
      </w:r>
      <w:r w:rsidRPr="00BE23A2">
        <w:rPr>
          <w:lang w:val="en-GB"/>
        </w:rPr>
        <w:t>).</w:t>
      </w:r>
      <w:r w:rsidRPr="00BE23A2">
        <w:rPr>
          <w:highlight w:val="white"/>
          <w:lang w:val="en-GB"/>
        </w:rPr>
        <w:t xml:space="preserve"> </w:t>
      </w:r>
      <w:r w:rsidRPr="00BE23A2">
        <w:rPr>
          <w:lang w:val="en-GB"/>
        </w:rPr>
        <w:t>It is important for businesses to reposition their offerings as well as the operations to suit the evolving consumer environment.</w:t>
      </w:r>
      <w:r w:rsidRPr="00BE23A2">
        <w:rPr>
          <w:highlight w:val="white"/>
          <w:lang w:val="en-GB"/>
        </w:rPr>
        <w:t xml:space="preserve"> </w:t>
      </w:r>
      <w:r w:rsidRPr="00BE23A2">
        <w:rPr>
          <w:lang w:val="en-GB"/>
        </w:rPr>
        <w:t>Companies must now navigate supply chain complexities to improve their processes and logistics to better respond to the changing demands of the market.</w:t>
      </w:r>
      <w:r w:rsidRPr="00BE23A2">
        <w:rPr>
          <w:highlight w:val="white"/>
          <w:lang w:val="en-GB"/>
        </w:rPr>
        <w:t xml:space="preserve"> </w:t>
      </w:r>
      <w:r w:rsidRPr="00BE23A2">
        <w:rPr>
          <w:lang w:val="en-GB"/>
        </w:rPr>
        <w:t xml:space="preserve">Even people have to navigate an uncharted territory by making careful financial planning and being flexible to the </w:t>
      </w:r>
      <w:r w:rsidRPr="00BE23A2">
        <w:rPr>
          <w:lang w:val="en-GB"/>
        </w:rPr>
        <w:lastRenderedPageBreak/>
        <w:t>changing economic scenario.</w:t>
      </w:r>
      <w:r w:rsidRPr="00BE23A2">
        <w:rPr>
          <w:highlight w:val="white"/>
          <w:lang w:val="en-GB"/>
        </w:rPr>
        <w:t xml:space="preserve"> </w:t>
      </w:r>
      <w:r w:rsidRPr="00BE23A2">
        <w:rPr>
          <w:lang w:val="en-GB"/>
        </w:rPr>
        <w:t>In the course of this massive economic transformation of the world it is necessary to be ready to accept new things and innovate.</w:t>
      </w:r>
      <w:r w:rsidRPr="00BE23A2">
        <w:rPr>
          <w:highlight w:val="white"/>
          <w:lang w:val="en-GB"/>
        </w:rPr>
        <w:t xml:space="preserve"> </w:t>
      </w:r>
      <w:r w:rsidRPr="00BE23A2">
        <w:rPr>
          <w:lang w:val="en-GB"/>
        </w:rPr>
        <w:t xml:space="preserve">It will not be a matter of surviving but thriving in the post-pandemic era for the smart ones who can </w:t>
      </w:r>
      <w:r w:rsidR="00BE23A2" w:rsidRPr="00BE23A2">
        <w:rPr>
          <w:lang w:val="en-GB"/>
        </w:rPr>
        <w:t>manoeuvre</w:t>
      </w:r>
      <w:r w:rsidRPr="00BE23A2">
        <w:rPr>
          <w:lang w:val="en-GB"/>
        </w:rPr>
        <w:t xml:space="preserve"> these uncertainties.</w:t>
      </w:r>
    </w:p>
    <w:p w14:paraId="657FD8C6" w14:textId="2CFB00EB" w:rsidR="00B56A83" w:rsidRPr="00BE23A2" w:rsidRDefault="00C07395" w:rsidP="00B14473">
      <w:pPr>
        <w:rPr>
          <w:lang w:val="en-GB"/>
        </w:rPr>
      </w:pPr>
      <w:r w:rsidRPr="00BE23A2">
        <w:rPr>
          <w:lang w:val="en-GB"/>
        </w:rPr>
        <w:t>The complex situation of Covid-19, Brexit and consumer change requires a total approach including different stakeholders.</w:t>
      </w:r>
      <w:r w:rsidRPr="00BE23A2">
        <w:rPr>
          <w:highlight w:val="white"/>
          <w:lang w:val="en-GB"/>
        </w:rPr>
        <w:t xml:space="preserve"> </w:t>
      </w:r>
      <w:r w:rsidRPr="00BE23A2">
        <w:rPr>
          <w:lang w:val="en-GB"/>
        </w:rPr>
        <w:t>These challenges can be addressed by government intervention.</w:t>
      </w:r>
      <w:r w:rsidRPr="00BE23A2">
        <w:rPr>
          <w:highlight w:val="white"/>
          <w:lang w:val="en-GB"/>
        </w:rPr>
        <w:t xml:space="preserve"> </w:t>
      </w:r>
      <w:r w:rsidRPr="00BE23A2">
        <w:rPr>
          <w:lang w:val="en-GB"/>
        </w:rPr>
        <w:t xml:space="preserve">Facilitating smoother immigration processes for essential workers will help address driver shortage and </w:t>
      </w:r>
      <w:r w:rsidR="00BE23A2" w:rsidRPr="00BE23A2">
        <w:rPr>
          <w:lang w:val="en-GB"/>
        </w:rPr>
        <w:t>labour</w:t>
      </w:r>
      <w:r w:rsidRPr="00BE23A2">
        <w:rPr>
          <w:lang w:val="en-GB"/>
        </w:rPr>
        <w:t xml:space="preserve"> constraints.</w:t>
      </w:r>
      <w:r w:rsidRPr="00BE23A2">
        <w:rPr>
          <w:highlight w:val="white"/>
          <w:lang w:val="en-GB"/>
        </w:rPr>
        <w:t xml:space="preserve"> </w:t>
      </w:r>
      <w:r w:rsidRPr="00BE23A2">
        <w:rPr>
          <w:lang w:val="en-GB"/>
        </w:rPr>
        <w:t>Support programs for struggling businesses can help to provide for their resilience in the context of a financial crisis.</w:t>
      </w:r>
      <w:r w:rsidRPr="00BE23A2">
        <w:rPr>
          <w:highlight w:val="white"/>
          <w:lang w:val="en-GB"/>
        </w:rPr>
        <w:t xml:space="preserve"> </w:t>
      </w:r>
      <w:r w:rsidRPr="00BE23A2">
        <w:rPr>
          <w:lang w:val="en-GB"/>
        </w:rPr>
        <w:t>Coordination can be improved by strengthening government agency capacity and communication channels with the business community to enable prompt action in addressing dynamic challenges (</w:t>
      </w:r>
      <w:r w:rsidRPr="00BE23A2">
        <w:rPr>
          <w:color w:val="222222"/>
          <w:highlight w:val="white"/>
          <w:lang w:val="en-GB"/>
        </w:rPr>
        <w:t>Mazzucato, et. al, 2020</w:t>
      </w:r>
      <w:r w:rsidRPr="00BE23A2">
        <w:rPr>
          <w:lang w:val="en-GB"/>
        </w:rPr>
        <w:t>).</w:t>
      </w:r>
      <w:r w:rsidRPr="00BE23A2">
        <w:rPr>
          <w:highlight w:val="white"/>
          <w:lang w:val="en-GB"/>
        </w:rPr>
        <w:t xml:space="preserve"> </w:t>
      </w:r>
      <w:r w:rsidRPr="00BE23A2">
        <w:rPr>
          <w:lang w:val="en-GB"/>
        </w:rPr>
        <w:t>Furthermore, a review of tax policies can give businesses the financial relief that will help them survive the economic downturn.</w:t>
      </w:r>
      <w:r w:rsidRPr="00BE23A2">
        <w:rPr>
          <w:highlight w:val="white"/>
          <w:lang w:val="en-GB"/>
        </w:rPr>
        <w:t xml:space="preserve"> </w:t>
      </w:r>
      <w:r w:rsidRPr="00BE23A2">
        <w:rPr>
          <w:lang w:val="en-GB"/>
        </w:rPr>
        <w:t>Easing some of the stringent Covid-19 restrictions can go a long way in relieving operational constraints on businesses.</w:t>
      </w:r>
      <w:r w:rsidRPr="00BE23A2">
        <w:rPr>
          <w:highlight w:val="white"/>
          <w:lang w:val="en-GB"/>
        </w:rPr>
        <w:t xml:space="preserve"> </w:t>
      </w:r>
      <w:r w:rsidRPr="00BE23A2">
        <w:rPr>
          <w:lang w:val="en-GB"/>
        </w:rPr>
        <w:t xml:space="preserve">It would be necessary to reassess regulations in such a way as to strike the right </w:t>
      </w:r>
      <w:r w:rsidR="00BE23A2" w:rsidRPr="00BE23A2">
        <w:rPr>
          <w:lang w:val="en-GB"/>
        </w:rPr>
        <w:t>trade-off</w:t>
      </w:r>
      <w:r w:rsidRPr="00BE23A2">
        <w:rPr>
          <w:lang w:val="en-GB"/>
        </w:rPr>
        <w:t xml:space="preserve"> between public health on the one hand, and economic imperatives, on the other, and thereby ease the business environment.</w:t>
      </w:r>
      <w:r w:rsidRPr="00BE23A2">
        <w:rPr>
          <w:highlight w:val="white"/>
          <w:lang w:val="en-GB"/>
        </w:rPr>
        <w:t xml:space="preserve"> </w:t>
      </w:r>
      <w:r w:rsidRPr="00BE23A2">
        <w:rPr>
          <w:lang w:val="en-GB"/>
        </w:rPr>
        <w:t>The approach recognizes that the changing conditions necessitate flexibility within organizations and provides more flexibility for businesses.</w:t>
      </w:r>
      <w:r w:rsidRPr="00BE23A2">
        <w:rPr>
          <w:highlight w:val="white"/>
          <w:lang w:val="en-GB"/>
        </w:rPr>
        <w:t xml:space="preserve"> </w:t>
      </w:r>
      <w:r w:rsidRPr="00BE23A2">
        <w:rPr>
          <w:lang w:val="en-GB"/>
        </w:rPr>
        <w:t>It is very important that industries facing disruptions, especially in the fuel industry, should develop a shortage management team strategy.</w:t>
      </w:r>
      <w:r w:rsidRPr="00BE23A2">
        <w:rPr>
          <w:highlight w:val="white"/>
          <w:lang w:val="en-GB"/>
        </w:rPr>
        <w:t xml:space="preserve"> </w:t>
      </w:r>
      <w:r w:rsidRPr="00BE23A2">
        <w:rPr>
          <w:lang w:val="en-GB"/>
        </w:rPr>
        <w:t>Setting up dedicated teams for shortage management, cooperating with suppliers, and efficient distribution networks can facilitate streamlining of these processes (</w:t>
      </w:r>
      <w:r w:rsidRPr="00BE23A2">
        <w:rPr>
          <w:color w:val="222222"/>
          <w:highlight w:val="white"/>
          <w:lang w:val="en-GB"/>
        </w:rPr>
        <w:t>Tay and Aw, 2021</w:t>
      </w:r>
      <w:r w:rsidRPr="00BE23A2">
        <w:rPr>
          <w:lang w:val="en-GB"/>
        </w:rPr>
        <w:t>).</w:t>
      </w:r>
      <w:r w:rsidRPr="00BE23A2">
        <w:rPr>
          <w:highlight w:val="white"/>
          <w:lang w:val="en-GB"/>
        </w:rPr>
        <w:t xml:space="preserve"> </w:t>
      </w:r>
      <w:r w:rsidRPr="00BE23A2">
        <w:rPr>
          <w:lang w:val="en-GB"/>
        </w:rPr>
        <w:t>This entails predetermined planning and appropriate utilization of resources resulting in a more resilient supply chain.</w:t>
      </w:r>
      <w:r w:rsidRPr="00BE23A2">
        <w:rPr>
          <w:highlight w:val="white"/>
          <w:lang w:val="en-GB"/>
        </w:rPr>
        <w:t xml:space="preserve"> </w:t>
      </w:r>
      <w:r w:rsidRPr="00BE23A2">
        <w:rPr>
          <w:lang w:val="en-GB"/>
        </w:rPr>
        <w:t>Supply chain resilience requires building and strengthening supplier networks.</w:t>
      </w:r>
      <w:r w:rsidRPr="00BE23A2">
        <w:rPr>
          <w:highlight w:val="white"/>
          <w:lang w:val="en-GB"/>
        </w:rPr>
        <w:t xml:space="preserve"> </w:t>
      </w:r>
      <w:r w:rsidRPr="00BE23A2">
        <w:rPr>
          <w:lang w:val="en-GB"/>
        </w:rPr>
        <w:t>By doing so, businesses will improve on the relations with suppliers and create an open communication and information sharing environment.</w:t>
      </w:r>
      <w:r w:rsidRPr="00BE23A2">
        <w:rPr>
          <w:highlight w:val="white"/>
          <w:lang w:val="en-GB"/>
        </w:rPr>
        <w:t xml:space="preserve"> </w:t>
      </w:r>
      <w:r w:rsidRPr="00BE23A2">
        <w:rPr>
          <w:lang w:val="en-GB"/>
        </w:rPr>
        <w:t xml:space="preserve">This joint problem-solving and risk management helps create a more resilient and </w:t>
      </w:r>
      <w:r w:rsidRPr="00BE23A2">
        <w:rPr>
          <w:lang w:val="en-GB"/>
        </w:rPr>
        <w:lastRenderedPageBreak/>
        <w:t>adaptable supply chain.</w:t>
      </w:r>
      <w:r w:rsidRPr="00BE23A2">
        <w:rPr>
          <w:highlight w:val="white"/>
          <w:lang w:val="en-GB"/>
        </w:rPr>
        <w:t xml:space="preserve"> </w:t>
      </w:r>
      <w:r w:rsidRPr="00BE23A2">
        <w:rPr>
          <w:lang w:val="en-GB"/>
        </w:rPr>
        <w:t>Another important part of overcoming these challenges is the use of alternative measures to reduce waste. This will help businesses develop innovative approaches to reduce waste in their operations and save money while ensuring environmental sustainability.</w:t>
      </w:r>
      <w:r w:rsidRPr="00BE23A2">
        <w:rPr>
          <w:highlight w:val="white"/>
          <w:lang w:val="en-GB"/>
        </w:rPr>
        <w:t xml:space="preserve"> </w:t>
      </w:r>
      <w:r w:rsidRPr="00BE23A2">
        <w:rPr>
          <w:lang w:val="en-GB"/>
        </w:rPr>
        <w:t>The approach is in line with the wider trend of responsible and sustainable business.</w:t>
      </w:r>
      <w:r w:rsidRPr="00BE23A2">
        <w:rPr>
          <w:highlight w:val="white"/>
          <w:lang w:val="en-GB"/>
        </w:rPr>
        <w:t xml:space="preserve"> </w:t>
      </w:r>
      <w:r w:rsidRPr="00BE23A2">
        <w:rPr>
          <w:lang w:val="en-GB"/>
        </w:rPr>
        <w:t>One of the internal strategies that businesses can adopt to enhance their efficiency and responsiveness is assessing and improving their supply chain.</w:t>
      </w:r>
      <w:r w:rsidRPr="00BE23A2">
        <w:rPr>
          <w:highlight w:val="white"/>
          <w:lang w:val="en-GB"/>
        </w:rPr>
        <w:t xml:space="preserve"> </w:t>
      </w:r>
      <w:r w:rsidRPr="00BE23A2">
        <w:rPr>
          <w:lang w:val="en-GB"/>
        </w:rPr>
        <w:t xml:space="preserve">A more resilient and adaptive business model </w:t>
      </w:r>
      <w:r w:rsidR="00BE23A2" w:rsidRPr="00BE23A2">
        <w:rPr>
          <w:lang w:val="en-GB"/>
        </w:rPr>
        <w:t>entail</w:t>
      </w:r>
      <w:r w:rsidRPr="00BE23A2">
        <w:rPr>
          <w:lang w:val="en-GB"/>
        </w:rPr>
        <w:t xml:space="preserve"> identifying potential bottlenecks, diversifying suppliers, and investing in technological solutions that enhance supply chain visibility.</w:t>
      </w:r>
      <w:r w:rsidRPr="00BE23A2">
        <w:rPr>
          <w:highlight w:val="white"/>
          <w:lang w:val="en-GB"/>
        </w:rPr>
        <w:t xml:space="preserve"> </w:t>
      </w:r>
      <w:r w:rsidRPr="00BE23A2">
        <w:rPr>
          <w:lang w:val="en-GB"/>
        </w:rPr>
        <w:t>Collaboration with suppliers can help to lower prices for both parties, especially in the long run (</w:t>
      </w:r>
      <w:r w:rsidRPr="00BE23A2">
        <w:rPr>
          <w:color w:val="222222"/>
          <w:highlight w:val="white"/>
          <w:lang w:val="en-GB"/>
        </w:rPr>
        <w:t>Roope, et. al., 2019</w:t>
      </w:r>
      <w:r w:rsidRPr="00BE23A2">
        <w:rPr>
          <w:lang w:val="en-GB"/>
        </w:rPr>
        <w:t>).</w:t>
      </w:r>
      <w:r w:rsidRPr="00BE23A2">
        <w:rPr>
          <w:highlight w:val="white"/>
          <w:lang w:val="en-GB"/>
        </w:rPr>
        <w:t xml:space="preserve"> </w:t>
      </w:r>
      <w:r w:rsidRPr="00BE23A2">
        <w:rPr>
          <w:lang w:val="en-GB"/>
        </w:rPr>
        <w:t>Cost-effective agreements and creative ways of addressing financial problems can help reduce financial burden and promote better relations in the supply chain.</w:t>
      </w:r>
      <w:r w:rsidRPr="00BE23A2">
        <w:rPr>
          <w:highlight w:val="white"/>
          <w:lang w:val="en-GB"/>
        </w:rPr>
        <w:t xml:space="preserve"> </w:t>
      </w:r>
      <w:r w:rsidRPr="00BE23A2">
        <w:rPr>
          <w:lang w:val="en-GB"/>
        </w:rPr>
        <w:t xml:space="preserve">Transparency and building trust with stakeholders </w:t>
      </w:r>
      <w:r w:rsidR="00BE23A2" w:rsidRPr="00BE23A2">
        <w:rPr>
          <w:lang w:val="en-GB"/>
        </w:rPr>
        <w:t>require</w:t>
      </w:r>
      <w:r w:rsidRPr="00BE23A2">
        <w:rPr>
          <w:lang w:val="en-GB"/>
        </w:rPr>
        <w:t xml:space="preserve"> providing frequent and accurate communication.</w:t>
      </w:r>
      <w:r w:rsidRPr="00BE23A2">
        <w:rPr>
          <w:highlight w:val="white"/>
          <w:lang w:val="en-GB"/>
        </w:rPr>
        <w:t xml:space="preserve"> </w:t>
      </w:r>
      <w:r w:rsidRPr="00BE23A2">
        <w:rPr>
          <w:lang w:val="en-GB"/>
        </w:rPr>
        <w:t>Regular communication with customers, employees, suppliers and regulatory bodies ensures all are informed about the problems and the strategy employed.</w:t>
      </w:r>
      <w:r w:rsidRPr="00BE23A2">
        <w:rPr>
          <w:highlight w:val="white"/>
          <w:lang w:val="en-GB"/>
        </w:rPr>
        <w:t xml:space="preserve"> </w:t>
      </w:r>
      <w:r w:rsidRPr="00BE23A2">
        <w:rPr>
          <w:lang w:val="en-GB"/>
        </w:rPr>
        <w:t>Adopting a proactive approach in this regard can go a long way in ensuring stakeholder support and managing expectations.</w:t>
      </w:r>
      <w:r w:rsidRPr="00BE23A2">
        <w:rPr>
          <w:highlight w:val="white"/>
          <w:lang w:val="en-GB"/>
        </w:rPr>
        <w:t xml:space="preserve"> </w:t>
      </w:r>
      <w:r w:rsidR="00BE23A2" w:rsidRPr="00BE23A2">
        <w:rPr>
          <w:lang w:val="en-GB"/>
        </w:rPr>
        <w:t>Finally</w:t>
      </w:r>
      <w:r w:rsidRPr="00BE23A2">
        <w:rPr>
          <w:lang w:val="en-GB"/>
        </w:rPr>
        <w:t>, overcoming the intricate problems presented by the economy involves a multipronged strategy where a team effort is necessary.</w:t>
      </w:r>
      <w:r w:rsidRPr="00BE23A2">
        <w:rPr>
          <w:highlight w:val="white"/>
          <w:lang w:val="en-GB"/>
        </w:rPr>
        <w:t xml:space="preserve"> </w:t>
      </w:r>
      <w:r w:rsidRPr="00BE23A2">
        <w:rPr>
          <w:lang w:val="en-GB"/>
        </w:rPr>
        <w:t>However, a number of measures that include government interventions, regulatory adjustments, strategic supply chain management, and stakeholder engagement can be adopted by businesses to navigate the uncertainties with resilience and adaptation.</w:t>
      </w:r>
    </w:p>
    <w:p w14:paraId="74AC07BB" w14:textId="42469769" w:rsidR="00C15871" w:rsidRPr="00BE23A2" w:rsidRDefault="00C15871" w:rsidP="00C15871">
      <w:pPr>
        <w:rPr>
          <w:rFonts w:cs="Times New Roman"/>
          <w:szCs w:val="24"/>
          <w:lang w:val="en-GB" w:eastAsia="en-IN"/>
        </w:rPr>
      </w:pPr>
      <w:r w:rsidRPr="00BE23A2">
        <w:rPr>
          <w:lang w:val="en-GB" w:eastAsia="en-IN"/>
        </w:rPr>
        <w:t>In the pricing strategy demand and supply are the important aspects that should be maintained by businesses carefully. During uneven situations businesses change and manage their pricing strategies to maintain pace with the changing situations and these changes are often seen in increased demand or decreased supply situations. Businesses can make relevant responses to market fluctuations by paying more attention to supply data and real-time demand within dynamic pricing situations (</w:t>
      </w:r>
      <w:r w:rsidRPr="00BE23A2">
        <w:rPr>
          <w:shd w:val="clear" w:color="auto" w:fill="FFFFFF"/>
          <w:lang w:val="en-GB"/>
        </w:rPr>
        <w:t>Mononen, 2020</w:t>
      </w:r>
      <w:r w:rsidRPr="00BE23A2">
        <w:rPr>
          <w:lang w:val="en-GB" w:eastAsia="en-IN"/>
        </w:rPr>
        <w:t>). These factors help businesses to maintain a balanced production strategy with the changing market conditions. The interaction between supply and demand is also encouraged by competitive dynamics within the market. There are situations when prices become low and competition increases when demand outdoes supply (</w:t>
      </w:r>
      <w:r w:rsidRPr="00BE23A2">
        <w:rPr>
          <w:shd w:val="clear" w:color="auto" w:fill="FFFFFF"/>
          <w:lang w:val="en-GB"/>
        </w:rPr>
        <w:t>Nobis, et. al., 2022</w:t>
      </w:r>
      <w:r w:rsidRPr="00BE23A2">
        <w:rPr>
          <w:lang w:val="en-GB" w:eastAsia="en-IN"/>
        </w:rPr>
        <w:t xml:space="preserve">). This creates a challenging situation for businesses and it also benefits customers. These factors encourage businesses to operate more effectively and enhance innovation. The pressure to decrease prices can be the reason for process </w:t>
      </w:r>
      <w:r w:rsidR="00BE23A2" w:rsidRPr="00BE23A2">
        <w:rPr>
          <w:lang w:val="en-GB" w:eastAsia="en-IN"/>
        </w:rPr>
        <w:t>development, cost</w:t>
      </w:r>
      <w:r w:rsidRPr="00BE23A2">
        <w:rPr>
          <w:lang w:val="en-GB" w:eastAsia="en-IN"/>
        </w:rPr>
        <w:t xml:space="preserve">-cutting calculation and restoring innovation. The balance between supply and demand is crucial for businesses to maintain their expansion and productivity in the market. The positive effectiveness of supply and demand management is represented within online platforms like Amazon. This company has maintained its supply chain with the market demand for online shopping and has expanded its operations globally. Through this, it can be understood that with the help of a well-managed supply chain, a business can expand its productivity and maintain its scalability. In shaping an effective marketing </w:t>
      </w:r>
      <w:r w:rsidR="00BE23A2" w:rsidRPr="00BE23A2">
        <w:rPr>
          <w:lang w:val="en-GB" w:eastAsia="en-IN"/>
        </w:rPr>
        <w:t>strategy,</w:t>
      </w:r>
      <w:r w:rsidRPr="00BE23A2">
        <w:rPr>
          <w:lang w:val="en-GB" w:eastAsia="en-IN"/>
        </w:rPr>
        <w:t xml:space="preserve"> it is crucial to maintain supply and demand dynamics within the market. Businesses need to implement this knowledge to adjust their marketing strategies with actual market demands. By understanding customer's preferences and needs businesses need to promote campaigns which will be effective in promoting their products and services within the dynamic market. Within supply chain management, it is essential to manage inventory strategies. Through these strategies, businesses can maintain their productivity with demands and can ensure that the products are produced precisely. Factors like JIT (Just-In-Time) can help businesses to minimize excessive inventory and support them to reduce cost of storage and improve utilization of resources. There is a necessity to maintain demand and supply chains to attract investment. Through the help of an initial public offering (IPO) businesses can experience high demand to increase significant capital (</w:t>
      </w:r>
      <w:r w:rsidRPr="00BE23A2">
        <w:rPr>
          <w:shd w:val="clear" w:color="auto" w:fill="FFFFFF"/>
          <w:lang w:val="en-GB"/>
        </w:rPr>
        <w:t>Sveikauskas, et. al., 2023</w:t>
      </w:r>
      <w:r w:rsidRPr="00BE23A2">
        <w:rPr>
          <w:lang w:val="en-GB" w:eastAsia="en-IN"/>
        </w:rPr>
        <w:t xml:space="preserve">). A business can attract a huge number of investors with the support of strong demand for their share and the business can expand its market authority, innovation and capital. Employee satisfaction can be positively affected by demand and supply. Businesses which have been experiencing high demand in the market can pay high salaries and benefits which will lead to employee retention and productivity increment. Through the help of a positive environment, businesses will experience meeting market demands. By understanding the supply and demand businesses can maintain their risk factors and associations. These factors are essential for businesses to manage their stability and health in dynamic situations. There are specific factors such as disruptions of the supply chain and sudden changes in customer preferences that can impact businesses and these factors will also be the reason for the risk increment. By understanding demand and supply it becomes easy to effectively manage shortages within the dynamic market. By identifying market demands and properly adjusting supply, chains can be beneficial for businesses to mitigate shortages and to ensure the contribution flow of services and products. </w:t>
      </w:r>
    </w:p>
    <w:p w14:paraId="06B18F0B" w14:textId="41CFC8B8" w:rsidR="00C15871" w:rsidRPr="00BE23A2" w:rsidRDefault="00C15871" w:rsidP="00C15871">
      <w:pPr>
        <w:rPr>
          <w:rFonts w:cs="Times New Roman"/>
          <w:szCs w:val="24"/>
          <w:lang w:val="en-GB" w:eastAsia="en-IN"/>
        </w:rPr>
      </w:pPr>
      <w:r w:rsidRPr="00BE23A2">
        <w:rPr>
          <w:lang w:val="en-GB" w:eastAsia="en-IN"/>
        </w:rPr>
        <w:t>The elasticity of demand refers to the sensitivity of quality supplied or quantity demanded in order to the change of income and price, computing the degree of elasticity in producer and customer attitude. Through elasticity, the sensitivity of the customers or the producer can be identified within economic fluctuations which will be helpful in delivering information on the effectiveness of price changes in dynamic markets (</w:t>
      </w:r>
      <w:r w:rsidRPr="00BE23A2">
        <w:rPr>
          <w:shd w:val="clear" w:color="auto" w:fill="FFFFFF"/>
          <w:lang w:val="en-GB"/>
        </w:rPr>
        <w:t>Pham and Vo, 2021</w:t>
      </w:r>
      <w:r w:rsidRPr="00BE23A2">
        <w:rPr>
          <w:lang w:val="en-GB" w:eastAsia="en-IN"/>
        </w:rPr>
        <w:t xml:space="preserve">). Inelasticity means the low insensitivity or low responsibility of quantity supplied or quantity demanded in the context of the change in income and price, pointing to a restricted degree of stretchability in producer and customer attitude. Within the inelastic supply and demand services and products are tested as necessities and these services have limited replacements which will lead these services to less consideration of price variables. Inelastic demand has low price reactivity with demand staying persistent despite the changes in price, shopping for essentials. There are various prescription drugs and tobacco which can symbolise inelasticity due to their consistent pressure despite their fluctuating prices. Elastic demand refers to high price stretchability, replying important to changes, delivering low protection in the time of market fluctuations and having entry barriers. For </w:t>
      </w:r>
      <w:r w:rsidR="00BE23A2" w:rsidRPr="00BE23A2">
        <w:rPr>
          <w:lang w:val="en-GB" w:eastAsia="en-IN"/>
        </w:rPr>
        <w:t>example,</w:t>
      </w:r>
      <w:r w:rsidRPr="00BE23A2">
        <w:rPr>
          <w:lang w:val="en-GB" w:eastAsia="en-IN"/>
        </w:rPr>
        <w:t xml:space="preserve"> luxury goods (</w:t>
      </w:r>
      <w:r w:rsidRPr="00BE23A2">
        <w:rPr>
          <w:shd w:val="clear" w:color="auto" w:fill="FFFFFF"/>
          <w:lang w:val="en-GB"/>
        </w:rPr>
        <w:t>Hilli and Griffith, 2022</w:t>
      </w:r>
      <w:r w:rsidRPr="00BE23A2">
        <w:rPr>
          <w:lang w:val="en-GB" w:eastAsia="en-IN"/>
        </w:rPr>
        <w:t>). There are several advantages of elasticity demand in the market. One advantage is lower taxes which are as follows. Lower taxes have been impacting the elasticity of demand in various ways. Through the help of reducing taxes, there are possibilities of growing customers' accessible income which can lead to higher spending on the services and products. In the demand for quantity within the elastic goods markets, this can be seen as a large increment. On the other hand, lower taxes can be the reason for restoring economic growth and promoting demand increment within several sectors. Moreover, decreased taxes can be the cause of investment and entrepreneurship encouragement and it is the source of overall market responsiveness and viability in the industry. There are several disadvantages of elasticity demand in the market. One Disadvantage is continually monitoring the selling strategies of competitors in the market (</w:t>
      </w:r>
      <w:r w:rsidRPr="00BE23A2">
        <w:rPr>
          <w:shd w:val="clear" w:color="auto" w:fill="FFFFFF"/>
          <w:lang w:val="en-GB"/>
        </w:rPr>
        <w:t>Femenia, 2019</w:t>
      </w:r>
      <w:r w:rsidRPr="00BE23A2">
        <w:rPr>
          <w:lang w:val="en-GB" w:eastAsia="en-IN"/>
        </w:rPr>
        <w:t xml:space="preserve">). There are various challenges that can be faced by businesses in the market due to the elasticity of demand. There are multiple requirements of businesses that should be maintained to overcome and face these challenges. Businesses need to invest resources and time in </w:t>
      </w:r>
      <w:r w:rsidR="00BE23A2" w:rsidRPr="00BE23A2">
        <w:rPr>
          <w:lang w:val="en-GB" w:eastAsia="en-IN"/>
        </w:rPr>
        <w:t>analysing</w:t>
      </w:r>
      <w:r w:rsidRPr="00BE23A2">
        <w:rPr>
          <w:lang w:val="en-GB" w:eastAsia="en-IN"/>
        </w:rPr>
        <w:t xml:space="preserve"> and tracking promotional activities and proving their competitors. The advantage of inelasticity of demand is boosted revenue by price increment. The disadvantage is an increment in prices on a price-inelastic product is likely to improve profits considerably. </w:t>
      </w:r>
    </w:p>
    <w:p w14:paraId="64C94115" w14:textId="5B5423AB" w:rsidR="00C15871" w:rsidRPr="00BE23A2" w:rsidRDefault="00C15871" w:rsidP="00C15871">
      <w:pPr>
        <w:rPr>
          <w:rFonts w:cs="Times New Roman"/>
          <w:szCs w:val="24"/>
          <w:lang w:val="en-GB" w:eastAsia="en-IN"/>
        </w:rPr>
      </w:pPr>
      <w:r w:rsidRPr="00BE23A2">
        <w:rPr>
          <w:lang w:val="en-GB" w:eastAsia="en-IN"/>
        </w:rPr>
        <w:t>There are various laws and regulations of supply and demand that should be maintained by businesses in the market (</w:t>
      </w:r>
      <w:r w:rsidRPr="00BE23A2">
        <w:rPr>
          <w:shd w:val="clear" w:color="auto" w:fill="FFFFFF"/>
          <w:lang w:val="en-GB"/>
        </w:rPr>
        <w:t>Chalaux and Guillemette, 2019</w:t>
      </w:r>
      <w:r w:rsidRPr="00BE23A2">
        <w:rPr>
          <w:lang w:val="en-GB" w:eastAsia="en-IN"/>
        </w:rPr>
        <w:t>). These laws are increment of demand is unchanged supply, reduction of demand in unchanged supply, increment of supply in unchanged demand and decrease of supply in unchanged demand. There are chances of high payment by the customers if there is a shortage of goods compared to demand. This scarcity of goods can lead to an increment of prices but on the other hand, customers may face limited accessibility. This may lead to payment of higher prices regarding their market value. When there is an excessive supply of producers in the market that can lead to low customer attraction. Excessive supply of goods and services can lead to low prices and low competition within the market (</w:t>
      </w:r>
      <w:r w:rsidRPr="00BE23A2">
        <w:rPr>
          <w:shd w:val="clear" w:color="auto" w:fill="FFFFFF"/>
          <w:lang w:val="en-GB"/>
        </w:rPr>
        <w:t>Čiderová, 2022</w:t>
      </w:r>
      <w:r w:rsidRPr="00BE23A2">
        <w:rPr>
          <w:lang w:val="en-GB" w:eastAsia="en-IN"/>
        </w:rPr>
        <w:t>). There will be low market quantities and prices in the market if customers lose their interest towards specific services and products. There is a strategy to increase customer buying which is lowering the price. This can also reduce the potential profit in the market and suppliers can decrease productivity to adjust with lower demand. There will be an increment of quantities and prices if there is high demand and consistent remains in supply. Customers are willing to pay more value for the products and this creates a higher opportunity for the sellers in the market. Sellers will be motivated to higher their product's prices if customers meet the rising demand (</w:t>
      </w:r>
      <w:r w:rsidRPr="00BE23A2">
        <w:rPr>
          <w:shd w:val="clear" w:color="auto" w:fill="FFFFFF"/>
          <w:lang w:val="en-GB"/>
        </w:rPr>
        <w:t>Borsellino, et. al., 2020</w:t>
      </w:r>
      <w:r w:rsidRPr="00BE23A2">
        <w:rPr>
          <w:lang w:val="en-GB" w:eastAsia="en-IN"/>
        </w:rPr>
        <w:t>). </w:t>
      </w:r>
    </w:p>
    <w:p w14:paraId="17D2A34A" w14:textId="77777777" w:rsidR="00C15871" w:rsidRPr="00BE23A2" w:rsidRDefault="00C15871" w:rsidP="00C15871">
      <w:pPr>
        <w:rPr>
          <w:lang w:val="en-GB" w:eastAsia="en-IN"/>
        </w:rPr>
      </w:pPr>
      <w:r w:rsidRPr="00BE23A2">
        <w:rPr>
          <w:lang w:val="en-GB" w:eastAsia="en-IN"/>
        </w:rPr>
        <w:t>In conclusion, this essay has briefly described supply and demand within the changing market situations. In this essay, there has been an explanation of fundamental economic problems during the time of Brexit and COVID-19. There have been several solutions regarding these economic problems in this assignment. In this assignment, the relevance of supply and demand has been elaborated based on pricing strategy, process dynamics and competition, business expansion and productivity, business concept and business strategy promotion, inventory management strategy, finance attraction through investments, worker retention and satisfaction, risk management and shifting market demand and managing shortage. This essay has illuminated the difference between inelasticity and elasticity. Also, there have been various regulations and laws regarding supply and demand which have been illustrated in this essay. </w:t>
      </w:r>
    </w:p>
    <w:p w14:paraId="06CF0D80" w14:textId="77777777" w:rsidR="00C15871" w:rsidRPr="0057013C" w:rsidRDefault="00C15871" w:rsidP="00B14473">
      <w:pPr>
        <w:rPr>
          <w:lang w:val="en-GB"/>
        </w:rPr>
      </w:pPr>
    </w:p>
    <w:p w14:paraId="5045A324" w14:textId="77777777" w:rsidR="00B14473" w:rsidRPr="0057013C" w:rsidRDefault="00B14473">
      <w:pPr>
        <w:rPr>
          <w:rFonts w:eastAsia="Times New Roman" w:cs="Times New Roman"/>
          <w:b/>
          <w:szCs w:val="24"/>
          <w:lang w:val="en-GB"/>
        </w:rPr>
      </w:pPr>
      <w:r w:rsidRPr="0057013C">
        <w:rPr>
          <w:rFonts w:eastAsia="Times New Roman" w:cs="Times New Roman"/>
          <w:b/>
          <w:szCs w:val="24"/>
          <w:lang w:val="en-GB"/>
        </w:rPr>
        <w:br w:type="page"/>
      </w:r>
    </w:p>
    <w:p w14:paraId="1A908C66" w14:textId="77777777" w:rsidR="001C0FFF" w:rsidRPr="0057013C" w:rsidRDefault="00C07395" w:rsidP="001C0FFF">
      <w:pPr>
        <w:pStyle w:val="Titlu1"/>
        <w:rPr>
          <w:lang w:val="en-GB"/>
        </w:rPr>
      </w:pPr>
      <w:r w:rsidRPr="0057013C">
        <w:rPr>
          <w:lang w:val="en-GB"/>
        </w:rPr>
        <w:t xml:space="preserve">References </w:t>
      </w:r>
    </w:p>
    <w:p w14:paraId="734A4EA1" w14:textId="77777777" w:rsidR="00BE23A2" w:rsidRPr="0057013C" w:rsidRDefault="00BE23A2" w:rsidP="00C15871">
      <w:pPr>
        <w:rPr>
          <w:shd w:val="clear" w:color="auto" w:fill="FFFFFF"/>
          <w:lang w:val="en-GB"/>
        </w:rPr>
      </w:pPr>
      <w:r w:rsidRPr="0057013C">
        <w:rPr>
          <w:shd w:val="clear" w:color="auto" w:fill="FFFFFF"/>
          <w:lang w:val="en-GB"/>
        </w:rPr>
        <w:t>Borsellino, V., Schimmenti, E. and El Bilali, H., (2020). “Agri-food markets towards sustainable patterns”. </w:t>
      </w:r>
      <w:r w:rsidRPr="0057013C">
        <w:rPr>
          <w:i/>
          <w:iCs/>
          <w:shd w:val="clear" w:color="auto" w:fill="FFFFFF"/>
          <w:lang w:val="en-GB"/>
        </w:rPr>
        <w:t>Sustainability</w:t>
      </w:r>
      <w:r w:rsidRPr="0057013C">
        <w:rPr>
          <w:shd w:val="clear" w:color="auto" w:fill="FFFFFF"/>
          <w:lang w:val="en-GB"/>
        </w:rPr>
        <w:t>, </w:t>
      </w:r>
      <w:r w:rsidRPr="0057013C">
        <w:rPr>
          <w:i/>
          <w:iCs/>
          <w:shd w:val="clear" w:color="auto" w:fill="FFFFFF"/>
          <w:lang w:val="en-GB"/>
        </w:rPr>
        <w:t>12</w:t>
      </w:r>
      <w:r w:rsidRPr="0057013C">
        <w:rPr>
          <w:shd w:val="clear" w:color="auto" w:fill="FFFFFF"/>
          <w:lang w:val="en-GB"/>
        </w:rPr>
        <w:t>(6), p.2193.</w:t>
      </w:r>
    </w:p>
    <w:p w14:paraId="04B7610A" w14:textId="77777777" w:rsidR="00BE23A2" w:rsidRPr="0057013C" w:rsidRDefault="00BE23A2" w:rsidP="00C15871">
      <w:pPr>
        <w:rPr>
          <w:shd w:val="clear" w:color="auto" w:fill="FFFFFF"/>
          <w:lang w:val="en-GB"/>
        </w:rPr>
      </w:pPr>
      <w:r w:rsidRPr="0057013C">
        <w:rPr>
          <w:shd w:val="clear" w:color="auto" w:fill="FFFFFF"/>
          <w:lang w:val="en-GB"/>
        </w:rPr>
        <w:t>Chalaux, T. and Guillemette, Y., (2019). “The OECD potential output estimation methodology”.</w:t>
      </w:r>
    </w:p>
    <w:p w14:paraId="0A127B80" w14:textId="77777777" w:rsidR="00BE23A2" w:rsidRPr="0057013C" w:rsidRDefault="00BE23A2" w:rsidP="00C15871">
      <w:pPr>
        <w:rPr>
          <w:lang w:val="en-GB" w:eastAsia="en-IN"/>
        </w:rPr>
      </w:pPr>
      <w:r w:rsidRPr="0057013C">
        <w:rPr>
          <w:shd w:val="clear" w:color="auto" w:fill="FFFFFF"/>
          <w:lang w:val="en-GB"/>
        </w:rPr>
        <w:t>Čiderová, T., (2022). “Analysis of demand for on-trade and off-trade alcoholic beverages in the Czech Republic”.</w:t>
      </w:r>
    </w:p>
    <w:p w14:paraId="0218A031" w14:textId="77777777" w:rsidR="00BE23A2" w:rsidRPr="0057013C" w:rsidRDefault="00BE23A2" w:rsidP="00C15871">
      <w:pPr>
        <w:rPr>
          <w:shd w:val="clear" w:color="auto" w:fill="FFFFFF"/>
          <w:lang w:val="en-GB"/>
        </w:rPr>
      </w:pPr>
      <w:r w:rsidRPr="0057013C">
        <w:rPr>
          <w:shd w:val="clear" w:color="auto" w:fill="FFFFFF"/>
          <w:lang w:val="en-GB"/>
        </w:rPr>
        <w:t>Femenia, F., (2019). “A meta-analysis of the price and income elasticities of food demand (Doctoral dissertation, Inconnu)”.</w:t>
      </w:r>
    </w:p>
    <w:p w14:paraId="05C61E3E" w14:textId="77777777" w:rsidR="00BE23A2" w:rsidRPr="0057013C" w:rsidRDefault="00BE23A2" w:rsidP="00B14473">
      <w:pPr>
        <w:rPr>
          <w:color w:val="222222"/>
          <w:highlight w:val="white"/>
          <w:lang w:val="en-GB"/>
        </w:rPr>
      </w:pPr>
      <w:r w:rsidRPr="0057013C">
        <w:rPr>
          <w:color w:val="222222"/>
          <w:highlight w:val="white"/>
          <w:lang w:val="en-GB"/>
        </w:rPr>
        <w:t xml:space="preserve">Golovnin, M.Y., (2022). “Institute of Economics, Russian Academy of Sciences: Its Leadership Mission in Fundamental Economic Science.” </w:t>
      </w:r>
      <w:r w:rsidRPr="0057013C">
        <w:rPr>
          <w:i/>
          <w:color w:val="222222"/>
          <w:highlight w:val="white"/>
          <w:lang w:val="en-GB"/>
        </w:rPr>
        <w:t>Studies on Russian Economic Development</w:t>
      </w:r>
      <w:r w:rsidRPr="0057013C">
        <w:rPr>
          <w:color w:val="222222"/>
          <w:highlight w:val="white"/>
          <w:lang w:val="en-GB"/>
        </w:rPr>
        <w:t xml:space="preserve">, </w:t>
      </w:r>
      <w:r w:rsidRPr="0057013C">
        <w:rPr>
          <w:i/>
          <w:color w:val="222222"/>
          <w:highlight w:val="white"/>
          <w:lang w:val="en-GB"/>
        </w:rPr>
        <w:t>33</w:t>
      </w:r>
      <w:r w:rsidRPr="0057013C">
        <w:rPr>
          <w:color w:val="222222"/>
          <w:highlight w:val="white"/>
          <w:lang w:val="en-GB"/>
        </w:rPr>
        <w:t>(5), pp.513-518.</w:t>
      </w:r>
    </w:p>
    <w:p w14:paraId="1C82EAF9" w14:textId="77777777" w:rsidR="00BE23A2" w:rsidRPr="0057013C" w:rsidRDefault="00BE23A2" w:rsidP="00BE23A2">
      <w:pPr>
        <w:rPr>
          <w:shd w:val="clear" w:color="auto" w:fill="FFFFFF"/>
          <w:lang w:val="en-GB"/>
        </w:rPr>
      </w:pPr>
      <w:r>
        <w:rPr>
          <w:shd w:val="clear" w:color="auto" w:fill="FFFFFF"/>
        </w:rPr>
        <w:t>Hilli, A. and Griffith, G., (2022). “Market Power in the Domestic Fresh Meat Market.” </w:t>
      </w:r>
      <w:r>
        <w:rPr>
          <w:i/>
          <w:iCs/>
          <w:shd w:val="clear" w:color="auto" w:fill="FFFFFF"/>
        </w:rPr>
        <w:t>Australasian Agribusiness Review</w:t>
      </w:r>
      <w:r>
        <w:rPr>
          <w:shd w:val="clear" w:color="auto" w:fill="FFFFFF"/>
        </w:rPr>
        <w:t>, </w:t>
      </w:r>
      <w:r>
        <w:rPr>
          <w:i/>
          <w:iCs/>
          <w:shd w:val="clear" w:color="auto" w:fill="FFFFFF"/>
        </w:rPr>
        <w:t>30</w:t>
      </w:r>
      <w:r>
        <w:rPr>
          <w:shd w:val="clear" w:color="auto" w:fill="FFFFFF"/>
        </w:rPr>
        <w:t>(8), pp.190-217.</w:t>
      </w:r>
    </w:p>
    <w:p w14:paraId="657D10A3" w14:textId="77777777" w:rsidR="00BE23A2" w:rsidRPr="0057013C" w:rsidRDefault="00BE23A2" w:rsidP="00B14473">
      <w:pPr>
        <w:rPr>
          <w:color w:val="222222"/>
          <w:highlight w:val="white"/>
          <w:lang w:val="en-GB"/>
        </w:rPr>
      </w:pPr>
      <w:r w:rsidRPr="0057013C">
        <w:rPr>
          <w:color w:val="222222"/>
          <w:highlight w:val="white"/>
          <w:lang w:val="en-GB"/>
        </w:rPr>
        <w:t xml:space="preserve">Leavy, B., (2023). “Understanding the fundamental economics of AI.” </w:t>
      </w:r>
      <w:r w:rsidRPr="0057013C">
        <w:rPr>
          <w:i/>
          <w:color w:val="222222"/>
          <w:highlight w:val="white"/>
          <w:lang w:val="en-GB"/>
        </w:rPr>
        <w:t>Strategy &amp; Leadership</w:t>
      </w:r>
      <w:r w:rsidRPr="0057013C">
        <w:rPr>
          <w:color w:val="222222"/>
          <w:highlight w:val="white"/>
          <w:lang w:val="en-GB"/>
        </w:rPr>
        <w:t xml:space="preserve">, </w:t>
      </w:r>
      <w:r w:rsidRPr="0057013C">
        <w:rPr>
          <w:i/>
          <w:color w:val="222222"/>
          <w:highlight w:val="white"/>
          <w:lang w:val="en-GB"/>
        </w:rPr>
        <w:t>51</w:t>
      </w:r>
      <w:r w:rsidRPr="0057013C">
        <w:rPr>
          <w:color w:val="222222"/>
          <w:highlight w:val="white"/>
          <w:lang w:val="en-GB"/>
        </w:rPr>
        <w:t>(2), pp.17-23.</w:t>
      </w:r>
    </w:p>
    <w:p w14:paraId="09F42508" w14:textId="77777777" w:rsidR="00BE23A2" w:rsidRPr="0057013C" w:rsidRDefault="00BE23A2" w:rsidP="00B14473">
      <w:pPr>
        <w:rPr>
          <w:color w:val="222222"/>
          <w:highlight w:val="white"/>
          <w:lang w:val="en-GB"/>
        </w:rPr>
      </w:pPr>
      <w:r w:rsidRPr="0057013C">
        <w:rPr>
          <w:color w:val="222222"/>
          <w:highlight w:val="white"/>
          <w:lang w:val="en-GB"/>
        </w:rPr>
        <w:t xml:space="preserve">Mazzucato, M., Kattel, R. and Ryan-Collins, J., (2020). “Challenge-driven innovation policy: towards a new policy toolkit.” </w:t>
      </w:r>
      <w:r w:rsidRPr="0057013C">
        <w:rPr>
          <w:i/>
          <w:color w:val="222222"/>
          <w:highlight w:val="white"/>
          <w:lang w:val="en-GB"/>
        </w:rPr>
        <w:t>Journal of industry, competition and trade</w:t>
      </w:r>
      <w:r w:rsidRPr="0057013C">
        <w:rPr>
          <w:color w:val="222222"/>
          <w:highlight w:val="white"/>
          <w:lang w:val="en-GB"/>
        </w:rPr>
        <w:t xml:space="preserve">, </w:t>
      </w:r>
      <w:r w:rsidRPr="0057013C">
        <w:rPr>
          <w:i/>
          <w:color w:val="222222"/>
          <w:highlight w:val="white"/>
          <w:lang w:val="en-GB"/>
        </w:rPr>
        <w:t>20</w:t>
      </w:r>
      <w:r w:rsidRPr="0057013C">
        <w:rPr>
          <w:color w:val="222222"/>
          <w:highlight w:val="white"/>
          <w:lang w:val="en-GB"/>
        </w:rPr>
        <w:t>, pp.421-437.</w:t>
      </w:r>
    </w:p>
    <w:p w14:paraId="763D5D99" w14:textId="77777777" w:rsidR="00BE23A2" w:rsidRPr="0057013C" w:rsidRDefault="00BE23A2" w:rsidP="00C15871">
      <w:pPr>
        <w:rPr>
          <w:shd w:val="clear" w:color="auto" w:fill="FFFFFF"/>
          <w:lang w:val="en-GB"/>
        </w:rPr>
      </w:pPr>
      <w:r w:rsidRPr="0057013C">
        <w:rPr>
          <w:shd w:val="clear" w:color="auto" w:fill="FFFFFF"/>
          <w:lang w:val="en-GB"/>
        </w:rPr>
        <w:t>Mononen, M., (2020). “Market definition of multi-sided platforms in European Union competition law: Theory and practice”. </w:t>
      </w:r>
      <w:r w:rsidRPr="0057013C">
        <w:rPr>
          <w:i/>
          <w:iCs/>
          <w:shd w:val="clear" w:color="auto" w:fill="FFFFFF"/>
          <w:lang w:val="en-GB"/>
        </w:rPr>
        <w:t>URL: https://www. utupub. fi/handle/10024/150343</w:t>
      </w:r>
      <w:r w:rsidRPr="0057013C">
        <w:rPr>
          <w:shd w:val="clear" w:color="auto" w:fill="FFFFFF"/>
          <w:lang w:val="en-GB"/>
        </w:rPr>
        <w:t>.</w:t>
      </w:r>
    </w:p>
    <w:p w14:paraId="2B3CB18A" w14:textId="77777777" w:rsidR="00BE23A2" w:rsidRPr="0057013C" w:rsidRDefault="00BE23A2" w:rsidP="00C15871">
      <w:pPr>
        <w:rPr>
          <w:shd w:val="clear" w:color="auto" w:fill="FFFFFF"/>
          <w:lang w:val="en-GB"/>
        </w:rPr>
      </w:pPr>
      <w:r w:rsidRPr="0057013C">
        <w:rPr>
          <w:shd w:val="clear" w:color="auto" w:fill="FFFFFF"/>
          <w:lang w:val="en-GB"/>
        </w:rPr>
        <w:t xml:space="preserve">Nobis, T., Gomez-Gonzalez, C., Nesseler, C. and Dietl, H., </w:t>
      </w:r>
      <w:r>
        <w:rPr>
          <w:shd w:val="clear" w:color="auto" w:fill="FFFFFF"/>
          <w:lang w:val="en-GB"/>
        </w:rPr>
        <w:t>(</w:t>
      </w:r>
      <w:r w:rsidRPr="0057013C">
        <w:rPr>
          <w:shd w:val="clear" w:color="auto" w:fill="FFFFFF"/>
          <w:lang w:val="en-GB"/>
        </w:rPr>
        <w:t>2022</w:t>
      </w:r>
      <w:r>
        <w:rPr>
          <w:shd w:val="clear" w:color="auto" w:fill="FFFFFF"/>
          <w:lang w:val="en-GB"/>
        </w:rPr>
        <w:t>)</w:t>
      </w:r>
      <w:r w:rsidRPr="0057013C">
        <w:rPr>
          <w:shd w:val="clear" w:color="auto" w:fill="FFFFFF"/>
          <w:lang w:val="en-GB"/>
        </w:rPr>
        <w:t xml:space="preserve">. </w:t>
      </w:r>
      <w:r>
        <w:rPr>
          <w:shd w:val="clear" w:color="auto" w:fill="FFFFFF"/>
          <w:lang w:val="en-GB"/>
        </w:rPr>
        <w:t>“</w:t>
      </w:r>
      <w:r w:rsidRPr="0057013C">
        <w:rPr>
          <w:shd w:val="clear" w:color="auto" w:fill="FFFFFF"/>
          <w:lang w:val="en-GB"/>
        </w:rPr>
        <w:t>(Not) being granted the right to belong to amateur football clubs in Germany.</w:t>
      </w:r>
      <w:r>
        <w:rPr>
          <w:shd w:val="clear" w:color="auto" w:fill="FFFFFF"/>
          <w:lang w:val="en-GB"/>
        </w:rPr>
        <w:t>”</w:t>
      </w:r>
      <w:r w:rsidRPr="0057013C">
        <w:rPr>
          <w:shd w:val="clear" w:color="auto" w:fill="FFFFFF"/>
          <w:lang w:val="en-GB"/>
        </w:rPr>
        <w:t xml:space="preserve"> </w:t>
      </w:r>
      <w:r w:rsidRPr="0057013C">
        <w:rPr>
          <w:i/>
          <w:iCs/>
          <w:shd w:val="clear" w:color="auto" w:fill="FFFFFF"/>
          <w:lang w:val="en-GB"/>
        </w:rPr>
        <w:t>International Review for the Sociology of Sport</w:t>
      </w:r>
      <w:r w:rsidRPr="0057013C">
        <w:rPr>
          <w:shd w:val="clear" w:color="auto" w:fill="FFFFFF"/>
          <w:lang w:val="en-GB"/>
        </w:rPr>
        <w:t>, </w:t>
      </w:r>
      <w:r w:rsidRPr="0057013C">
        <w:rPr>
          <w:i/>
          <w:iCs/>
          <w:shd w:val="clear" w:color="auto" w:fill="FFFFFF"/>
          <w:lang w:val="en-GB"/>
        </w:rPr>
        <w:t>57</w:t>
      </w:r>
      <w:r w:rsidRPr="0057013C">
        <w:rPr>
          <w:shd w:val="clear" w:color="auto" w:fill="FFFFFF"/>
          <w:lang w:val="en-GB"/>
        </w:rPr>
        <w:t>(7), pp.1157-1174.</w:t>
      </w:r>
    </w:p>
    <w:p w14:paraId="5273D7D1" w14:textId="77777777" w:rsidR="00BE23A2" w:rsidRPr="0057013C" w:rsidRDefault="00BE23A2" w:rsidP="00C15871">
      <w:pPr>
        <w:rPr>
          <w:shd w:val="clear" w:color="auto" w:fill="FFFFFF"/>
          <w:lang w:val="en-GB"/>
        </w:rPr>
      </w:pPr>
      <w:r w:rsidRPr="0057013C">
        <w:rPr>
          <w:shd w:val="clear" w:color="auto" w:fill="FFFFFF"/>
          <w:lang w:val="en-GB"/>
        </w:rPr>
        <w:t>Pham, T.N. and Vo, D.H., (2021). “Aging population and economic growth in developing countries: a quantile regression approach”. </w:t>
      </w:r>
      <w:r w:rsidRPr="0057013C">
        <w:rPr>
          <w:i/>
          <w:iCs/>
          <w:shd w:val="clear" w:color="auto" w:fill="FFFFFF"/>
          <w:lang w:val="en-GB"/>
        </w:rPr>
        <w:t>Emerging Markets Finance and Trade</w:t>
      </w:r>
      <w:r w:rsidRPr="0057013C">
        <w:rPr>
          <w:shd w:val="clear" w:color="auto" w:fill="FFFFFF"/>
          <w:lang w:val="en-GB"/>
        </w:rPr>
        <w:t>, </w:t>
      </w:r>
      <w:r w:rsidRPr="0057013C">
        <w:rPr>
          <w:i/>
          <w:iCs/>
          <w:shd w:val="clear" w:color="auto" w:fill="FFFFFF"/>
          <w:lang w:val="en-GB"/>
        </w:rPr>
        <w:t>57</w:t>
      </w:r>
      <w:r w:rsidRPr="0057013C">
        <w:rPr>
          <w:shd w:val="clear" w:color="auto" w:fill="FFFFFF"/>
          <w:lang w:val="en-GB"/>
        </w:rPr>
        <w:t>(1), pp.108-122.</w:t>
      </w:r>
    </w:p>
    <w:p w14:paraId="412B6137" w14:textId="77777777" w:rsidR="00BE23A2" w:rsidRPr="0057013C" w:rsidRDefault="00BE23A2" w:rsidP="00B14473">
      <w:pPr>
        <w:rPr>
          <w:color w:val="222222"/>
          <w:highlight w:val="white"/>
          <w:lang w:val="en-GB"/>
        </w:rPr>
      </w:pPr>
      <w:r w:rsidRPr="0057013C">
        <w:rPr>
          <w:color w:val="222222"/>
          <w:highlight w:val="white"/>
          <w:lang w:val="en-GB"/>
        </w:rPr>
        <w:t xml:space="preserve">Roope, L.S., Smith, R.D., Pouwels, K.B., Buchanan, J., Abel, L., Eibich, P., Butler, C.C., Tan, P.S., Walker, A.S., Robotham, J.V. and Wordsworth, S., (2019). “The challenge of antimicrobial resistance: what economics can contribute.” </w:t>
      </w:r>
      <w:r w:rsidRPr="0057013C">
        <w:rPr>
          <w:i/>
          <w:color w:val="222222"/>
          <w:highlight w:val="white"/>
          <w:lang w:val="en-GB"/>
        </w:rPr>
        <w:t>Science</w:t>
      </w:r>
      <w:r w:rsidRPr="0057013C">
        <w:rPr>
          <w:color w:val="222222"/>
          <w:highlight w:val="white"/>
          <w:lang w:val="en-GB"/>
        </w:rPr>
        <w:t xml:space="preserve">, </w:t>
      </w:r>
      <w:r w:rsidRPr="0057013C">
        <w:rPr>
          <w:i/>
          <w:color w:val="222222"/>
          <w:highlight w:val="white"/>
          <w:lang w:val="en-GB"/>
        </w:rPr>
        <w:t>364</w:t>
      </w:r>
      <w:r w:rsidRPr="0057013C">
        <w:rPr>
          <w:color w:val="222222"/>
          <w:highlight w:val="white"/>
          <w:lang w:val="en-GB"/>
        </w:rPr>
        <w:t>(6435), p.eaau4679.</w:t>
      </w:r>
    </w:p>
    <w:p w14:paraId="383D5139" w14:textId="77777777" w:rsidR="00BE23A2" w:rsidRPr="0057013C" w:rsidRDefault="00BE23A2" w:rsidP="00B14473">
      <w:pPr>
        <w:rPr>
          <w:color w:val="222222"/>
          <w:highlight w:val="white"/>
          <w:lang w:val="en-GB"/>
        </w:rPr>
      </w:pPr>
      <w:r w:rsidRPr="0057013C">
        <w:rPr>
          <w:color w:val="222222"/>
          <w:highlight w:val="white"/>
          <w:lang w:val="en-GB"/>
        </w:rPr>
        <w:t xml:space="preserve">SaxunovA, D., le Roux, C.L. and Oster, M., (2022). “Financial and Economic Impact of Brexit and COVID-19 in the United Kingdom.” </w:t>
      </w:r>
      <w:r w:rsidRPr="0057013C">
        <w:rPr>
          <w:i/>
          <w:color w:val="222222"/>
          <w:highlight w:val="white"/>
          <w:lang w:val="en-GB"/>
        </w:rPr>
        <w:t>IBIMA Business Review</w:t>
      </w:r>
      <w:r w:rsidRPr="0057013C">
        <w:rPr>
          <w:color w:val="222222"/>
          <w:highlight w:val="white"/>
          <w:lang w:val="en-GB"/>
        </w:rPr>
        <w:t>.</w:t>
      </w:r>
    </w:p>
    <w:p w14:paraId="2361D42C" w14:textId="77777777" w:rsidR="00BE23A2" w:rsidRPr="0057013C" w:rsidRDefault="00BE23A2" w:rsidP="00C15871">
      <w:pPr>
        <w:rPr>
          <w:shd w:val="clear" w:color="auto" w:fill="FFFFFF"/>
          <w:lang w:val="en-GB"/>
        </w:rPr>
      </w:pPr>
      <w:r w:rsidRPr="0057013C">
        <w:rPr>
          <w:shd w:val="clear" w:color="auto" w:fill="FFFFFF"/>
          <w:lang w:val="en-GB"/>
        </w:rPr>
        <w:t>Sveikauskas, L., Soloveichik, R., Garner, C., Meyer, P.B., Bessen, J. and Russell, M., (2023). “Marketing, Other Intangibles, and Output Growth in 61 United Kingdom Industries”.</w:t>
      </w:r>
    </w:p>
    <w:p w14:paraId="7B155500" w14:textId="77777777" w:rsidR="00BE23A2" w:rsidRPr="0057013C" w:rsidRDefault="00BE23A2" w:rsidP="00B14473">
      <w:pPr>
        <w:rPr>
          <w:color w:val="222222"/>
          <w:highlight w:val="white"/>
          <w:lang w:val="en-GB"/>
        </w:rPr>
      </w:pPr>
      <w:r w:rsidRPr="0057013C">
        <w:rPr>
          <w:color w:val="222222"/>
          <w:highlight w:val="white"/>
          <w:lang w:val="en-GB"/>
        </w:rPr>
        <w:t xml:space="preserve">Tay, H.L. and Aw, H.S., (2021). “Improving logistics supplier selection process using lean six sigma–an action research case study.” </w:t>
      </w:r>
      <w:r w:rsidRPr="0057013C">
        <w:rPr>
          <w:i/>
          <w:color w:val="222222"/>
          <w:highlight w:val="white"/>
          <w:lang w:val="en-GB"/>
        </w:rPr>
        <w:t>Journal of Global Operations and Strategic Sourcing</w:t>
      </w:r>
      <w:r w:rsidRPr="0057013C">
        <w:rPr>
          <w:color w:val="222222"/>
          <w:highlight w:val="white"/>
          <w:lang w:val="en-GB"/>
        </w:rPr>
        <w:t xml:space="preserve">, </w:t>
      </w:r>
      <w:r w:rsidRPr="0057013C">
        <w:rPr>
          <w:i/>
          <w:color w:val="222222"/>
          <w:highlight w:val="white"/>
          <w:lang w:val="en-GB"/>
        </w:rPr>
        <w:t>14</w:t>
      </w:r>
      <w:r w:rsidRPr="0057013C">
        <w:rPr>
          <w:color w:val="222222"/>
          <w:highlight w:val="white"/>
          <w:lang w:val="en-GB"/>
        </w:rPr>
        <w:t>(2), pp.336-359.</w:t>
      </w:r>
    </w:p>
    <w:sectPr w:rsidR="00BE23A2" w:rsidRPr="0057013C" w:rsidSect="00B14473">
      <w:headerReference w:type="default" r:id="rId6"/>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A3CBB" w14:textId="77777777" w:rsidR="00966FCB" w:rsidRDefault="00966FCB" w:rsidP="00B14473">
      <w:pPr>
        <w:spacing w:line="240" w:lineRule="auto"/>
      </w:pPr>
      <w:r>
        <w:separator/>
      </w:r>
    </w:p>
  </w:endnote>
  <w:endnote w:type="continuationSeparator" w:id="0">
    <w:p w14:paraId="6370F5E0" w14:textId="77777777" w:rsidR="00966FCB" w:rsidRDefault="00966FCB" w:rsidP="00B144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079139"/>
      <w:docPartObj>
        <w:docPartGallery w:val="Page Numbers (Bottom of Page)"/>
        <w:docPartUnique/>
      </w:docPartObj>
    </w:sdtPr>
    <w:sdtEndPr/>
    <w:sdtContent>
      <w:sdt>
        <w:sdtPr>
          <w:id w:val="565050523"/>
          <w:docPartObj>
            <w:docPartGallery w:val="Page Numbers (Top of Page)"/>
            <w:docPartUnique/>
          </w:docPartObj>
        </w:sdtPr>
        <w:sdtEndPr/>
        <w:sdtContent>
          <w:p w14:paraId="6779D011" w14:textId="77777777" w:rsidR="00B14473" w:rsidRDefault="00B14473">
            <w:pPr>
              <w:pStyle w:val="Subsol"/>
              <w:jc w:val="right"/>
            </w:pPr>
            <w:r w:rsidRPr="00B14473">
              <w:rPr>
                <w:rFonts w:cs="Times New Roman"/>
                <w:szCs w:val="24"/>
              </w:rPr>
              <w:t xml:space="preserve">Page </w:t>
            </w:r>
            <w:r w:rsidR="00F41EB0" w:rsidRPr="00B14473">
              <w:rPr>
                <w:rFonts w:cs="Times New Roman"/>
                <w:b/>
                <w:szCs w:val="24"/>
              </w:rPr>
              <w:fldChar w:fldCharType="begin"/>
            </w:r>
            <w:r w:rsidRPr="00B14473">
              <w:rPr>
                <w:rFonts w:cs="Times New Roman"/>
                <w:b/>
                <w:szCs w:val="24"/>
              </w:rPr>
              <w:instrText xml:space="preserve"> PAGE </w:instrText>
            </w:r>
            <w:r w:rsidR="00F41EB0" w:rsidRPr="00B14473">
              <w:rPr>
                <w:rFonts w:cs="Times New Roman"/>
                <w:b/>
                <w:szCs w:val="24"/>
              </w:rPr>
              <w:fldChar w:fldCharType="separate"/>
            </w:r>
            <w:r w:rsidR="001C0FFF">
              <w:rPr>
                <w:rFonts w:cs="Times New Roman"/>
                <w:b/>
                <w:noProof/>
                <w:szCs w:val="24"/>
              </w:rPr>
              <w:t>11</w:t>
            </w:r>
            <w:r w:rsidR="00F41EB0" w:rsidRPr="00B14473">
              <w:rPr>
                <w:rFonts w:cs="Times New Roman"/>
                <w:b/>
                <w:szCs w:val="24"/>
              </w:rPr>
              <w:fldChar w:fldCharType="end"/>
            </w:r>
            <w:r w:rsidRPr="00B14473">
              <w:rPr>
                <w:rFonts w:cs="Times New Roman"/>
                <w:szCs w:val="24"/>
              </w:rPr>
              <w:t xml:space="preserve"> of </w:t>
            </w:r>
            <w:r w:rsidR="00F41EB0" w:rsidRPr="00B14473">
              <w:rPr>
                <w:rFonts w:cs="Times New Roman"/>
                <w:b/>
                <w:szCs w:val="24"/>
              </w:rPr>
              <w:fldChar w:fldCharType="begin"/>
            </w:r>
            <w:r w:rsidRPr="00B14473">
              <w:rPr>
                <w:rFonts w:cs="Times New Roman"/>
                <w:b/>
                <w:szCs w:val="24"/>
              </w:rPr>
              <w:instrText xml:space="preserve"> NUMPAGES  </w:instrText>
            </w:r>
            <w:r w:rsidR="00F41EB0" w:rsidRPr="00B14473">
              <w:rPr>
                <w:rFonts w:cs="Times New Roman"/>
                <w:b/>
                <w:szCs w:val="24"/>
              </w:rPr>
              <w:fldChar w:fldCharType="separate"/>
            </w:r>
            <w:r w:rsidR="001C0FFF">
              <w:rPr>
                <w:rFonts w:cs="Times New Roman"/>
                <w:b/>
                <w:noProof/>
                <w:szCs w:val="24"/>
              </w:rPr>
              <w:t>12</w:t>
            </w:r>
            <w:r w:rsidR="00F41EB0" w:rsidRPr="00B14473">
              <w:rPr>
                <w:rFonts w:cs="Times New Roman"/>
                <w:b/>
                <w:szCs w:val="24"/>
              </w:rPr>
              <w:fldChar w:fldCharType="end"/>
            </w:r>
          </w:p>
        </w:sdtContent>
      </w:sdt>
    </w:sdtContent>
  </w:sdt>
  <w:p w14:paraId="47300D8B" w14:textId="77777777" w:rsidR="00B14473" w:rsidRDefault="00B1447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0BBF2" w14:textId="77777777" w:rsidR="00966FCB" w:rsidRDefault="00966FCB" w:rsidP="00B14473">
      <w:pPr>
        <w:spacing w:line="240" w:lineRule="auto"/>
      </w:pPr>
      <w:r>
        <w:separator/>
      </w:r>
    </w:p>
  </w:footnote>
  <w:footnote w:type="continuationSeparator" w:id="0">
    <w:p w14:paraId="2D4C6FA9" w14:textId="77777777" w:rsidR="00966FCB" w:rsidRDefault="00966FCB" w:rsidP="00B144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A17C6" w14:textId="77777777" w:rsidR="00B14473" w:rsidRPr="00B14473" w:rsidRDefault="00B14473" w:rsidP="00B14473">
    <w:pPr>
      <w:pStyle w:val="Antet"/>
      <w:jc w:val="right"/>
      <w:rPr>
        <w:szCs w:val="24"/>
      </w:rPr>
    </w:pPr>
    <w:r w:rsidRPr="00B14473">
      <w:rPr>
        <w:rFonts w:eastAsia="Times New Roman" w:cs="Times New Roman"/>
        <w:b/>
        <w:szCs w:val="24"/>
      </w:rPr>
      <w:t>Management Economics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revisionView w:inkAnnotations="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83"/>
    <w:rsid w:val="001C0FFF"/>
    <w:rsid w:val="001E5C7F"/>
    <w:rsid w:val="002058A2"/>
    <w:rsid w:val="002069D2"/>
    <w:rsid w:val="002E6287"/>
    <w:rsid w:val="003E206D"/>
    <w:rsid w:val="00481480"/>
    <w:rsid w:val="004D72B7"/>
    <w:rsid w:val="0057013C"/>
    <w:rsid w:val="005D4A07"/>
    <w:rsid w:val="00966FCB"/>
    <w:rsid w:val="00B14473"/>
    <w:rsid w:val="00B56A83"/>
    <w:rsid w:val="00B842BD"/>
    <w:rsid w:val="00BE23A2"/>
    <w:rsid w:val="00C07395"/>
    <w:rsid w:val="00C15871"/>
    <w:rsid w:val="00C4117E"/>
    <w:rsid w:val="00C5788A"/>
    <w:rsid w:val="00CE7ABA"/>
    <w:rsid w:val="00D975FB"/>
    <w:rsid w:val="00DE45BD"/>
    <w:rsid w:val="00F41E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FE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473"/>
    <w:pPr>
      <w:spacing w:line="480" w:lineRule="auto"/>
      <w:jc w:val="both"/>
    </w:pPr>
    <w:rPr>
      <w:rFonts w:ascii="Times New Roman" w:hAnsi="Times New Roman"/>
      <w:color w:val="000000" w:themeColor="text1"/>
      <w:sz w:val="24"/>
    </w:rPr>
  </w:style>
  <w:style w:type="paragraph" w:styleId="Titlu1">
    <w:name w:val="heading 1"/>
    <w:basedOn w:val="Normal1"/>
    <w:next w:val="Normal1"/>
    <w:autoRedefine/>
    <w:qFormat/>
    <w:rsid w:val="00B14473"/>
    <w:pPr>
      <w:keepNext/>
      <w:keepLines/>
      <w:spacing w:before="400" w:after="120" w:line="480" w:lineRule="auto"/>
      <w:jc w:val="both"/>
      <w:outlineLvl w:val="0"/>
    </w:pPr>
    <w:rPr>
      <w:rFonts w:ascii="Times New Roman" w:hAnsi="Times New Roman"/>
      <w:b/>
      <w:sz w:val="28"/>
      <w:szCs w:val="40"/>
    </w:rPr>
  </w:style>
  <w:style w:type="paragraph" w:styleId="Titlu2">
    <w:name w:val="heading 2"/>
    <w:basedOn w:val="Normal1"/>
    <w:next w:val="Normal1"/>
    <w:rsid w:val="00B56A83"/>
    <w:pPr>
      <w:keepNext/>
      <w:keepLines/>
      <w:spacing w:before="360" w:after="120"/>
      <w:outlineLvl w:val="1"/>
    </w:pPr>
    <w:rPr>
      <w:sz w:val="32"/>
      <w:szCs w:val="32"/>
    </w:rPr>
  </w:style>
  <w:style w:type="paragraph" w:styleId="Titlu3">
    <w:name w:val="heading 3"/>
    <w:basedOn w:val="Normal1"/>
    <w:next w:val="Normal1"/>
    <w:rsid w:val="00B56A83"/>
    <w:pPr>
      <w:keepNext/>
      <w:keepLines/>
      <w:spacing w:before="320" w:after="80"/>
      <w:outlineLvl w:val="2"/>
    </w:pPr>
    <w:rPr>
      <w:color w:val="434343"/>
      <w:sz w:val="28"/>
      <w:szCs w:val="28"/>
    </w:rPr>
  </w:style>
  <w:style w:type="paragraph" w:styleId="Titlu4">
    <w:name w:val="heading 4"/>
    <w:basedOn w:val="Normal1"/>
    <w:next w:val="Normal1"/>
    <w:rsid w:val="00B56A83"/>
    <w:pPr>
      <w:keepNext/>
      <w:keepLines/>
      <w:spacing w:before="280" w:after="80"/>
      <w:outlineLvl w:val="3"/>
    </w:pPr>
    <w:rPr>
      <w:color w:val="666666"/>
      <w:sz w:val="24"/>
      <w:szCs w:val="24"/>
    </w:rPr>
  </w:style>
  <w:style w:type="paragraph" w:styleId="Titlu5">
    <w:name w:val="heading 5"/>
    <w:basedOn w:val="Normal1"/>
    <w:next w:val="Normal1"/>
    <w:rsid w:val="00B56A83"/>
    <w:pPr>
      <w:keepNext/>
      <w:keepLines/>
      <w:spacing w:before="240" w:after="80"/>
      <w:outlineLvl w:val="4"/>
    </w:pPr>
    <w:rPr>
      <w:color w:val="666666"/>
    </w:rPr>
  </w:style>
  <w:style w:type="paragraph" w:styleId="Titlu6">
    <w:name w:val="heading 6"/>
    <w:basedOn w:val="Normal1"/>
    <w:next w:val="Normal1"/>
    <w:rsid w:val="00B56A83"/>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B56A83"/>
  </w:style>
  <w:style w:type="paragraph" w:styleId="Titlu">
    <w:name w:val="Title"/>
    <w:basedOn w:val="Normal1"/>
    <w:next w:val="Normal1"/>
    <w:rsid w:val="00B56A83"/>
    <w:pPr>
      <w:keepNext/>
      <w:keepLines/>
      <w:spacing w:after="60"/>
    </w:pPr>
    <w:rPr>
      <w:sz w:val="52"/>
      <w:szCs w:val="52"/>
    </w:rPr>
  </w:style>
  <w:style w:type="paragraph" w:styleId="Subtitlu">
    <w:name w:val="Subtitle"/>
    <w:basedOn w:val="Normal1"/>
    <w:next w:val="Normal1"/>
    <w:rsid w:val="00B56A83"/>
    <w:pPr>
      <w:keepNext/>
      <w:keepLines/>
      <w:spacing w:after="320"/>
    </w:pPr>
    <w:rPr>
      <w:color w:val="666666"/>
      <w:sz w:val="30"/>
      <w:szCs w:val="30"/>
    </w:rPr>
  </w:style>
  <w:style w:type="paragraph" w:styleId="Antet">
    <w:name w:val="header"/>
    <w:basedOn w:val="Normal"/>
    <w:link w:val="AntetCaracter"/>
    <w:uiPriority w:val="99"/>
    <w:unhideWhenUsed/>
    <w:rsid w:val="00B14473"/>
    <w:pPr>
      <w:tabs>
        <w:tab w:val="center" w:pos="4680"/>
        <w:tab w:val="right" w:pos="9360"/>
      </w:tabs>
      <w:spacing w:line="240" w:lineRule="auto"/>
    </w:pPr>
  </w:style>
  <w:style w:type="character" w:customStyle="1" w:styleId="AntetCaracter">
    <w:name w:val="Antet Caracter"/>
    <w:basedOn w:val="Fontdeparagrafimplicit"/>
    <w:link w:val="Antet"/>
    <w:uiPriority w:val="99"/>
    <w:rsid w:val="00B14473"/>
  </w:style>
  <w:style w:type="paragraph" w:styleId="Subsol">
    <w:name w:val="footer"/>
    <w:basedOn w:val="Normal"/>
    <w:link w:val="SubsolCaracter"/>
    <w:uiPriority w:val="99"/>
    <w:unhideWhenUsed/>
    <w:rsid w:val="00B14473"/>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B14473"/>
  </w:style>
  <w:style w:type="paragraph" w:styleId="Listparagraf">
    <w:name w:val="List Paragraph"/>
    <w:basedOn w:val="Normal"/>
    <w:uiPriority w:val="34"/>
    <w:qFormat/>
    <w:rsid w:val="001C0F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2997</Words>
  <Characters>17384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2023-12-20T06:55:00Z</dcterms:created>
  <dcterms:modified xsi:type="dcterms:W3CDTF">2023-12-20T06:55:00Z</dcterms:modified>
</cp:coreProperties>
</file>