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60AB3" w14:textId="77777777" w:rsidR="00F91274" w:rsidRDefault="00F91274" w:rsidP="00F91274">
      <w:pPr>
        <w:jc w:val="center"/>
        <w:rPr>
          <w:b/>
          <w:bCs/>
          <w:sz w:val="40"/>
          <w:szCs w:val="40"/>
        </w:rPr>
      </w:pPr>
      <w:bookmarkStart w:id="0" w:name="_g73aw7ymlfxc" w:colFirst="0" w:colLast="0"/>
      <w:bookmarkEnd w:id="0"/>
    </w:p>
    <w:p w14:paraId="575A8621" w14:textId="77777777" w:rsidR="00F91274" w:rsidRDefault="00F91274" w:rsidP="00F91274">
      <w:pPr>
        <w:jc w:val="center"/>
        <w:rPr>
          <w:b/>
          <w:bCs/>
          <w:sz w:val="40"/>
          <w:szCs w:val="40"/>
        </w:rPr>
      </w:pPr>
    </w:p>
    <w:p w14:paraId="79CF2B4C" w14:textId="77777777" w:rsidR="00F91274" w:rsidRDefault="00F91274" w:rsidP="00F91274">
      <w:pPr>
        <w:jc w:val="center"/>
        <w:rPr>
          <w:b/>
          <w:bCs/>
          <w:sz w:val="40"/>
          <w:szCs w:val="40"/>
        </w:rPr>
      </w:pPr>
    </w:p>
    <w:p w14:paraId="3B362D5A" w14:textId="77777777" w:rsidR="00F91274" w:rsidRDefault="00F91274" w:rsidP="00F91274">
      <w:pPr>
        <w:jc w:val="center"/>
        <w:rPr>
          <w:b/>
          <w:bCs/>
          <w:sz w:val="40"/>
          <w:szCs w:val="40"/>
        </w:rPr>
      </w:pPr>
    </w:p>
    <w:p w14:paraId="688736FD" w14:textId="77777777" w:rsidR="00F91274" w:rsidRDefault="00F91274" w:rsidP="00F91274">
      <w:pPr>
        <w:jc w:val="center"/>
        <w:rPr>
          <w:b/>
          <w:bCs/>
          <w:sz w:val="40"/>
          <w:szCs w:val="40"/>
        </w:rPr>
      </w:pPr>
    </w:p>
    <w:p w14:paraId="5DECECC7" w14:textId="287696E2" w:rsidR="00304112" w:rsidRDefault="00F91274" w:rsidP="00F91274">
      <w:pPr>
        <w:jc w:val="center"/>
        <w:rPr>
          <w:b/>
          <w:bCs/>
          <w:sz w:val="40"/>
          <w:szCs w:val="40"/>
        </w:rPr>
      </w:pPr>
      <w:r>
        <w:rPr>
          <w:b/>
          <w:bCs/>
          <w:sz w:val="40"/>
          <w:szCs w:val="40"/>
        </w:rPr>
        <w:t>Student Name: Robert Ionut Antofie</w:t>
      </w:r>
    </w:p>
    <w:p w14:paraId="0B24EAAE" w14:textId="3479F904" w:rsidR="00F91274" w:rsidRDefault="00F91274" w:rsidP="00F91274">
      <w:pPr>
        <w:jc w:val="center"/>
        <w:rPr>
          <w:b/>
          <w:bCs/>
          <w:sz w:val="40"/>
          <w:szCs w:val="40"/>
        </w:rPr>
      </w:pPr>
      <w:r>
        <w:rPr>
          <w:b/>
          <w:bCs/>
          <w:sz w:val="40"/>
          <w:szCs w:val="40"/>
        </w:rPr>
        <w:t>Student ID: 2011970</w:t>
      </w:r>
    </w:p>
    <w:p w14:paraId="4652E239" w14:textId="372DC743" w:rsidR="00F91274" w:rsidRDefault="00F91274" w:rsidP="00F91274">
      <w:pPr>
        <w:jc w:val="center"/>
        <w:rPr>
          <w:b/>
          <w:bCs/>
          <w:sz w:val="40"/>
          <w:szCs w:val="40"/>
        </w:rPr>
      </w:pPr>
      <w:r>
        <w:rPr>
          <w:b/>
          <w:bCs/>
          <w:sz w:val="40"/>
          <w:szCs w:val="40"/>
        </w:rPr>
        <w:t>Managing People Assessment 1</w:t>
      </w:r>
    </w:p>
    <w:p w14:paraId="7242195F" w14:textId="5BB17B7A" w:rsidR="00F91274" w:rsidRPr="00F91274" w:rsidRDefault="00F91274" w:rsidP="00F91274">
      <w:pPr>
        <w:jc w:val="center"/>
        <w:rPr>
          <w:b/>
          <w:bCs/>
          <w:sz w:val="40"/>
          <w:szCs w:val="40"/>
        </w:rPr>
      </w:pPr>
      <w:r>
        <w:rPr>
          <w:b/>
          <w:bCs/>
          <w:sz w:val="40"/>
          <w:szCs w:val="40"/>
        </w:rPr>
        <w:t>Lecturer Name: Charles Oham</w:t>
      </w:r>
    </w:p>
    <w:p w14:paraId="6544843A" w14:textId="77777777" w:rsidR="00304112" w:rsidRDefault="00304112" w:rsidP="00D47380">
      <w:pPr>
        <w:pStyle w:val="Title"/>
      </w:pPr>
    </w:p>
    <w:p w14:paraId="1091A188" w14:textId="77777777" w:rsidR="00304112" w:rsidRDefault="00304112" w:rsidP="00D47380">
      <w:pPr>
        <w:pStyle w:val="Title"/>
      </w:pPr>
    </w:p>
    <w:p w14:paraId="3DEE8691" w14:textId="77777777" w:rsidR="00304112" w:rsidRDefault="00304112" w:rsidP="00D47380">
      <w:pPr>
        <w:pStyle w:val="Title"/>
      </w:pPr>
    </w:p>
    <w:p w14:paraId="02AD504E" w14:textId="77777777" w:rsidR="00304112" w:rsidRDefault="00304112" w:rsidP="00D47380">
      <w:pPr>
        <w:pStyle w:val="Title"/>
      </w:pPr>
    </w:p>
    <w:p w14:paraId="212C647E" w14:textId="77777777" w:rsidR="00D47380" w:rsidRDefault="00D47380" w:rsidP="00D47380">
      <w:pPr>
        <w:pStyle w:val="Normal1"/>
        <w:rPr>
          <w:sz w:val="32"/>
          <w:szCs w:val="32"/>
        </w:rPr>
      </w:pPr>
      <w:r>
        <w:br w:type="page"/>
      </w:r>
    </w:p>
    <w:sdt>
      <w:sdtPr>
        <w:rPr>
          <w:rFonts w:ascii="Times New Roman" w:eastAsia="Times New Roman" w:hAnsi="Times New Roman" w:cs="Times New Roman"/>
          <w:b w:val="0"/>
          <w:bCs w:val="0"/>
          <w:color w:val="auto"/>
          <w:sz w:val="24"/>
          <w:szCs w:val="24"/>
        </w:rPr>
        <w:id w:val="8883151"/>
        <w:docPartObj>
          <w:docPartGallery w:val="Table of Contents"/>
          <w:docPartUnique/>
        </w:docPartObj>
      </w:sdtPr>
      <w:sdtEndPr/>
      <w:sdtContent>
        <w:p w14:paraId="3F17FCA8" w14:textId="77777777" w:rsidR="00B05791" w:rsidRDefault="00B05791" w:rsidP="00B05791">
          <w:pPr>
            <w:pStyle w:val="TOCHeading"/>
            <w:jc w:val="center"/>
          </w:pPr>
          <w:r w:rsidRPr="00DE57D7">
            <w:rPr>
              <w:rFonts w:ascii="Times New Roman" w:hAnsi="Times New Roman" w:cs="Times New Roman"/>
              <w:color w:val="auto"/>
            </w:rPr>
            <w:t>Table of Contents</w:t>
          </w:r>
        </w:p>
        <w:p w14:paraId="16448C6E" w14:textId="77777777" w:rsidR="00B05791" w:rsidRDefault="004D375F">
          <w:pPr>
            <w:pStyle w:val="TOC1"/>
            <w:tabs>
              <w:tab w:val="right" w:leader="dot" w:pos="9019"/>
            </w:tabs>
            <w:rPr>
              <w:noProof/>
            </w:rPr>
          </w:pPr>
          <w:r>
            <w:fldChar w:fldCharType="begin"/>
          </w:r>
          <w:r w:rsidR="00B05791">
            <w:instrText xml:space="preserve"> TOC \o "1-3" \h \z \u </w:instrText>
          </w:r>
          <w:r>
            <w:fldChar w:fldCharType="separate"/>
          </w:r>
          <w:hyperlink w:anchor="_Toc98266209" w:history="1">
            <w:r w:rsidR="00B05791" w:rsidRPr="005D557E">
              <w:rPr>
                <w:rStyle w:val="Hyperlink"/>
                <w:noProof/>
              </w:rPr>
              <w:t>Introduction</w:t>
            </w:r>
            <w:r w:rsidR="00B05791">
              <w:rPr>
                <w:noProof/>
                <w:webHidden/>
              </w:rPr>
              <w:tab/>
            </w:r>
            <w:r>
              <w:rPr>
                <w:noProof/>
                <w:webHidden/>
              </w:rPr>
              <w:fldChar w:fldCharType="begin"/>
            </w:r>
            <w:r w:rsidR="00B05791">
              <w:rPr>
                <w:noProof/>
                <w:webHidden/>
              </w:rPr>
              <w:instrText xml:space="preserve"> PAGEREF _Toc98266209 \h </w:instrText>
            </w:r>
            <w:r>
              <w:rPr>
                <w:noProof/>
                <w:webHidden/>
              </w:rPr>
            </w:r>
            <w:r>
              <w:rPr>
                <w:noProof/>
                <w:webHidden/>
              </w:rPr>
              <w:fldChar w:fldCharType="separate"/>
            </w:r>
            <w:r w:rsidR="00B05791">
              <w:rPr>
                <w:noProof/>
                <w:webHidden/>
              </w:rPr>
              <w:t>2</w:t>
            </w:r>
            <w:r>
              <w:rPr>
                <w:noProof/>
                <w:webHidden/>
              </w:rPr>
              <w:fldChar w:fldCharType="end"/>
            </w:r>
          </w:hyperlink>
        </w:p>
        <w:p w14:paraId="5ECC11CE" w14:textId="77777777" w:rsidR="00B05791" w:rsidRDefault="00BF0667">
          <w:pPr>
            <w:pStyle w:val="TOC1"/>
            <w:tabs>
              <w:tab w:val="right" w:leader="dot" w:pos="9019"/>
            </w:tabs>
            <w:rPr>
              <w:noProof/>
            </w:rPr>
          </w:pPr>
          <w:hyperlink w:anchor="_Toc98266210" w:history="1">
            <w:r w:rsidR="00B05791" w:rsidRPr="005D557E">
              <w:rPr>
                <w:rStyle w:val="Hyperlink"/>
                <w:noProof/>
              </w:rPr>
              <w:t>“Flexible working in relation to diversity and inclusion at work and analysing the role of Human Resources in promoting diversity and inclusion through flexible working”</w:t>
            </w:r>
            <w:r w:rsidR="00B05791">
              <w:rPr>
                <w:noProof/>
                <w:webHidden/>
              </w:rPr>
              <w:tab/>
            </w:r>
            <w:r w:rsidR="004D375F">
              <w:rPr>
                <w:noProof/>
                <w:webHidden/>
              </w:rPr>
              <w:fldChar w:fldCharType="begin"/>
            </w:r>
            <w:r w:rsidR="00B05791">
              <w:rPr>
                <w:noProof/>
                <w:webHidden/>
              </w:rPr>
              <w:instrText xml:space="preserve"> PAGEREF _Toc98266210 \h </w:instrText>
            </w:r>
            <w:r w:rsidR="004D375F">
              <w:rPr>
                <w:noProof/>
                <w:webHidden/>
              </w:rPr>
            </w:r>
            <w:r w:rsidR="004D375F">
              <w:rPr>
                <w:noProof/>
                <w:webHidden/>
              </w:rPr>
              <w:fldChar w:fldCharType="separate"/>
            </w:r>
            <w:r w:rsidR="00B05791">
              <w:rPr>
                <w:noProof/>
                <w:webHidden/>
              </w:rPr>
              <w:t>3</w:t>
            </w:r>
            <w:r w:rsidR="004D375F">
              <w:rPr>
                <w:noProof/>
                <w:webHidden/>
              </w:rPr>
              <w:fldChar w:fldCharType="end"/>
            </w:r>
          </w:hyperlink>
        </w:p>
        <w:p w14:paraId="55D3EE5E" w14:textId="77777777" w:rsidR="00B05791" w:rsidRDefault="00BF0667">
          <w:pPr>
            <w:pStyle w:val="TOC1"/>
            <w:tabs>
              <w:tab w:val="right" w:leader="dot" w:pos="9019"/>
            </w:tabs>
            <w:rPr>
              <w:noProof/>
            </w:rPr>
          </w:pPr>
          <w:hyperlink w:anchor="_Toc98266211" w:history="1">
            <w:r w:rsidR="00B05791" w:rsidRPr="005D557E">
              <w:rPr>
                <w:rStyle w:val="Hyperlink"/>
                <w:noProof/>
              </w:rPr>
              <w:t>“Flexible working in relation to inequality at work and analysing the role of Human Resources in addressing the concerns of inequality that may arise from flexible working”.</w:t>
            </w:r>
            <w:r w:rsidR="00B05791">
              <w:rPr>
                <w:noProof/>
                <w:webHidden/>
              </w:rPr>
              <w:tab/>
            </w:r>
            <w:r w:rsidR="004D375F">
              <w:rPr>
                <w:noProof/>
                <w:webHidden/>
              </w:rPr>
              <w:fldChar w:fldCharType="begin"/>
            </w:r>
            <w:r w:rsidR="00B05791">
              <w:rPr>
                <w:noProof/>
                <w:webHidden/>
              </w:rPr>
              <w:instrText xml:space="preserve"> PAGEREF _Toc98266211 \h </w:instrText>
            </w:r>
            <w:r w:rsidR="004D375F">
              <w:rPr>
                <w:noProof/>
                <w:webHidden/>
              </w:rPr>
            </w:r>
            <w:r w:rsidR="004D375F">
              <w:rPr>
                <w:noProof/>
                <w:webHidden/>
              </w:rPr>
              <w:fldChar w:fldCharType="separate"/>
            </w:r>
            <w:r w:rsidR="00B05791">
              <w:rPr>
                <w:noProof/>
                <w:webHidden/>
              </w:rPr>
              <w:t>6</w:t>
            </w:r>
            <w:r w:rsidR="004D375F">
              <w:rPr>
                <w:noProof/>
                <w:webHidden/>
              </w:rPr>
              <w:fldChar w:fldCharType="end"/>
            </w:r>
          </w:hyperlink>
        </w:p>
        <w:p w14:paraId="3E6C6085" w14:textId="77777777" w:rsidR="00B05791" w:rsidRDefault="00BF0667">
          <w:pPr>
            <w:pStyle w:val="TOC1"/>
            <w:tabs>
              <w:tab w:val="right" w:leader="dot" w:pos="9019"/>
            </w:tabs>
            <w:rPr>
              <w:noProof/>
            </w:rPr>
          </w:pPr>
          <w:hyperlink w:anchor="_Toc98266212" w:history="1">
            <w:r w:rsidR="00B05791" w:rsidRPr="005D557E">
              <w:rPr>
                <w:rStyle w:val="Hyperlink"/>
                <w:noProof/>
              </w:rPr>
              <w:t>Conclusion</w:t>
            </w:r>
            <w:r w:rsidR="00B05791">
              <w:rPr>
                <w:noProof/>
                <w:webHidden/>
              </w:rPr>
              <w:tab/>
            </w:r>
            <w:r w:rsidR="004D375F">
              <w:rPr>
                <w:noProof/>
                <w:webHidden/>
              </w:rPr>
              <w:fldChar w:fldCharType="begin"/>
            </w:r>
            <w:r w:rsidR="00B05791">
              <w:rPr>
                <w:noProof/>
                <w:webHidden/>
              </w:rPr>
              <w:instrText xml:space="preserve"> PAGEREF _Toc98266212 \h </w:instrText>
            </w:r>
            <w:r w:rsidR="004D375F">
              <w:rPr>
                <w:noProof/>
                <w:webHidden/>
              </w:rPr>
            </w:r>
            <w:r w:rsidR="004D375F">
              <w:rPr>
                <w:noProof/>
                <w:webHidden/>
              </w:rPr>
              <w:fldChar w:fldCharType="separate"/>
            </w:r>
            <w:r w:rsidR="00B05791">
              <w:rPr>
                <w:noProof/>
                <w:webHidden/>
              </w:rPr>
              <w:t>9</w:t>
            </w:r>
            <w:r w:rsidR="004D375F">
              <w:rPr>
                <w:noProof/>
                <w:webHidden/>
              </w:rPr>
              <w:fldChar w:fldCharType="end"/>
            </w:r>
          </w:hyperlink>
        </w:p>
        <w:p w14:paraId="5EBF9605" w14:textId="77777777" w:rsidR="00B05791" w:rsidRDefault="00BF0667">
          <w:pPr>
            <w:pStyle w:val="TOC1"/>
            <w:tabs>
              <w:tab w:val="right" w:leader="dot" w:pos="9019"/>
            </w:tabs>
            <w:rPr>
              <w:noProof/>
            </w:rPr>
          </w:pPr>
          <w:hyperlink w:anchor="_Toc98266213" w:history="1">
            <w:r w:rsidR="00B05791" w:rsidRPr="005D557E">
              <w:rPr>
                <w:rStyle w:val="Hyperlink"/>
                <w:noProof/>
              </w:rPr>
              <w:t>Reference</w:t>
            </w:r>
            <w:r w:rsidR="00B05791">
              <w:rPr>
                <w:noProof/>
                <w:webHidden/>
              </w:rPr>
              <w:tab/>
            </w:r>
            <w:r w:rsidR="004D375F">
              <w:rPr>
                <w:noProof/>
                <w:webHidden/>
              </w:rPr>
              <w:fldChar w:fldCharType="begin"/>
            </w:r>
            <w:r w:rsidR="00B05791">
              <w:rPr>
                <w:noProof/>
                <w:webHidden/>
              </w:rPr>
              <w:instrText xml:space="preserve"> PAGEREF _Toc98266213 \h </w:instrText>
            </w:r>
            <w:r w:rsidR="004D375F">
              <w:rPr>
                <w:noProof/>
                <w:webHidden/>
              </w:rPr>
            </w:r>
            <w:r w:rsidR="004D375F">
              <w:rPr>
                <w:noProof/>
                <w:webHidden/>
              </w:rPr>
              <w:fldChar w:fldCharType="separate"/>
            </w:r>
            <w:r w:rsidR="00B05791">
              <w:rPr>
                <w:noProof/>
                <w:webHidden/>
              </w:rPr>
              <w:t>10</w:t>
            </w:r>
            <w:r w:rsidR="004D375F">
              <w:rPr>
                <w:noProof/>
                <w:webHidden/>
              </w:rPr>
              <w:fldChar w:fldCharType="end"/>
            </w:r>
          </w:hyperlink>
        </w:p>
        <w:p w14:paraId="76EB377F" w14:textId="77777777" w:rsidR="00B05791" w:rsidRDefault="004D375F">
          <w:r>
            <w:fldChar w:fldCharType="end"/>
          </w:r>
        </w:p>
      </w:sdtContent>
    </w:sdt>
    <w:p w14:paraId="38BD02BE" w14:textId="77777777" w:rsidR="00547130" w:rsidRDefault="004C2C53" w:rsidP="00B05791">
      <w:pPr>
        <w:pStyle w:val="Title"/>
        <w:jc w:val="both"/>
      </w:pPr>
      <w:r>
        <w:br w:type="page"/>
      </w:r>
    </w:p>
    <w:p w14:paraId="461EF363" w14:textId="77777777" w:rsidR="00547130" w:rsidRDefault="004C2C53">
      <w:pPr>
        <w:pStyle w:val="Heading1"/>
      </w:pPr>
      <w:bookmarkStart w:id="1" w:name="_kb0ssx9g9f0b" w:colFirst="0" w:colLast="0"/>
      <w:bookmarkStart w:id="2" w:name="_Toc98266209"/>
      <w:bookmarkEnd w:id="1"/>
      <w:r>
        <w:lastRenderedPageBreak/>
        <w:t>Introduction</w:t>
      </w:r>
      <w:bookmarkEnd w:id="2"/>
    </w:p>
    <w:p w14:paraId="2C6BF7EE" w14:textId="77777777" w:rsidR="00547130" w:rsidRDefault="00D47380">
      <w:pPr>
        <w:pStyle w:val="Normal1"/>
      </w:pPr>
      <w:r>
        <w:t>The M</w:t>
      </w:r>
      <w:r w:rsidR="004C2C53">
        <w:t xml:space="preserve">arks and </w:t>
      </w:r>
      <w:r>
        <w:t>Spencer</w:t>
      </w:r>
      <w:r w:rsidR="004C2C53">
        <w:t xml:space="preserve"> company is the retail based industry which was established at the year of 1884 and it is also known as M&amp;S in short. Being </w:t>
      </w:r>
      <w:r>
        <w:t>retail</w:t>
      </w:r>
      <w:r w:rsidR="004C2C53">
        <w:t xml:space="preserve"> based industry it has been functioning in the United Kingdom for around decade and it has operated about more than 300 retail outlets around the UK.  According to the scenario of the assessment which seeks for the roles and responsibilities of HR in the company and the issues aroused due to the flexible working will be done. The topic of the report is based on the topic Managing People and it will provide a brief knowledge of flexible working in relation to diversity and inclusion at work and analysing the role of Human Resources in promoting diversity and inclusion through flexible working will be done. The report will also provide a brief </w:t>
      </w:r>
      <w:r>
        <w:t>knowledge</w:t>
      </w:r>
      <w:r w:rsidR="004C2C53">
        <w:t xml:space="preserve"> of “Flexible working in relation to inequality at work and analysing the role of Human Resources in addressing the concerns of inequality that may arise from flexible working” which will be done. Being the </w:t>
      </w:r>
      <w:r>
        <w:t>functioning HR</w:t>
      </w:r>
      <w:r w:rsidR="004C2C53">
        <w:t xml:space="preserve"> of the company marks and Spencer the report will discuss the different job roles of HR mainly concerning the inequality aroused in the company.</w:t>
      </w:r>
    </w:p>
    <w:p w14:paraId="45132C91" w14:textId="77777777" w:rsidR="00547130" w:rsidRDefault="004C2C53">
      <w:pPr>
        <w:pStyle w:val="Heading1"/>
      </w:pPr>
      <w:bookmarkStart w:id="3" w:name="_rhxixu59eb89" w:colFirst="0" w:colLast="0"/>
      <w:bookmarkEnd w:id="3"/>
      <w:r>
        <w:br w:type="page"/>
      </w:r>
      <w:bookmarkStart w:id="4" w:name="_Toc98266210"/>
      <w:r>
        <w:lastRenderedPageBreak/>
        <w:t>“Flexible working in relation to diversity and inclusion at work and analysing the role of Human Resources in promoting diversity and inclusion through flexible working”</w:t>
      </w:r>
      <w:bookmarkEnd w:id="4"/>
      <w:r>
        <w:t xml:space="preserve"> </w:t>
      </w:r>
    </w:p>
    <w:p w14:paraId="0BA19EFB" w14:textId="77777777" w:rsidR="00547130" w:rsidRDefault="004C2C53">
      <w:pPr>
        <w:pStyle w:val="Normal1"/>
      </w:pPr>
      <w:r>
        <w:t xml:space="preserve">In simple terms, diversity is related to the differences and inclusion is all about embracing all those differences. Flexible working is the working arrangements that significantly allows the employees to vary the timing, amount and location related to the work depending upon the mutual benefits of the organisation as well as the individuals (Syed and Ozbilgin, 2019). Therefore, to maintain the diversity practices in a flexible workplace, it is necessary to facilitate such a work culture that is inclusive in nature. Even though companies like Marks and Spencer have been focusing on their diversity and inclusion over the past few years, there are several areas of improvement. Diversity in the workplace can significantly foster the productivity and engagement of the employees and can also help in maintaining proper problem-solving abilities as various perspectives generally provide new ways of meeting the business challenges (Ewald </w:t>
      </w:r>
      <w:r>
        <w:rPr>
          <w:i/>
        </w:rPr>
        <w:t>et al.,</w:t>
      </w:r>
      <w:r>
        <w:t xml:space="preserve"> 2020). Greater diversity in the workplace triggers financial performance and innovations. Marks and Spencer is significantly making efforts towards developing diversity and inclusion, therefore it has been investing to support employee resource groups and receives significant backing “from the leadership teams”. The role of HR in promoting inclusion and diversity in Marks and Spencer are as follows:</w:t>
      </w:r>
    </w:p>
    <w:p w14:paraId="525CB0AA" w14:textId="77777777" w:rsidR="00547130" w:rsidRDefault="004C2C53">
      <w:pPr>
        <w:pStyle w:val="Normal1"/>
        <w:rPr>
          <w:b/>
        </w:rPr>
      </w:pPr>
      <w:r>
        <w:rPr>
          <w:b/>
        </w:rPr>
        <w:t>“Being aware of unconscious bias”</w:t>
      </w:r>
    </w:p>
    <w:p w14:paraId="48F24D6A" w14:textId="77777777" w:rsidR="00547130" w:rsidRDefault="004C2C53">
      <w:pPr>
        <w:pStyle w:val="Normal1"/>
      </w:pPr>
      <w:r>
        <w:t xml:space="preserve">Building awareness and understanding bias is believed to be the initial stage towards the actual change that can take place in the company. The leaders of Marks and Spencer can help its employees to understand the </w:t>
      </w:r>
      <w:r w:rsidR="00D47380">
        <w:t>impacts that</w:t>
      </w:r>
      <w:r>
        <w:t xml:space="preserve"> the unconscious bias can cause and the actions that can reinforce biases. For that matter, the company can encourage its employees to question, review and analyse their personal assumptions and biases. </w:t>
      </w:r>
    </w:p>
    <w:p w14:paraId="1290A551" w14:textId="77777777" w:rsidR="00547130" w:rsidRDefault="004C2C53">
      <w:pPr>
        <w:pStyle w:val="Normal1"/>
        <w:rPr>
          <w:b/>
        </w:rPr>
      </w:pPr>
      <w:r>
        <w:rPr>
          <w:b/>
        </w:rPr>
        <w:t>“Successfully communicating the importance of managing bias”</w:t>
      </w:r>
    </w:p>
    <w:p w14:paraId="5222C4AE" w14:textId="77777777" w:rsidR="00547130" w:rsidRDefault="004C2C53">
      <w:pPr>
        <w:pStyle w:val="Normal1"/>
      </w:pPr>
      <w:r>
        <w:t xml:space="preserve">Cultural humility is a way that employees and leaders and leaders of the company can manage bias by fostering an inclusive </w:t>
      </w:r>
      <w:r w:rsidR="00D47380">
        <w:t>environment (</w:t>
      </w:r>
      <w:r>
        <w:t xml:space="preserve">Yu </w:t>
      </w:r>
      <w:r>
        <w:rPr>
          <w:i/>
        </w:rPr>
        <w:t>et al.</w:t>
      </w:r>
      <w:r>
        <w:t xml:space="preserve">, 2019). This idea consists of remaining humble and curious regarding the cultural differences. There is also a significant way the company can help the employees to manage and understand their biases with the help of training and technology that guides them with the actions to move forward. </w:t>
      </w:r>
    </w:p>
    <w:p w14:paraId="1AE02027" w14:textId="77777777" w:rsidR="00547130" w:rsidRDefault="004C2C53">
      <w:pPr>
        <w:pStyle w:val="Normal1"/>
        <w:rPr>
          <w:b/>
        </w:rPr>
      </w:pPr>
      <w:r>
        <w:rPr>
          <w:b/>
        </w:rPr>
        <w:t>“Promoting pay equity”</w:t>
      </w:r>
    </w:p>
    <w:p w14:paraId="233E42F3" w14:textId="77777777" w:rsidR="00547130" w:rsidRDefault="004C2C53">
      <w:pPr>
        <w:pStyle w:val="Normal1"/>
      </w:pPr>
      <w:r>
        <w:t xml:space="preserve">Managers of the company can provide possible opportunities and “level out the playing” for the employees individually. The company can make use of the analytics in order to identify </w:t>
      </w:r>
      <w:r>
        <w:lastRenderedPageBreak/>
        <w:t xml:space="preserve">the employees who are underpaid for equal responsibilities and roles. It can also help in identifying the pay gaps that might occur within the team and patterns can be assessed by the leaders within the departments to understand the root cause of the issues. </w:t>
      </w:r>
    </w:p>
    <w:p w14:paraId="269B2265" w14:textId="77777777" w:rsidR="00547130" w:rsidRDefault="004C2C53">
      <w:pPr>
        <w:pStyle w:val="Normal1"/>
        <w:rPr>
          <w:b/>
        </w:rPr>
      </w:pPr>
      <w:r>
        <w:rPr>
          <w:b/>
        </w:rPr>
        <w:t>“Developing a strategic training program”</w:t>
      </w:r>
    </w:p>
    <w:p w14:paraId="2883466C" w14:textId="77777777" w:rsidR="00547130" w:rsidRDefault="004C2C53">
      <w:pPr>
        <w:pStyle w:val="Normal1"/>
      </w:pPr>
      <w:r>
        <w:t xml:space="preserve">Diversity training provided by the company can help the employee to understand the impact of the cultural differences on the way people interact and work at the workplace. It includes style of communication, concepts of time, dealing with conflicts and self-identity (Stankevičiūtė and Savanevičienė, 2018). Diversity training for the companies that are optional generally proves to be more effective than those that are made mandatory. The company can also focus on the training that is significantly relevant to Mark and Spencer and its employees, that will align with their initiatives related to diversity and inclusion along with the identified challenges. </w:t>
      </w:r>
    </w:p>
    <w:p w14:paraId="4F316CE2" w14:textId="77777777" w:rsidR="00547130" w:rsidRDefault="004C2C53">
      <w:pPr>
        <w:pStyle w:val="Normal1"/>
        <w:rPr>
          <w:b/>
        </w:rPr>
      </w:pPr>
      <w:r>
        <w:rPr>
          <w:b/>
        </w:rPr>
        <w:t>“Acknowledging holidays of all cultures”</w:t>
      </w:r>
    </w:p>
    <w:p w14:paraId="362AF72A" w14:textId="77777777" w:rsidR="00547130" w:rsidRDefault="004C2C53">
      <w:pPr>
        <w:pStyle w:val="Normal1"/>
      </w:pPr>
      <w:r>
        <w:t xml:space="preserve">Being aware of the variety of the cultural and religious dates is another important way to build awareness to foster diversity and inclusivity. On that matter, the company’s intranet can be used in order to help the employees to keep track of the celebrations and multicultural holidays (Stankevičiūtė and Savanevičienė, 2018). This can be kept in mind while scheduling meetings and other important official events by understanding different requirements of the employees that need flexibility. </w:t>
      </w:r>
    </w:p>
    <w:p w14:paraId="2958D0AA" w14:textId="77777777" w:rsidR="00547130" w:rsidRDefault="004C2C53">
      <w:pPr>
        <w:pStyle w:val="Normal1"/>
        <w:rPr>
          <w:b/>
        </w:rPr>
      </w:pPr>
      <w:r>
        <w:rPr>
          <w:b/>
        </w:rPr>
        <w:t>“Making it easier for the individuals to participate in ERGs”</w:t>
      </w:r>
    </w:p>
    <w:p w14:paraId="4F49CB65" w14:textId="77777777" w:rsidR="00547130" w:rsidRDefault="004C2C53">
      <w:pPr>
        <w:pStyle w:val="Normal1"/>
      </w:pPr>
      <w:r>
        <w:t xml:space="preserve">ERGs help in developing the culture of belonging and connection. This makes the employees’ participation easier in terms of creating a different pay code for tracking the time for ERG meetings (Sekhar </w:t>
      </w:r>
      <w:r>
        <w:rPr>
          <w:i/>
        </w:rPr>
        <w:t>et al.</w:t>
      </w:r>
      <w:r>
        <w:t xml:space="preserve">, 2018). The employees can also be asked to share projects or initiatives based on the ERG. It is critical to get the senior leaders on board. A leadership sponsor or an executive can help in developing teh innovation, visibility and awareness and can also help in aligning the activities related to ERG along with the business goals. </w:t>
      </w:r>
    </w:p>
    <w:p w14:paraId="5D0CC006" w14:textId="77777777" w:rsidR="00547130" w:rsidRDefault="004C2C53">
      <w:pPr>
        <w:pStyle w:val="Normal1"/>
        <w:rPr>
          <w:b/>
        </w:rPr>
      </w:pPr>
      <w:r>
        <w:rPr>
          <w:b/>
        </w:rPr>
        <w:t>“Mixing up the teams”</w:t>
      </w:r>
    </w:p>
    <w:p w14:paraId="4D2F9A51" w14:textId="77777777" w:rsidR="00547130" w:rsidRDefault="004C2C53">
      <w:pPr>
        <w:pStyle w:val="Normal1"/>
      </w:pPr>
      <w:r>
        <w:t xml:space="preserve">A cross-section or mixing of talents helps in enhancing the perspective that will help in spurring up the creativity on the teams. Inviting a different cultural background, gender, age in a homogeneous team can help in building diversity (Sekhar </w:t>
      </w:r>
      <w:r>
        <w:rPr>
          <w:i/>
        </w:rPr>
        <w:t>et al.</w:t>
      </w:r>
      <w:r>
        <w:t xml:space="preserve">, 2018). That generally impacts the team positively in terms of innovation and creativity. It also creates a lot of values in working with various perspectives, which significantly inspires novel thinking, connecting new ideas and several approaches towards problem-solving. </w:t>
      </w:r>
    </w:p>
    <w:p w14:paraId="36400419" w14:textId="77777777" w:rsidR="00547130" w:rsidRDefault="004C2C53">
      <w:pPr>
        <w:pStyle w:val="Normal1"/>
        <w:rPr>
          <w:b/>
        </w:rPr>
      </w:pPr>
      <w:r>
        <w:rPr>
          <w:b/>
        </w:rPr>
        <w:t>Facilitating ongoing feedback</w:t>
      </w:r>
    </w:p>
    <w:p w14:paraId="50E9F16C" w14:textId="77777777" w:rsidR="00547130" w:rsidRDefault="004C2C53">
      <w:pPr>
        <w:pStyle w:val="Normal1"/>
      </w:pPr>
      <w:r>
        <w:lastRenderedPageBreak/>
        <w:t xml:space="preserve">The company can also encourage the employees to share their valuable feedback in order to have a better understanding to identify if </w:t>
      </w:r>
      <w:r w:rsidR="00184587">
        <w:t>there’s any underlying issue</w:t>
      </w:r>
      <w:r>
        <w:t xml:space="preserve"> taking place. Organising “pulse survey across the workplace” will help the HR managers with the required information in order to make better decisions and eliminate or reduce any bias or discrimination within a specific area or branch of the company (Bernstein </w:t>
      </w:r>
      <w:r>
        <w:rPr>
          <w:i/>
        </w:rPr>
        <w:t>et al.</w:t>
      </w:r>
      <w:r>
        <w:t xml:space="preserve">, 2020). HR managers of the company can significantly encourage the employees to make use of the check-in and engagement tools for facilitating the conversations and communicate transparently about their feelings. </w:t>
      </w:r>
    </w:p>
    <w:p w14:paraId="39DF9ADF" w14:textId="77777777" w:rsidR="00547130" w:rsidRDefault="004C2C53">
      <w:pPr>
        <w:pStyle w:val="Normal1"/>
        <w:rPr>
          <w:b/>
        </w:rPr>
      </w:pPr>
      <w:r>
        <w:rPr>
          <w:b/>
        </w:rPr>
        <w:t>Accessing the policies of the company</w:t>
      </w:r>
    </w:p>
    <w:p w14:paraId="5245204C" w14:textId="77777777" w:rsidR="00547130" w:rsidRDefault="004C2C53">
      <w:pPr>
        <w:pStyle w:val="Normal1"/>
      </w:pPr>
      <w:r>
        <w:t xml:space="preserve">Interpersonal interactions and company policies in terms of handling of internal issues play a significant role in “perpetuating the existing problems”. One of the main reasons behind an employee leaving the company is due to the lack of interpersonal interactions. Therefore, the HR managers are required to determine if the policies </w:t>
      </w:r>
      <w:r w:rsidR="00B05791">
        <w:t>perpetuates</w:t>
      </w:r>
      <w:r>
        <w:t xml:space="preserve"> or enables discrimination in the work environment like sexism or racism and reshaping them to move forward towards building an equitable workplace. </w:t>
      </w:r>
    </w:p>
    <w:p w14:paraId="40F4E1CB" w14:textId="77777777" w:rsidR="00547130" w:rsidRDefault="004C2C53">
      <w:pPr>
        <w:pStyle w:val="Normal1"/>
        <w:rPr>
          <w:b/>
        </w:rPr>
      </w:pPr>
      <w:r>
        <w:rPr>
          <w:b/>
        </w:rPr>
        <w:t>Tracking the progress over the extended periods of time</w:t>
      </w:r>
    </w:p>
    <w:p w14:paraId="0D870EF4" w14:textId="77777777" w:rsidR="00547130" w:rsidRDefault="004C2C53">
      <w:pPr>
        <w:pStyle w:val="Normal1"/>
      </w:pPr>
      <w:r>
        <w:t xml:space="preserve">Cultural shifts within the company might take time due to which the company sets benchmarks and tracks the progress (Bernstein </w:t>
      </w:r>
      <w:r>
        <w:rPr>
          <w:i/>
        </w:rPr>
        <w:t>et al.</w:t>
      </w:r>
      <w:r>
        <w:t xml:space="preserve">, 2020). This will not only help the managers to understand the strategies that are working and that are failing “but will also help the company to hold them accountable” in fulfilling the long-term goals of the company.  </w:t>
      </w:r>
    </w:p>
    <w:p w14:paraId="115550D4" w14:textId="77777777" w:rsidR="00547130" w:rsidRDefault="00547130">
      <w:pPr>
        <w:pStyle w:val="Normal1"/>
        <w:rPr>
          <w:b/>
        </w:rPr>
      </w:pPr>
    </w:p>
    <w:p w14:paraId="110A929C" w14:textId="77777777" w:rsidR="00547130" w:rsidRDefault="00547130">
      <w:pPr>
        <w:pStyle w:val="Normal1"/>
      </w:pPr>
    </w:p>
    <w:p w14:paraId="5DA729FC" w14:textId="77777777" w:rsidR="00547130" w:rsidRDefault="004C2C53">
      <w:pPr>
        <w:pStyle w:val="Normal1"/>
      </w:pPr>
      <w:r>
        <w:br w:type="page"/>
      </w:r>
    </w:p>
    <w:p w14:paraId="7102950A" w14:textId="77777777" w:rsidR="00547130" w:rsidRDefault="004C2C53">
      <w:pPr>
        <w:pStyle w:val="Heading1"/>
      </w:pPr>
      <w:bookmarkStart w:id="5" w:name="_w237oglt2e1a" w:colFirst="0" w:colLast="0"/>
      <w:bookmarkStart w:id="6" w:name="_Toc98266211"/>
      <w:bookmarkEnd w:id="5"/>
      <w:r>
        <w:lastRenderedPageBreak/>
        <w:t>“Flexible working in relation to inequality at work and analysing the role of Human Resources in addressing the concerns of inequality that may arise from flexible working”</w:t>
      </w:r>
      <w:bookmarkEnd w:id="6"/>
    </w:p>
    <w:p w14:paraId="0B1CA170" w14:textId="77777777" w:rsidR="00547130" w:rsidRDefault="004C2C53">
      <w:pPr>
        <w:pStyle w:val="Normal1"/>
      </w:pPr>
      <w:r>
        <w:t xml:space="preserve">Flexible working refers to the situation where the employees can choose a certain working time in order to </w:t>
      </w:r>
      <w:r w:rsidR="00184587">
        <w:t>fulfill</w:t>
      </w:r>
      <w:r>
        <w:t xml:space="preserve"> their other daily tasks. Flexible working holds certain benefits as it is able to retain a more diverse and skilled workforce (Lazarova </w:t>
      </w:r>
      <w:r>
        <w:rPr>
          <w:i/>
        </w:rPr>
        <w:t>et al</w:t>
      </w:r>
      <w:r>
        <w:t>, 2021). While in relation to the inequality at the workplace due to flexible working the inequality is stated as the state of the individual not being equal according to status, opportunities and rights. Thus, as the newly appointed HR of the company Marks and Spencer there is a certain job role of the HR in the company in addressing the concerns of the inequality which can rise through the flexible working in the company. Therefore, while addressing the concerns of inequality aroused i</w:t>
      </w:r>
      <w:r w:rsidR="005556B7">
        <w:t>n the workplace of the company M</w:t>
      </w:r>
      <w:r>
        <w:t xml:space="preserve">arks and </w:t>
      </w:r>
      <w:r w:rsidR="00184587">
        <w:t>Spencer</w:t>
      </w:r>
      <w:r>
        <w:t xml:space="preserve"> due to the flexible working  and the inequalities and discrimination faced in the company. The flexible working in the company affects the company as it holds certain positive and negative factors from the inequalities faced in t</w:t>
      </w:r>
      <w:r w:rsidR="005556B7">
        <w:t>he workplace of the company of M</w:t>
      </w:r>
      <w:r>
        <w:t xml:space="preserve">arks and </w:t>
      </w:r>
      <w:r w:rsidR="00184587">
        <w:t>Spencer</w:t>
      </w:r>
      <w:r>
        <w:t>. The major role of the HR in the company mainly seeks for the recruitment, training and development of the em</w:t>
      </w:r>
      <w:r w:rsidR="00184587">
        <w:t>ployees and being an HR of the M</w:t>
      </w:r>
      <w:r>
        <w:t xml:space="preserve">arks and </w:t>
      </w:r>
      <w:r w:rsidR="00184587">
        <w:t>Spencer</w:t>
      </w:r>
      <w:r>
        <w:t xml:space="preserve"> </w:t>
      </w:r>
      <w:r w:rsidR="00184587">
        <w:t>Company</w:t>
      </w:r>
      <w:r>
        <w:t xml:space="preserve"> the same job roles should be followed (</w:t>
      </w:r>
      <w:r w:rsidR="00184587">
        <w:t>Wiatr,</w:t>
      </w:r>
      <w:r>
        <w:t xml:space="preserve"> 2021). The HR should be very influential and concerned about the functioning of the company. </w:t>
      </w:r>
      <w:r w:rsidR="00184587">
        <w:t>In order</w:t>
      </w:r>
      <w:r>
        <w:t xml:space="preserve"> to address the concerns of inequality which would rise due to the flexible working as a HR there would be several issues that could affect the functioning of the company.</w:t>
      </w:r>
    </w:p>
    <w:p w14:paraId="646A0274" w14:textId="77777777" w:rsidR="00547130" w:rsidRDefault="004C2C53">
      <w:pPr>
        <w:pStyle w:val="Normal1"/>
      </w:pPr>
      <w:r>
        <w:t xml:space="preserve">Flexible working includes certain benefits and also becomes the reason for the concerns of inequality due to certain </w:t>
      </w:r>
      <w:r w:rsidR="005556B7">
        <w:t>favoritism</w:t>
      </w:r>
      <w:r>
        <w:t xml:space="preserve"> faced by the employees </w:t>
      </w:r>
      <w:r w:rsidR="005556B7">
        <w:t>and it</w:t>
      </w:r>
      <w:r>
        <w:t xml:space="preserve"> is the major responsibility of the </w:t>
      </w:r>
      <w:r w:rsidR="005556B7">
        <w:t>HR of</w:t>
      </w:r>
      <w:r>
        <w:t xml:space="preserve"> the company for seeking the proper functioning of the company (Chung </w:t>
      </w:r>
      <w:r>
        <w:rPr>
          <w:i/>
        </w:rPr>
        <w:t>et al</w:t>
      </w:r>
      <w:r>
        <w:t xml:space="preserve">, 2021). The HR main responsibilities in the company mainly focused upon the proper functioning of the workforce to help in increasing the company productivity through implementing different strategies and models in practices. Thus, the HR also concerns about the inequalities which are aroused due to the flexible working and the HR of the company addresses the concerns of inequalities in certain ways. The flexible working of the employees is done in accordance </w:t>
      </w:r>
      <w:r w:rsidR="005556B7">
        <w:t>with the</w:t>
      </w:r>
      <w:r>
        <w:t xml:space="preserve"> flex time they get and it can be related to inequality at the place of work due to the higher privileges given to the individual worker close to the higher authorities. </w:t>
      </w:r>
      <w:r w:rsidR="005556B7">
        <w:t>While</w:t>
      </w:r>
      <w:r>
        <w:t xml:space="preserve"> addressing the concerns of inequality aroused i</w:t>
      </w:r>
      <w:r w:rsidR="005556B7">
        <w:t>n the workplace of the company M</w:t>
      </w:r>
      <w:r>
        <w:t xml:space="preserve">arks and </w:t>
      </w:r>
      <w:r w:rsidR="005556B7">
        <w:t>Spencer</w:t>
      </w:r>
      <w:r w:rsidR="00304112">
        <w:t xml:space="preserve"> due to the flexible working</w:t>
      </w:r>
      <w:r>
        <w:t xml:space="preserve"> and the inequalities and </w:t>
      </w:r>
      <w:r>
        <w:lastRenderedPageBreak/>
        <w:t xml:space="preserve">discrimination faced in the company. The flexible working in the company affects the company as it holds certain positive and negative factors from the inequalities faced in the workplace of the company of marks and </w:t>
      </w:r>
      <w:r w:rsidR="005556B7">
        <w:t>Spencer</w:t>
      </w:r>
      <w:r>
        <w:t xml:space="preserve">. The company can also encourage the employees to share their valuable feedback in order to have a better understanding to identify if </w:t>
      </w:r>
      <w:r w:rsidR="005556B7">
        <w:t>there’s any underlying issue</w:t>
      </w:r>
      <w:r>
        <w:t xml:space="preserve"> taking place (Alias, 2021). Organising “pulse survey across the workplace” will help the HR managers with the required information in order to make better decisions and eliminate or reduce any issues or discrimination within a specific area or branch of the company. HR managers of the company can significantly encourage the employees to make use of the check-in and engagement tools for facilitating the conversations and communicate transparently about their feelings. </w:t>
      </w:r>
    </w:p>
    <w:p w14:paraId="51ED01E4" w14:textId="77777777" w:rsidR="00547130" w:rsidRDefault="004C2C53">
      <w:pPr>
        <w:pStyle w:val="Normal1"/>
      </w:pPr>
      <w:r>
        <w:t xml:space="preserve">Therefore, the major job role of HR in addressing the concern of inequalities raised from the flexible working of the employees they have to seek for the certain issues aroused from the flexible working. The flexible working includes working from home and for example there are two employees having the same request of working from home and one is allowed and the other one is refused this can also cause a negative impact affecting the production of the company. The more flexible work and the more the employees are happy it is likely to increase more of the production from the motivated workforce of the company (Perkins </w:t>
      </w:r>
      <w:r>
        <w:rPr>
          <w:i/>
        </w:rPr>
        <w:t>et al</w:t>
      </w:r>
      <w:r>
        <w:t xml:space="preserve">, 2022). The more benefiting the flexible working as but also holds certain drawbacks like the discrimination faced along the employees and being humiliated which are the inequalities faced because of the </w:t>
      </w:r>
      <w:r w:rsidR="005556B7">
        <w:t>favoritism</w:t>
      </w:r>
      <w:r>
        <w:t xml:space="preserve">. Building awareness and understanding the concern related to flexible </w:t>
      </w:r>
      <w:r w:rsidR="005556B7">
        <w:t>working is</w:t>
      </w:r>
      <w:r>
        <w:t xml:space="preserve"> believed to be the initial stage towards the actual change that can take place in the company. The leaders of Marks and Spencer can help its employees to understand the </w:t>
      </w:r>
      <w:r w:rsidR="005556B7">
        <w:t>impacts that</w:t>
      </w:r>
      <w:r>
        <w:t xml:space="preserve"> flexible working can cause and the actions that can reinforce. Therefore, the company can encourage its employees to question, review and </w:t>
      </w:r>
      <w:r w:rsidR="005556B7">
        <w:t>analyses</w:t>
      </w:r>
      <w:r>
        <w:t xml:space="preserve"> their personal assumptions as the flexible working refers to the situation where the employees can choose a certain working time in order to </w:t>
      </w:r>
      <w:r w:rsidR="005556B7">
        <w:t>fulfill</w:t>
      </w:r>
      <w:r>
        <w:t xml:space="preserve"> their other daily </w:t>
      </w:r>
      <w:r w:rsidR="005556B7">
        <w:t>tasks. Interpersonal</w:t>
      </w:r>
      <w:r>
        <w:t xml:space="preserve"> interactions and company policies in terms of handling of internal issues play a significant role in “perpetuating the existing problems''. One of the main reasons behind an employee leaving the company is due to the lack of interpersonal interactions (Weitze </w:t>
      </w:r>
      <w:r>
        <w:rPr>
          <w:i/>
        </w:rPr>
        <w:t>et al</w:t>
      </w:r>
      <w:r>
        <w:t xml:space="preserve">, 2021). Therefore, the HR managers are required to determine if the policies </w:t>
      </w:r>
      <w:r w:rsidR="00B05791">
        <w:t>perpetuates</w:t>
      </w:r>
      <w:r>
        <w:t xml:space="preserve"> or enables discrimination in the work environment like sexism or racism and reshaping them to move forward towards building an equitable workplace. </w:t>
      </w:r>
    </w:p>
    <w:p w14:paraId="0C6E7B4C" w14:textId="77777777" w:rsidR="00547130" w:rsidRDefault="004C2C53">
      <w:pPr>
        <w:pStyle w:val="Normal1"/>
      </w:pPr>
      <w:r>
        <w:t>Being the func</w:t>
      </w:r>
      <w:r w:rsidR="00B05791">
        <w:t>tioning HR of the company M</w:t>
      </w:r>
      <w:r>
        <w:t xml:space="preserve">arks and </w:t>
      </w:r>
      <w:r w:rsidR="00B05791">
        <w:t>Spencer</w:t>
      </w:r>
      <w:r>
        <w:t xml:space="preserve"> while addressing the concern of the  inequalities faced while the flexible working of the workforce and the main </w:t>
      </w:r>
      <w:r>
        <w:lastRenderedPageBreak/>
        <w:t xml:space="preserve">inequalities arouses due to working from home (Birmann </w:t>
      </w:r>
      <w:r>
        <w:rPr>
          <w:i/>
        </w:rPr>
        <w:t>et al</w:t>
      </w:r>
      <w:r>
        <w:t xml:space="preserve">, 2021). The issues are certain and the inequalities that the employees face are closely related to </w:t>
      </w:r>
      <w:r w:rsidR="00B05791">
        <w:t>favoritism</w:t>
      </w:r>
      <w:r>
        <w:t xml:space="preserve"> and this leads to the  major concern of discussion related to the inequalities. The employees are mainly granted flexible working and it depends on the authority of the management to provide them flexible working with the appropriate tool in order to cope with the company functioning. The major issues </w:t>
      </w:r>
      <w:r w:rsidR="00B05791">
        <w:t>aroused in</w:t>
      </w:r>
      <w:r>
        <w:t xml:space="preserve"> certain working conditions are the lack of communications and it is aroused due to the flexible working as it lacks the communication and it rises to many certain issues (Smyth </w:t>
      </w:r>
      <w:r>
        <w:rPr>
          <w:i/>
        </w:rPr>
        <w:t>et al</w:t>
      </w:r>
      <w:r>
        <w:t>, 2021). Thus, in order to mitigate certain issues aroused due to the flexible working as the functioning HR of the company marks and Spencer indicating certain policies in accordance with inequality is very necessary. This will let every individual of the workforce feel equal and help them feel  equally treated which will help make the workforce more motivated towards the work which will help in contributing more to the company. This will also help the employees to feel independent and equally treated which will also help to mitigate curtain issues aroused related to the inequalities faced due to the flexible working.</w:t>
      </w:r>
    </w:p>
    <w:p w14:paraId="057CC291" w14:textId="77777777" w:rsidR="00547130" w:rsidRDefault="00547130">
      <w:pPr>
        <w:pStyle w:val="Normal1"/>
      </w:pPr>
    </w:p>
    <w:p w14:paraId="1E40F1BF" w14:textId="77777777" w:rsidR="00547130" w:rsidRDefault="004C2C53">
      <w:pPr>
        <w:pStyle w:val="Normal1"/>
      </w:pPr>
      <w:r>
        <w:br w:type="page"/>
      </w:r>
    </w:p>
    <w:p w14:paraId="3C86E149" w14:textId="77777777" w:rsidR="00547130" w:rsidRDefault="004C2C53">
      <w:pPr>
        <w:pStyle w:val="Heading1"/>
      </w:pPr>
      <w:bookmarkStart w:id="7" w:name="_ix1lpl4h52l1" w:colFirst="0" w:colLast="0"/>
      <w:bookmarkStart w:id="8" w:name="_Toc98266212"/>
      <w:bookmarkEnd w:id="7"/>
      <w:r>
        <w:lastRenderedPageBreak/>
        <w:t>Conclusion</w:t>
      </w:r>
      <w:bookmarkEnd w:id="8"/>
    </w:p>
    <w:p w14:paraId="1D7D9081" w14:textId="77777777" w:rsidR="00547130" w:rsidRDefault="004C2C53">
      <w:pPr>
        <w:pStyle w:val="Normal1"/>
      </w:pPr>
      <w:r>
        <w:t xml:space="preserve">The topic of the report is based on the topic Managing People and it has provided a brief knowledge of flexible working in relation to diversity and inclusion at work and analysing the role of Human Resources in promoting diversity and inclusion through flexible working has been done. The report has also provided a brief </w:t>
      </w:r>
      <w:r w:rsidR="00B05791">
        <w:t>knowledge</w:t>
      </w:r>
      <w:r>
        <w:t xml:space="preserve"> of “Flexible working in relation to inequality at work and analysing the role of Human Resources in addressing the concerns of inequality that may arise from flexible working” which has been done. Being the </w:t>
      </w:r>
      <w:r w:rsidR="00B05791">
        <w:t>functioning HR</w:t>
      </w:r>
      <w:r>
        <w:t xml:space="preserve"> of the company marks and Spencer the report has discussed the different job roles of HR mainly concerning the inequality aroused in the company. The report has briefly explained different roles of HR in the company of Marks and Spencer </w:t>
      </w:r>
      <w:r w:rsidR="00B05791">
        <w:t>and in</w:t>
      </w:r>
      <w:r>
        <w:t xml:space="preserve"> accordance with the issues aroused in the company due to the flexible working and concerning the inequality aroused at the type of work has been done.</w:t>
      </w:r>
    </w:p>
    <w:p w14:paraId="751D5650" w14:textId="77777777" w:rsidR="00547130" w:rsidRDefault="004C2C53">
      <w:pPr>
        <w:pStyle w:val="Heading1"/>
      </w:pPr>
      <w:bookmarkStart w:id="9" w:name="_a8vd512ofssf" w:colFirst="0" w:colLast="0"/>
      <w:bookmarkEnd w:id="9"/>
      <w:r>
        <w:br w:type="page"/>
      </w:r>
    </w:p>
    <w:p w14:paraId="018536C6" w14:textId="77777777" w:rsidR="00547130" w:rsidRDefault="004C2C53">
      <w:pPr>
        <w:pStyle w:val="Heading1"/>
      </w:pPr>
      <w:bookmarkStart w:id="10" w:name="_cotlq5o0wap4" w:colFirst="0" w:colLast="0"/>
      <w:bookmarkStart w:id="11" w:name="_Toc98266213"/>
      <w:bookmarkEnd w:id="10"/>
      <w:r>
        <w:lastRenderedPageBreak/>
        <w:t>Reference</w:t>
      </w:r>
      <w:bookmarkEnd w:id="11"/>
    </w:p>
    <w:p w14:paraId="6E92F935" w14:textId="77777777" w:rsidR="00304112" w:rsidRPr="00304112" w:rsidRDefault="00304112">
      <w:pPr>
        <w:pStyle w:val="Normal1"/>
      </w:pPr>
      <w:r w:rsidRPr="00304112">
        <w:t>Alias, E.S.B., 2021. Supervisor Support as a Moderator between Flexible Working Arrangement and Job Performance–Malaysia Evidence. Turkish Journal of Computer and Mathematics Education (TURCOMAT), 12(3), pp.525-539.</w:t>
      </w:r>
    </w:p>
    <w:p w14:paraId="176F57B3" w14:textId="77777777" w:rsidR="00304112" w:rsidRPr="00304112" w:rsidRDefault="00304112">
      <w:pPr>
        <w:pStyle w:val="Normal1"/>
      </w:pPr>
      <w:r w:rsidRPr="00304112">
        <w:t xml:space="preserve">Bernstein, R.S., Bulger, M., Salipante, P. and Weisinger, J.Y., 2020. From diversity to inclusion to equity: A theory of generative interactions. Journal of Business Ethics, 167(3), pp.395-410. </w:t>
      </w:r>
    </w:p>
    <w:p w14:paraId="25842D32" w14:textId="77777777" w:rsidR="00304112" w:rsidRPr="00304112" w:rsidRDefault="00304112">
      <w:pPr>
        <w:pStyle w:val="Normal1"/>
      </w:pPr>
      <w:r w:rsidRPr="00304112">
        <w:t>Chung, H., Birkett, H., Forbes, S. and Seo, H., 2021. Covid-19, flexible working, and implications for gender equality in the United Kingdom. Gender &amp; Society, 35(2), pp.218-232.</w:t>
      </w:r>
    </w:p>
    <w:p w14:paraId="5AC68F5C" w14:textId="77777777" w:rsidR="00304112" w:rsidRPr="00304112" w:rsidRDefault="00304112">
      <w:pPr>
        <w:pStyle w:val="Normal1"/>
      </w:pPr>
      <w:r w:rsidRPr="00304112">
        <w:t xml:space="preserve">Ewald, A., Gilbert, E. and Huppatz, K., 2020. Fathering and flexible working arrangements: A systematic interdisciplinary review. Journal of Family Theory &amp; Review, 12(1), pp.27-40. </w:t>
      </w:r>
    </w:p>
    <w:p w14:paraId="0E769F1B" w14:textId="77777777" w:rsidR="00304112" w:rsidRPr="00304112" w:rsidRDefault="00304112">
      <w:pPr>
        <w:pStyle w:val="Normal1"/>
      </w:pPr>
      <w:r w:rsidRPr="00304112">
        <w:t>Lazarova, M., Thomas, D.C. and Farndale, E., 2021. Essentials of International Human Resource Management: Managing People Globally. Edward Elgar Publishing.</w:t>
      </w:r>
    </w:p>
    <w:p w14:paraId="77C28AC0" w14:textId="77777777" w:rsidR="00304112" w:rsidRPr="00304112" w:rsidRDefault="00304112">
      <w:pPr>
        <w:pStyle w:val="Normal1"/>
      </w:pPr>
      <w:r w:rsidRPr="00304112">
        <w:t>Perkins, G., Gilmore, S., Guttormsen, D.S. and Taylor, S., 2022. Analysing the impacts of Universal Basic Income in the changing world of work: Challenges to the psychological contract and a future research agenda. Human Resource Management Journal, 32(1), pp.1-18.</w:t>
      </w:r>
    </w:p>
    <w:p w14:paraId="7D51CD93" w14:textId="77777777" w:rsidR="00304112" w:rsidRPr="00304112" w:rsidRDefault="00304112">
      <w:pPr>
        <w:pStyle w:val="Normal1"/>
      </w:pPr>
      <w:r w:rsidRPr="00304112">
        <w:t xml:space="preserve">Sekhar, C., Patwardhan, M. and Vyas, V., 2018. Linking work engagement to job performance through flexible human resource management. Advances in Developing Human Resources, 20(1), pp.72-87. </w:t>
      </w:r>
    </w:p>
    <w:p w14:paraId="46487AE9" w14:textId="77777777" w:rsidR="00304112" w:rsidRPr="00304112" w:rsidRDefault="00304112">
      <w:pPr>
        <w:pStyle w:val="Normal1"/>
      </w:pPr>
      <w:r w:rsidRPr="00304112">
        <w:t>Smyth, C., Cortis, N. and Powell, A., 2021. University staff and flexible work: Inequalities, tensions and challenges. Journal of Higher Education Policy and Management, 43(5), pp.489-504.</w:t>
      </w:r>
    </w:p>
    <w:p w14:paraId="65A015E2" w14:textId="77777777" w:rsidR="00304112" w:rsidRPr="00304112" w:rsidRDefault="00304112">
      <w:pPr>
        <w:pStyle w:val="Normal1"/>
      </w:pPr>
      <w:r w:rsidRPr="00304112">
        <w:t xml:space="preserve">Stankevičiūtė, Ž. and Savanevičienė, A., 2018. Designing sustainable HRM: The core characteristics of emerging field. Sustainability, 10(12), p.4798. </w:t>
      </w:r>
    </w:p>
    <w:p w14:paraId="497465C1" w14:textId="77777777" w:rsidR="00304112" w:rsidRPr="00304112" w:rsidRDefault="00304112">
      <w:pPr>
        <w:pStyle w:val="Normal1"/>
      </w:pPr>
      <w:r w:rsidRPr="00304112">
        <w:t xml:space="preserve">Syed, J. and Ozbilgin, M., 2019. Managing diversity and inclusion: An international perspective. Sage. </w:t>
      </w:r>
    </w:p>
    <w:p w14:paraId="1170711C" w14:textId="77777777" w:rsidR="00304112" w:rsidRPr="00304112" w:rsidRDefault="00304112">
      <w:pPr>
        <w:pStyle w:val="Normal1"/>
      </w:pPr>
      <w:r w:rsidRPr="00304112">
        <w:t>Weitzer, J., Papantoniou, K., Seidel, S., Klösch, G., Caniglia, G., Laubichler, M., Bertau, M., Birmann, B.M., Jäger, C.C., Zenk, L. and Steiner, G., 2021. Working from home, quality of life, and perceived productivity during the first 50-day COVID-19 mitigation measures in Austria: a cross-sectional study. International archives of occupational and environmental health, 94(8), pp.1823-1837.</w:t>
      </w:r>
    </w:p>
    <w:p w14:paraId="21B00A67" w14:textId="77777777" w:rsidR="00304112" w:rsidRPr="00304112" w:rsidRDefault="00304112">
      <w:pPr>
        <w:pStyle w:val="Normal1"/>
      </w:pPr>
      <w:r w:rsidRPr="00304112">
        <w:lastRenderedPageBreak/>
        <w:t>Wiatr, A., 2021. Flexible Working Arrangements–Current Conditions And Research Directions. Бизнес управление, (1), pp.67-78.</w:t>
      </w:r>
    </w:p>
    <w:p w14:paraId="798BD2FA" w14:textId="77777777" w:rsidR="00304112" w:rsidRPr="00304112" w:rsidRDefault="00304112">
      <w:pPr>
        <w:pStyle w:val="Normal1"/>
      </w:pPr>
      <w:r w:rsidRPr="00304112">
        <w:t>Yu, R., Burke, M. and Raad, N., 2019. Exploring impact of future flexible working model evolution on urban environment, economy and planning. Journal of Urban Management, 8(3), pp.447-457.</w:t>
      </w:r>
    </w:p>
    <w:sectPr w:rsidR="00304112" w:rsidRPr="00304112" w:rsidSect="00547130">
      <w:footerReference w:type="default" r:id="rId7"/>
      <w:footerReference w:type="first" r:id="rId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516A7" w14:textId="77777777" w:rsidR="00BF0667" w:rsidRDefault="00BF0667" w:rsidP="00547130">
      <w:pPr>
        <w:spacing w:line="240" w:lineRule="auto"/>
      </w:pPr>
      <w:r>
        <w:separator/>
      </w:r>
    </w:p>
  </w:endnote>
  <w:endnote w:type="continuationSeparator" w:id="0">
    <w:p w14:paraId="19E03674" w14:textId="77777777" w:rsidR="00BF0667" w:rsidRDefault="00BF0667" w:rsidP="005471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5F3B8" w14:textId="77777777" w:rsidR="00547130" w:rsidRDefault="004D375F">
    <w:pPr>
      <w:pStyle w:val="Normal1"/>
      <w:jc w:val="right"/>
    </w:pPr>
    <w:r>
      <w:fldChar w:fldCharType="begin"/>
    </w:r>
    <w:r w:rsidR="004C2C53">
      <w:instrText>PAGE</w:instrText>
    </w:r>
    <w:r>
      <w:fldChar w:fldCharType="separate"/>
    </w:r>
    <w:r w:rsidR="00CD452A">
      <w:rPr>
        <w:noProof/>
      </w:rPr>
      <w:t>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3232"/>
      <w:docPartObj>
        <w:docPartGallery w:val="Page Numbers (Bottom of Page)"/>
        <w:docPartUnique/>
      </w:docPartObj>
    </w:sdtPr>
    <w:sdtEndPr/>
    <w:sdtContent>
      <w:p w14:paraId="53A5480B" w14:textId="77777777" w:rsidR="00304112" w:rsidRDefault="00BF0667">
        <w:pPr>
          <w:pStyle w:val="Footer"/>
          <w:jc w:val="right"/>
        </w:pPr>
        <w:r>
          <w:fldChar w:fldCharType="begin"/>
        </w:r>
        <w:r>
          <w:instrText xml:space="preserve"> PAGE   \* MERGEFORMAT </w:instrText>
        </w:r>
        <w:r>
          <w:fldChar w:fldCharType="separate"/>
        </w:r>
        <w:r w:rsidR="00CD452A">
          <w:rPr>
            <w:noProof/>
          </w:rPr>
          <w:t>0</w:t>
        </w:r>
        <w:r>
          <w:rPr>
            <w:noProof/>
          </w:rPr>
          <w:fldChar w:fldCharType="end"/>
        </w:r>
      </w:p>
    </w:sdtContent>
  </w:sdt>
  <w:p w14:paraId="06C9C1EA" w14:textId="77777777" w:rsidR="00547130" w:rsidRDefault="00547130">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FC540" w14:textId="77777777" w:rsidR="00BF0667" w:rsidRDefault="00BF0667" w:rsidP="00547130">
      <w:pPr>
        <w:spacing w:line="240" w:lineRule="auto"/>
      </w:pPr>
      <w:r>
        <w:separator/>
      </w:r>
    </w:p>
  </w:footnote>
  <w:footnote w:type="continuationSeparator" w:id="0">
    <w:p w14:paraId="4863E736" w14:textId="77777777" w:rsidR="00BF0667" w:rsidRDefault="00BF0667" w:rsidP="005471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7130"/>
    <w:rsid w:val="00184587"/>
    <w:rsid w:val="00304112"/>
    <w:rsid w:val="004C2C53"/>
    <w:rsid w:val="004D375F"/>
    <w:rsid w:val="00547130"/>
    <w:rsid w:val="005556B7"/>
    <w:rsid w:val="00581AD2"/>
    <w:rsid w:val="00B05791"/>
    <w:rsid w:val="00BF0667"/>
    <w:rsid w:val="00C45EEA"/>
    <w:rsid w:val="00CD452A"/>
    <w:rsid w:val="00D47380"/>
    <w:rsid w:val="00DE57D7"/>
    <w:rsid w:val="00F57229"/>
    <w:rsid w:val="00F91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232D2"/>
  <w15:docId w15:val="{F97EC138-A402-445C-94FE-91AD555D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EEA"/>
  </w:style>
  <w:style w:type="paragraph" w:styleId="Heading1">
    <w:name w:val="heading 1"/>
    <w:basedOn w:val="Normal1"/>
    <w:next w:val="Normal1"/>
    <w:rsid w:val="00547130"/>
    <w:pPr>
      <w:keepNext/>
      <w:keepLines/>
      <w:outlineLvl w:val="0"/>
    </w:pPr>
    <w:rPr>
      <w:b/>
      <w:sz w:val="26"/>
      <w:szCs w:val="26"/>
    </w:rPr>
  </w:style>
  <w:style w:type="paragraph" w:styleId="Heading2">
    <w:name w:val="heading 2"/>
    <w:basedOn w:val="Normal1"/>
    <w:next w:val="Normal1"/>
    <w:rsid w:val="00547130"/>
    <w:pPr>
      <w:keepNext/>
      <w:keepLines/>
      <w:spacing w:before="360" w:after="120"/>
      <w:outlineLvl w:val="1"/>
    </w:pPr>
    <w:rPr>
      <w:sz w:val="32"/>
      <w:szCs w:val="32"/>
    </w:rPr>
  </w:style>
  <w:style w:type="paragraph" w:styleId="Heading3">
    <w:name w:val="heading 3"/>
    <w:basedOn w:val="Normal1"/>
    <w:next w:val="Normal1"/>
    <w:rsid w:val="00547130"/>
    <w:pPr>
      <w:keepNext/>
      <w:keepLines/>
      <w:spacing w:before="320" w:after="80"/>
      <w:outlineLvl w:val="2"/>
    </w:pPr>
    <w:rPr>
      <w:color w:val="434343"/>
      <w:sz w:val="28"/>
      <w:szCs w:val="28"/>
    </w:rPr>
  </w:style>
  <w:style w:type="paragraph" w:styleId="Heading4">
    <w:name w:val="heading 4"/>
    <w:basedOn w:val="Normal1"/>
    <w:next w:val="Normal1"/>
    <w:rsid w:val="00547130"/>
    <w:pPr>
      <w:keepNext/>
      <w:keepLines/>
      <w:spacing w:before="280" w:after="80"/>
      <w:outlineLvl w:val="3"/>
    </w:pPr>
    <w:rPr>
      <w:color w:val="666666"/>
    </w:rPr>
  </w:style>
  <w:style w:type="paragraph" w:styleId="Heading5">
    <w:name w:val="heading 5"/>
    <w:basedOn w:val="Normal1"/>
    <w:next w:val="Normal1"/>
    <w:rsid w:val="00547130"/>
    <w:pPr>
      <w:keepNext/>
      <w:keepLines/>
      <w:spacing w:before="240" w:after="80"/>
      <w:outlineLvl w:val="4"/>
    </w:pPr>
    <w:rPr>
      <w:color w:val="666666"/>
      <w:sz w:val="22"/>
      <w:szCs w:val="22"/>
    </w:rPr>
  </w:style>
  <w:style w:type="paragraph" w:styleId="Heading6">
    <w:name w:val="heading 6"/>
    <w:basedOn w:val="Normal1"/>
    <w:next w:val="Normal1"/>
    <w:rsid w:val="00547130"/>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47130"/>
  </w:style>
  <w:style w:type="paragraph" w:styleId="Title">
    <w:name w:val="Title"/>
    <w:basedOn w:val="Normal1"/>
    <w:next w:val="Normal1"/>
    <w:rsid w:val="00547130"/>
    <w:pPr>
      <w:keepNext/>
      <w:keepLines/>
      <w:spacing w:after="60"/>
      <w:jc w:val="center"/>
    </w:pPr>
    <w:rPr>
      <w:b/>
      <w:sz w:val="32"/>
      <w:szCs w:val="32"/>
    </w:rPr>
  </w:style>
  <w:style w:type="paragraph" w:styleId="Subtitle">
    <w:name w:val="Subtitle"/>
    <w:basedOn w:val="Normal1"/>
    <w:next w:val="Normal1"/>
    <w:rsid w:val="00547130"/>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B05791"/>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05791"/>
    <w:pPr>
      <w:spacing w:after="100"/>
    </w:pPr>
  </w:style>
  <w:style w:type="character" w:styleId="Hyperlink">
    <w:name w:val="Hyperlink"/>
    <w:basedOn w:val="DefaultParagraphFont"/>
    <w:uiPriority w:val="99"/>
    <w:unhideWhenUsed/>
    <w:rsid w:val="00B05791"/>
    <w:rPr>
      <w:color w:val="0000FF" w:themeColor="hyperlink"/>
      <w:u w:val="single"/>
    </w:rPr>
  </w:style>
  <w:style w:type="paragraph" w:styleId="BalloonText">
    <w:name w:val="Balloon Text"/>
    <w:basedOn w:val="Normal"/>
    <w:link w:val="BalloonTextChar"/>
    <w:uiPriority w:val="99"/>
    <w:semiHidden/>
    <w:unhideWhenUsed/>
    <w:rsid w:val="00B057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791"/>
    <w:rPr>
      <w:rFonts w:ascii="Tahoma" w:hAnsi="Tahoma" w:cs="Tahoma"/>
      <w:sz w:val="16"/>
      <w:szCs w:val="16"/>
    </w:rPr>
  </w:style>
  <w:style w:type="paragraph" w:styleId="Header">
    <w:name w:val="header"/>
    <w:basedOn w:val="Normal"/>
    <w:link w:val="HeaderChar"/>
    <w:uiPriority w:val="99"/>
    <w:semiHidden/>
    <w:unhideWhenUsed/>
    <w:rsid w:val="003041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04112"/>
  </w:style>
  <w:style w:type="paragraph" w:styleId="Footer">
    <w:name w:val="footer"/>
    <w:basedOn w:val="Normal"/>
    <w:link w:val="FooterChar"/>
    <w:uiPriority w:val="99"/>
    <w:unhideWhenUsed/>
    <w:rsid w:val="00304112"/>
    <w:pPr>
      <w:tabs>
        <w:tab w:val="center" w:pos="4680"/>
        <w:tab w:val="right" w:pos="9360"/>
      </w:tabs>
      <w:spacing w:line="240" w:lineRule="auto"/>
    </w:pPr>
  </w:style>
  <w:style w:type="character" w:customStyle="1" w:styleId="FooterChar">
    <w:name w:val="Footer Char"/>
    <w:basedOn w:val="DefaultParagraphFont"/>
    <w:link w:val="Footer"/>
    <w:uiPriority w:val="99"/>
    <w:rsid w:val="00304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4361F-D05B-47E9-B8CF-EAF21F0FB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2929</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03</dc:creator>
  <cp:lastModifiedBy>don juan</cp:lastModifiedBy>
  <cp:revision>4</cp:revision>
  <dcterms:created xsi:type="dcterms:W3CDTF">2022-03-16T05:48:00Z</dcterms:created>
  <dcterms:modified xsi:type="dcterms:W3CDTF">2022-05-02T21:45:00Z</dcterms:modified>
</cp:coreProperties>
</file>