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8376873"/>
        <w:docPartObj>
          <w:docPartGallery w:val="Cover Pages"/>
          <w:docPartUnique/>
        </w:docPartObj>
      </w:sdtPr>
      <w:sdtEndPr>
        <w:rPr>
          <w:noProof/>
        </w:rPr>
      </w:sdtEndPr>
      <w:sdtContent>
        <w:p w14:paraId="42576A96" w14:textId="4DC5692C" w:rsidR="00C00F02" w:rsidRDefault="00C00F02">
          <w:r>
            <w:rPr>
              <w:noProof/>
            </w:rPr>
            <mc:AlternateContent>
              <mc:Choice Requires="wps">
                <w:drawing>
                  <wp:anchor distT="0" distB="0" distL="114300" distR="114300" simplePos="0" relativeHeight="251658240" behindDoc="1" locked="0" layoutInCell="1" allowOverlap="0" wp14:anchorId="2EA0D4FC" wp14:editId="6B178EE0">
                    <wp:simplePos x="0" y="0"/>
                    <wp:positionH relativeFrom="page">
                      <wp:align>center</wp:align>
                    </wp:positionH>
                    <wp:positionV relativeFrom="page">
                      <wp:align>center</wp:align>
                    </wp:positionV>
                    <wp:extent cx="6858000" cy="9144000"/>
                    <wp:effectExtent l="0" t="0" r="0" b="0"/>
                    <wp:wrapNone/>
                    <wp:docPr id="527439297"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00F02" w14:paraId="0435F1C9" w14:textId="77777777">
                                  <w:trPr>
                                    <w:trHeight w:hRule="exact" w:val="9360"/>
                                  </w:trPr>
                                  <w:tc>
                                    <w:tcPr>
                                      <w:tcW w:w="9350" w:type="dxa"/>
                                    </w:tcPr>
                                    <w:p w14:paraId="4A74F709" w14:textId="77777777" w:rsidR="00C00F02" w:rsidRDefault="00C00F02">
                                      <w:r>
                                        <w:rPr>
                                          <w:noProof/>
                                        </w:rPr>
                                        <w:drawing>
                                          <wp:inline distT="0" distB="0" distL="0" distR="0" wp14:anchorId="619DB9D5" wp14:editId="2BB6F74E">
                                            <wp:extent cx="6858000" cy="5961888"/>
                                            <wp:effectExtent l="0" t="0" r="0" b="1270"/>
                                            <wp:docPr id="169706226" name="Picture 4"/>
                                            <wp:cNvGraphicFramePr/>
                                            <a:graphic xmlns:a="http://schemas.openxmlformats.org/drawingml/2006/main">
                                              <a:graphicData uri="http://schemas.openxmlformats.org/drawingml/2006/picture">
                                                <pic:pic xmlns:pic="http://schemas.openxmlformats.org/drawingml/2006/picture">
                                                  <pic:nvPicPr>
                                                    <pic:cNvPr id="169706226" name="Picture 4"/>
                                                    <pic:cNvPicPr/>
                                                  </pic:nvPicPr>
                                                  <pic:blipFill>
                                                    <a:blip r:embed="rId12">
                                                      <a:extLst>
                                                        <a:ext uri="{28A0092B-C50C-407E-A947-70E740481C1C}">
                                                          <a14:useLocalDpi xmlns:a14="http://schemas.microsoft.com/office/drawing/2010/main" val="0"/>
                                                        </a:ext>
                                                      </a:extLst>
                                                    </a:blip>
                                                    <a:srcRect l="17648" r="17648"/>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00F02" w14:paraId="3FF01C15" w14:textId="77777777">
                                  <w:trPr>
                                    <w:trHeight w:hRule="exact" w:val="4320"/>
                                  </w:trPr>
                                  <w:tc>
                                    <w:tcPr>
                                      <w:tcW w:w="9350" w:type="dxa"/>
                                      <w:shd w:val="clear" w:color="auto" w:fill="282660" w:themeFill="text2"/>
                                      <w:vAlign w:val="center"/>
                                    </w:tcPr>
                                    <w:p w14:paraId="24895382" w14:textId="6C30D464" w:rsidR="00C00F02" w:rsidRDefault="004116D7">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10AFAFADBC6E4EBF80EB7A19F6A20B92"/>
                                          </w:placeholder>
                                          <w:dataBinding w:prefixMappings="xmlns:ns0='http://purl.org/dc/elements/1.1/' xmlns:ns1='http://schemas.openxmlformats.org/package/2006/metadata/core-properties' " w:xpath="/ns1:coreProperties[1]/ns0:title[1]" w:storeItemID="{6C3C8BC8-F283-45AE-878A-BAB7291924A1}"/>
                                          <w:text/>
                                        </w:sdtPr>
                                        <w:sdtEndPr/>
                                        <w:sdtContent>
                                          <w:r w:rsidR="00857DD6">
                                            <w:rPr>
                                              <w:rFonts w:asciiTheme="majorHAnsi" w:hAnsiTheme="majorHAnsi"/>
                                              <w:color w:val="FFFFFF" w:themeColor="background1"/>
                                              <w:sz w:val="96"/>
                                              <w:szCs w:val="96"/>
                                            </w:rPr>
                                            <w:t>Assignment</w:t>
                                          </w:r>
                                          <w:r w:rsidR="00A4085D">
                                            <w:rPr>
                                              <w:rFonts w:asciiTheme="majorHAnsi" w:hAnsiTheme="majorHAnsi"/>
                                              <w:color w:val="FFFFFF" w:themeColor="background1"/>
                                              <w:sz w:val="96"/>
                                              <w:szCs w:val="96"/>
                                            </w:rPr>
                                            <w:t xml:space="preserve"> Report</w:t>
                                          </w:r>
                                        </w:sdtContent>
                                      </w:sdt>
                                    </w:p>
                                    <w:p w14:paraId="43557180" w14:textId="03DCE60C" w:rsidR="00C00F02" w:rsidRDefault="004116D7">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EC26F931CE94D56A1B4D415E372F6D5"/>
                                          </w:placeholder>
                                          <w:dataBinding w:prefixMappings="xmlns:ns0='http://purl.org/dc/elements/1.1/' xmlns:ns1='http://schemas.openxmlformats.org/package/2006/metadata/core-properties' " w:xpath="/ns1:coreProperties[1]/ns0:subject[1]" w:storeItemID="{6C3C8BC8-F283-45AE-878A-BAB7291924A1}"/>
                                          <w:text/>
                                        </w:sdtPr>
                                        <w:sdtEndPr/>
                                        <w:sdtContent>
                                          <w:r>
                                            <w:rPr>
                                              <w:color w:val="FFFFFF" w:themeColor="background1"/>
                                              <w:sz w:val="32"/>
                                              <w:szCs w:val="32"/>
                                            </w:rPr>
                                            <w:t>Strategic Considerations for the Asia DEI Summit 2025  Tutor: Kathryn Flynn                                                                         Student ID: 2122721</w:t>
                                          </w:r>
                                        </w:sdtContent>
                                      </w:sdt>
                                    </w:p>
                                  </w:tc>
                                </w:tr>
                                <w:tr w:rsidR="00C00F02" w14:paraId="2E6C6B97" w14:textId="77777777">
                                  <w:trPr>
                                    <w:trHeight w:hRule="exact" w:val="720"/>
                                  </w:trPr>
                                  <w:tc>
                                    <w:tcPr>
                                      <w:tcW w:w="9350" w:type="dxa"/>
                                      <w:shd w:val="clear" w:color="auto" w:fill="A4063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00F02" w14:paraId="3EDA52CE" w14:textId="77777777">
                                        <w:trPr>
                                          <w:trHeight w:hRule="exact" w:val="720"/>
                                        </w:trPr>
                                        <w:tc>
                                          <w:tcPr>
                                            <w:tcW w:w="3590" w:type="dxa"/>
                                            <w:vAlign w:val="center"/>
                                          </w:tcPr>
                                          <w:p w14:paraId="797230A3" w14:textId="6CB2F777" w:rsidR="00C00F02" w:rsidRDefault="004116D7">
                                            <w:pPr>
                                              <w:pStyle w:val="NoSpacing"/>
                                              <w:ind w:left="720" w:right="144"/>
                                              <w:rPr>
                                                <w:color w:val="FFFFFF" w:themeColor="background1"/>
                                              </w:rPr>
                                            </w:pPr>
                                            <w:sdt>
                                              <w:sdtPr>
                                                <w:rPr>
                                                  <w:color w:val="FFFFFF" w:themeColor="background1"/>
                                                </w:rPr>
                                                <w:alias w:val="Author"/>
                                                <w:tag w:val=""/>
                                                <w:id w:val="942812742"/>
                                                <w:placeholder>
                                                  <w:docPart w:val="0B29872A91444DE5BD7F092694F8EB38"/>
                                                </w:placeholder>
                                                <w:dataBinding w:prefixMappings="xmlns:ns0='http://purl.org/dc/elements/1.1/' xmlns:ns1='http://schemas.openxmlformats.org/package/2006/metadata/core-properties' " w:xpath="/ns1:coreProperties[1]/ns0:creator[1]" w:storeItemID="{6C3C8BC8-F283-45AE-878A-BAB7291924A1}"/>
                                                <w:text/>
                                              </w:sdtPr>
                                              <w:sdtEndPr/>
                                              <w:sdtContent>
                                                <w:r w:rsidR="00857DD6" w:rsidRPr="00857DD6">
                                                  <w:rPr>
                                                    <w:color w:val="FFFFFF" w:themeColor="background1"/>
                                                  </w:rPr>
                                                  <w:t>Jasmin Khatun</w:t>
                                                </w:r>
                                              </w:sdtContent>
                                            </w:sdt>
                                          </w:p>
                                        </w:tc>
                                        <w:tc>
                                          <w:tcPr>
                                            <w:tcW w:w="3591" w:type="dxa"/>
                                            <w:vAlign w:val="center"/>
                                          </w:tcPr>
                                          <w:sdt>
                                            <w:sdtPr>
                                              <w:rPr>
                                                <w:color w:val="FFFFFF" w:themeColor="background1"/>
                                              </w:rPr>
                                              <w:alias w:val="Date"/>
                                              <w:tag w:val=""/>
                                              <w:id w:val="748164578"/>
                                              <w:placeholder>
                                                <w:docPart w:val="C0C3B889B34B4200A0815A9E3427F3B3"/>
                                              </w:placeholder>
                                              <w:dataBinding w:prefixMappings="xmlns:ns0='http://schemas.microsoft.com/office/2006/coverPageProps' " w:xpath="/ns0:CoverPageProperties[1]/ns0:PublishDate[1]" w:storeItemID="{55AF091B-3C7A-41E3-B477-F2FDAA23CFDA}"/>
                                              <w:date w:fullDate="2025-02-28T00:00:00Z">
                                                <w:dateFormat w:val="M/d/yy"/>
                                                <w:lid w:val="en-US"/>
                                                <w:storeMappedDataAs w:val="dateTime"/>
                                                <w:calendar w:val="gregorian"/>
                                              </w:date>
                                            </w:sdtPr>
                                            <w:sdtEndPr/>
                                            <w:sdtContent>
                                              <w:p w14:paraId="2CC0C358" w14:textId="36002616" w:rsidR="00C00F02" w:rsidRDefault="00857DD6">
                                                <w:pPr>
                                                  <w:pStyle w:val="NoSpacing"/>
                                                  <w:ind w:left="144" w:right="144"/>
                                                  <w:jc w:val="center"/>
                                                  <w:rPr>
                                                    <w:color w:val="FFFFFF" w:themeColor="background1"/>
                                                  </w:rPr>
                                                </w:pPr>
                                                <w:r>
                                                  <w:rPr>
                                                    <w:color w:val="FFFFFF" w:themeColor="background1"/>
                                                  </w:rPr>
                                                  <w:t>2/28/25</w:t>
                                                </w:r>
                                              </w:p>
                                            </w:sdtContent>
                                          </w:sdt>
                                        </w:tc>
                                        <w:sdt>
                                          <w:sdtPr>
                                            <w:rPr>
                                              <w:color w:val="FFFFFF" w:themeColor="background1"/>
                                            </w:rPr>
                                            <w:alias w:val="Course title"/>
                                            <w:tag w:val=""/>
                                            <w:id w:val="-15923909"/>
                                            <w:placeholder>
                                              <w:docPart w:val="702554AC423A43F6BA79E0672598EEAE"/>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A12D09F" w14:textId="241EAB15" w:rsidR="00C00F02" w:rsidRDefault="002A28D0">
                                                <w:pPr>
                                                  <w:pStyle w:val="NoSpacing"/>
                                                  <w:ind w:left="144" w:right="720"/>
                                                  <w:jc w:val="right"/>
                                                  <w:rPr>
                                                    <w:color w:val="FFFFFF" w:themeColor="background1"/>
                                                  </w:rPr>
                                                </w:pPr>
                                                <w:r>
                                                  <w:rPr>
                                                    <w:color w:val="FFFFFF" w:themeColor="background1"/>
                                                  </w:rPr>
                                                  <w:t>BMIH</w:t>
                                                </w:r>
                                                <w:r w:rsidR="00F06245">
                                                  <w:rPr>
                                                    <w:color w:val="FFFFFF" w:themeColor="background1"/>
                                                  </w:rPr>
                                                  <w:t xml:space="preserve">6007: </w:t>
                                                </w:r>
                                                <w:r w:rsidR="00857DD6" w:rsidRPr="00857DD6">
                                                  <w:rPr>
                                                    <w:color w:val="FFFFFF" w:themeColor="background1"/>
                                                  </w:rPr>
                                                  <w:t>International Meetings Management for the Hotel Industry</w:t>
                                                </w:r>
                                              </w:p>
                                            </w:tc>
                                          </w:sdtContent>
                                        </w:sdt>
                                      </w:tr>
                                    </w:tbl>
                                    <w:p w14:paraId="58A78A2B" w14:textId="77777777" w:rsidR="00C00F02" w:rsidRDefault="00C00F02"/>
                                  </w:tc>
                                </w:tr>
                              </w:tbl>
                              <w:p w14:paraId="10683CC7" w14:textId="77777777" w:rsidR="00C00F02" w:rsidRDefault="00C00F0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A0D4FC"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00F02" w14:paraId="0435F1C9" w14:textId="77777777">
                            <w:trPr>
                              <w:trHeight w:hRule="exact" w:val="9360"/>
                            </w:trPr>
                            <w:tc>
                              <w:tcPr>
                                <w:tcW w:w="9350" w:type="dxa"/>
                              </w:tcPr>
                              <w:p w14:paraId="4A74F709" w14:textId="77777777" w:rsidR="00C00F02" w:rsidRDefault="00C00F02">
                                <w:r>
                                  <w:rPr>
                                    <w:noProof/>
                                  </w:rPr>
                                  <w:drawing>
                                    <wp:inline distT="0" distB="0" distL="0" distR="0" wp14:anchorId="619DB9D5" wp14:editId="2BB6F74E">
                                      <wp:extent cx="6858000" cy="5961888"/>
                                      <wp:effectExtent l="0" t="0" r="0" b="1270"/>
                                      <wp:docPr id="169706226" name="Picture 4"/>
                                      <wp:cNvGraphicFramePr/>
                                      <a:graphic xmlns:a="http://schemas.openxmlformats.org/drawingml/2006/main">
                                        <a:graphicData uri="http://schemas.openxmlformats.org/drawingml/2006/picture">
                                          <pic:pic xmlns:pic="http://schemas.openxmlformats.org/drawingml/2006/picture">
                                            <pic:nvPicPr>
                                              <pic:cNvPr id="169706226" name="Picture 4"/>
                                              <pic:cNvPicPr/>
                                            </pic:nvPicPr>
                                            <pic:blipFill>
                                              <a:blip r:embed="rId12">
                                                <a:extLst>
                                                  <a:ext uri="{28A0092B-C50C-407E-A947-70E740481C1C}">
                                                    <a14:useLocalDpi xmlns:a14="http://schemas.microsoft.com/office/drawing/2010/main" val="0"/>
                                                  </a:ext>
                                                </a:extLst>
                                              </a:blip>
                                              <a:srcRect l="17648" r="17648"/>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00F02" w14:paraId="3FF01C15" w14:textId="77777777">
                            <w:trPr>
                              <w:trHeight w:hRule="exact" w:val="4320"/>
                            </w:trPr>
                            <w:tc>
                              <w:tcPr>
                                <w:tcW w:w="9350" w:type="dxa"/>
                                <w:shd w:val="clear" w:color="auto" w:fill="282660" w:themeFill="text2"/>
                                <w:vAlign w:val="center"/>
                              </w:tcPr>
                              <w:p w14:paraId="24895382" w14:textId="6C30D464" w:rsidR="00C00F02" w:rsidRDefault="004116D7">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10AFAFADBC6E4EBF80EB7A19F6A20B92"/>
                                    </w:placeholder>
                                    <w:dataBinding w:prefixMappings="xmlns:ns0='http://purl.org/dc/elements/1.1/' xmlns:ns1='http://schemas.openxmlformats.org/package/2006/metadata/core-properties' " w:xpath="/ns1:coreProperties[1]/ns0:title[1]" w:storeItemID="{6C3C8BC8-F283-45AE-878A-BAB7291924A1}"/>
                                    <w:text/>
                                  </w:sdtPr>
                                  <w:sdtEndPr/>
                                  <w:sdtContent>
                                    <w:r w:rsidR="00857DD6">
                                      <w:rPr>
                                        <w:rFonts w:asciiTheme="majorHAnsi" w:hAnsiTheme="majorHAnsi"/>
                                        <w:color w:val="FFFFFF" w:themeColor="background1"/>
                                        <w:sz w:val="96"/>
                                        <w:szCs w:val="96"/>
                                      </w:rPr>
                                      <w:t>Assignment</w:t>
                                    </w:r>
                                    <w:r w:rsidR="00A4085D">
                                      <w:rPr>
                                        <w:rFonts w:asciiTheme="majorHAnsi" w:hAnsiTheme="majorHAnsi"/>
                                        <w:color w:val="FFFFFF" w:themeColor="background1"/>
                                        <w:sz w:val="96"/>
                                        <w:szCs w:val="96"/>
                                      </w:rPr>
                                      <w:t xml:space="preserve"> Report</w:t>
                                    </w:r>
                                  </w:sdtContent>
                                </w:sdt>
                              </w:p>
                              <w:p w14:paraId="43557180" w14:textId="03DCE60C" w:rsidR="00C00F02" w:rsidRDefault="004116D7">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EC26F931CE94D56A1B4D415E372F6D5"/>
                                    </w:placeholder>
                                    <w:dataBinding w:prefixMappings="xmlns:ns0='http://purl.org/dc/elements/1.1/' xmlns:ns1='http://schemas.openxmlformats.org/package/2006/metadata/core-properties' " w:xpath="/ns1:coreProperties[1]/ns0:subject[1]" w:storeItemID="{6C3C8BC8-F283-45AE-878A-BAB7291924A1}"/>
                                    <w:text/>
                                  </w:sdtPr>
                                  <w:sdtEndPr/>
                                  <w:sdtContent>
                                    <w:r>
                                      <w:rPr>
                                        <w:color w:val="FFFFFF" w:themeColor="background1"/>
                                        <w:sz w:val="32"/>
                                        <w:szCs w:val="32"/>
                                      </w:rPr>
                                      <w:t>Strategic Considerations for the Asia DEI Summit 2025  Tutor: Kathryn Flynn                                                                         Student ID: 2122721</w:t>
                                    </w:r>
                                  </w:sdtContent>
                                </w:sdt>
                              </w:p>
                            </w:tc>
                          </w:tr>
                          <w:tr w:rsidR="00C00F02" w14:paraId="2E6C6B97" w14:textId="77777777">
                            <w:trPr>
                              <w:trHeight w:hRule="exact" w:val="720"/>
                            </w:trPr>
                            <w:tc>
                              <w:tcPr>
                                <w:tcW w:w="9350" w:type="dxa"/>
                                <w:shd w:val="clear" w:color="auto" w:fill="A4063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00F02" w14:paraId="3EDA52CE" w14:textId="77777777">
                                  <w:trPr>
                                    <w:trHeight w:hRule="exact" w:val="720"/>
                                  </w:trPr>
                                  <w:tc>
                                    <w:tcPr>
                                      <w:tcW w:w="3590" w:type="dxa"/>
                                      <w:vAlign w:val="center"/>
                                    </w:tcPr>
                                    <w:p w14:paraId="797230A3" w14:textId="6CB2F777" w:rsidR="00C00F02" w:rsidRDefault="004116D7">
                                      <w:pPr>
                                        <w:pStyle w:val="NoSpacing"/>
                                        <w:ind w:left="720" w:right="144"/>
                                        <w:rPr>
                                          <w:color w:val="FFFFFF" w:themeColor="background1"/>
                                        </w:rPr>
                                      </w:pPr>
                                      <w:sdt>
                                        <w:sdtPr>
                                          <w:rPr>
                                            <w:color w:val="FFFFFF" w:themeColor="background1"/>
                                          </w:rPr>
                                          <w:alias w:val="Author"/>
                                          <w:tag w:val=""/>
                                          <w:id w:val="942812742"/>
                                          <w:placeholder>
                                            <w:docPart w:val="0B29872A91444DE5BD7F092694F8EB38"/>
                                          </w:placeholder>
                                          <w:dataBinding w:prefixMappings="xmlns:ns0='http://purl.org/dc/elements/1.1/' xmlns:ns1='http://schemas.openxmlformats.org/package/2006/metadata/core-properties' " w:xpath="/ns1:coreProperties[1]/ns0:creator[1]" w:storeItemID="{6C3C8BC8-F283-45AE-878A-BAB7291924A1}"/>
                                          <w:text/>
                                        </w:sdtPr>
                                        <w:sdtEndPr/>
                                        <w:sdtContent>
                                          <w:r w:rsidR="00857DD6" w:rsidRPr="00857DD6">
                                            <w:rPr>
                                              <w:color w:val="FFFFFF" w:themeColor="background1"/>
                                            </w:rPr>
                                            <w:t>Jasmin Khatun</w:t>
                                          </w:r>
                                        </w:sdtContent>
                                      </w:sdt>
                                    </w:p>
                                  </w:tc>
                                  <w:tc>
                                    <w:tcPr>
                                      <w:tcW w:w="3591" w:type="dxa"/>
                                      <w:vAlign w:val="center"/>
                                    </w:tcPr>
                                    <w:sdt>
                                      <w:sdtPr>
                                        <w:rPr>
                                          <w:color w:val="FFFFFF" w:themeColor="background1"/>
                                        </w:rPr>
                                        <w:alias w:val="Date"/>
                                        <w:tag w:val=""/>
                                        <w:id w:val="748164578"/>
                                        <w:placeholder>
                                          <w:docPart w:val="C0C3B889B34B4200A0815A9E3427F3B3"/>
                                        </w:placeholder>
                                        <w:dataBinding w:prefixMappings="xmlns:ns0='http://schemas.microsoft.com/office/2006/coverPageProps' " w:xpath="/ns0:CoverPageProperties[1]/ns0:PublishDate[1]" w:storeItemID="{55AF091B-3C7A-41E3-B477-F2FDAA23CFDA}"/>
                                        <w:date w:fullDate="2025-02-28T00:00:00Z">
                                          <w:dateFormat w:val="M/d/yy"/>
                                          <w:lid w:val="en-US"/>
                                          <w:storeMappedDataAs w:val="dateTime"/>
                                          <w:calendar w:val="gregorian"/>
                                        </w:date>
                                      </w:sdtPr>
                                      <w:sdtEndPr/>
                                      <w:sdtContent>
                                        <w:p w14:paraId="2CC0C358" w14:textId="36002616" w:rsidR="00C00F02" w:rsidRDefault="00857DD6">
                                          <w:pPr>
                                            <w:pStyle w:val="NoSpacing"/>
                                            <w:ind w:left="144" w:right="144"/>
                                            <w:jc w:val="center"/>
                                            <w:rPr>
                                              <w:color w:val="FFFFFF" w:themeColor="background1"/>
                                            </w:rPr>
                                          </w:pPr>
                                          <w:r>
                                            <w:rPr>
                                              <w:color w:val="FFFFFF" w:themeColor="background1"/>
                                            </w:rPr>
                                            <w:t>2/28/25</w:t>
                                          </w:r>
                                        </w:p>
                                      </w:sdtContent>
                                    </w:sdt>
                                  </w:tc>
                                  <w:sdt>
                                    <w:sdtPr>
                                      <w:rPr>
                                        <w:color w:val="FFFFFF" w:themeColor="background1"/>
                                      </w:rPr>
                                      <w:alias w:val="Course title"/>
                                      <w:tag w:val=""/>
                                      <w:id w:val="-15923909"/>
                                      <w:placeholder>
                                        <w:docPart w:val="702554AC423A43F6BA79E0672598EEAE"/>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A12D09F" w14:textId="241EAB15" w:rsidR="00C00F02" w:rsidRDefault="002A28D0">
                                          <w:pPr>
                                            <w:pStyle w:val="NoSpacing"/>
                                            <w:ind w:left="144" w:right="720"/>
                                            <w:jc w:val="right"/>
                                            <w:rPr>
                                              <w:color w:val="FFFFFF" w:themeColor="background1"/>
                                            </w:rPr>
                                          </w:pPr>
                                          <w:r>
                                            <w:rPr>
                                              <w:color w:val="FFFFFF" w:themeColor="background1"/>
                                            </w:rPr>
                                            <w:t>BMIH</w:t>
                                          </w:r>
                                          <w:r w:rsidR="00F06245">
                                            <w:rPr>
                                              <w:color w:val="FFFFFF" w:themeColor="background1"/>
                                            </w:rPr>
                                            <w:t xml:space="preserve">6007: </w:t>
                                          </w:r>
                                          <w:r w:rsidR="00857DD6" w:rsidRPr="00857DD6">
                                            <w:rPr>
                                              <w:color w:val="FFFFFF" w:themeColor="background1"/>
                                            </w:rPr>
                                            <w:t>International Meetings Management for the Hotel Industry</w:t>
                                          </w:r>
                                        </w:p>
                                      </w:tc>
                                    </w:sdtContent>
                                  </w:sdt>
                                </w:tr>
                              </w:tbl>
                              <w:p w14:paraId="58A78A2B" w14:textId="77777777" w:rsidR="00C00F02" w:rsidRDefault="00C00F02"/>
                            </w:tc>
                          </w:tr>
                        </w:tbl>
                        <w:p w14:paraId="10683CC7" w14:textId="77777777" w:rsidR="00C00F02" w:rsidRDefault="00C00F02"/>
                      </w:txbxContent>
                    </v:textbox>
                    <w10:wrap anchorx="page" anchory="page"/>
                  </v:shape>
                </w:pict>
              </mc:Fallback>
            </mc:AlternateContent>
          </w:r>
        </w:p>
        <w:p w14:paraId="182EB39A" w14:textId="432C5E98" w:rsidR="00C00F02" w:rsidRDefault="00857DD6">
          <w:pPr>
            <w:spacing w:after="200" w:line="276" w:lineRule="auto"/>
            <w:rPr>
              <w:noProof/>
            </w:rPr>
          </w:pPr>
          <w:r>
            <w:rPr>
              <w:noProof/>
            </w:rPr>
            <mc:AlternateContent>
              <mc:Choice Requires="wps">
                <w:drawing>
                  <wp:anchor distT="45720" distB="45720" distL="114300" distR="114300" simplePos="0" relativeHeight="251658241" behindDoc="0" locked="0" layoutInCell="1" allowOverlap="1" wp14:anchorId="1835BFA5" wp14:editId="7168B7C4">
                    <wp:simplePos x="0" y="0"/>
                    <wp:positionH relativeFrom="column">
                      <wp:posOffset>173355</wp:posOffset>
                    </wp:positionH>
                    <wp:positionV relativeFrom="paragraph">
                      <wp:posOffset>7960360</wp:posOffset>
                    </wp:positionV>
                    <wp:extent cx="1428750" cy="295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95275"/>
                            </a:xfrm>
                            <a:prstGeom prst="rect">
                              <a:avLst/>
                            </a:prstGeom>
                            <a:solidFill>
                              <a:srgbClr val="FFFFFF"/>
                            </a:solidFill>
                            <a:ln w="9525">
                              <a:solidFill>
                                <a:srgbClr val="000000"/>
                              </a:solidFill>
                              <a:miter lim="800000"/>
                              <a:headEnd/>
                              <a:tailEnd/>
                            </a:ln>
                          </wps:spPr>
                          <wps:txbx>
                            <w:txbxContent>
                              <w:p w14:paraId="4E4EB1D5" w14:textId="40573E48" w:rsidR="00857DD6" w:rsidRPr="00857DD6" w:rsidRDefault="00857DD6" w:rsidP="00857DD6">
                                <w:pPr>
                                  <w:jc w:val="center"/>
                                  <w:rPr>
                                    <w:b/>
                                    <w:bCs/>
                                  </w:rPr>
                                </w:pPr>
                                <w:r w:rsidRPr="00857DD6">
                                  <w:rPr>
                                    <w:b/>
                                    <w:bCs/>
                                  </w:rPr>
                                  <w:t>Word Count: 28</w:t>
                                </w:r>
                                <w:r>
                                  <w:rPr>
                                    <w:b/>
                                    <w:bCs/>
                                  </w:rPr>
                                  <w:t>0</w:t>
                                </w:r>
                                <w:r w:rsidRPr="00857DD6">
                                  <w:rPr>
                                    <w:b/>
                                    <w:bCs/>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5BFA5" id="_x0000_s1027" type="#_x0000_t202" style="position:absolute;margin-left:13.65pt;margin-top:626.8pt;width:112.5pt;height:23.2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">
                    <v:textbox>
                      <w:txbxContent>
                        <w:p w14:paraId="4E4EB1D5" w14:textId="40573E48" w:rsidR="00857DD6" w:rsidRPr="00857DD6" w:rsidRDefault="00857DD6" w:rsidP="00857DD6">
                          <w:pPr>
                            <w:jc w:val="center"/>
                            <w:rPr>
                              <w:b/>
                              <w:bCs/>
                            </w:rPr>
                          </w:pPr>
                          <w:r w:rsidRPr="00857DD6">
                            <w:rPr>
                              <w:b/>
                              <w:bCs/>
                            </w:rPr>
                            <w:t>Word Count: 28</w:t>
                          </w:r>
                          <w:r>
                            <w:rPr>
                              <w:b/>
                              <w:bCs/>
                            </w:rPr>
                            <w:t>0</w:t>
                          </w:r>
                          <w:r w:rsidRPr="00857DD6">
                            <w:rPr>
                              <w:b/>
                              <w:bCs/>
                            </w:rPr>
                            <w:t>0</w:t>
                          </w:r>
                        </w:p>
                      </w:txbxContent>
                    </v:textbox>
                    <w10:wrap type="square"/>
                  </v:shape>
                </w:pict>
              </mc:Fallback>
            </mc:AlternateContent>
          </w:r>
          <w:r w:rsidR="00C00F02">
            <w:rPr>
              <w:noProof/>
            </w:rPr>
            <w:br w:type="page"/>
          </w:r>
        </w:p>
      </w:sdtContent>
    </w:sdt>
    <w:p w14:paraId="00B602C3" w14:textId="0002A827" w:rsidR="004B7E44" w:rsidRDefault="004B7E44">
      <w:pPr>
        <w:spacing w:after="200"/>
      </w:pPr>
    </w:p>
    <w:sdt>
      <w:sdtPr>
        <w:rPr>
          <w:rFonts w:ascii="Arial" w:eastAsiaTheme="minorEastAsia" w:hAnsi="Arial" w:cstheme="minorBidi"/>
          <w:color w:val="auto"/>
          <w:sz w:val="22"/>
          <w:szCs w:val="22"/>
          <w:lang w:val="en-US" w:eastAsia="en-US" w:bidi="ar-SA"/>
        </w:rPr>
        <w:id w:val="-1629153401"/>
        <w:docPartObj>
          <w:docPartGallery w:val="Table of Contents"/>
          <w:docPartUnique/>
        </w:docPartObj>
      </w:sdtPr>
      <w:sdtEndPr>
        <w:rPr>
          <w:b/>
          <w:bCs/>
        </w:rPr>
      </w:sdtEndPr>
      <w:sdtContent>
        <w:p w14:paraId="360AFA70" w14:textId="501BA418" w:rsidR="007E0B32" w:rsidRDefault="007E0B32">
          <w:pPr>
            <w:pStyle w:val="TOCHeading"/>
          </w:pPr>
          <w:r>
            <w:t>Table of Contents</w:t>
          </w:r>
        </w:p>
        <w:p w14:paraId="1F0054D0" w14:textId="36590589" w:rsidR="00C00F02" w:rsidRDefault="007E0B32">
          <w:pPr>
            <w:pStyle w:val="TOC2"/>
            <w:tabs>
              <w:tab w:val="right" w:leader="dot" w:pos="9926"/>
            </w:tabs>
            <w:rPr>
              <w:rFonts w:asciiTheme="minorHAnsi" w:hAnsiTheme="minorHAnsi"/>
              <w:noProof/>
              <w:kern w:val="2"/>
              <w:sz w:val="24"/>
              <w:szCs w:val="21"/>
              <w:lang w:val="en-GB" w:eastAsia="en-GB" w:bidi="hi-IN"/>
              <w14:ligatures w14:val="standardContextual"/>
            </w:rPr>
          </w:pPr>
          <w:r>
            <w:fldChar w:fldCharType="begin"/>
          </w:r>
          <w:r>
            <w:instrText xml:space="preserve"> TOC \o "1-3" \h \z \u </w:instrText>
          </w:r>
          <w:r>
            <w:fldChar w:fldCharType="separate"/>
          </w:r>
          <w:hyperlink w:anchor="_Toc191598369" w:history="1">
            <w:r w:rsidR="00C00F02" w:rsidRPr="006E3DD4">
              <w:rPr>
                <w:rStyle w:val="Hyperlink"/>
                <w:noProof/>
              </w:rPr>
              <w:t>Introduction</w:t>
            </w:r>
            <w:r w:rsidR="00C00F02">
              <w:rPr>
                <w:noProof/>
                <w:webHidden/>
              </w:rPr>
              <w:tab/>
            </w:r>
            <w:r w:rsidR="00C00F02">
              <w:rPr>
                <w:noProof/>
                <w:webHidden/>
              </w:rPr>
              <w:fldChar w:fldCharType="begin"/>
            </w:r>
            <w:r w:rsidR="00C00F02">
              <w:rPr>
                <w:noProof/>
                <w:webHidden/>
              </w:rPr>
              <w:instrText xml:space="preserve"> PAGEREF _Toc191598369 \h </w:instrText>
            </w:r>
            <w:r w:rsidR="00C00F02">
              <w:rPr>
                <w:noProof/>
                <w:webHidden/>
              </w:rPr>
            </w:r>
            <w:r w:rsidR="00C00F02">
              <w:rPr>
                <w:noProof/>
                <w:webHidden/>
              </w:rPr>
              <w:fldChar w:fldCharType="separate"/>
            </w:r>
            <w:r w:rsidR="00C00F02">
              <w:rPr>
                <w:noProof/>
                <w:webHidden/>
              </w:rPr>
              <w:t>1</w:t>
            </w:r>
            <w:r w:rsidR="00C00F02">
              <w:rPr>
                <w:noProof/>
                <w:webHidden/>
              </w:rPr>
              <w:fldChar w:fldCharType="end"/>
            </w:r>
          </w:hyperlink>
        </w:p>
        <w:p w14:paraId="6AC277B7" w14:textId="08383449"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70" w:history="1">
            <w:r w:rsidRPr="006E3DD4">
              <w:rPr>
                <w:rStyle w:val="Hyperlink"/>
                <w:noProof/>
              </w:rPr>
              <w:t>The Event Cycle</w:t>
            </w:r>
            <w:r>
              <w:rPr>
                <w:noProof/>
                <w:webHidden/>
              </w:rPr>
              <w:tab/>
            </w:r>
            <w:r>
              <w:rPr>
                <w:noProof/>
                <w:webHidden/>
              </w:rPr>
              <w:fldChar w:fldCharType="begin"/>
            </w:r>
            <w:r>
              <w:rPr>
                <w:noProof/>
                <w:webHidden/>
              </w:rPr>
              <w:instrText xml:space="preserve"> PAGEREF _Toc191598370 \h </w:instrText>
            </w:r>
            <w:r>
              <w:rPr>
                <w:noProof/>
                <w:webHidden/>
              </w:rPr>
            </w:r>
            <w:r>
              <w:rPr>
                <w:noProof/>
                <w:webHidden/>
              </w:rPr>
              <w:fldChar w:fldCharType="separate"/>
            </w:r>
            <w:r>
              <w:rPr>
                <w:noProof/>
                <w:webHidden/>
              </w:rPr>
              <w:t>2</w:t>
            </w:r>
            <w:r>
              <w:rPr>
                <w:noProof/>
                <w:webHidden/>
              </w:rPr>
              <w:fldChar w:fldCharType="end"/>
            </w:r>
          </w:hyperlink>
        </w:p>
        <w:p w14:paraId="4177A49C" w14:textId="008654D0"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71" w:history="1">
            <w:r w:rsidRPr="006E3DD4">
              <w:rPr>
                <w:rStyle w:val="Hyperlink"/>
                <w:noProof/>
                <w:lang w:val="en-GB"/>
              </w:rPr>
              <w:t>Event Concept</w:t>
            </w:r>
            <w:r>
              <w:rPr>
                <w:noProof/>
                <w:webHidden/>
              </w:rPr>
              <w:tab/>
            </w:r>
            <w:r>
              <w:rPr>
                <w:noProof/>
                <w:webHidden/>
              </w:rPr>
              <w:fldChar w:fldCharType="begin"/>
            </w:r>
            <w:r>
              <w:rPr>
                <w:noProof/>
                <w:webHidden/>
              </w:rPr>
              <w:instrText xml:space="preserve"> PAGEREF _Toc191598371 \h </w:instrText>
            </w:r>
            <w:r>
              <w:rPr>
                <w:noProof/>
                <w:webHidden/>
              </w:rPr>
            </w:r>
            <w:r>
              <w:rPr>
                <w:noProof/>
                <w:webHidden/>
              </w:rPr>
              <w:fldChar w:fldCharType="separate"/>
            </w:r>
            <w:r>
              <w:rPr>
                <w:noProof/>
                <w:webHidden/>
              </w:rPr>
              <w:t>3</w:t>
            </w:r>
            <w:r>
              <w:rPr>
                <w:noProof/>
                <w:webHidden/>
              </w:rPr>
              <w:fldChar w:fldCharType="end"/>
            </w:r>
          </w:hyperlink>
        </w:p>
        <w:p w14:paraId="25F2DB8D" w14:textId="792D042C"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72" w:history="1">
            <w:r w:rsidRPr="006E3DD4">
              <w:rPr>
                <w:rStyle w:val="Hyperlink"/>
                <w:noProof/>
              </w:rPr>
              <w:t>Aim and Objectives</w:t>
            </w:r>
            <w:r>
              <w:rPr>
                <w:noProof/>
                <w:webHidden/>
              </w:rPr>
              <w:tab/>
            </w:r>
            <w:r>
              <w:rPr>
                <w:noProof/>
                <w:webHidden/>
              </w:rPr>
              <w:fldChar w:fldCharType="begin"/>
            </w:r>
            <w:r>
              <w:rPr>
                <w:noProof/>
                <w:webHidden/>
              </w:rPr>
              <w:instrText xml:space="preserve"> PAGEREF _Toc191598372 \h </w:instrText>
            </w:r>
            <w:r>
              <w:rPr>
                <w:noProof/>
                <w:webHidden/>
              </w:rPr>
            </w:r>
            <w:r>
              <w:rPr>
                <w:noProof/>
                <w:webHidden/>
              </w:rPr>
              <w:fldChar w:fldCharType="separate"/>
            </w:r>
            <w:r>
              <w:rPr>
                <w:noProof/>
                <w:webHidden/>
              </w:rPr>
              <w:t>4</w:t>
            </w:r>
            <w:r>
              <w:rPr>
                <w:noProof/>
                <w:webHidden/>
              </w:rPr>
              <w:fldChar w:fldCharType="end"/>
            </w:r>
          </w:hyperlink>
        </w:p>
        <w:p w14:paraId="70DD72C2" w14:textId="21F29221"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73" w:history="1">
            <w:r w:rsidRPr="006E3DD4">
              <w:rPr>
                <w:rStyle w:val="Hyperlink"/>
                <w:noProof/>
                <w:lang w:val="en-GB"/>
              </w:rPr>
              <w:t>Event Management</w:t>
            </w:r>
            <w:r>
              <w:rPr>
                <w:noProof/>
                <w:webHidden/>
              </w:rPr>
              <w:tab/>
            </w:r>
            <w:r>
              <w:rPr>
                <w:noProof/>
                <w:webHidden/>
              </w:rPr>
              <w:fldChar w:fldCharType="begin"/>
            </w:r>
            <w:r>
              <w:rPr>
                <w:noProof/>
                <w:webHidden/>
              </w:rPr>
              <w:instrText xml:space="preserve"> PAGEREF _Toc191598373 \h </w:instrText>
            </w:r>
            <w:r>
              <w:rPr>
                <w:noProof/>
                <w:webHidden/>
              </w:rPr>
            </w:r>
            <w:r>
              <w:rPr>
                <w:noProof/>
                <w:webHidden/>
              </w:rPr>
              <w:fldChar w:fldCharType="separate"/>
            </w:r>
            <w:r>
              <w:rPr>
                <w:noProof/>
                <w:webHidden/>
              </w:rPr>
              <w:t>5</w:t>
            </w:r>
            <w:r>
              <w:rPr>
                <w:noProof/>
                <w:webHidden/>
              </w:rPr>
              <w:fldChar w:fldCharType="end"/>
            </w:r>
          </w:hyperlink>
        </w:p>
        <w:p w14:paraId="7A8861B4" w14:textId="1CE6412B" w:rsidR="00C00F02" w:rsidRDefault="00C00F02">
          <w:pPr>
            <w:pStyle w:val="TOC3"/>
            <w:tabs>
              <w:tab w:val="right" w:leader="dot" w:pos="9926"/>
            </w:tabs>
            <w:rPr>
              <w:rFonts w:asciiTheme="minorHAnsi" w:hAnsiTheme="minorHAnsi"/>
              <w:noProof/>
              <w:kern w:val="2"/>
              <w:sz w:val="24"/>
              <w:szCs w:val="21"/>
              <w:lang w:val="en-GB" w:eastAsia="en-GB" w:bidi="hi-IN"/>
              <w14:ligatures w14:val="standardContextual"/>
            </w:rPr>
          </w:pPr>
          <w:hyperlink w:anchor="_Toc191598374" w:history="1">
            <w:r w:rsidRPr="006E3DD4">
              <w:rPr>
                <w:rStyle w:val="Hyperlink"/>
                <w:noProof/>
                <w:lang w:val="en-GB"/>
              </w:rPr>
              <w:t>Skills and Personnel</w:t>
            </w:r>
            <w:r>
              <w:rPr>
                <w:noProof/>
                <w:webHidden/>
              </w:rPr>
              <w:tab/>
            </w:r>
            <w:r>
              <w:rPr>
                <w:noProof/>
                <w:webHidden/>
              </w:rPr>
              <w:fldChar w:fldCharType="begin"/>
            </w:r>
            <w:r>
              <w:rPr>
                <w:noProof/>
                <w:webHidden/>
              </w:rPr>
              <w:instrText xml:space="preserve"> PAGEREF _Toc191598374 \h </w:instrText>
            </w:r>
            <w:r>
              <w:rPr>
                <w:noProof/>
                <w:webHidden/>
              </w:rPr>
            </w:r>
            <w:r>
              <w:rPr>
                <w:noProof/>
                <w:webHidden/>
              </w:rPr>
              <w:fldChar w:fldCharType="separate"/>
            </w:r>
            <w:r>
              <w:rPr>
                <w:noProof/>
                <w:webHidden/>
              </w:rPr>
              <w:t>5</w:t>
            </w:r>
            <w:r>
              <w:rPr>
                <w:noProof/>
                <w:webHidden/>
              </w:rPr>
              <w:fldChar w:fldCharType="end"/>
            </w:r>
          </w:hyperlink>
        </w:p>
        <w:p w14:paraId="5D191F83" w14:textId="10695AAE" w:rsidR="00C00F02" w:rsidRDefault="00C00F02">
          <w:pPr>
            <w:pStyle w:val="TOC3"/>
            <w:tabs>
              <w:tab w:val="right" w:leader="dot" w:pos="9926"/>
            </w:tabs>
            <w:rPr>
              <w:rFonts w:asciiTheme="minorHAnsi" w:hAnsiTheme="minorHAnsi"/>
              <w:noProof/>
              <w:kern w:val="2"/>
              <w:sz w:val="24"/>
              <w:szCs w:val="21"/>
              <w:lang w:val="en-GB" w:eastAsia="en-GB" w:bidi="hi-IN"/>
              <w14:ligatures w14:val="standardContextual"/>
            </w:rPr>
          </w:pPr>
          <w:hyperlink w:anchor="_Toc191598375" w:history="1">
            <w:r w:rsidRPr="006E3DD4">
              <w:rPr>
                <w:rStyle w:val="Hyperlink"/>
                <w:noProof/>
                <w:lang w:val="en-GB"/>
              </w:rPr>
              <w:t>Operational Activities</w:t>
            </w:r>
            <w:r>
              <w:rPr>
                <w:noProof/>
                <w:webHidden/>
              </w:rPr>
              <w:tab/>
            </w:r>
            <w:r>
              <w:rPr>
                <w:noProof/>
                <w:webHidden/>
              </w:rPr>
              <w:fldChar w:fldCharType="begin"/>
            </w:r>
            <w:r>
              <w:rPr>
                <w:noProof/>
                <w:webHidden/>
              </w:rPr>
              <w:instrText xml:space="preserve"> PAGEREF _Toc191598375 \h </w:instrText>
            </w:r>
            <w:r>
              <w:rPr>
                <w:noProof/>
                <w:webHidden/>
              </w:rPr>
            </w:r>
            <w:r>
              <w:rPr>
                <w:noProof/>
                <w:webHidden/>
              </w:rPr>
              <w:fldChar w:fldCharType="separate"/>
            </w:r>
            <w:r>
              <w:rPr>
                <w:noProof/>
                <w:webHidden/>
              </w:rPr>
              <w:t>5</w:t>
            </w:r>
            <w:r>
              <w:rPr>
                <w:noProof/>
                <w:webHidden/>
              </w:rPr>
              <w:fldChar w:fldCharType="end"/>
            </w:r>
          </w:hyperlink>
        </w:p>
        <w:p w14:paraId="27DADECD" w14:textId="3929E1E3" w:rsidR="00C00F02" w:rsidRDefault="00C00F02">
          <w:pPr>
            <w:pStyle w:val="TOC3"/>
            <w:tabs>
              <w:tab w:val="right" w:leader="dot" w:pos="9926"/>
            </w:tabs>
            <w:rPr>
              <w:rFonts w:asciiTheme="minorHAnsi" w:hAnsiTheme="minorHAnsi"/>
              <w:noProof/>
              <w:kern w:val="2"/>
              <w:sz w:val="24"/>
              <w:szCs w:val="21"/>
              <w:lang w:val="en-GB" w:eastAsia="en-GB" w:bidi="hi-IN"/>
              <w14:ligatures w14:val="standardContextual"/>
            </w:rPr>
          </w:pPr>
          <w:hyperlink w:anchor="_Toc191598376" w:history="1">
            <w:r w:rsidRPr="006E3DD4">
              <w:rPr>
                <w:rStyle w:val="Hyperlink"/>
                <w:noProof/>
                <w:lang w:val="en-GB"/>
              </w:rPr>
              <w:t>Planning Activities</w:t>
            </w:r>
            <w:r>
              <w:rPr>
                <w:noProof/>
                <w:webHidden/>
              </w:rPr>
              <w:tab/>
            </w:r>
            <w:r>
              <w:rPr>
                <w:noProof/>
                <w:webHidden/>
              </w:rPr>
              <w:fldChar w:fldCharType="begin"/>
            </w:r>
            <w:r>
              <w:rPr>
                <w:noProof/>
                <w:webHidden/>
              </w:rPr>
              <w:instrText xml:space="preserve"> PAGEREF _Toc191598376 \h </w:instrText>
            </w:r>
            <w:r>
              <w:rPr>
                <w:noProof/>
                <w:webHidden/>
              </w:rPr>
            </w:r>
            <w:r>
              <w:rPr>
                <w:noProof/>
                <w:webHidden/>
              </w:rPr>
              <w:fldChar w:fldCharType="separate"/>
            </w:r>
            <w:r>
              <w:rPr>
                <w:noProof/>
                <w:webHidden/>
              </w:rPr>
              <w:t>5</w:t>
            </w:r>
            <w:r>
              <w:rPr>
                <w:noProof/>
                <w:webHidden/>
              </w:rPr>
              <w:fldChar w:fldCharType="end"/>
            </w:r>
          </w:hyperlink>
        </w:p>
        <w:p w14:paraId="12A21BC4" w14:textId="5305CC22" w:rsidR="00C00F02" w:rsidRDefault="00C00F02">
          <w:pPr>
            <w:pStyle w:val="TOC3"/>
            <w:tabs>
              <w:tab w:val="right" w:leader="dot" w:pos="9926"/>
            </w:tabs>
            <w:rPr>
              <w:rFonts w:asciiTheme="minorHAnsi" w:hAnsiTheme="minorHAnsi"/>
              <w:noProof/>
              <w:kern w:val="2"/>
              <w:sz w:val="24"/>
              <w:szCs w:val="21"/>
              <w:lang w:val="en-GB" w:eastAsia="en-GB" w:bidi="hi-IN"/>
              <w14:ligatures w14:val="standardContextual"/>
            </w:rPr>
          </w:pPr>
          <w:hyperlink w:anchor="_Toc191598377" w:history="1">
            <w:r w:rsidRPr="006E3DD4">
              <w:rPr>
                <w:rStyle w:val="Hyperlink"/>
                <w:noProof/>
                <w:lang w:val="en-GB"/>
              </w:rPr>
              <w:t>Marketing Activities</w:t>
            </w:r>
            <w:r>
              <w:rPr>
                <w:noProof/>
                <w:webHidden/>
              </w:rPr>
              <w:tab/>
            </w:r>
            <w:r>
              <w:rPr>
                <w:noProof/>
                <w:webHidden/>
              </w:rPr>
              <w:fldChar w:fldCharType="begin"/>
            </w:r>
            <w:r>
              <w:rPr>
                <w:noProof/>
                <w:webHidden/>
              </w:rPr>
              <w:instrText xml:space="preserve"> PAGEREF _Toc191598377 \h </w:instrText>
            </w:r>
            <w:r>
              <w:rPr>
                <w:noProof/>
                <w:webHidden/>
              </w:rPr>
            </w:r>
            <w:r>
              <w:rPr>
                <w:noProof/>
                <w:webHidden/>
              </w:rPr>
              <w:fldChar w:fldCharType="separate"/>
            </w:r>
            <w:r>
              <w:rPr>
                <w:noProof/>
                <w:webHidden/>
              </w:rPr>
              <w:t>6</w:t>
            </w:r>
            <w:r>
              <w:rPr>
                <w:noProof/>
                <w:webHidden/>
              </w:rPr>
              <w:fldChar w:fldCharType="end"/>
            </w:r>
          </w:hyperlink>
        </w:p>
        <w:p w14:paraId="700FF801" w14:textId="66845E5F"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78" w:history="1">
            <w:r w:rsidRPr="006E3DD4">
              <w:rPr>
                <w:rStyle w:val="Hyperlink"/>
                <w:noProof/>
              </w:rPr>
              <w:t>Event Budget</w:t>
            </w:r>
            <w:r>
              <w:rPr>
                <w:noProof/>
                <w:webHidden/>
              </w:rPr>
              <w:tab/>
            </w:r>
            <w:r>
              <w:rPr>
                <w:noProof/>
                <w:webHidden/>
              </w:rPr>
              <w:fldChar w:fldCharType="begin"/>
            </w:r>
            <w:r>
              <w:rPr>
                <w:noProof/>
                <w:webHidden/>
              </w:rPr>
              <w:instrText xml:space="preserve"> PAGEREF _Toc191598378 \h </w:instrText>
            </w:r>
            <w:r>
              <w:rPr>
                <w:noProof/>
                <w:webHidden/>
              </w:rPr>
            </w:r>
            <w:r>
              <w:rPr>
                <w:noProof/>
                <w:webHidden/>
              </w:rPr>
              <w:fldChar w:fldCharType="separate"/>
            </w:r>
            <w:r>
              <w:rPr>
                <w:noProof/>
                <w:webHidden/>
              </w:rPr>
              <w:t>7</w:t>
            </w:r>
            <w:r>
              <w:rPr>
                <w:noProof/>
                <w:webHidden/>
              </w:rPr>
              <w:fldChar w:fldCharType="end"/>
            </w:r>
          </w:hyperlink>
        </w:p>
        <w:p w14:paraId="2FAA3B58" w14:textId="5A8354BC"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79" w:history="1">
            <w:r w:rsidRPr="006E3DD4">
              <w:rPr>
                <w:rStyle w:val="Hyperlink"/>
                <w:noProof/>
                <w:lang w:val="en-GB"/>
              </w:rPr>
              <w:t>Industry Trends</w:t>
            </w:r>
            <w:r>
              <w:rPr>
                <w:noProof/>
                <w:webHidden/>
              </w:rPr>
              <w:tab/>
            </w:r>
            <w:r>
              <w:rPr>
                <w:noProof/>
                <w:webHidden/>
              </w:rPr>
              <w:fldChar w:fldCharType="begin"/>
            </w:r>
            <w:r>
              <w:rPr>
                <w:noProof/>
                <w:webHidden/>
              </w:rPr>
              <w:instrText xml:space="preserve"> PAGEREF _Toc191598379 \h </w:instrText>
            </w:r>
            <w:r>
              <w:rPr>
                <w:noProof/>
                <w:webHidden/>
              </w:rPr>
            </w:r>
            <w:r>
              <w:rPr>
                <w:noProof/>
                <w:webHidden/>
              </w:rPr>
              <w:fldChar w:fldCharType="separate"/>
            </w:r>
            <w:r>
              <w:rPr>
                <w:noProof/>
                <w:webHidden/>
              </w:rPr>
              <w:t>8</w:t>
            </w:r>
            <w:r>
              <w:rPr>
                <w:noProof/>
                <w:webHidden/>
              </w:rPr>
              <w:fldChar w:fldCharType="end"/>
            </w:r>
          </w:hyperlink>
        </w:p>
        <w:p w14:paraId="30B377E9" w14:textId="050C9BC3" w:rsidR="00C00F02" w:rsidRDefault="00C00F02">
          <w:pPr>
            <w:pStyle w:val="TOC3"/>
            <w:tabs>
              <w:tab w:val="right" w:leader="dot" w:pos="9926"/>
            </w:tabs>
            <w:rPr>
              <w:rFonts w:asciiTheme="minorHAnsi" w:hAnsiTheme="minorHAnsi"/>
              <w:noProof/>
              <w:kern w:val="2"/>
              <w:sz w:val="24"/>
              <w:szCs w:val="21"/>
              <w:lang w:val="en-GB" w:eastAsia="en-GB" w:bidi="hi-IN"/>
              <w14:ligatures w14:val="standardContextual"/>
            </w:rPr>
          </w:pPr>
          <w:hyperlink w:anchor="_Toc191598380" w:history="1">
            <w:r w:rsidRPr="006E3DD4">
              <w:rPr>
                <w:rStyle w:val="Hyperlink"/>
                <w:noProof/>
                <w:lang w:val="en-GB"/>
              </w:rPr>
              <w:t>Key Trends in Asia’s Events Industry</w:t>
            </w:r>
            <w:r>
              <w:rPr>
                <w:noProof/>
                <w:webHidden/>
              </w:rPr>
              <w:tab/>
            </w:r>
            <w:r>
              <w:rPr>
                <w:noProof/>
                <w:webHidden/>
              </w:rPr>
              <w:fldChar w:fldCharType="begin"/>
            </w:r>
            <w:r>
              <w:rPr>
                <w:noProof/>
                <w:webHidden/>
              </w:rPr>
              <w:instrText xml:space="preserve"> PAGEREF _Toc191598380 \h </w:instrText>
            </w:r>
            <w:r>
              <w:rPr>
                <w:noProof/>
                <w:webHidden/>
              </w:rPr>
            </w:r>
            <w:r>
              <w:rPr>
                <w:noProof/>
                <w:webHidden/>
              </w:rPr>
              <w:fldChar w:fldCharType="separate"/>
            </w:r>
            <w:r>
              <w:rPr>
                <w:noProof/>
                <w:webHidden/>
              </w:rPr>
              <w:t>8</w:t>
            </w:r>
            <w:r>
              <w:rPr>
                <w:noProof/>
                <w:webHidden/>
              </w:rPr>
              <w:fldChar w:fldCharType="end"/>
            </w:r>
          </w:hyperlink>
        </w:p>
        <w:p w14:paraId="700BF06C" w14:textId="0ACF12E5" w:rsidR="00C00F02" w:rsidRDefault="00C00F02">
          <w:pPr>
            <w:pStyle w:val="TOC3"/>
            <w:tabs>
              <w:tab w:val="right" w:leader="dot" w:pos="9926"/>
            </w:tabs>
            <w:rPr>
              <w:rFonts w:asciiTheme="minorHAnsi" w:hAnsiTheme="minorHAnsi"/>
              <w:noProof/>
              <w:kern w:val="2"/>
              <w:sz w:val="24"/>
              <w:szCs w:val="21"/>
              <w:lang w:val="en-GB" w:eastAsia="en-GB" w:bidi="hi-IN"/>
              <w14:ligatures w14:val="standardContextual"/>
            </w:rPr>
          </w:pPr>
          <w:hyperlink w:anchor="_Toc191598381" w:history="1">
            <w:r w:rsidRPr="006E3DD4">
              <w:rPr>
                <w:rStyle w:val="Hyperlink"/>
                <w:noProof/>
                <w:lang w:val="en-GB"/>
              </w:rPr>
              <w:t>Critical Challenges</w:t>
            </w:r>
            <w:r>
              <w:rPr>
                <w:noProof/>
                <w:webHidden/>
              </w:rPr>
              <w:tab/>
            </w:r>
            <w:r>
              <w:rPr>
                <w:noProof/>
                <w:webHidden/>
              </w:rPr>
              <w:fldChar w:fldCharType="begin"/>
            </w:r>
            <w:r>
              <w:rPr>
                <w:noProof/>
                <w:webHidden/>
              </w:rPr>
              <w:instrText xml:space="preserve"> PAGEREF _Toc191598381 \h </w:instrText>
            </w:r>
            <w:r>
              <w:rPr>
                <w:noProof/>
                <w:webHidden/>
              </w:rPr>
            </w:r>
            <w:r>
              <w:rPr>
                <w:noProof/>
                <w:webHidden/>
              </w:rPr>
              <w:fldChar w:fldCharType="separate"/>
            </w:r>
            <w:r>
              <w:rPr>
                <w:noProof/>
                <w:webHidden/>
              </w:rPr>
              <w:t>8</w:t>
            </w:r>
            <w:r>
              <w:rPr>
                <w:noProof/>
                <w:webHidden/>
              </w:rPr>
              <w:fldChar w:fldCharType="end"/>
            </w:r>
          </w:hyperlink>
        </w:p>
        <w:p w14:paraId="151343B7" w14:textId="792E3B32"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82" w:history="1">
            <w:r w:rsidRPr="006E3DD4">
              <w:rPr>
                <w:rStyle w:val="Hyperlink"/>
                <w:noProof/>
                <w:lang w:val="en-GB"/>
              </w:rPr>
              <w:t>Situational and Cultural Considerations</w:t>
            </w:r>
            <w:r>
              <w:rPr>
                <w:noProof/>
                <w:webHidden/>
              </w:rPr>
              <w:tab/>
            </w:r>
            <w:r>
              <w:rPr>
                <w:noProof/>
                <w:webHidden/>
              </w:rPr>
              <w:fldChar w:fldCharType="begin"/>
            </w:r>
            <w:r>
              <w:rPr>
                <w:noProof/>
                <w:webHidden/>
              </w:rPr>
              <w:instrText xml:space="preserve"> PAGEREF _Toc191598382 \h </w:instrText>
            </w:r>
            <w:r>
              <w:rPr>
                <w:noProof/>
                <w:webHidden/>
              </w:rPr>
            </w:r>
            <w:r>
              <w:rPr>
                <w:noProof/>
                <w:webHidden/>
              </w:rPr>
              <w:fldChar w:fldCharType="separate"/>
            </w:r>
            <w:r>
              <w:rPr>
                <w:noProof/>
                <w:webHidden/>
              </w:rPr>
              <w:t>9</w:t>
            </w:r>
            <w:r>
              <w:rPr>
                <w:noProof/>
                <w:webHidden/>
              </w:rPr>
              <w:fldChar w:fldCharType="end"/>
            </w:r>
          </w:hyperlink>
        </w:p>
        <w:p w14:paraId="1F198D4A" w14:textId="62344C02"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83" w:history="1">
            <w:r w:rsidRPr="006E3DD4">
              <w:rPr>
                <w:rStyle w:val="Hyperlink"/>
                <w:noProof/>
                <w:lang w:val="en-GB"/>
              </w:rPr>
              <w:t>Conclusion &amp; Strategic Recommendations</w:t>
            </w:r>
            <w:r>
              <w:rPr>
                <w:noProof/>
                <w:webHidden/>
              </w:rPr>
              <w:tab/>
            </w:r>
            <w:r>
              <w:rPr>
                <w:noProof/>
                <w:webHidden/>
              </w:rPr>
              <w:fldChar w:fldCharType="begin"/>
            </w:r>
            <w:r>
              <w:rPr>
                <w:noProof/>
                <w:webHidden/>
              </w:rPr>
              <w:instrText xml:space="preserve"> PAGEREF _Toc191598383 \h </w:instrText>
            </w:r>
            <w:r>
              <w:rPr>
                <w:noProof/>
                <w:webHidden/>
              </w:rPr>
            </w:r>
            <w:r>
              <w:rPr>
                <w:noProof/>
                <w:webHidden/>
              </w:rPr>
              <w:fldChar w:fldCharType="separate"/>
            </w:r>
            <w:r>
              <w:rPr>
                <w:noProof/>
                <w:webHidden/>
              </w:rPr>
              <w:t>11</w:t>
            </w:r>
            <w:r>
              <w:rPr>
                <w:noProof/>
                <w:webHidden/>
              </w:rPr>
              <w:fldChar w:fldCharType="end"/>
            </w:r>
          </w:hyperlink>
        </w:p>
        <w:p w14:paraId="324E0023" w14:textId="5FEEF3D4" w:rsidR="00C00F02" w:rsidRDefault="00C00F02">
          <w:pPr>
            <w:pStyle w:val="TOC2"/>
            <w:tabs>
              <w:tab w:val="right" w:leader="dot" w:pos="9926"/>
            </w:tabs>
            <w:rPr>
              <w:rFonts w:asciiTheme="minorHAnsi" w:hAnsiTheme="minorHAnsi"/>
              <w:noProof/>
              <w:kern w:val="2"/>
              <w:sz w:val="24"/>
              <w:szCs w:val="21"/>
              <w:lang w:val="en-GB" w:eastAsia="en-GB" w:bidi="hi-IN"/>
              <w14:ligatures w14:val="standardContextual"/>
            </w:rPr>
          </w:pPr>
          <w:hyperlink w:anchor="_Toc191598384" w:history="1">
            <w:r w:rsidRPr="006E3DD4">
              <w:rPr>
                <w:rStyle w:val="Hyperlink"/>
                <w:noProof/>
              </w:rPr>
              <w:t>Reference</w:t>
            </w:r>
            <w:r>
              <w:rPr>
                <w:noProof/>
                <w:webHidden/>
              </w:rPr>
              <w:tab/>
            </w:r>
            <w:r>
              <w:rPr>
                <w:noProof/>
                <w:webHidden/>
              </w:rPr>
              <w:fldChar w:fldCharType="begin"/>
            </w:r>
            <w:r>
              <w:rPr>
                <w:noProof/>
                <w:webHidden/>
              </w:rPr>
              <w:instrText xml:space="preserve"> PAGEREF _Toc191598384 \h </w:instrText>
            </w:r>
            <w:r>
              <w:rPr>
                <w:noProof/>
                <w:webHidden/>
              </w:rPr>
            </w:r>
            <w:r>
              <w:rPr>
                <w:noProof/>
                <w:webHidden/>
              </w:rPr>
              <w:fldChar w:fldCharType="separate"/>
            </w:r>
            <w:r>
              <w:rPr>
                <w:noProof/>
                <w:webHidden/>
              </w:rPr>
              <w:t>12</w:t>
            </w:r>
            <w:r>
              <w:rPr>
                <w:noProof/>
                <w:webHidden/>
              </w:rPr>
              <w:fldChar w:fldCharType="end"/>
            </w:r>
          </w:hyperlink>
        </w:p>
        <w:p w14:paraId="5E36604B" w14:textId="756817A7" w:rsidR="007E0B32" w:rsidRDefault="007E0B32">
          <w:r>
            <w:rPr>
              <w:b/>
              <w:bCs/>
            </w:rPr>
            <w:fldChar w:fldCharType="end"/>
          </w:r>
        </w:p>
      </w:sdtContent>
    </w:sdt>
    <w:p w14:paraId="442F463B" w14:textId="77777777" w:rsidR="00C00F02" w:rsidRDefault="007F09EB">
      <w:pPr>
        <w:spacing w:after="200" w:line="276" w:lineRule="auto"/>
        <w:sectPr w:rsidR="00C00F02" w:rsidSect="00C00F02">
          <w:headerReference w:type="default" r:id="rId13"/>
          <w:footerReference w:type="default" r:id="rId14"/>
          <w:footerReference w:type="first" r:id="rId15"/>
          <w:pgSz w:w="12240" w:h="15840"/>
          <w:pgMar w:top="720" w:right="1152" w:bottom="720" w:left="1152" w:header="0" w:footer="0" w:gutter="0"/>
          <w:pgNumType w:start="0"/>
          <w:cols w:space="720"/>
          <w:titlePg/>
          <w:docGrid w:linePitch="381"/>
        </w:sectPr>
      </w:pPr>
      <w:r>
        <w:br w:type="page"/>
      </w:r>
    </w:p>
    <w:p w14:paraId="705FA531" w14:textId="3033A93F" w:rsidR="00E56A09" w:rsidRDefault="00E56A09" w:rsidP="001C71A1">
      <w:pPr>
        <w:pStyle w:val="Heading2"/>
        <w:spacing w:line="360" w:lineRule="auto"/>
        <w:jc w:val="both"/>
      </w:pPr>
      <w:bookmarkStart w:id="0" w:name="_Toc191598369"/>
      <w:r>
        <w:t>Introduction</w:t>
      </w:r>
      <w:bookmarkEnd w:id="0"/>
    </w:p>
    <w:p w14:paraId="5500F2BE" w14:textId="6DEA662C" w:rsidR="00611F05" w:rsidRPr="00611F05" w:rsidRDefault="00611F05" w:rsidP="00C60B66">
      <w:pPr>
        <w:jc w:val="both"/>
        <w:rPr>
          <w:lang w:val="en-GB"/>
        </w:rPr>
      </w:pPr>
      <w:r w:rsidRPr="00611F05">
        <w:rPr>
          <w:lang w:val="en-GB"/>
        </w:rPr>
        <w:t xml:space="preserve">The Asia DEI Summit 2025, with the theme "Shaping Inclusion Growth," is a two-day meeting and exhibition that aims to meet the urgent need for Equality, Diversity, and Inclusion (ED&amp;I) frameworks that can be used in Asia's business and hospitality sectors. The event will take place at the Cordis Hotel in Hong Kong on February 22 and 23 of 2025. It will bring together global ED&amp;I leaders, regional policymakers, and industry workers to talk about issues like gender inequality, caste dynamics, and corporate accountability. 72% of Asia-Pacific companies don't have strong DEI strategies </w:t>
      </w:r>
      <w:r w:rsidR="00696D85">
        <w:rPr>
          <w:lang w:val="en-GB"/>
        </w:rPr>
        <w:fldChar w:fldCharType="begin"/>
      </w:r>
      <w:r w:rsidR="00696D85">
        <w:rPr>
          <w:lang w:val="en-GB"/>
        </w:rPr>
        <w:instrText xml:space="preserve"> ADDIN ZOTERO_ITEM CSL_CITATION {"citationID":"4nVBGDcg","properties":{"formattedCitation":"(Shinozaki, 2023)","plainCitation":"(Shinozaki, 2023)","noteIndex":0},"citationItems":[{"id":1136,"uris":["http://zotero.org/users/7363269/items/9IDNY5XD"],"itemData":{"id":1136,"type":"book","call-number":"HD2346.A78 S55 2023","event-place":"Mandaluyong City, Metro Manila, Philippines","ISBN":"978-92-9270-386-8","number-of-pages":"230","publisher":"Asian Development Bank","publisher-place":"Mandaluyong City, Metro Manila, Philippines","source":"Library of Congress ISBN","title":"Asia small and medium-sized enterprise monitor 2023: how small firms can contribute to resilient growth in the Pacific post COVID-19 pandemic","title-short":"Asia small and medium-sized enterprise monitor 2023","author":[{"family":"Shinozaki","given":"Shigehiro"}],"contributor":[{"literal":"Asian Development Bank"}],"issued":{"date-parts":[["2023"]]}}}],"schema":"https://github.com/citation-style-language/schema/raw/master/csl-citation.json"} </w:instrText>
      </w:r>
      <w:r w:rsidR="00696D85">
        <w:rPr>
          <w:lang w:val="en-GB"/>
        </w:rPr>
        <w:fldChar w:fldCharType="separate"/>
      </w:r>
      <w:r w:rsidR="00696D85" w:rsidRPr="00696D85">
        <w:rPr>
          <w:rFonts w:cs="Arial"/>
        </w:rPr>
        <w:t>(Shinozaki, 2023)</w:t>
      </w:r>
      <w:r w:rsidR="00696D85">
        <w:rPr>
          <w:lang w:val="en-GB"/>
        </w:rPr>
        <w:fldChar w:fldCharType="end"/>
      </w:r>
      <w:r w:rsidR="00696D85">
        <w:rPr>
          <w:lang w:val="en-GB"/>
        </w:rPr>
        <w:t xml:space="preserve">. </w:t>
      </w:r>
      <w:r w:rsidRPr="00611F05">
        <w:rPr>
          <w:lang w:val="en-GB"/>
        </w:rPr>
        <w:t>The summit's goal is to close this gap by offering solutions that are culturally appropriate and work well in different areas while also encouraging collaboration between different industries.</w:t>
      </w:r>
    </w:p>
    <w:p w14:paraId="206D487B" w14:textId="2D8B074C" w:rsidR="00611F05" w:rsidRPr="00611F05" w:rsidRDefault="00611F05" w:rsidP="00C60B66">
      <w:pPr>
        <w:jc w:val="both"/>
        <w:rPr>
          <w:lang w:val="en-GB"/>
        </w:rPr>
      </w:pPr>
      <w:r w:rsidRPr="00611F05">
        <w:rPr>
          <w:lang w:val="en-GB"/>
        </w:rPr>
        <w:t xml:space="preserve">With an estimated $3.8 billion invested in DEI projects throughout Asia by 2025, this event is both necessary and timely </w:t>
      </w:r>
      <w:r w:rsidR="00696D85">
        <w:rPr>
          <w:lang w:val="en-GB"/>
        </w:rPr>
        <w:fldChar w:fldCharType="begin"/>
      </w:r>
      <w:r w:rsidR="00696D85">
        <w:rPr>
          <w:lang w:val="en-GB"/>
        </w:rPr>
        <w:instrText xml:space="preserve"> ADDIN ZOTERO_ITEM CSL_CITATION {"citationID":"48WqYkbR","properties":{"formattedCitation":"(Shinozaki, 2023)","plainCitation":"(Shinozaki, 2023)","noteIndex":0},"citationItems":[{"id":1136,"uris":["http://zotero.org/users/7363269/items/9IDNY5XD"],"itemData":{"id":1136,"type":"book","call-number":"HD2346.A78 S55 2023","event-place":"Mandaluyong City, Metro Manila, Philippines","ISBN":"978-92-9270-386-8","number-of-pages":"230","publisher":"Asian Development Bank","publisher-place":"Mandaluyong City, Metro Manila, Philippines","source":"Library of Congress ISBN","title":"Asia small and medium-sized enterprise monitor 2023: how small firms can contribute to resilient growth in the Pacific post COVID-19 pandemic","title-short":"Asia small and medium-sized enterprise monitor 2023","author":[{"family":"Shinozaki","given":"Shigehiro"}],"contributor":[{"literal":"Asian Development Bank"}],"issued":{"date-parts":[["2023"]]}}}],"schema":"https://github.com/citation-style-language/schema/raw/master/csl-citation.json"} </w:instrText>
      </w:r>
      <w:r w:rsidR="00696D85">
        <w:rPr>
          <w:lang w:val="en-GB"/>
        </w:rPr>
        <w:fldChar w:fldCharType="separate"/>
      </w:r>
      <w:r w:rsidR="00696D85" w:rsidRPr="00696D85">
        <w:rPr>
          <w:rFonts w:cs="Arial"/>
        </w:rPr>
        <w:t>(Shinozaki, 2023)</w:t>
      </w:r>
      <w:r w:rsidR="00696D85">
        <w:rPr>
          <w:lang w:val="en-GB"/>
        </w:rPr>
        <w:fldChar w:fldCharType="end"/>
      </w:r>
      <w:r w:rsidRPr="00611F05">
        <w:rPr>
          <w:lang w:val="en-GB"/>
        </w:rPr>
        <w:t>. The conference guarantees inclusivity and relevance for its diverse audience by utilising hybrid accessibility, real-time translation, and sustainability principles. Key features include keynote addresses, hands-on workshops, networking opportunities, and an exhibition showcasing inclusive technologies and case studies.</w:t>
      </w:r>
    </w:p>
    <w:p w14:paraId="1B8247EA" w14:textId="4CFD65B5" w:rsidR="00611F05" w:rsidRPr="00611F05" w:rsidRDefault="00611F05" w:rsidP="00C60B66">
      <w:pPr>
        <w:jc w:val="both"/>
        <w:rPr>
          <w:lang w:val="en-GB"/>
        </w:rPr>
      </w:pPr>
      <w:r w:rsidRPr="00611F05">
        <w:rPr>
          <w:lang w:val="en-GB"/>
        </w:rPr>
        <w:t>This report critically examines the event cycle, operational requirements, budgetary allocations, and wider situational factors influencing the event.</w:t>
      </w:r>
      <w:r w:rsidR="007F09EB">
        <w:rPr>
          <w:lang w:val="en-GB"/>
        </w:rPr>
        <w:t xml:space="preserve"> </w:t>
      </w:r>
      <w:r w:rsidRPr="00611F05">
        <w:rPr>
          <w:lang w:val="en-GB"/>
        </w:rPr>
        <w:t>By combining theoretical insights with practical applications, the paper emphasises the summit's potential to create transformative changes in Asia's DEI landscape.</w:t>
      </w:r>
    </w:p>
    <w:p w14:paraId="56DCEDDE" w14:textId="77777777" w:rsidR="002F6D8D" w:rsidRPr="00611F05" w:rsidRDefault="002F6D8D" w:rsidP="002F6D8D">
      <w:pPr>
        <w:rPr>
          <w:lang w:val="en-GB"/>
        </w:rPr>
      </w:pPr>
    </w:p>
    <w:p w14:paraId="380441CE" w14:textId="77777777" w:rsidR="002F6D8D" w:rsidRDefault="002F6D8D">
      <w:pPr>
        <w:spacing w:after="200"/>
      </w:pPr>
      <w:r>
        <w:br w:type="page"/>
      </w:r>
    </w:p>
    <w:p w14:paraId="73A7BBAF" w14:textId="6AAF886E" w:rsidR="002F6D8D" w:rsidRDefault="00511499" w:rsidP="005E4BB2">
      <w:pPr>
        <w:pStyle w:val="Heading2"/>
      </w:pPr>
      <w:bookmarkStart w:id="1" w:name="_Toc191598370"/>
      <w:r>
        <w:t>The Event Cycle</w:t>
      </w:r>
      <w:bookmarkEnd w:id="1"/>
    </w:p>
    <w:p w14:paraId="4A5A0E0C" w14:textId="1B264E30" w:rsidR="003B2826" w:rsidRPr="003B2826" w:rsidRDefault="003B2826" w:rsidP="003B2826">
      <w:pPr>
        <w:spacing w:after="200"/>
        <w:jc w:val="both"/>
        <w:rPr>
          <w:lang w:val="en-GB"/>
        </w:rPr>
      </w:pPr>
      <w:r w:rsidRPr="003B2826">
        <w:rPr>
          <w:lang w:val="en-GB"/>
        </w:rPr>
        <w:t xml:space="preserve">The event cycle is the basic structure for event management. It combines ideas from </w:t>
      </w:r>
      <w:r w:rsidR="00696D85">
        <w:rPr>
          <w:lang w:val="en-GB"/>
        </w:rPr>
        <w:fldChar w:fldCharType="begin"/>
      </w:r>
      <w:r w:rsidR="00696D85">
        <w:rPr>
          <w:lang w:val="en-GB"/>
        </w:rPr>
        <w:instrText xml:space="preserve"> ADDIN ZOTERO_ITEM CSL_CITATION {"citationID":"OPyIGOfw","properties":{"formattedCitation":"(Goldblatt, 2011)","plainCitation":"(Goldblatt, 2011)","noteIndex":0},"citationItems":[{"id":1156,"uris":["http://zotero.org/users/7363269/items/H7USL6B5"],"itemData":{"id":1156,"type":"book","abstract":"xxv, 550 p., [16] p. of plates : 25 cm; \"This book chronicles and champions the development, changes, and challenges faced by the global celebrations industry for event planners. New interviews are included with experienced event leaders to give a better understanding of the field. New chapters are included on green events, corporate social responsibility, and theoretical case studies. Event measurement, evaluation, and assessment topics are integrated throughout a number of the chapters. Over 200 new Web resources and appendices show how to save money, time, and improve the overall quality of an event. Event planners will also learn how technology may be harnessed to help them improve their events' financial, quality, environmental and other strategic outcomes.\"--Provided by publisher; \"This book chronicles and champions the development, changes, and challenges faced by the global celebrations industry for event planners\"--Provided by publisher; Includes bibliographical references (p.515-534) and index; Includes bibliographical references and index","ISBN":"978-0-470-44987-5","language":"eng","number-of-pages":"602","publisher":"Hoboken, N.J. : Wiley","source":"Internet Archive","title":"Special events : a new generation and the next frontier","title-short":"Special events","URL":"http://archive.org/details/specialeventsnew0000gold","author":[{"family":"Goldblatt","given":"Joe Jeff"}],"contributor":[{"literal":"Internet Archive"}],"accessed":{"date-parts":[["2025",1,26]]},"issued":{"date-parts":[["2011"]]}}}],"schema":"https://github.com/citation-style-language/schema/raw/master/csl-citation.json"} </w:instrText>
      </w:r>
      <w:r w:rsidR="00696D85">
        <w:rPr>
          <w:lang w:val="en-GB"/>
        </w:rPr>
        <w:fldChar w:fldCharType="separate"/>
      </w:r>
      <w:r w:rsidR="00696D85" w:rsidRPr="00696D85">
        <w:rPr>
          <w:rFonts w:cs="Arial"/>
        </w:rPr>
        <w:t>Goldblatt</w:t>
      </w:r>
      <w:r w:rsidR="00696D85">
        <w:rPr>
          <w:rFonts w:cs="Arial"/>
        </w:rPr>
        <w:t>'s</w:t>
      </w:r>
      <w:r w:rsidR="00696D85" w:rsidRPr="00696D85">
        <w:rPr>
          <w:rFonts w:cs="Arial"/>
        </w:rPr>
        <w:t xml:space="preserve">, </w:t>
      </w:r>
      <w:r w:rsidR="00696D85">
        <w:rPr>
          <w:rFonts w:cs="Arial"/>
        </w:rPr>
        <w:t>Five Phases (</w:t>
      </w:r>
      <w:r w:rsidR="00696D85" w:rsidRPr="00696D85">
        <w:rPr>
          <w:rFonts w:cs="Arial"/>
        </w:rPr>
        <w:t>2011)</w:t>
      </w:r>
      <w:r w:rsidR="00696D85">
        <w:rPr>
          <w:lang w:val="en-GB"/>
        </w:rPr>
        <w:fldChar w:fldCharType="end"/>
      </w:r>
      <w:r w:rsidR="00696D85">
        <w:rPr>
          <w:lang w:val="en-GB"/>
        </w:rPr>
        <w:t xml:space="preserve"> </w:t>
      </w:r>
      <w:r w:rsidRPr="003B2826">
        <w:rPr>
          <w:lang w:val="en-GB"/>
        </w:rPr>
        <w:t xml:space="preserve">and the Event Management Body of Knowledge (EMBOK) model </w:t>
      </w:r>
      <w:r w:rsidR="00696D85">
        <w:rPr>
          <w:lang w:val="en-GB"/>
        </w:rPr>
        <w:fldChar w:fldCharType="begin"/>
      </w:r>
      <w:r w:rsidR="00696D85">
        <w:rPr>
          <w:lang w:val="en-GB"/>
        </w:rPr>
        <w:instrText xml:space="preserve"> ADDIN ZOTERO_ITEM CSL_CITATION {"citationID":"a28cXjek","properties":{"formattedCitation":"(Silvers et al., 2005)","plainCitation":"(Silvers et al., 2005)","noteIndex":0},"citationItems":[{"id":1157,"uris":["http://zotero.org/users/7363269/items/4WTSX76F"],"itemData":{"id":1157,"type":"article-journal","abstract":"There is increasing global interest in the requirements necessary to practice the complex and responsibility-laden business of event management as evidenced by the growth of the number of academic, credentialing, knowledge transfer, and qualification standards programs focusing on the field in place and in development around the world. Educators, regulators, associations, and practitioners are seeking to create and improve curriculums, reduce risk, employ best practices, and achieve recognition as a legitimate profession. This article presents an overview of the current status of the knowledge systems supporting the event management industry and offers a framework for an international event management body of knowledge (EMBOK) that may facilitate the ability to map, define, and align current event management standards consistent with the needs of a global event management environment.","container-title":"Event Management","DOI":"10.3727/152599506776771571","ISSN":"1525-9951","issue":"4","journalAbbreviation":"Event Management","language":"en","page":"185-198","source":"DOI.org (Crossref)","title":"Towards an International Event Management Body of Knowledge (EMBOK)","volume":"9","author":[{"family":"Silvers","given":"Julia Rutherford"},{"family":"Bowdin","given":"Glenn A. J."},{"family":"O'Toole","given":"William J."},{"family":"Nelson","given":"Kathleen Beard"}],"issued":{"date-parts":[["2005",1,1]]}}}],"schema":"https://github.com/citation-style-language/schema/raw/master/csl-citation.json"} </w:instrText>
      </w:r>
      <w:r w:rsidR="00696D85">
        <w:rPr>
          <w:lang w:val="en-GB"/>
        </w:rPr>
        <w:fldChar w:fldCharType="separate"/>
      </w:r>
      <w:r w:rsidR="00696D85" w:rsidRPr="00696D85">
        <w:rPr>
          <w:rFonts w:cs="Arial"/>
        </w:rPr>
        <w:t>(Silvers et al., 2005)</w:t>
      </w:r>
      <w:r w:rsidR="00696D85">
        <w:rPr>
          <w:lang w:val="en-GB"/>
        </w:rPr>
        <w:fldChar w:fldCharType="end"/>
      </w:r>
      <w:r w:rsidRPr="003B2826">
        <w:rPr>
          <w:lang w:val="en-GB"/>
        </w:rPr>
        <w:t xml:space="preserve"> to make sure that things are done in a planned, organised way. This organised method not only makes things clearer, but it also makes sure that the ideas behind the event are used in real life, making sure that every part of it is carefully planned and carried out. The Event Cycle helps event managers make better strategic decisions by including risk assessment, stakeholder involvement, and sustainability </w:t>
      </w:r>
      <w:r w:rsidR="00696D85">
        <w:rPr>
          <w:lang w:val="en-GB"/>
        </w:rPr>
        <w:fldChar w:fldCharType="begin"/>
      </w:r>
      <w:r w:rsidR="00696D85">
        <w:rPr>
          <w:lang w:val="en-GB"/>
        </w:rPr>
        <w:instrText xml:space="preserve"> ADDIN ZOTERO_ITEM CSL_CITATION {"citationID":"wvTzHLNn","properties":{"formattedCitation":"(Getz, 2017)","plainCitation":"(Getz, 2017)","noteIndex":0},"citationItems":[{"id":1153,"uris":["http://zotero.org/users/7363269/items/KYD9QN6E"],"itemData":{"id":1153,"type":"article-journal","abstract":"This conceptual article considers meanings, and the process of attaining sustainability in eventful cities. New concepts and approaches are required to organize thoughts about, and set parameters for, discourse on sustainability in the realm of planned events. Ideas and recommendations\n contained in this article draw from a major research and development project in Sweden in which diverse stakeholders explicitly considered problems associated with event impact assessment and evaluation, and the roles of events in sustainable development. Conceptual foundations include organizational\n ecology and portfolio management. It is argued that in the sustainable event city there are dual prerequisites—to provide a supportive environment for events, and to ensure that events are a positive force across the entire agenda of policies for green and sustainable cities. A framework\n is presented that considers three levels of concern: individual events and the need to think beyond greening; managed portfolios of events, in which long-term sustainable growth or value is the aim; and whole populations of events that must remain healthy. An action plan is proposed, indicating\n how events and the events sector can become a positive force for sustainable cities.","container-title":"Event Management","DOI":"10.3727/152599517X15053272359031","ISSN":"1525-9951","issue":"5","journalAbbreviation":"Event Management","language":"en","page":"575-591","source":"DOI.org (Crossref)","title":"Developing a Framework for Sustainable Event Cities","volume":"21","author":[{"family":"Getz","given":"Donald"}],"issued":{"date-parts":[["2017",11,8]]}}}],"schema":"https://github.com/citation-style-language/schema/raw/master/csl-citation.json"} </w:instrText>
      </w:r>
      <w:r w:rsidR="00696D85">
        <w:rPr>
          <w:lang w:val="en-GB"/>
        </w:rPr>
        <w:fldChar w:fldCharType="separate"/>
      </w:r>
      <w:r w:rsidR="00696D85" w:rsidRPr="00696D85">
        <w:rPr>
          <w:rFonts w:cs="Arial"/>
        </w:rPr>
        <w:t>(Getz, 2017)</w:t>
      </w:r>
      <w:r w:rsidR="00696D85">
        <w:rPr>
          <w:lang w:val="en-GB"/>
        </w:rPr>
        <w:fldChar w:fldCharType="end"/>
      </w:r>
      <w:r w:rsidRPr="003B2826">
        <w:rPr>
          <w:lang w:val="en-GB"/>
        </w:rPr>
        <w:t>.</w:t>
      </w:r>
    </w:p>
    <w:p w14:paraId="7BD9ADA9" w14:textId="65088822" w:rsidR="003B2826" w:rsidRPr="003B2826" w:rsidRDefault="003B2826" w:rsidP="003B2826">
      <w:pPr>
        <w:spacing w:after="200"/>
        <w:jc w:val="both"/>
        <w:rPr>
          <w:lang w:val="en-GB"/>
        </w:rPr>
      </w:pPr>
      <w:r w:rsidRPr="003B2826">
        <w:rPr>
          <w:lang w:val="en-GB"/>
        </w:rPr>
        <w:t xml:space="preserve">Defining the goal, extent, and viability of the event takes front stage in this first step. This phase entails doing feasibility studies to find market demand, goals, and stakeholder alignment per Goldblatt's Research &amp; Design framework </w:t>
      </w:r>
      <w:r w:rsidR="00696D85">
        <w:rPr>
          <w:lang w:val="en-GB"/>
        </w:rPr>
        <w:fldChar w:fldCharType="begin"/>
      </w:r>
      <w:r w:rsidR="00696D85">
        <w:rPr>
          <w:lang w:val="en-GB"/>
        </w:rPr>
        <w:instrText xml:space="preserve"> ADDIN ZOTERO_ITEM CSL_CITATION {"citationID":"JNk3NEkM","properties":{"formattedCitation":"(Goldblatt, 2011)","plainCitation":"(Goldblatt, 2011)","noteIndex":0},"citationItems":[{"id":1156,"uris":["http://zotero.org/users/7363269/items/H7USL6B5"],"itemData":{"id":1156,"type":"book","abstract":"xxv, 550 p., [16] p. of plates : 25 cm; \"This book chronicles and champions the development, changes, and challenges faced by the global celebrations industry for event planners. New interviews are included with experienced event leaders to give a better understanding of the field. New chapters are included on green events, corporate social responsibility, and theoretical case studies. Event measurement, evaluation, and assessment topics are integrated throughout a number of the chapters. Over 200 new Web resources and appendices show how to save money, time, and improve the overall quality of an event. Event planners will also learn how technology may be harnessed to help them improve their events' financial, quality, environmental and other strategic outcomes.\"--Provided by publisher; \"This book chronicles and champions the development, changes, and challenges faced by the global celebrations industry for event planners\"--Provided by publisher; Includes bibliographical references (p.515-534) and index; Includes bibliographical references and index","ISBN":"978-0-470-44987-5","language":"eng","number-of-pages":"602","publisher":"Hoboken, N.J. : Wiley","source":"Internet Archive","title":"Special events : a new generation and the next frontier","title-short":"Special events","URL":"http://archive.org/details/specialeventsnew0000gold","author":[{"family":"Goldblatt","given":"Joe Jeff"}],"contributor":[{"literal":"Internet Archive"}],"accessed":{"date-parts":[["2025",1,26]]},"issued":{"date-parts":[["2011"]]}}}],"schema":"https://github.com/citation-style-language/schema/raw/master/csl-citation.json"} </w:instrText>
      </w:r>
      <w:r w:rsidR="00696D85">
        <w:rPr>
          <w:lang w:val="en-GB"/>
        </w:rPr>
        <w:fldChar w:fldCharType="separate"/>
      </w:r>
      <w:r w:rsidR="00696D85" w:rsidRPr="00696D85">
        <w:rPr>
          <w:rFonts w:cs="Arial"/>
        </w:rPr>
        <w:t>(Goldblatt, 2011)</w:t>
      </w:r>
      <w:r w:rsidR="00696D85">
        <w:rPr>
          <w:lang w:val="en-GB"/>
        </w:rPr>
        <w:fldChar w:fldCharType="end"/>
      </w:r>
      <w:r w:rsidRPr="003B2826">
        <w:rPr>
          <w:lang w:val="en-GB"/>
        </w:rPr>
        <w:t>. The summit aims to provide business leaders with practical DEI plans, therefore promoting inclusive companies and influencing legislative reforms in important markets such as Japan, India, and Hong Kong. The scope covers hybrid accessibility to suit virtual guests across many time zones as well as in-person attendees at Cordis Hotel, Hong Kong.</w:t>
      </w:r>
    </w:p>
    <w:p w14:paraId="2405C9CC" w14:textId="5BFACD2E" w:rsidR="002559E6" w:rsidRDefault="00A27C94" w:rsidP="008D444E">
      <w:pPr>
        <w:spacing w:after="200"/>
        <w:jc w:val="both"/>
        <w:rPr>
          <w:lang w:val="en-GB"/>
        </w:rPr>
      </w:pPr>
      <w:r w:rsidRPr="00A27C94">
        <w:rPr>
          <w:lang w:val="en-GB"/>
        </w:rPr>
        <w:t xml:space="preserve">During the planning part, detailed schedules, budgets, and plans for how things will work are made. Goldblatt's planning phase shows how important it is to pay close attention to booking venues, signing contracts with vendors, and making sure that operations run smoothly </w:t>
      </w:r>
      <w:r w:rsidR="00696D85">
        <w:rPr>
          <w:lang w:val="en-GB"/>
        </w:rPr>
        <w:fldChar w:fldCharType="begin"/>
      </w:r>
      <w:r w:rsidR="00696D85">
        <w:rPr>
          <w:lang w:val="en-GB"/>
        </w:rPr>
        <w:instrText xml:space="preserve"> ADDIN ZOTERO_ITEM CSL_CITATION {"citationID":"bZ72Gjtv","properties":{"formattedCitation":"({\\i{}Goldblatt: Special Events: A New Generation and the Next Frontier, 6th Edition - Instructor Companion Site}, [no date])","plainCitation":"(Goldblatt: Special Events: A New Generation and the Next Frontier, 6th Edition - Instructor Companion Site, [no date])","noteIndex":0},"citationItems":[{"id":1154,"uris":["http://zotero.org/users/7363269/items/2WP37V7E"],"itemData":{"id":1154,"type":"webpage","title":"Goldblatt: Special Events: A New Generation and the Next Frontier, 6th Edition - Instructor Companion Site","URL":"https://bcs.wiley.com/he-bcs/Books?action=contents&amp;itemId=047044987X&amp;bcsId=5922","accessed":{"date-parts":[["2025",2,26]]}}}],"schema":"https://github.com/citation-style-language/schema/raw/master/csl-citation.json"} </w:instrText>
      </w:r>
      <w:r w:rsidR="00696D85">
        <w:rPr>
          <w:lang w:val="en-GB"/>
        </w:rPr>
        <w:fldChar w:fldCharType="separate"/>
      </w:r>
      <w:r w:rsidR="00696D85" w:rsidRPr="00696D85">
        <w:rPr>
          <w:rFonts w:cs="Arial"/>
          <w:szCs w:val="24"/>
        </w:rPr>
        <w:t>(</w:t>
      </w:r>
      <w:r w:rsidR="00696D85" w:rsidRPr="00696D85">
        <w:rPr>
          <w:rFonts w:cs="Arial"/>
          <w:i/>
          <w:iCs/>
          <w:szCs w:val="24"/>
        </w:rPr>
        <w:t>Goldblatt</w:t>
      </w:r>
      <w:r w:rsidR="00696D85">
        <w:rPr>
          <w:rFonts w:cs="Arial"/>
          <w:i/>
          <w:iCs/>
          <w:szCs w:val="24"/>
        </w:rPr>
        <w:t>, 2019</w:t>
      </w:r>
      <w:r w:rsidR="00696D85" w:rsidRPr="00696D85">
        <w:rPr>
          <w:rFonts w:cs="Arial"/>
          <w:szCs w:val="24"/>
        </w:rPr>
        <w:t>)</w:t>
      </w:r>
      <w:r w:rsidR="00696D85">
        <w:rPr>
          <w:lang w:val="en-GB"/>
        </w:rPr>
        <w:fldChar w:fldCharType="end"/>
      </w:r>
      <w:r w:rsidRPr="00A27C94">
        <w:rPr>
          <w:lang w:val="en-GB"/>
        </w:rPr>
        <w:t xml:space="preserve">. To make sure that the event's purpose, goals, and resource allocation are clear, the EMBOK model stresses how important it is to do this </w:t>
      </w:r>
      <w:r w:rsidR="00696D85">
        <w:rPr>
          <w:lang w:val="en-GB"/>
        </w:rPr>
        <w:fldChar w:fldCharType="begin"/>
      </w:r>
      <w:r w:rsidR="00696D85">
        <w:rPr>
          <w:lang w:val="en-GB"/>
        </w:rPr>
        <w:instrText xml:space="preserve"> ADDIN ZOTERO_ITEM CSL_CITATION {"citationID":"0aOw2vse","properties":{"formattedCitation":"(Silvers et al., 2005)","plainCitation":"(Silvers et al., 2005)","noteIndex":0},"citationItems":[{"id":1157,"uris":["http://zotero.org/users/7363269/items/4WTSX76F"],"itemData":{"id":1157,"type":"article-journal","abstract":"There is increasing global interest in the requirements necessary to practice the complex and responsibility-laden business of event management as evidenced by the growth of the number of academic, credentialing, knowledge transfer, and qualification standards programs focusing on the field in place and in development around the world. Educators, regulators, associations, and practitioners are seeking to create and improve curriculums, reduce risk, employ best practices, and achieve recognition as a legitimate profession. This article presents an overview of the current status of the knowledge systems supporting the event management industry and offers a framework for an international event management body of knowledge (EMBOK) that may facilitate the ability to map, define, and align current event management standards consistent with the needs of a global event management environment.","container-title":"Event Management","DOI":"10.3727/152599506776771571","ISSN":"1525-9951","issue":"4","journalAbbreviation":"Event Management","language":"en","page":"185-198","source":"DOI.org (Crossref)","title":"Towards an International Event Management Body of Knowledge (EMBOK)","volume":"9","author":[{"family":"Silvers","given":"Julia Rutherford"},{"family":"Bowdin","given":"Glenn A. J."},{"family":"O'Toole","given":"William J."},{"family":"Nelson","given":"Kathleen Beard"}],"issued":{"date-parts":[["2005",1,1]]}}}],"schema":"https://github.com/citation-style-language/schema/raw/master/csl-citation.json"} </w:instrText>
      </w:r>
      <w:r w:rsidR="00696D85">
        <w:rPr>
          <w:lang w:val="en-GB"/>
        </w:rPr>
        <w:fldChar w:fldCharType="separate"/>
      </w:r>
      <w:r w:rsidR="00696D85" w:rsidRPr="00696D85">
        <w:rPr>
          <w:rFonts w:cs="Arial"/>
        </w:rPr>
        <w:t>(Silvers et al., 2005)</w:t>
      </w:r>
      <w:r w:rsidR="00696D85">
        <w:rPr>
          <w:lang w:val="en-GB"/>
        </w:rPr>
        <w:fldChar w:fldCharType="end"/>
      </w:r>
      <w:r w:rsidRPr="00A27C94">
        <w:rPr>
          <w:lang w:val="en-GB"/>
        </w:rPr>
        <w:t xml:space="preserve">. </w:t>
      </w:r>
    </w:p>
    <w:p w14:paraId="7C6C6EA2" w14:textId="6BF6C8E6" w:rsidR="002C3A95" w:rsidRDefault="008D444E" w:rsidP="008D444E">
      <w:pPr>
        <w:spacing w:after="200"/>
        <w:jc w:val="both"/>
        <w:rPr>
          <w:lang w:val="en-GB"/>
        </w:rPr>
      </w:pPr>
      <w:r w:rsidRPr="008D444E">
        <w:rPr>
          <w:lang w:val="en-GB"/>
        </w:rPr>
        <w:t xml:space="preserve">The event management implementation phase is crucial, where planning becomes real-time execution. Administration involves effective speaker logistics, audience registration, and on-site operations, according to Goldblatt (2019). EMBOK emphasises event execution risk minimisation and quality assurance. Digital platforms like </w:t>
      </w:r>
      <w:proofErr w:type="spellStart"/>
      <w:r w:rsidRPr="008D444E">
        <w:rPr>
          <w:lang w:val="en-GB"/>
        </w:rPr>
        <w:t>Bizzabo</w:t>
      </w:r>
      <w:proofErr w:type="spellEnd"/>
      <w:r w:rsidRPr="008D444E">
        <w:rPr>
          <w:lang w:val="en-GB"/>
        </w:rPr>
        <w:t xml:space="preserve"> will improve networking, AI-driven tools will track engagement, and real-time Mandarin, Hindi, and Korean translations will assure inclusivity during the Asia DEI Summit 2025. A/V teams will manage hybrid session logistics, supporting the summit's tech-driven, accessibility-focused mission</w:t>
      </w:r>
      <w:r w:rsidR="00696D85">
        <w:rPr>
          <w:lang w:val="en-GB"/>
        </w:rPr>
        <w:t xml:space="preserve"> </w:t>
      </w:r>
      <w:r w:rsidR="00696D85" w:rsidRPr="00696D85">
        <w:rPr>
          <w:lang w:val="en-GB"/>
        </w:rPr>
        <w:fldChar w:fldCharType="begin"/>
      </w:r>
      <w:r w:rsidR="00696D85" w:rsidRPr="00696D85">
        <w:rPr>
          <w:lang w:val="en-GB"/>
        </w:rPr>
        <w:instrText xml:space="preserve"> ADDIN ZOTERO_ITEM CSL_CITATION {"citationID":"DGzhLKgt","properties":{"formattedCitation":"(Bowdin et al., 2023)","plainCitation":"(Bowdin et al., 2023)","noteIndex":0},"citationItems":[{"id":1159,"uris":["http://zotero.org/users/7363269/items/826FYDA8"],"itemData":{"id":1159,"type":"book","abstract":"A must-have introductory text of unrivalled coverage and depth focusing on events planning and management, the fourth edition of Events Management provides a complete A to Z of the principles and practices of planning, managing and staging events. \nThe book offers a systematic guide to organising successful events, examining areas such as event design, logistics, marketing, human resource management, financial planning, risk management, impacts, evaluation and reporting. The fourth edition has been fully updated and revised to include content covering technology, including virtual and hybrid events, concepts such as social capital, soft power and events, social inclusion, equality, accessibility and diversity, and the latest industry reports, research and legal frameworks. The book is logically structured and features new case studies, showing real-life applications and highlighting issues with planning events of all types and scales in a range of geographical locations.\nThis book has been dubbed ‘the events management bible’ and fosters an interactive learning experience amongst scholars of events management, tourism and hospitality.","edition":"4","event-place":"London","ISBN":"978-1-00-304496-3","note":"DOI: 10.4324/9781003044963","number-of-pages":"852","publisher":"Routledge","publisher-place":"London","title":"Events Management","author":[{"family":"Bowdin","given":"Glenn A. J."},{"family":"Allen","given":"Johnny"},{"family":"Harris","given":"Rob"},{"family":"Jago","given":"Leo"},{"family":"O'Toole","given":"William"},{"family":"McDonnell","given":"Ian"}],"accessed":{"date-parts":[["2025",1,27]]},"issued":{"date-parts":[["2023",7,31]]}}}],"schema":"https://github.com/citation-style-language/schema/raw/master/csl-citation.json"} </w:instrText>
      </w:r>
      <w:r w:rsidR="00696D85" w:rsidRPr="00696D85">
        <w:rPr>
          <w:lang w:val="en-GB"/>
        </w:rPr>
        <w:fldChar w:fldCharType="separate"/>
      </w:r>
      <w:r w:rsidR="00696D85" w:rsidRPr="00696D85">
        <w:t>(Bowdin et al., 2023)</w:t>
      </w:r>
      <w:r w:rsidR="00696D85" w:rsidRPr="00696D85">
        <w:rPr>
          <w:lang w:val="en-GB"/>
        </w:rPr>
        <w:fldChar w:fldCharType="end"/>
      </w:r>
      <w:r w:rsidRPr="008D444E">
        <w:rPr>
          <w:lang w:val="en-GB"/>
        </w:rPr>
        <w:t xml:space="preserve">. </w:t>
      </w:r>
    </w:p>
    <w:p w14:paraId="25D1B82F" w14:textId="498A1EC3" w:rsidR="008D444E" w:rsidRPr="008D444E" w:rsidRDefault="008D444E" w:rsidP="008D444E">
      <w:pPr>
        <w:spacing w:after="200"/>
        <w:jc w:val="both"/>
        <w:rPr>
          <w:lang w:val="en-GB"/>
        </w:rPr>
      </w:pPr>
      <w:r w:rsidRPr="008D444E">
        <w:rPr>
          <w:lang w:val="en-GB"/>
        </w:rPr>
        <w:t>Successful measurement and continual improvement depend on the Evaluation and Closure step. Goldblatt (2019) focusses ROI through attendance feedback, financial audits, and sponsor effect assessments, while EMBOK emphasises systematic post-event debriefs to improve future events At the Asia DEI Summit 2025, NPS, engagement metrics, and session attendance will guide strategic improvements. Profitability audits estimate a</w:t>
      </w:r>
      <w:r w:rsidR="00696D85">
        <w:rPr>
          <w:lang w:val="en-GB"/>
        </w:rPr>
        <w:t>bout</w:t>
      </w:r>
      <w:r w:rsidRPr="008D444E">
        <w:rPr>
          <w:lang w:val="en-GB"/>
        </w:rPr>
        <w:t xml:space="preserve"> $</w:t>
      </w:r>
      <w:r w:rsidR="00696D85">
        <w:rPr>
          <w:lang w:val="en-GB"/>
        </w:rPr>
        <w:t>4</w:t>
      </w:r>
      <w:r w:rsidRPr="008D444E">
        <w:rPr>
          <w:lang w:val="en-GB"/>
        </w:rPr>
        <w:t>0,000</w:t>
      </w:r>
      <w:r w:rsidR="00696D85">
        <w:rPr>
          <w:lang w:val="en-GB"/>
        </w:rPr>
        <w:t xml:space="preserve"> </w:t>
      </w:r>
      <w:r w:rsidRPr="008D444E">
        <w:rPr>
          <w:lang w:val="en-GB"/>
        </w:rPr>
        <w:t>surplus. Optimising session arrangements and increasing virtual accessibility will inform future iterations, solidifying the summit's position as Asia's top DEI platform.</w:t>
      </w:r>
    </w:p>
    <w:p w14:paraId="16C51E57" w14:textId="77777777" w:rsidR="00BD6C55" w:rsidRPr="00BD6C55" w:rsidRDefault="00BD6C55" w:rsidP="00BD6C55">
      <w:pPr>
        <w:pStyle w:val="Heading2"/>
        <w:rPr>
          <w:lang w:val="en-GB"/>
        </w:rPr>
      </w:pPr>
      <w:bookmarkStart w:id="2" w:name="_Toc191598371"/>
      <w:r w:rsidRPr="00BD6C55">
        <w:rPr>
          <w:lang w:val="en-GB"/>
        </w:rPr>
        <w:t>Event Concept</w:t>
      </w:r>
      <w:bookmarkEnd w:id="2"/>
    </w:p>
    <w:p w14:paraId="5ED4A1AF" w14:textId="122927FE" w:rsidR="000B4AB5" w:rsidRPr="00977A42" w:rsidRDefault="00977A42" w:rsidP="00977A42">
      <w:pPr>
        <w:spacing w:after="200"/>
        <w:rPr>
          <w:lang w:val="en-GB"/>
        </w:rPr>
      </w:pPr>
      <w:r w:rsidRPr="00977A42">
        <w:rPr>
          <w:lang w:val="en-GB"/>
        </w:rPr>
        <w:t>The Asia DEI Summit 2025 is precisely crafted to immerse, engage, and affect delegates. The event's two-day schedule highlights culturally adapted workshops, real-time translation, and hybrid accessibility for varied audiences.</w:t>
      </w:r>
    </w:p>
    <w:p w14:paraId="0C6964A2" w14:textId="2CF76248" w:rsidR="00EF3775" w:rsidRPr="00FB3179" w:rsidRDefault="00EF3775">
      <w:pPr>
        <w:spacing w:after="200" w:line="276" w:lineRule="auto"/>
        <w:rPr>
          <w:b/>
          <w:bCs/>
          <w:sz w:val="24"/>
          <w:szCs w:val="24"/>
          <w:u w:val="single"/>
          <w:lang w:val="en-GB"/>
        </w:rPr>
      </w:pPr>
      <w:r w:rsidRPr="00FB3179">
        <w:rPr>
          <w:b/>
          <w:bCs/>
          <w:sz w:val="24"/>
          <w:szCs w:val="24"/>
          <w:u w:val="single"/>
        </w:rPr>
        <w:t>Day 1</w:t>
      </w:r>
    </w:p>
    <w:tbl>
      <w:tblPr>
        <w:tblStyle w:val="TableGrid"/>
        <w:tblW w:w="0" w:type="auto"/>
        <w:tblLook w:val="04A0" w:firstRow="1" w:lastRow="0" w:firstColumn="1" w:lastColumn="0" w:noHBand="0" w:noVBand="1"/>
      </w:tblPr>
      <w:tblGrid>
        <w:gridCol w:w="2155"/>
        <w:gridCol w:w="2340"/>
        <w:gridCol w:w="5431"/>
      </w:tblGrid>
      <w:tr w:rsidR="00A20F93" w14:paraId="3F71B4CF" w14:textId="77777777" w:rsidTr="00A20F93">
        <w:tc>
          <w:tcPr>
            <w:tcW w:w="2155" w:type="dxa"/>
            <w:vAlign w:val="bottom"/>
          </w:tcPr>
          <w:p w14:paraId="2CA24690" w14:textId="53714CC2" w:rsidR="00A20F93" w:rsidRPr="008701B5" w:rsidRDefault="00A20F93" w:rsidP="008701B5">
            <w:pPr>
              <w:spacing w:after="200" w:line="276" w:lineRule="auto"/>
              <w:jc w:val="center"/>
              <w:rPr>
                <w:rFonts w:ascii="Aptos Narrow" w:eastAsia="Times New Roman" w:hAnsi="Aptos Narrow" w:cs="Times New Roman"/>
                <w:b/>
                <w:bCs/>
                <w:color w:val="000000"/>
                <w:sz w:val="24"/>
                <w:szCs w:val="24"/>
                <w:lang w:val="en-GB" w:eastAsia="en-GB" w:bidi="hi-IN"/>
              </w:rPr>
            </w:pPr>
            <w:r w:rsidRPr="008701B5">
              <w:rPr>
                <w:rFonts w:ascii="Aptos Narrow" w:eastAsia="Times New Roman" w:hAnsi="Aptos Narrow" w:cs="Times New Roman"/>
                <w:b/>
                <w:bCs/>
                <w:color w:val="000000"/>
                <w:sz w:val="24"/>
                <w:szCs w:val="24"/>
                <w:lang w:val="en-GB" w:eastAsia="en-GB" w:bidi="hi-IN"/>
              </w:rPr>
              <w:t>Time</w:t>
            </w:r>
          </w:p>
        </w:tc>
        <w:tc>
          <w:tcPr>
            <w:tcW w:w="2340" w:type="dxa"/>
            <w:vAlign w:val="bottom"/>
          </w:tcPr>
          <w:p w14:paraId="6879E00C" w14:textId="3C9A8C10" w:rsidR="00A20F93" w:rsidRPr="008701B5" w:rsidRDefault="00A20F93" w:rsidP="008701B5">
            <w:pPr>
              <w:spacing w:after="200" w:line="276" w:lineRule="auto"/>
              <w:jc w:val="center"/>
              <w:rPr>
                <w:rFonts w:ascii="Aptos Narrow" w:eastAsia="Times New Roman" w:hAnsi="Aptos Narrow" w:cs="Times New Roman"/>
                <w:b/>
                <w:bCs/>
                <w:color w:val="000000"/>
                <w:sz w:val="24"/>
                <w:szCs w:val="24"/>
                <w:lang w:val="en-GB" w:eastAsia="en-GB" w:bidi="hi-IN"/>
              </w:rPr>
            </w:pPr>
            <w:r w:rsidRPr="008701B5">
              <w:rPr>
                <w:rFonts w:ascii="Aptos Narrow" w:eastAsia="Times New Roman" w:hAnsi="Aptos Narrow" w:cs="Times New Roman"/>
                <w:b/>
                <w:bCs/>
                <w:color w:val="000000"/>
                <w:sz w:val="24"/>
                <w:szCs w:val="24"/>
                <w:lang w:val="en-GB" w:eastAsia="en-GB" w:bidi="hi-IN"/>
              </w:rPr>
              <w:t>Activity</w:t>
            </w:r>
          </w:p>
        </w:tc>
        <w:tc>
          <w:tcPr>
            <w:tcW w:w="5431" w:type="dxa"/>
            <w:vAlign w:val="bottom"/>
          </w:tcPr>
          <w:p w14:paraId="26950F1E" w14:textId="0FFC16A2" w:rsidR="00A20F93" w:rsidRPr="008701B5" w:rsidRDefault="00A20F93" w:rsidP="008701B5">
            <w:pPr>
              <w:spacing w:after="240" w:line="240" w:lineRule="auto"/>
              <w:jc w:val="center"/>
              <w:rPr>
                <w:rFonts w:ascii="Aptos Narrow" w:eastAsia="Times New Roman" w:hAnsi="Aptos Narrow" w:cs="Times New Roman"/>
                <w:b/>
                <w:bCs/>
                <w:color w:val="000000"/>
                <w:sz w:val="24"/>
                <w:szCs w:val="24"/>
                <w:lang w:val="en-GB" w:eastAsia="en-GB" w:bidi="hi-IN"/>
              </w:rPr>
            </w:pPr>
            <w:r w:rsidRPr="008701B5">
              <w:rPr>
                <w:rFonts w:ascii="Aptos Narrow" w:eastAsia="Times New Roman" w:hAnsi="Aptos Narrow" w:cs="Times New Roman"/>
                <w:b/>
                <w:bCs/>
                <w:color w:val="000000"/>
                <w:sz w:val="24"/>
                <w:szCs w:val="24"/>
                <w:lang w:val="en-GB" w:eastAsia="en-GB" w:bidi="hi-IN"/>
              </w:rPr>
              <w:t>Key Feature</w:t>
            </w:r>
          </w:p>
        </w:tc>
      </w:tr>
      <w:tr w:rsidR="00CF3DD7" w14:paraId="5727D49D" w14:textId="77777777" w:rsidTr="00A20F93">
        <w:tc>
          <w:tcPr>
            <w:tcW w:w="2155" w:type="dxa"/>
            <w:vAlign w:val="bottom"/>
          </w:tcPr>
          <w:p w14:paraId="66264EF6" w14:textId="134823ED"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9:30 AM–10:00 AM</w:t>
            </w:r>
          </w:p>
        </w:tc>
        <w:tc>
          <w:tcPr>
            <w:tcW w:w="2340" w:type="dxa"/>
            <w:vAlign w:val="bottom"/>
          </w:tcPr>
          <w:p w14:paraId="66B01299" w14:textId="5196E967"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Registration &amp;amp; Welcome Coffee</w:t>
            </w:r>
          </w:p>
        </w:tc>
        <w:tc>
          <w:tcPr>
            <w:tcW w:w="5431" w:type="dxa"/>
            <w:vAlign w:val="bottom"/>
          </w:tcPr>
          <w:p w14:paraId="1AF3835C" w14:textId="77777777" w:rsidR="00EA45E9" w:rsidRPr="00EA45E9" w:rsidRDefault="00EA45E9" w:rsidP="00EA45E9">
            <w:pPr>
              <w:rPr>
                <w:rFonts w:ascii="Aptos Narrow" w:eastAsia="Times New Roman" w:hAnsi="Aptos Narrow" w:cs="Times New Roman"/>
                <w:color w:val="000000"/>
                <w:lang w:val="en-GB" w:eastAsia="en-GB" w:bidi="hi-IN"/>
              </w:rPr>
            </w:pPr>
            <w:r w:rsidRPr="00EA45E9">
              <w:rPr>
                <w:rFonts w:ascii="Aptos Narrow" w:eastAsia="Times New Roman" w:hAnsi="Aptos Narrow" w:cs="Times New Roman"/>
                <w:color w:val="000000"/>
                <w:lang w:val="en-GB" w:eastAsia="en-GB" w:bidi="hi-IN"/>
              </w:rPr>
              <w:t>Personalised check-in desks for VIPs and virtual attendees.</w:t>
            </w:r>
          </w:p>
          <w:p w14:paraId="0BC6729E" w14:textId="7E6F05FC" w:rsidR="00CF3DD7" w:rsidRPr="00EA45E9" w:rsidRDefault="00EA45E9" w:rsidP="00EA45E9">
            <w:pPr>
              <w:rPr>
                <w:rFonts w:ascii="Aptos Narrow" w:eastAsia="Times New Roman" w:hAnsi="Aptos Narrow" w:cs="Times New Roman"/>
                <w:color w:val="000000"/>
                <w:lang w:val="en-GB" w:eastAsia="en-GB" w:bidi="hi-IN"/>
              </w:rPr>
            </w:pPr>
            <w:r w:rsidRPr="00EA45E9">
              <w:rPr>
                <w:rFonts w:ascii="Aptos Narrow" w:eastAsia="Times New Roman" w:hAnsi="Aptos Narrow" w:cs="Times New Roman"/>
                <w:color w:val="000000"/>
                <w:lang w:val="en-GB" w:eastAsia="en-GB" w:bidi="hi-IN"/>
              </w:rPr>
              <w:t>Real-time translation kiosks.</w:t>
            </w:r>
          </w:p>
        </w:tc>
      </w:tr>
      <w:tr w:rsidR="00CF3DD7" w14:paraId="741E6D8A" w14:textId="77777777" w:rsidTr="00A20F93">
        <w:tc>
          <w:tcPr>
            <w:tcW w:w="2155" w:type="dxa"/>
            <w:vAlign w:val="bottom"/>
          </w:tcPr>
          <w:p w14:paraId="2E14743C" w14:textId="7C1A1E7A"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10:00 AM–11:00 AM</w:t>
            </w:r>
          </w:p>
        </w:tc>
        <w:tc>
          <w:tcPr>
            <w:tcW w:w="2340" w:type="dxa"/>
            <w:vAlign w:val="bottom"/>
          </w:tcPr>
          <w:p w14:paraId="61BBFC89" w14:textId="11102D54"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Keynote Address – “The State of DEI in Asia”</w:t>
            </w:r>
          </w:p>
        </w:tc>
        <w:tc>
          <w:tcPr>
            <w:tcW w:w="5431" w:type="dxa"/>
            <w:vAlign w:val="bottom"/>
          </w:tcPr>
          <w:p w14:paraId="553B1F24" w14:textId="77777777" w:rsidR="00EA45E9" w:rsidRPr="00EA45E9" w:rsidRDefault="00EA45E9" w:rsidP="00EA45E9">
            <w:pPr>
              <w:rPr>
                <w:rFonts w:ascii="Aptos Narrow" w:eastAsia="Times New Roman" w:hAnsi="Aptos Narrow" w:cs="Times New Roman"/>
                <w:color w:val="000000"/>
                <w:lang w:val="en-GB" w:eastAsia="en-GB" w:bidi="hi-IN"/>
              </w:rPr>
            </w:pPr>
            <w:r w:rsidRPr="00EA45E9">
              <w:rPr>
                <w:rFonts w:ascii="Aptos Narrow" w:eastAsia="Times New Roman" w:hAnsi="Aptos Narrow" w:cs="Times New Roman"/>
                <w:color w:val="000000"/>
                <w:lang w:val="en-GB" w:eastAsia="en-GB" w:bidi="hi-IN"/>
              </w:rPr>
              <w:t>Global DEI leader shares actionable frameworks.</w:t>
            </w:r>
          </w:p>
          <w:p w14:paraId="03D3EC57" w14:textId="3A0BB715" w:rsidR="00CF3DD7" w:rsidRPr="00EA45E9" w:rsidRDefault="00EA45E9" w:rsidP="00EA45E9">
            <w:pPr>
              <w:rPr>
                <w:rFonts w:ascii="Aptos Narrow" w:eastAsia="Times New Roman" w:hAnsi="Aptos Narrow" w:cs="Times New Roman"/>
                <w:color w:val="000000"/>
                <w:lang w:val="en-GB" w:eastAsia="en-GB" w:bidi="hi-IN"/>
              </w:rPr>
            </w:pPr>
            <w:r w:rsidRPr="00EA45E9">
              <w:rPr>
                <w:rFonts w:ascii="Aptos Narrow" w:eastAsia="Times New Roman" w:hAnsi="Aptos Narrow" w:cs="Times New Roman"/>
                <w:color w:val="000000"/>
                <w:lang w:val="en-GB" w:eastAsia="en-GB" w:bidi="hi-IN"/>
              </w:rPr>
              <w:t>Livestreamed with live Q&amp;A for virtual attendees.</w:t>
            </w:r>
          </w:p>
        </w:tc>
      </w:tr>
      <w:tr w:rsidR="00CF3DD7" w14:paraId="584B0D04" w14:textId="77777777" w:rsidTr="00A20F93">
        <w:tc>
          <w:tcPr>
            <w:tcW w:w="2155" w:type="dxa"/>
            <w:vAlign w:val="bottom"/>
          </w:tcPr>
          <w:p w14:paraId="4E5D4037" w14:textId="29CA3ADE"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11:15 AM–12:45 PM</w:t>
            </w:r>
          </w:p>
        </w:tc>
        <w:tc>
          <w:tcPr>
            <w:tcW w:w="2340" w:type="dxa"/>
            <w:vAlign w:val="bottom"/>
          </w:tcPr>
          <w:p w14:paraId="6A756C33" w14:textId="4E410E65"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Panel Discussion – Regional Challenges in DEI</w:t>
            </w:r>
          </w:p>
        </w:tc>
        <w:tc>
          <w:tcPr>
            <w:tcW w:w="5431" w:type="dxa"/>
            <w:vAlign w:val="bottom"/>
          </w:tcPr>
          <w:p w14:paraId="35C4C1C9" w14:textId="30D217ED"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Experts discuss caste dynamics</w:t>
            </w:r>
            <w:r>
              <w:rPr>
                <w:rFonts w:ascii="Aptos Narrow" w:eastAsia="Times New Roman" w:hAnsi="Aptos Narrow" w:cs="Times New Roman"/>
                <w:color w:val="000000"/>
                <w:lang w:val="en-GB" w:eastAsia="en-GB" w:bidi="hi-IN"/>
              </w:rPr>
              <w:t xml:space="preserve"> </w:t>
            </w:r>
          </w:p>
        </w:tc>
      </w:tr>
      <w:tr w:rsidR="00CF3DD7" w14:paraId="26C965C4" w14:textId="77777777" w:rsidTr="00A20F93">
        <w:tc>
          <w:tcPr>
            <w:tcW w:w="2155" w:type="dxa"/>
            <w:vAlign w:val="bottom"/>
          </w:tcPr>
          <w:p w14:paraId="523F39DA" w14:textId="06ECB3C5"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1:00 PM–2:00 PM</w:t>
            </w:r>
          </w:p>
        </w:tc>
        <w:tc>
          <w:tcPr>
            <w:tcW w:w="2340" w:type="dxa"/>
            <w:vAlign w:val="bottom"/>
          </w:tcPr>
          <w:p w14:paraId="5E9B5382" w14:textId="41B949C8"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Networking Lunch</w:t>
            </w:r>
          </w:p>
        </w:tc>
        <w:tc>
          <w:tcPr>
            <w:tcW w:w="5431" w:type="dxa"/>
            <w:vAlign w:val="bottom"/>
          </w:tcPr>
          <w:p w14:paraId="7C5066DA" w14:textId="77777777" w:rsidR="00CF3DD7" w:rsidRDefault="00CF3DD7" w:rsidP="006B2ADE">
            <w:pPr>
              <w:rPr>
                <w:rFonts w:ascii="Aptos Narrow" w:eastAsia="Times New Roman" w:hAnsi="Aptos Narrow" w:cs="Times New Roman"/>
                <w:color w:val="000000"/>
                <w:lang w:val="en-GB" w:eastAsia="en-GB" w:bidi="hi-IN"/>
              </w:rPr>
            </w:pPr>
            <w:r w:rsidRPr="00DE0DFE">
              <w:rPr>
                <w:rFonts w:ascii="Aptos Narrow" w:eastAsia="Times New Roman" w:hAnsi="Aptos Narrow" w:cs="Times New Roman"/>
                <w:color w:val="000000"/>
                <w:lang w:val="en-GB" w:eastAsia="en-GB" w:bidi="hi-IN"/>
              </w:rPr>
              <w:t>Halal/vegan catering options</w:t>
            </w:r>
            <w:r>
              <w:rPr>
                <w:rFonts w:ascii="Aptos Narrow" w:eastAsia="Times New Roman" w:hAnsi="Aptos Narrow" w:cs="Times New Roman"/>
                <w:color w:val="000000"/>
                <w:lang w:val="en-GB" w:eastAsia="en-GB" w:bidi="hi-IN"/>
              </w:rPr>
              <w:t>.</w:t>
            </w:r>
          </w:p>
          <w:p w14:paraId="07DF90F9" w14:textId="3386BA4C"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 xml:space="preserve"> Matchmaking app (</w:t>
            </w:r>
            <w:proofErr w:type="spellStart"/>
            <w:r w:rsidRPr="00DE0DFE">
              <w:rPr>
                <w:rFonts w:ascii="Aptos Narrow" w:eastAsia="Times New Roman" w:hAnsi="Aptos Narrow" w:cs="Times New Roman"/>
                <w:color w:val="000000"/>
                <w:lang w:val="en-GB" w:eastAsia="en-GB" w:bidi="hi-IN"/>
              </w:rPr>
              <w:t>Bizzabo</w:t>
            </w:r>
            <w:proofErr w:type="spellEnd"/>
            <w:r w:rsidRPr="00DE0DFE">
              <w:rPr>
                <w:rFonts w:ascii="Aptos Narrow" w:eastAsia="Times New Roman" w:hAnsi="Aptos Narrow" w:cs="Times New Roman"/>
                <w:color w:val="000000"/>
                <w:lang w:val="en-GB" w:eastAsia="en-GB" w:bidi="hi-IN"/>
              </w:rPr>
              <w:t>) connects delegates based on interests.</w:t>
            </w:r>
          </w:p>
        </w:tc>
      </w:tr>
      <w:tr w:rsidR="00CF3DD7" w14:paraId="525F37A4" w14:textId="77777777" w:rsidTr="00A20F93">
        <w:tc>
          <w:tcPr>
            <w:tcW w:w="2155" w:type="dxa"/>
            <w:vAlign w:val="bottom"/>
          </w:tcPr>
          <w:p w14:paraId="1751EAB8" w14:textId="52A5CE40"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2:15 PM–4:00 PM</w:t>
            </w:r>
          </w:p>
        </w:tc>
        <w:tc>
          <w:tcPr>
            <w:tcW w:w="2340" w:type="dxa"/>
            <w:vAlign w:val="bottom"/>
          </w:tcPr>
          <w:p w14:paraId="3CA65881" w14:textId="3DE64285"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Breakout Sessions – Focus Areas</w:t>
            </w:r>
          </w:p>
        </w:tc>
        <w:tc>
          <w:tcPr>
            <w:tcW w:w="5431" w:type="dxa"/>
            <w:vAlign w:val="bottom"/>
          </w:tcPr>
          <w:p w14:paraId="4592B6EB" w14:textId="77777777" w:rsidR="00CF3DD7" w:rsidRDefault="00CF3DD7" w:rsidP="006B2ADE">
            <w:pPr>
              <w:rPr>
                <w:rFonts w:ascii="Aptos Narrow" w:eastAsia="Times New Roman" w:hAnsi="Aptos Narrow" w:cs="Times New Roman"/>
                <w:color w:val="000000"/>
                <w:lang w:val="en-GB" w:eastAsia="en-GB" w:bidi="hi-IN"/>
              </w:rPr>
            </w:pPr>
            <w:r w:rsidRPr="00DE0DFE">
              <w:rPr>
                <w:rFonts w:ascii="Aptos Narrow" w:eastAsia="Times New Roman" w:hAnsi="Aptos Narrow" w:cs="Times New Roman"/>
                <w:color w:val="000000"/>
                <w:lang w:val="en-GB" w:eastAsia="en-GB" w:bidi="hi-IN"/>
              </w:rPr>
              <w:t>Gender Equity: Strategies for leadership pipelines.</w:t>
            </w:r>
          </w:p>
          <w:p w14:paraId="28801D9B" w14:textId="77777777" w:rsidR="00CF3DD7" w:rsidRDefault="00CF3DD7" w:rsidP="006B2ADE">
            <w:pPr>
              <w:rPr>
                <w:rFonts w:ascii="Aptos Narrow" w:eastAsia="Times New Roman" w:hAnsi="Aptos Narrow" w:cs="Times New Roman"/>
                <w:color w:val="000000"/>
                <w:lang w:val="en-GB" w:eastAsia="en-GB" w:bidi="hi-IN"/>
              </w:rPr>
            </w:pPr>
            <w:r w:rsidRPr="00DE0DFE">
              <w:rPr>
                <w:rFonts w:ascii="Aptos Narrow" w:eastAsia="Times New Roman" w:hAnsi="Aptos Narrow" w:cs="Times New Roman"/>
                <w:color w:val="000000"/>
                <w:lang w:val="en-GB" w:eastAsia="en-GB" w:bidi="hi-IN"/>
              </w:rPr>
              <w:t>caste dynamics: Addressing bias in India</w:t>
            </w:r>
            <w:r>
              <w:rPr>
                <w:rFonts w:ascii="Aptos Narrow" w:eastAsia="Times New Roman" w:hAnsi="Aptos Narrow" w:cs="Times New Roman"/>
                <w:color w:val="000000"/>
                <w:lang w:val="en-GB" w:eastAsia="en-GB" w:bidi="hi-IN"/>
              </w:rPr>
              <w:t>.</w:t>
            </w:r>
          </w:p>
          <w:p w14:paraId="549E2787" w14:textId="55FC7AAE"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Corporate Accountability: Metrics and reporting tools.</w:t>
            </w:r>
          </w:p>
        </w:tc>
      </w:tr>
      <w:tr w:rsidR="00CF3DD7" w14:paraId="76EED99D" w14:textId="77777777" w:rsidTr="00A20F93">
        <w:tc>
          <w:tcPr>
            <w:tcW w:w="2155" w:type="dxa"/>
            <w:vAlign w:val="bottom"/>
          </w:tcPr>
          <w:p w14:paraId="29E66100" w14:textId="51FB47F7"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4:15 PM–5:00 PM</w:t>
            </w:r>
          </w:p>
        </w:tc>
        <w:tc>
          <w:tcPr>
            <w:tcW w:w="2340" w:type="dxa"/>
            <w:vAlign w:val="bottom"/>
          </w:tcPr>
          <w:p w14:paraId="06240F5A" w14:textId="3004B802"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Evening Reception &amp;amp; Exhibition</w:t>
            </w:r>
          </w:p>
        </w:tc>
        <w:tc>
          <w:tcPr>
            <w:tcW w:w="5431" w:type="dxa"/>
            <w:vAlign w:val="bottom"/>
          </w:tcPr>
          <w:p w14:paraId="4013E012" w14:textId="77777777" w:rsidR="00CF3DD7" w:rsidRDefault="00CF3DD7" w:rsidP="006B2ADE">
            <w:pPr>
              <w:rPr>
                <w:rFonts w:ascii="Aptos Narrow" w:eastAsia="Times New Roman" w:hAnsi="Aptos Narrow" w:cs="Times New Roman"/>
                <w:color w:val="000000"/>
                <w:lang w:val="en-GB" w:eastAsia="en-GB" w:bidi="hi-IN"/>
              </w:rPr>
            </w:pPr>
            <w:r w:rsidRPr="00DE0DFE">
              <w:rPr>
                <w:rFonts w:ascii="Aptos Narrow" w:eastAsia="Times New Roman" w:hAnsi="Aptos Narrow" w:cs="Times New Roman"/>
                <w:color w:val="000000"/>
                <w:lang w:val="en-GB" w:eastAsia="en-GB" w:bidi="hi-IN"/>
              </w:rPr>
              <w:t xml:space="preserve">Showcase of inclusive tech tools. </w:t>
            </w:r>
          </w:p>
          <w:p w14:paraId="306D94B6" w14:textId="5587E6FB" w:rsidR="00CF3DD7" w:rsidRDefault="00CF3DD7" w:rsidP="006B2ADE">
            <w:pPr>
              <w:spacing w:after="200"/>
              <w:jc w:val="both"/>
              <w:rPr>
                <w:lang w:val="en-GB"/>
              </w:rPr>
            </w:pPr>
            <w:r w:rsidRPr="00DE0DFE">
              <w:rPr>
                <w:rFonts w:ascii="Aptos Narrow" w:eastAsia="Times New Roman" w:hAnsi="Aptos Narrow" w:cs="Times New Roman"/>
                <w:color w:val="000000"/>
                <w:lang w:val="en-GB" w:eastAsia="en-GB" w:bidi="hi-IN"/>
              </w:rPr>
              <w:t>virtual attendees access via interactive digital booths.</w:t>
            </w:r>
          </w:p>
        </w:tc>
      </w:tr>
    </w:tbl>
    <w:p w14:paraId="47428E1F" w14:textId="77777777" w:rsidR="00F43E87" w:rsidRDefault="00F43E87" w:rsidP="00D20E8F">
      <w:pPr>
        <w:spacing w:after="200" w:line="276" w:lineRule="auto"/>
        <w:jc w:val="both"/>
        <w:rPr>
          <w:lang w:val="en-GB"/>
        </w:rPr>
      </w:pPr>
    </w:p>
    <w:p w14:paraId="402C307B" w14:textId="5C124A21" w:rsidR="00F43E87" w:rsidRPr="00EF3775" w:rsidRDefault="00EF3775" w:rsidP="00D20E8F">
      <w:pPr>
        <w:spacing w:after="200" w:line="276" w:lineRule="auto"/>
        <w:jc w:val="both"/>
        <w:rPr>
          <w:b/>
          <w:bCs/>
          <w:sz w:val="24"/>
          <w:szCs w:val="24"/>
          <w:u w:val="single"/>
          <w:lang w:val="en-GB"/>
        </w:rPr>
      </w:pPr>
      <w:r w:rsidRPr="00EF3775">
        <w:rPr>
          <w:b/>
          <w:bCs/>
          <w:sz w:val="24"/>
          <w:szCs w:val="24"/>
          <w:u w:val="single"/>
          <w:lang w:val="en-GB"/>
        </w:rPr>
        <w:t>Day 2</w:t>
      </w:r>
    </w:p>
    <w:tbl>
      <w:tblPr>
        <w:tblStyle w:val="TableGrid"/>
        <w:tblW w:w="0" w:type="auto"/>
        <w:tblLook w:val="04A0" w:firstRow="1" w:lastRow="0" w:firstColumn="1" w:lastColumn="0" w:noHBand="0" w:noVBand="1"/>
      </w:tblPr>
      <w:tblGrid>
        <w:gridCol w:w="2155"/>
        <w:gridCol w:w="2340"/>
        <w:gridCol w:w="5431"/>
      </w:tblGrid>
      <w:tr w:rsidR="00FF49EE" w14:paraId="59B18FD3" w14:textId="77777777" w:rsidTr="001833D3">
        <w:tc>
          <w:tcPr>
            <w:tcW w:w="2155" w:type="dxa"/>
          </w:tcPr>
          <w:p w14:paraId="39386A8B" w14:textId="366D85C8" w:rsidR="00FF49EE" w:rsidRPr="001833D3" w:rsidRDefault="001833D3" w:rsidP="001833D3">
            <w:pPr>
              <w:spacing w:after="200" w:line="276" w:lineRule="auto"/>
              <w:jc w:val="center"/>
              <w:rPr>
                <w:b/>
                <w:bCs/>
                <w:lang w:val="en-GB"/>
              </w:rPr>
            </w:pPr>
            <w:r w:rsidRPr="001833D3">
              <w:rPr>
                <w:b/>
                <w:bCs/>
                <w:lang w:val="en-GB"/>
              </w:rPr>
              <w:t>Time</w:t>
            </w:r>
          </w:p>
        </w:tc>
        <w:tc>
          <w:tcPr>
            <w:tcW w:w="2340" w:type="dxa"/>
          </w:tcPr>
          <w:p w14:paraId="445C38F4" w14:textId="013067D4" w:rsidR="00FF49EE" w:rsidRPr="001833D3" w:rsidRDefault="001833D3" w:rsidP="001833D3">
            <w:pPr>
              <w:spacing w:after="200" w:line="276" w:lineRule="auto"/>
              <w:jc w:val="center"/>
              <w:rPr>
                <w:b/>
                <w:bCs/>
                <w:lang w:val="en-GB"/>
              </w:rPr>
            </w:pPr>
            <w:r w:rsidRPr="001833D3">
              <w:rPr>
                <w:b/>
                <w:bCs/>
                <w:lang w:val="en-GB"/>
              </w:rPr>
              <w:t>Activity</w:t>
            </w:r>
          </w:p>
        </w:tc>
        <w:tc>
          <w:tcPr>
            <w:tcW w:w="5431" w:type="dxa"/>
          </w:tcPr>
          <w:p w14:paraId="2101B60B" w14:textId="0F4DC380" w:rsidR="00FF49EE" w:rsidRPr="001833D3" w:rsidRDefault="001833D3" w:rsidP="001833D3">
            <w:pPr>
              <w:spacing w:after="200" w:line="276" w:lineRule="auto"/>
              <w:jc w:val="center"/>
              <w:rPr>
                <w:b/>
                <w:bCs/>
                <w:lang w:val="en-GB"/>
              </w:rPr>
            </w:pPr>
            <w:r w:rsidRPr="001833D3">
              <w:rPr>
                <w:b/>
                <w:bCs/>
                <w:lang w:val="en-GB"/>
              </w:rPr>
              <w:t>Key Feature</w:t>
            </w:r>
          </w:p>
        </w:tc>
      </w:tr>
      <w:tr w:rsidR="00EC7134" w14:paraId="2F19F268" w14:textId="77777777" w:rsidTr="001833D3">
        <w:tc>
          <w:tcPr>
            <w:tcW w:w="2155" w:type="dxa"/>
            <w:vAlign w:val="bottom"/>
          </w:tcPr>
          <w:p w14:paraId="0BE7649A" w14:textId="6000EA2A" w:rsidR="00EC7134" w:rsidRDefault="00EC7134" w:rsidP="001833D3">
            <w:pPr>
              <w:spacing w:after="200" w:line="276" w:lineRule="auto"/>
              <w:jc w:val="center"/>
              <w:rPr>
                <w:lang w:val="en-GB"/>
              </w:rPr>
            </w:pPr>
            <w:r>
              <w:rPr>
                <w:rFonts w:ascii="Aptos Narrow" w:hAnsi="Aptos Narrow"/>
                <w:color w:val="000000"/>
              </w:rPr>
              <w:t>9:30 AM–11:00 AM</w:t>
            </w:r>
          </w:p>
        </w:tc>
        <w:tc>
          <w:tcPr>
            <w:tcW w:w="2340" w:type="dxa"/>
            <w:vAlign w:val="bottom"/>
          </w:tcPr>
          <w:p w14:paraId="470B1E58" w14:textId="2A3B8B93" w:rsidR="00EC7134" w:rsidRDefault="00EC7134" w:rsidP="00EC7134">
            <w:pPr>
              <w:spacing w:after="200" w:line="276" w:lineRule="auto"/>
              <w:jc w:val="both"/>
              <w:rPr>
                <w:lang w:val="en-GB"/>
              </w:rPr>
            </w:pPr>
            <w:r>
              <w:rPr>
                <w:rFonts w:ascii="Aptos Narrow" w:hAnsi="Aptos Narrow"/>
                <w:color w:val="000000"/>
              </w:rPr>
              <w:t>Interactive Workshops – Actionable Frameworks</w:t>
            </w:r>
          </w:p>
        </w:tc>
        <w:tc>
          <w:tcPr>
            <w:tcW w:w="5431" w:type="dxa"/>
            <w:vAlign w:val="bottom"/>
          </w:tcPr>
          <w:p w14:paraId="6341C8A8" w14:textId="77777777" w:rsidR="00874DE0" w:rsidRDefault="00EC7134" w:rsidP="00EC7134">
            <w:pPr>
              <w:spacing w:after="200" w:line="276" w:lineRule="auto"/>
              <w:jc w:val="both"/>
              <w:rPr>
                <w:rFonts w:ascii="Aptos Narrow" w:hAnsi="Aptos Narrow"/>
                <w:color w:val="000000"/>
              </w:rPr>
            </w:pPr>
            <w:r>
              <w:rPr>
                <w:rFonts w:ascii="Aptos Narrow" w:hAnsi="Aptos Narrow"/>
                <w:color w:val="000000"/>
              </w:rPr>
              <w:t>Hands-on sessions led by DEI experts.</w:t>
            </w:r>
          </w:p>
          <w:p w14:paraId="1097EADE" w14:textId="6DBBC9C4" w:rsidR="00EC7134" w:rsidRDefault="00EC7134" w:rsidP="00EC7134">
            <w:pPr>
              <w:spacing w:after="200" w:line="276" w:lineRule="auto"/>
              <w:jc w:val="both"/>
              <w:rPr>
                <w:lang w:val="en-GB"/>
              </w:rPr>
            </w:pPr>
            <w:r>
              <w:rPr>
                <w:rFonts w:ascii="Aptos Narrow" w:hAnsi="Aptos Narrow"/>
                <w:color w:val="000000"/>
              </w:rPr>
              <w:t>Culturally tailored content for regional challenges.</w:t>
            </w:r>
          </w:p>
        </w:tc>
      </w:tr>
      <w:tr w:rsidR="00EC7134" w14:paraId="3175BBD1" w14:textId="77777777" w:rsidTr="001833D3">
        <w:tc>
          <w:tcPr>
            <w:tcW w:w="2155" w:type="dxa"/>
            <w:vAlign w:val="bottom"/>
          </w:tcPr>
          <w:p w14:paraId="11755C9F" w14:textId="1E242587" w:rsidR="00EC7134" w:rsidRDefault="00EC7134" w:rsidP="001833D3">
            <w:pPr>
              <w:spacing w:after="200" w:line="276" w:lineRule="auto"/>
              <w:jc w:val="center"/>
              <w:rPr>
                <w:lang w:val="en-GB"/>
              </w:rPr>
            </w:pPr>
            <w:r>
              <w:rPr>
                <w:rFonts w:ascii="Aptos Narrow" w:hAnsi="Aptos Narrow"/>
                <w:color w:val="000000"/>
              </w:rPr>
              <w:t>11:15 AM–12:30 PM</w:t>
            </w:r>
          </w:p>
        </w:tc>
        <w:tc>
          <w:tcPr>
            <w:tcW w:w="2340" w:type="dxa"/>
            <w:vAlign w:val="bottom"/>
          </w:tcPr>
          <w:p w14:paraId="5E6EF542" w14:textId="49664F62" w:rsidR="00EC7134" w:rsidRDefault="00EC7134" w:rsidP="00EC7134">
            <w:pPr>
              <w:spacing w:after="200" w:line="276" w:lineRule="auto"/>
              <w:jc w:val="both"/>
              <w:rPr>
                <w:lang w:val="en-GB"/>
              </w:rPr>
            </w:pPr>
            <w:r>
              <w:rPr>
                <w:rFonts w:ascii="Aptos Narrow" w:hAnsi="Aptos Narrow"/>
                <w:color w:val="000000"/>
              </w:rPr>
              <w:t>Industry Roundtables – Policy Changes</w:t>
            </w:r>
          </w:p>
        </w:tc>
        <w:tc>
          <w:tcPr>
            <w:tcW w:w="5431" w:type="dxa"/>
            <w:vAlign w:val="bottom"/>
          </w:tcPr>
          <w:p w14:paraId="271E3B1E" w14:textId="77777777" w:rsidR="00874DE0" w:rsidRDefault="00EC7134" w:rsidP="00EC7134">
            <w:pPr>
              <w:spacing w:after="200" w:line="276" w:lineRule="auto"/>
              <w:jc w:val="both"/>
              <w:rPr>
                <w:rFonts w:ascii="Aptos Narrow" w:hAnsi="Aptos Narrow"/>
                <w:color w:val="000000"/>
              </w:rPr>
            </w:pPr>
            <w:r>
              <w:rPr>
                <w:rFonts w:ascii="Aptos Narrow" w:hAnsi="Aptos Narrow"/>
                <w:color w:val="000000"/>
              </w:rPr>
              <w:t>Policymakers and NGOs collaborate on actionable solutions</w:t>
            </w:r>
            <w:r w:rsidR="00874DE0">
              <w:rPr>
                <w:rFonts w:ascii="Aptos Narrow" w:hAnsi="Aptos Narrow"/>
                <w:color w:val="000000"/>
              </w:rPr>
              <w:t>.</w:t>
            </w:r>
          </w:p>
          <w:p w14:paraId="61C3D957" w14:textId="39631D90" w:rsidR="00EC7134" w:rsidRDefault="00EC7134" w:rsidP="00EC7134">
            <w:pPr>
              <w:spacing w:after="200" w:line="276" w:lineRule="auto"/>
              <w:jc w:val="both"/>
              <w:rPr>
                <w:lang w:val="en-GB"/>
              </w:rPr>
            </w:pPr>
            <w:r>
              <w:rPr>
                <w:rFonts w:ascii="Aptos Narrow" w:hAnsi="Aptos Narrow"/>
                <w:color w:val="000000"/>
              </w:rPr>
              <w:t>Hybrid breakout rooms for virtual participants.</w:t>
            </w:r>
          </w:p>
        </w:tc>
      </w:tr>
      <w:tr w:rsidR="00EC7134" w14:paraId="002B9D61" w14:textId="77777777" w:rsidTr="001833D3">
        <w:tc>
          <w:tcPr>
            <w:tcW w:w="2155" w:type="dxa"/>
            <w:vAlign w:val="bottom"/>
          </w:tcPr>
          <w:p w14:paraId="0CB31945" w14:textId="6BC05E78" w:rsidR="00EC7134" w:rsidRDefault="00EC7134" w:rsidP="00EC7134">
            <w:pPr>
              <w:spacing w:after="200" w:line="276" w:lineRule="auto"/>
              <w:jc w:val="both"/>
              <w:rPr>
                <w:lang w:val="en-GB"/>
              </w:rPr>
            </w:pPr>
            <w:r>
              <w:rPr>
                <w:rFonts w:ascii="Aptos Narrow" w:hAnsi="Aptos Narrow"/>
                <w:color w:val="000000"/>
              </w:rPr>
              <w:t>1:00 PM–2:00 PM</w:t>
            </w:r>
          </w:p>
        </w:tc>
        <w:tc>
          <w:tcPr>
            <w:tcW w:w="2340" w:type="dxa"/>
            <w:vAlign w:val="bottom"/>
          </w:tcPr>
          <w:p w14:paraId="4DDD2576" w14:textId="7500394A" w:rsidR="00EC7134" w:rsidRDefault="00EC7134" w:rsidP="00EC7134">
            <w:pPr>
              <w:spacing w:after="200" w:line="276" w:lineRule="auto"/>
              <w:jc w:val="both"/>
              <w:rPr>
                <w:lang w:val="en-GB"/>
              </w:rPr>
            </w:pPr>
            <w:r>
              <w:rPr>
                <w:rFonts w:ascii="Aptos Narrow" w:hAnsi="Aptos Narrow"/>
                <w:color w:val="000000"/>
              </w:rPr>
              <w:t>Networking Lunch</w:t>
            </w:r>
          </w:p>
        </w:tc>
        <w:tc>
          <w:tcPr>
            <w:tcW w:w="5431" w:type="dxa"/>
            <w:vAlign w:val="bottom"/>
          </w:tcPr>
          <w:p w14:paraId="73195961" w14:textId="77777777" w:rsidR="00CE4C02" w:rsidRDefault="00EC7134" w:rsidP="00EC7134">
            <w:pPr>
              <w:spacing w:after="200" w:line="276" w:lineRule="auto"/>
              <w:jc w:val="both"/>
              <w:rPr>
                <w:rFonts w:ascii="Aptos Narrow" w:hAnsi="Aptos Narrow"/>
                <w:color w:val="000000"/>
              </w:rPr>
            </w:pPr>
            <w:r>
              <w:rPr>
                <w:rFonts w:ascii="Aptos Narrow" w:hAnsi="Aptos Narrow"/>
                <w:color w:val="000000"/>
              </w:rPr>
              <w:t>Green Meetings program ensures zero-waste catering.</w:t>
            </w:r>
          </w:p>
          <w:p w14:paraId="37F2FEF4" w14:textId="5458F0C3" w:rsidR="00EC7134" w:rsidRDefault="00EC7134" w:rsidP="00EC7134">
            <w:pPr>
              <w:spacing w:after="200" w:line="276" w:lineRule="auto"/>
              <w:jc w:val="both"/>
              <w:rPr>
                <w:lang w:val="en-GB"/>
              </w:rPr>
            </w:pPr>
            <w:r>
              <w:rPr>
                <w:rFonts w:ascii="Aptos Narrow" w:hAnsi="Aptos Narrow"/>
                <w:color w:val="000000"/>
              </w:rPr>
              <w:t xml:space="preserve">Continued use of </w:t>
            </w:r>
            <w:proofErr w:type="spellStart"/>
            <w:r>
              <w:rPr>
                <w:rFonts w:ascii="Aptos Narrow" w:hAnsi="Aptos Narrow"/>
                <w:color w:val="000000"/>
              </w:rPr>
              <w:t>Bizzabo</w:t>
            </w:r>
            <w:proofErr w:type="spellEnd"/>
            <w:r>
              <w:rPr>
                <w:rFonts w:ascii="Aptos Narrow" w:hAnsi="Aptos Narrow"/>
                <w:color w:val="000000"/>
              </w:rPr>
              <w:t xml:space="preserve"> for networking.</w:t>
            </w:r>
          </w:p>
        </w:tc>
      </w:tr>
      <w:tr w:rsidR="00EC7134" w14:paraId="14D24045" w14:textId="77777777" w:rsidTr="001833D3">
        <w:tc>
          <w:tcPr>
            <w:tcW w:w="2155" w:type="dxa"/>
            <w:vAlign w:val="bottom"/>
          </w:tcPr>
          <w:p w14:paraId="24413156" w14:textId="4DF504CC" w:rsidR="00EC7134" w:rsidRDefault="00EC7134" w:rsidP="00EC7134">
            <w:pPr>
              <w:spacing w:after="200" w:line="276" w:lineRule="auto"/>
              <w:jc w:val="both"/>
              <w:rPr>
                <w:lang w:val="en-GB"/>
              </w:rPr>
            </w:pPr>
            <w:r>
              <w:rPr>
                <w:rFonts w:ascii="Aptos Narrow" w:hAnsi="Aptos Narrow"/>
                <w:color w:val="000000"/>
              </w:rPr>
              <w:t>2:15 PM–3:30 PM</w:t>
            </w:r>
          </w:p>
        </w:tc>
        <w:tc>
          <w:tcPr>
            <w:tcW w:w="2340" w:type="dxa"/>
            <w:vAlign w:val="bottom"/>
          </w:tcPr>
          <w:p w14:paraId="740E7254" w14:textId="24A2D228" w:rsidR="00EC7134" w:rsidRDefault="00EC7134" w:rsidP="00EC7134">
            <w:pPr>
              <w:spacing w:after="200" w:line="276" w:lineRule="auto"/>
              <w:jc w:val="both"/>
              <w:rPr>
                <w:lang w:val="en-GB"/>
              </w:rPr>
            </w:pPr>
            <w:r>
              <w:rPr>
                <w:rFonts w:ascii="Aptos Narrow" w:hAnsi="Aptos Narrow"/>
                <w:color w:val="000000"/>
              </w:rPr>
              <w:t>Closing Keynote – “Driving DEI Forward”</w:t>
            </w:r>
          </w:p>
        </w:tc>
        <w:tc>
          <w:tcPr>
            <w:tcW w:w="5431" w:type="dxa"/>
            <w:vAlign w:val="bottom"/>
          </w:tcPr>
          <w:p w14:paraId="6B8A4649" w14:textId="77777777" w:rsidR="00CE4C02" w:rsidRDefault="00EC7134" w:rsidP="00EC7134">
            <w:pPr>
              <w:spacing w:after="200" w:line="276" w:lineRule="auto"/>
              <w:jc w:val="both"/>
              <w:rPr>
                <w:rFonts w:ascii="Aptos Narrow" w:hAnsi="Aptos Narrow"/>
                <w:color w:val="000000"/>
              </w:rPr>
            </w:pPr>
            <w:r>
              <w:rPr>
                <w:rFonts w:ascii="Aptos Narrow" w:hAnsi="Aptos Narrow"/>
                <w:color w:val="000000"/>
              </w:rPr>
              <w:t>Inspirational address focusing on long-term impact</w:t>
            </w:r>
            <w:r w:rsidR="00CE4C02">
              <w:rPr>
                <w:rFonts w:ascii="Aptos Narrow" w:hAnsi="Aptos Narrow"/>
                <w:color w:val="000000"/>
              </w:rPr>
              <w:t>.</w:t>
            </w:r>
          </w:p>
          <w:p w14:paraId="6944F0AE" w14:textId="6278391A" w:rsidR="00EC7134" w:rsidRDefault="00CE4C02" w:rsidP="00EC7134">
            <w:pPr>
              <w:spacing w:after="200" w:line="276" w:lineRule="auto"/>
              <w:jc w:val="both"/>
              <w:rPr>
                <w:lang w:val="en-GB"/>
              </w:rPr>
            </w:pPr>
            <w:r>
              <w:rPr>
                <w:rFonts w:ascii="Aptos Narrow" w:hAnsi="Aptos Narrow"/>
                <w:color w:val="000000"/>
              </w:rPr>
              <w:t>V</w:t>
            </w:r>
            <w:r w:rsidR="00EC7134">
              <w:rPr>
                <w:rFonts w:ascii="Aptos Narrow" w:hAnsi="Aptos Narrow"/>
                <w:color w:val="000000"/>
              </w:rPr>
              <w:t xml:space="preserve">irtual attendees participate in </w:t>
            </w:r>
            <w:r w:rsidR="001833D3">
              <w:rPr>
                <w:rFonts w:ascii="Aptos Narrow" w:hAnsi="Aptos Narrow"/>
                <w:color w:val="000000"/>
              </w:rPr>
              <w:t>the closing</w:t>
            </w:r>
            <w:r w:rsidR="00EC7134">
              <w:rPr>
                <w:rFonts w:ascii="Aptos Narrow" w:hAnsi="Aptos Narrow"/>
                <w:color w:val="000000"/>
              </w:rPr>
              <w:t xml:space="preserve"> poll.</w:t>
            </w:r>
          </w:p>
        </w:tc>
      </w:tr>
      <w:tr w:rsidR="00EC7134" w14:paraId="34F9A8BD" w14:textId="77777777" w:rsidTr="001833D3">
        <w:tc>
          <w:tcPr>
            <w:tcW w:w="2155" w:type="dxa"/>
            <w:vAlign w:val="bottom"/>
          </w:tcPr>
          <w:p w14:paraId="60F8509C" w14:textId="4BC5F2D4" w:rsidR="00EC7134" w:rsidRDefault="00EC7134" w:rsidP="00EC7134">
            <w:pPr>
              <w:spacing w:after="200" w:line="276" w:lineRule="auto"/>
              <w:jc w:val="both"/>
              <w:rPr>
                <w:lang w:val="en-GB"/>
              </w:rPr>
            </w:pPr>
            <w:r>
              <w:rPr>
                <w:rFonts w:ascii="Aptos Narrow" w:hAnsi="Aptos Narrow"/>
                <w:color w:val="000000"/>
              </w:rPr>
              <w:t>3:45 PM–4:30 PM</w:t>
            </w:r>
          </w:p>
        </w:tc>
        <w:tc>
          <w:tcPr>
            <w:tcW w:w="2340" w:type="dxa"/>
            <w:vAlign w:val="bottom"/>
          </w:tcPr>
          <w:p w14:paraId="31395DB2" w14:textId="15650F31" w:rsidR="00EC7134" w:rsidRDefault="00EC7134" w:rsidP="00EC7134">
            <w:pPr>
              <w:spacing w:after="200" w:line="276" w:lineRule="auto"/>
              <w:jc w:val="both"/>
              <w:rPr>
                <w:lang w:val="en-GB"/>
              </w:rPr>
            </w:pPr>
            <w:r>
              <w:rPr>
                <w:rFonts w:ascii="Aptos Narrow" w:hAnsi="Aptos Narrow"/>
                <w:color w:val="000000"/>
              </w:rPr>
              <w:t>Post-Event Feedback &amp;amp; Next Steps</w:t>
            </w:r>
          </w:p>
        </w:tc>
        <w:tc>
          <w:tcPr>
            <w:tcW w:w="5431" w:type="dxa"/>
            <w:vAlign w:val="bottom"/>
          </w:tcPr>
          <w:p w14:paraId="02C0DF57" w14:textId="3BA1179D" w:rsidR="00CE4C02" w:rsidRDefault="00EC7134" w:rsidP="00EC7134">
            <w:pPr>
              <w:spacing w:after="200" w:line="276" w:lineRule="auto"/>
              <w:jc w:val="both"/>
              <w:rPr>
                <w:rFonts w:ascii="Aptos Narrow" w:hAnsi="Aptos Narrow"/>
                <w:color w:val="000000"/>
              </w:rPr>
            </w:pPr>
            <w:r>
              <w:rPr>
                <w:rFonts w:ascii="Aptos Narrow" w:hAnsi="Aptos Narrow"/>
                <w:color w:val="000000"/>
              </w:rPr>
              <w:t>Attendee surveys conducted via AI-driven analytics</w:t>
            </w:r>
            <w:r w:rsidR="001833D3">
              <w:rPr>
                <w:rFonts w:ascii="Aptos Narrow" w:hAnsi="Aptos Narrow"/>
                <w:color w:val="000000"/>
              </w:rPr>
              <w:t>.</w:t>
            </w:r>
          </w:p>
          <w:p w14:paraId="00CC3429" w14:textId="4D150D03" w:rsidR="00EC7134" w:rsidRDefault="001833D3" w:rsidP="00EC7134">
            <w:pPr>
              <w:spacing w:after="200" w:line="276" w:lineRule="auto"/>
              <w:jc w:val="both"/>
              <w:rPr>
                <w:lang w:val="en-GB"/>
              </w:rPr>
            </w:pPr>
            <w:r>
              <w:rPr>
                <w:rFonts w:ascii="Aptos Narrow" w:hAnsi="Aptos Narrow"/>
                <w:color w:val="000000"/>
              </w:rPr>
              <w:t>V</w:t>
            </w:r>
            <w:r w:rsidR="00EC7134">
              <w:rPr>
                <w:rFonts w:ascii="Aptos Narrow" w:hAnsi="Aptos Narrow"/>
                <w:color w:val="000000"/>
              </w:rPr>
              <w:t>irtual thank-you messages sent to all participants.</w:t>
            </w:r>
          </w:p>
        </w:tc>
      </w:tr>
    </w:tbl>
    <w:p w14:paraId="7D99C145" w14:textId="77777777" w:rsidR="00F43E87" w:rsidRDefault="00F43E87" w:rsidP="00D20E8F">
      <w:pPr>
        <w:spacing w:after="200" w:line="276" w:lineRule="auto"/>
        <w:jc w:val="both"/>
        <w:rPr>
          <w:lang w:val="en-GB"/>
        </w:rPr>
      </w:pPr>
    </w:p>
    <w:p w14:paraId="66D64134" w14:textId="26BD907D" w:rsidR="00B77B9F" w:rsidRPr="00B77B9F" w:rsidRDefault="00B77B9F" w:rsidP="001C71A1">
      <w:pPr>
        <w:pStyle w:val="Heading2"/>
        <w:jc w:val="both"/>
        <w:rPr>
          <w:lang w:val="en-GB"/>
        </w:rPr>
      </w:pPr>
      <w:bookmarkStart w:id="3" w:name="_Toc191598372"/>
      <w:r w:rsidRPr="00B77B9F">
        <w:t>Aim and Objectives</w:t>
      </w:r>
      <w:bookmarkEnd w:id="3"/>
      <w:r w:rsidRPr="00B77B9F">
        <w:t> </w:t>
      </w:r>
    </w:p>
    <w:p w14:paraId="7115BCC3" w14:textId="77777777" w:rsidR="00B94A3A" w:rsidRPr="00B94A3A" w:rsidRDefault="00B94A3A" w:rsidP="001C71A1">
      <w:pPr>
        <w:jc w:val="both"/>
        <w:rPr>
          <w:lang w:val="en-GB"/>
        </w:rPr>
      </w:pPr>
      <w:r w:rsidRPr="00B94A3A">
        <w:rPr>
          <w:lang w:val="en-GB"/>
        </w:rPr>
        <w:t>To achieve this aim, the following </w:t>
      </w:r>
      <w:r w:rsidRPr="00B94A3A">
        <w:rPr>
          <w:b/>
          <w:bCs/>
          <w:lang w:val="en-GB"/>
        </w:rPr>
        <w:t>SMART objectives</w:t>
      </w:r>
      <w:r w:rsidRPr="00B94A3A">
        <w:rPr>
          <w:lang w:val="en-GB"/>
        </w:rPr>
        <w:t> have been established:</w:t>
      </w:r>
    </w:p>
    <w:p w14:paraId="69F77874" w14:textId="4261FD8E" w:rsidR="00B94A3A" w:rsidRPr="00B94A3A" w:rsidRDefault="00B94A3A" w:rsidP="005E6B17">
      <w:pPr>
        <w:numPr>
          <w:ilvl w:val="0"/>
          <w:numId w:val="3"/>
        </w:numPr>
        <w:jc w:val="both"/>
        <w:rPr>
          <w:lang w:val="en-GB"/>
        </w:rPr>
      </w:pPr>
      <w:r w:rsidRPr="00B94A3A">
        <w:rPr>
          <w:b/>
          <w:bCs/>
          <w:lang w:val="en-GB"/>
        </w:rPr>
        <w:t>Train 500+ Professionals</w:t>
      </w:r>
      <w:r w:rsidRPr="00B94A3A">
        <w:rPr>
          <w:lang w:val="en-GB"/>
        </w:rPr>
        <w:t xml:space="preserve">: </w:t>
      </w:r>
      <w:r w:rsidR="005E6B17" w:rsidRPr="005E6B17">
        <w:rPr>
          <w:lang w:val="en-GB"/>
        </w:rPr>
        <w:t xml:space="preserve">Deliver at least 500 business leaders, HR experts, and DEI practitioners practical DEI training by February 2026, so arming them with tools to apply inclusive practices in their companies. This is consistent with </w:t>
      </w:r>
      <w:r w:rsidR="0045092D">
        <w:rPr>
          <w:lang w:val="en-GB"/>
        </w:rPr>
        <w:fldChar w:fldCharType="begin"/>
      </w:r>
      <w:r w:rsidR="0045092D">
        <w:rPr>
          <w:lang w:val="en-GB"/>
        </w:rPr>
        <w:instrText xml:space="preserve"> ADDIN ZOTERO_ITEM CSL_CITATION {"citationID":"9zNTqv5C","properties":{"formattedCitation":"(Taylor et al., 2023)","plainCitation":"(Taylor et al., 2023)","noteIndex":0},"citationItems":[{"id":1164,"uris":["http://zotero.org/users/7363269/items/GYRT77JF"],"itemData":{"id":1164,"type":"article-journal","abstract":"Charting a benchmarking strategy is recommended to measure improvements in equal leadership opportunities for minorities and women in the Clinical Translational Science Awards Consortium (CTSAs). Academic institutions that support diversity, equity, and inclusion (DEI) initiatives should demonstrate a willingness to track their progress with established metrics. In the fall of 2020, the CTSAs convened a virtual conference, which started a dialogue on developing measurable objectives to ensure accountability for DEI goals. Using qualitative and quantitative data from breakout sessions, the authors analyze participant responses to the following recommendation, “ develop a common metric and dashboard with regular reporting on diversity in CTSA leadership, with an emphasis on increasing female and Black Indigenous, People Of Color (BIPOC) representation to 30% each,” to understand the impact and challenges associated with implementing metrics within CTSAs. Thematic analysis revealed that white supremacist culture and demographic composition are obstacles to establishing metrics. Participants expressed uncertainty about the perception of token roles. Additionally, participants believed that DEI targets can increase diversity in perspectives and approaches to translational science. Implications for CTSAs include establishing CTSA-wide benchmarks for DEI initiatives, which includes a baseline of the existing DEI climate to assess institutional norms and measurable objectives to track progress.","container-title":"Equity in Education &amp; Society","DOI":"10.1177/27526461231159920","ISSN":"2752-6461, 2752-6461","issue":"2","journalAbbreviation":"Equity in Education &amp; Society","language":"en","page":"198-205","source":"DOI.org (Crossref)","title":"Implementing measurable goals for diversity, equity, and inclusion in Clinical and Translational Science Awards leadership","volume":"2","author":[{"family":"Taylor","given":"Monica M"},{"family":"Fernandez","given":"Claudia Sp"},{"family":"Dave","given":"Gaurav"},{"family":"Brandert","given":"Kathleen"},{"family":"Larkin","given":"Suzanna"},{"family":"Mollenkopf","given":"Katherine"},{"family":"Corbie","given":"Giselle"}],"issued":{"date-parts":[["2023",8]]}}}],"schema":"https://github.com/citation-style-language/schema/raw/master/csl-citation.json"} </w:instrText>
      </w:r>
      <w:r w:rsidR="0045092D">
        <w:rPr>
          <w:lang w:val="en-GB"/>
        </w:rPr>
        <w:fldChar w:fldCharType="separate"/>
      </w:r>
      <w:r w:rsidR="0045092D" w:rsidRPr="0045092D">
        <w:rPr>
          <w:rFonts w:cs="Arial"/>
        </w:rPr>
        <w:t xml:space="preserve">Taylor et al., </w:t>
      </w:r>
      <w:r w:rsidR="0045092D">
        <w:rPr>
          <w:rFonts w:cs="Arial"/>
        </w:rPr>
        <w:t>(</w:t>
      </w:r>
      <w:r w:rsidR="0045092D" w:rsidRPr="0045092D">
        <w:rPr>
          <w:rFonts w:cs="Arial"/>
        </w:rPr>
        <w:t>2023)</w:t>
      </w:r>
      <w:r w:rsidR="0045092D">
        <w:rPr>
          <w:lang w:val="en-GB"/>
        </w:rPr>
        <w:fldChar w:fldCharType="end"/>
      </w:r>
      <w:r w:rsidR="005E6B17" w:rsidRPr="005E6B17">
        <w:rPr>
          <w:lang w:val="en-GB"/>
        </w:rPr>
        <w:t>, who underline the need of SMART goals in raising responsibility and success rates in leadership-driven diversity programs.</w:t>
      </w:r>
    </w:p>
    <w:p w14:paraId="55D4DE78" w14:textId="5DBC5707" w:rsidR="00B94A3A" w:rsidRPr="00B94A3A" w:rsidRDefault="00B94A3A" w:rsidP="00B2580D">
      <w:pPr>
        <w:numPr>
          <w:ilvl w:val="0"/>
          <w:numId w:val="3"/>
        </w:numPr>
        <w:jc w:val="both"/>
        <w:rPr>
          <w:lang w:val="en-GB"/>
        </w:rPr>
      </w:pPr>
      <w:r w:rsidRPr="00B94A3A">
        <w:rPr>
          <w:b/>
          <w:bCs/>
          <w:lang w:val="en-GB"/>
        </w:rPr>
        <w:t>Facilitate 50+ Strategic Partnerships</w:t>
      </w:r>
      <w:r w:rsidRPr="00B94A3A">
        <w:rPr>
          <w:lang w:val="en-GB"/>
        </w:rPr>
        <w:t xml:space="preserve">: </w:t>
      </w:r>
      <w:r w:rsidR="00B2580D" w:rsidRPr="00B2580D">
        <w:rPr>
          <w:lang w:val="en-GB"/>
        </w:rPr>
        <w:t xml:space="preserve">Encourage partnerships between businesses, NGOs, and policymakers by June 2026. This will allow them to work together to make ED&amp;I programs that are special to their region. </w:t>
      </w:r>
      <w:proofErr w:type="spellStart"/>
      <w:r w:rsidR="00B2580D" w:rsidRPr="00B2580D">
        <w:rPr>
          <w:lang w:val="en-GB"/>
        </w:rPr>
        <w:t>Leggerini</w:t>
      </w:r>
      <w:proofErr w:type="spellEnd"/>
      <w:r w:rsidR="00B2580D" w:rsidRPr="00B2580D">
        <w:rPr>
          <w:lang w:val="en-GB"/>
        </w:rPr>
        <w:t xml:space="preserve"> and </w:t>
      </w:r>
      <w:proofErr w:type="spellStart"/>
      <w:r w:rsidR="00B2580D" w:rsidRPr="00B2580D">
        <w:rPr>
          <w:lang w:val="en-GB"/>
        </w:rPr>
        <w:t>Bannò</w:t>
      </w:r>
      <w:proofErr w:type="spellEnd"/>
      <w:r w:rsidR="00B2580D" w:rsidRPr="00B2580D">
        <w:rPr>
          <w:lang w:val="en-GB"/>
        </w:rPr>
        <w:t xml:space="preserve"> (2024), who talk about how important cross-sector relationships are for getting measurable DEI results, agree with this goal.</w:t>
      </w:r>
    </w:p>
    <w:p w14:paraId="626783BF" w14:textId="41C2D845" w:rsidR="00B94A3A" w:rsidRPr="00B94A3A" w:rsidRDefault="00B94A3A" w:rsidP="00C44D5B">
      <w:pPr>
        <w:numPr>
          <w:ilvl w:val="0"/>
          <w:numId w:val="3"/>
        </w:numPr>
        <w:jc w:val="both"/>
        <w:rPr>
          <w:lang w:val="en-GB"/>
        </w:rPr>
      </w:pPr>
      <w:r w:rsidRPr="00B94A3A">
        <w:rPr>
          <w:b/>
          <w:bCs/>
          <w:lang w:val="en-GB"/>
        </w:rPr>
        <w:t>Achieve 90% Attendee Satisfaction</w:t>
      </w:r>
      <w:r w:rsidRPr="00B94A3A">
        <w:rPr>
          <w:lang w:val="en-GB"/>
        </w:rPr>
        <w:t xml:space="preserve">: </w:t>
      </w:r>
      <w:r w:rsidR="00C44D5B" w:rsidRPr="00C44D5B">
        <w:rPr>
          <w:lang w:val="en-GB"/>
        </w:rPr>
        <w:t>By March 2025, 90% of summit attendees assess the event as "highly impactful" on post-event questionnaires. This represents the results of</w:t>
      </w:r>
      <w:r w:rsidR="0045092D">
        <w:rPr>
          <w:lang w:val="en-GB"/>
        </w:rPr>
        <w:t xml:space="preserve"> </w:t>
      </w:r>
      <w:r w:rsidR="0045092D">
        <w:rPr>
          <w:lang w:val="en-GB"/>
        </w:rPr>
        <w:fldChar w:fldCharType="begin"/>
      </w:r>
      <w:r w:rsidR="0045092D">
        <w:rPr>
          <w:lang w:val="en-GB"/>
        </w:rPr>
        <w:instrText xml:space="preserve"> ADDIN ZOTERO_ITEM CSL_CITATION {"citationID":"Jn1T1LPJ","properties":{"formattedCitation":"(Ponting and Dillette, 2023)","plainCitation":"(Ponting and Dillette, 2023)","noteIndex":0},"citationItems":[{"id":1163,"uris":["http://zotero.org/users/7363269/items/EX74TRPP"],"itemData":{"id":1163,"type":"article-journal","abstract":"Purpose\n              The purpose of this study is to explore the development and implementation of diversity, equity and inclusion (DEI) practices in hospitality and tourism organizations through the lens of structuration theory.\n            \n            \n              Design/methodology/approach\n              This study deployed a three-stage Delphi technique involving DEI experts in hospitality and tourism organizations to build a consensus. Specifically, individual agency, development and implementation of DEI practices and best DEI practices were explored through the Delphi technique.\n            \n            \n              Findings\n              The findings of this study feature a framework for DEI practices and the intersection between individual agency and organizational structure. The results of this study further showcase the theoretical importance of structuration theory in understanding how organizations develop and implement DEI practices.\n            \n            \n              Originality/value\n              This study reveals unique perspectives on DEI within hospitality and tourism organizations, pointing to the imperative need for leadership in initiating, developing and implementing change. This study also extends previous research by highlighting how DEI practices are initiated, developed and implemented through individual agency and organizational structure.","container-title":"International Journal of Contemporary Hospitality Management","DOI":"10.1108/IJCHM-11-2022-1503","ISSN":"0959-6119, 0959-6119","issue":"11","journalAbbreviation":"IJCHM","language":"en","license":"https://www.emerald.com/insight/site-policies","page":"3764-3786","source":"DOI.org (Crossref)","title":"Diversity, equity, and inclusion practices: a Delphi study to build a consensus in hospitality and tourism organizations","title-short":"Diversity, equity, and inclusion practices","volume":"35","author":[{"family":"Ponting","given":"Sandra Sun-Ah"},{"family":"Dillette","given":"Alana"}],"issued":{"date-parts":[["2023",11,3]]}}}],"schema":"https://github.com/citation-style-language/schema/raw/master/csl-citation.json"} </w:instrText>
      </w:r>
      <w:r w:rsidR="0045092D">
        <w:rPr>
          <w:lang w:val="en-GB"/>
        </w:rPr>
        <w:fldChar w:fldCharType="separate"/>
      </w:r>
      <w:r w:rsidR="0045092D" w:rsidRPr="0045092D">
        <w:rPr>
          <w:rFonts w:cs="Arial"/>
        </w:rPr>
        <w:t xml:space="preserve">Ponting and Dillette, </w:t>
      </w:r>
      <w:r w:rsidR="0045092D">
        <w:rPr>
          <w:rFonts w:cs="Arial"/>
        </w:rPr>
        <w:t>(</w:t>
      </w:r>
      <w:r w:rsidR="0045092D" w:rsidRPr="0045092D">
        <w:rPr>
          <w:rFonts w:cs="Arial"/>
        </w:rPr>
        <w:t>2023)</w:t>
      </w:r>
      <w:r w:rsidR="0045092D">
        <w:rPr>
          <w:lang w:val="en-GB"/>
        </w:rPr>
        <w:fldChar w:fldCharType="end"/>
      </w:r>
      <w:r w:rsidR="00C44D5B" w:rsidRPr="00C44D5B">
        <w:rPr>
          <w:lang w:val="en-GB"/>
        </w:rPr>
        <w:t xml:space="preserve"> on the rising need in the hotel industry for localised DEI solutions.</w:t>
      </w:r>
    </w:p>
    <w:p w14:paraId="2FA4E08F" w14:textId="77777777" w:rsidR="00D307C5" w:rsidRPr="00D307C5" w:rsidRDefault="00B94A3A" w:rsidP="00D307C5">
      <w:pPr>
        <w:numPr>
          <w:ilvl w:val="0"/>
          <w:numId w:val="3"/>
        </w:numPr>
        <w:jc w:val="both"/>
        <w:rPr>
          <w:lang w:val="en-GB"/>
        </w:rPr>
      </w:pPr>
      <w:r w:rsidRPr="00B94A3A">
        <w:rPr>
          <w:b/>
          <w:bCs/>
          <w:lang w:val="en-GB"/>
        </w:rPr>
        <w:t>Publish 10 Case Studies</w:t>
      </w:r>
      <w:r w:rsidRPr="00B94A3A">
        <w:rPr>
          <w:lang w:val="en-GB"/>
        </w:rPr>
        <w:t xml:space="preserve">: </w:t>
      </w:r>
      <w:r w:rsidR="00D307C5" w:rsidRPr="00D307C5">
        <w:rPr>
          <w:lang w:val="en-GB"/>
        </w:rPr>
        <w:t xml:space="preserve">By December 2025, record ten success stories from the conference highlighting quantifiable ED&amp;I improvement in Asian companies. Share them. This fits the 2024 focus of </w:t>
      </w:r>
      <w:proofErr w:type="spellStart"/>
      <w:r w:rsidR="00D307C5" w:rsidRPr="00D307C5">
        <w:rPr>
          <w:lang w:val="en-GB"/>
        </w:rPr>
        <w:t>Leggerini</w:t>
      </w:r>
      <w:proofErr w:type="spellEnd"/>
      <w:r w:rsidR="00D307C5" w:rsidRPr="00D307C5">
        <w:rPr>
          <w:lang w:val="en-GB"/>
        </w:rPr>
        <w:t xml:space="preserve"> &amp; </w:t>
      </w:r>
      <w:proofErr w:type="spellStart"/>
      <w:r w:rsidR="00D307C5" w:rsidRPr="00D307C5">
        <w:rPr>
          <w:lang w:val="en-GB"/>
        </w:rPr>
        <w:t>Bannò</w:t>
      </w:r>
      <w:proofErr w:type="spellEnd"/>
      <w:r w:rsidR="00D307C5" w:rsidRPr="00D307C5">
        <w:rPr>
          <w:lang w:val="en-GB"/>
        </w:rPr>
        <w:t xml:space="preserve"> on the necessity of goal-driven diversity projects with observable results.</w:t>
      </w:r>
    </w:p>
    <w:p w14:paraId="79352346" w14:textId="08F4B62C" w:rsidR="00B94A3A" w:rsidRPr="00B94A3A" w:rsidRDefault="00DA137F" w:rsidP="001C71A1">
      <w:pPr>
        <w:jc w:val="both"/>
        <w:rPr>
          <w:lang w:val="en-GB"/>
        </w:rPr>
      </w:pPr>
      <w:r w:rsidRPr="00DA137F">
        <w:rPr>
          <w:lang w:val="en-GB"/>
        </w:rPr>
        <w:t>These Specific, Measurable, Achievable, Relevant, Time-bound (SMART) goals guarantee responsibility and clarity.</w:t>
      </w:r>
    </w:p>
    <w:p w14:paraId="67FBCEF4" w14:textId="77777777" w:rsidR="004A1E34" w:rsidRDefault="004A1E34">
      <w:pPr>
        <w:spacing w:after="200" w:line="276" w:lineRule="auto"/>
        <w:rPr>
          <w:rFonts w:eastAsia="Times New Roman" w:cs="Times New Roman"/>
          <w:b/>
          <w:sz w:val="36"/>
          <w:lang w:val="en-GB"/>
        </w:rPr>
      </w:pPr>
      <w:r>
        <w:rPr>
          <w:lang w:val="en-GB"/>
        </w:rPr>
        <w:br w:type="page"/>
      </w:r>
    </w:p>
    <w:p w14:paraId="7C9C7C3D" w14:textId="71F1E56F" w:rsidR="00272F07" w:rsidRPr="00272F07" w:rsidRDefault="00272F07" w:rsidP="001C71A1">
      <w:pPr>
        <w:pStyle w:val="Heading2"/>
        <w:jc w:val="both"/>
        <w:rPr>
          <w:lang w:val="en-GB"/>
        </w:rPr>
      </w:pPr>
      <w:bookmarkStart w:id="4" w:name="_Toc191598373"/>
      <w:r w:rsidRPr="00272F07">
        <w:rPr>
          <w:lang w:val="en-GB"/>
        </w:rPr>
        <w:t>Event Management</w:t>
      </w:r>
      <w:bookmarkEnd w:id="4"/>
    </w:p>
    <w:p w14:paraId="1A5732FD" w14:textId="0F4D5CEB" w:rsidR="00272F07" w:rsidRPr="00272F07" w:rsidRDefault="004D2431" w:rsidP="001C71A1">
      <w:pPr>
        <w:jc w:val="both"/>
        <w:rPr>
          <w:lang w:val="en-GB"/>
        </w:rPr>
      </w:pPr>
      <w:r w:rsidRPr="004D2431">
        <w:rPr>
          <w:lang w:val="en-GB"/>
        </w:rPr>
        <w:t>The Asia DEI Summit 2025 will only go off smoothly if it is carefully planned, with skilled staff and strong organisational frameworks. Using O'Toole's (2011) ideas about what makes an event possible and how to make it happen, this part lists the skills, resources, and tasks that are necessary for successful planning, running, and marketing the event.</w:t>
      </w:r>
    </w:p>
    <w:p w14:paraId="1E4BCD15" w14:textId="77777777" w:rsidR="00272F07" w:rsidRPr="00272F07" w:rsidRDefault="00272F07" w:rsidP="001C71A1">
      <w:pPr>
        <w:pStyle w:val="Heading3"/>
        <w:spacing w:line="360" w:lineRule="auto"/>
        <w:jc w:val="both"/>
        <w:rPr>
          <w:lang w:val="en-GB"/>
        </w:rPr>
      </w:pPr>
      <w:bookmarkStart w:id="5" w:name="_Toc191598374"/>
      <w:r w:rsidRPr="00272F07">
        <w:rPr>
          <w:lang w:val="en-GB"/>
        </w:rPr>
        <w:t>Skills and Personnel</w:t>
      </w:r>
      <w:bookmarkEnd w:id="5"/>
    </w:p>
    <w:p w14:paraId="5D0768CE" w14:textId="77777777" w:rsidR="00272F07" w:rsidRPr="00272F07" w:rsidRDefault="00272F07" w:rsidP="001C71A1">
      <w:pPr>
        <w:jc w:val="both"/>
        <w:rPr>
          <w:lang w:val="en-GB"/>
        </w:rPr>
      </w:pPr>
      <w:r w:rsidRPr="00272F07">
        <w:rPr>
          <w:lang w:val="en-GB"/>
        </w:rPr>
        <w:t>A diverse team with specialized expertise is critical to delivering a hybrid event of this scale. Key roles include:</w:t>
      </w:r>
    </w:p>
    <w:p w14:paraId="004CA04D" w14:textId="2954FF2D" w:rsidR="00272F07" w:rsidRPr="00272F07" w:rsidRDefault="00272F07" w:rsidP="001C71A1">
      <w:pPr>
        <w:numPr>
          <w:ilvl w:val="0"/>
          <w:numId w:val="4"/>
        </w:numPr>
        <w:jc w:val="both"/>
        <w:rPr>
          <w:lang w:val="en-GB"/>
        </w:rPr>
      </w:pPr>
      <w:r w:rsidRPr="00272F07">
        <w:rPr>
          <w:b/>
          <w:bCs/>
          <w:lang w:val="en-GB"/>
        </w:rPr>
        <w:t xml:space="preserve">Event </w:t>
      </w:r>
      <w:r w:rsidR="001A7F2C" w:rsidRPr="00272F07">
        <w:rPr>
          <w:b/>
          <w:bCs/>
          <w:lang w:val="en-GB"/>
        </w:rPr>
        <w:t>Managers:</w:t>
      </w:r>
      <w:r w:rsidRPr="00272F07">
        <w:rPr>
          <w:lang w:val="en-GB"/>
        </w:rPr>
        <w:t xml:space="preserve"> Overseeing logistics, timelines, and vendor coordination.</w:t>
      </w:r>
    </w:p>
    <w:p w14:paraId="06A2C79F" w14:textId="00F895D1" w:rsidR="00547BC2" w:rsidRPr="00547BC2" w:rsidRDefault="00272F07" w:rsidP="00547BC2">
      <w:pPr>
        <w:numPr>
          <w:ilvl w:val="0"/>
          <w:numId w:val="4"/>
        </w:numPr>
        <w:jc w:val="both"/>
        <w:rPr>
          <w:lang w:val="en-GB"/>
        </w:rPr>
      </w:pPr>
      <w:r w:rsidRPr="00272F07">
        <w:rPr>
          <w:b/>
          <w:bCs/>
          <w:lang w:val="en-GB"/>
        </w:rPr>
        <w:t>A/V Technicians (10 experts)</w:t>
      </w:r>
      <w:r w:rsidRPr="00272F07">
        <w:rPr>
          <w:lang w:val="en-GB"/>
        </w:rPr>
        <w:t xml:space="preserve">: Managing livestream platforms like Zoom and </w:t>
      </w:r>
      <w:proofErr w:type="spellStart"/>
      <w:r w:rsidRPr="00272F07">
        <w:rPr>
          <w:lang w:val="en-GB"/>
        </w:rPr>
        <w:t>Hopin</w:t>
      </w:r>
      <w:proofErr w:type="spellEnd"/>
      <w:r w:rsidRPr="00272F07">
        <w:rPr>
          <w:lang w:val="en-GB"/>
        </w:rPr>
        <w:t xml:space="preserve">, LED screens, and real-time translation systems. </w:t>
      </w:r>
      <w:r w:rsidR="00547BC2" w:rsidRPr="00547BC2">
        <w:rPr>
          <w:lang w:val="en-GB"/>
        </w:rPr>
        <w:t xml:space="preserve">To keep problems to a minimum, hybrid events need people with advanced technology skills </w:t>
      </w:r>
      <w:r w:rsidR="00BE708B">
        <w:rPr>
          <w:lang w:val="en-GB"/>
        </w:rPr>
        <w:fldChar w:fldCharType="begin"/>
      </w:r>
      <w:r w:rsidR="00BE708B">
        <w:rPr>
          <w:lang w:val="en-GB"/>
        </w:rPr>
        <w:instrText xml:space="preserve"> ADDIN ZOTERO_ITEM CSL_CITATION {"citationID":"YGl1JYZH","properties":{"formattedCitation":"({\\i{}Comprehensive Breakdown of How Much a Hybrid Event Costs}, 2021)","plainCitation":"(Comprehensive Breakdown of How Much a Hybrid Event Costs, 2021)","noteIndex":0},"citationItems":[{"id":1144,"uris":["http://zotero.org/users/7363269/items/SNQMX2WA"],"itemData":{"id":1144,"type":"webpage","abstract":"Check out our blog to learn the comprehensive breakdown of how much a hybrid event costs! Contact us to talk more about pricing for your next hybrid event!","language":"en-us","title":"Comprehensive Breakdown of How Much a Hybrid Event Costs","URL":"https://www.clarityexperiences.com/blog/comprehensive-breakdown-of-how-much-a-hybrid-event-costs","accessed":{"date-parts":[["2025",2,3]]},"issued":{"date-parts":[["2021"]]}}}],"schema":"https://github.com/citation-style-language/schema/raw/master/csl-citation.json"} </w:instrText>
      </w:r>
      <w:r w:rsidR="00BE708B">
        <w:rPr>
          <w:lang w:val="en-GB"/>
        </w:rPr>
        <w:fldChar w:fldCharType="separate"/>
      </w:r>
      <w:r w:rsidR="00BE708B" w:rsidRPr="00BE708B">
        <w:rPr>
          <w:rFonts w:cs="Arial"/>
          <w:szCs w:val="24"/>
        </w:rPr>
        <w:t>(</w:t>
      </w:r>
      <w:r w:rsidR="00BE708B" w:rsidRPr="00BE708B">
        <w:rPr>
          <w:rFonts w:cs="Arial"/>
          <w:i/>
          <w:iCs/>
          <w:szCs w:val="24"/>
        </w:rPr>
        <w:t>Comprehensive Breakdown of How Much a Hybrid Event Costs</w:t>
      </w:r>
      <w:r w:rsidR="00BE708B" w:rsidRPr="00BE708B">
        <w:rPr>
          <w:rFonts w:cs="Arial"/>
          <w:szCs w:val="24"/>
        </w:rPr>
        <w:t>, 2021)</w:t>
      </w:r>
      <w:r w:rsidR="00BE708B">
        <w:rPr>
          <w:lang w:val="en-GB"/>
        </w:rPr>
        <w:fldChar w:fldCharType="end"/>
      </w:r>
      <w:r w:rsidR="00BE708B">
        <w:rPr>
          <w:lang w:val="en-GB"/>
        </w:rPr>
        <w:t>.</w:t>
      </w:r>
    </w:p>
    <w:p w14:paraId="370ADB91" w14:textId="024337F6" w:rsidR="00272F07" w:rsidRPr="00272F07" w:rsidRDefault="00272F07" w:rsidP="00C47C7E">
      <w:pPr>
        <w:numPr>
          <w:ilvl w:val="0"/>
          <w:numId w:val="4"/>
        </w:numPr>
        <w:jc w:val="both"/>
        <w:rPr>
          <w:lang w:val="en-GB"/>
        </w:rPr>
      </w:pPr>
      <w:r w:rsidRPr="00272F07">
        <w:rPr>
          <w:b/>
          <w:bCs/>
          <w:lang w:val="en-GB"/>
        </w:rPr>
        <w:t>Accessibility Staff (5 interpreters + guides</w:t>
      </w:r>
      <w:r w:rsidR="007476C0" w:rsidRPr="00547BC2">
        <w:rPr>
          <w:b/>
          <w:bCs/>
          <w:lang w:val="en-GB"/>
        </w:rPr>
        <w:t>):</w:t>
      </w:r>
      <w:r w:rsidR="00C47C7E">
        <w:rPr>
          <w:lang w:val="en-GB"/>
        </w:rPr>
        <w:t xml:space="preserve"> </w:t>
      </w:r>
      <w:r w:rsidR="00C47C7E" w:rsidRPr="00C47C7E">
        <w:rPr>
          <w:lang w:val="en-GB"/>
        </w:rPr>
        <w:t xml:space="preserve">Making sure everyone is included with real-time Mandarin, Hindi, and Korean translation and disability assistance. The summit prioritises accessibility and cultural relevance. </w:t>
      </w:r>
    </w:p>
    <w:p w14:paraId="39F92BE0" w14:textId="77777777" w:rsidR="00272F07" w:rsidRPr="00272F07" w:rsidRDefault="00272F07" w:rsidP="001C71A1">
      <w:pPr>
        <w:pStyle w:val="Heading3"/>
        <w:spacing w:line="360" w:lineRule="auto"/>
        <w:jc w:val="both"/>
        <w:rPr>
          <w:lang w:val="en-GB"/>
        </w:rPr>
      </w:pPr>
      <w:bookmarkStart w:id="6" w:name="_Toc191598375"/>
      <w:r w:rsidRPr="00272F07">
        <w:rPr>
          <w:lang w:val="en-GB"/>
        </w:rPr>
        <w:t>Operational Activities</w:t>
      </w:r>
      <w:bookmarkEnd w:id="6"/>
    </w:p>
    <w:p w14:paraId="2714F430" w14:textId="77777777" w:rsidR="00272F07" w:rsidRPr="00272F07" w:rsidRDefault="00272F07" w:rsidP="001C71A1">
      <w:pPr>
        <w:jc w:val="both"/>
        <w:rPr>
          <w:lang w:val="en-GB"/>
        </w:rPr>
      </w:pPr>
      <w:r w:rsidRPr="00272F07">
        <w:rPr>
          <w:lang w:val="en-GB"/>
        </w:rPr>
        <w:t>Operational success requires detailed workflows and contingency planning:</w:t>
      </w:r>
    </w:p>
    <w:p w14:paraId="69E897AC" w14:textId="35211E9F" w:rsidR="00272F07" w:rsidRPr="00272F07" w:rsidRDefault="00272F07" w:rsidP="001C71A1">
      <w:pPr>
        <w:numPr>
          <w:ilvl w:val="0"/>
          <w:numId w:val="5"/>
        </w:numPr>
        <w:jc w:val="both"/>
        <w:rPr>
          <w:lang w:val="en-GB"/>
        </w:rPr>
      </w:pPr>
      <w:r w:rsidRPr="00272F07">
        <w:rPr>
          <w:b/>
          <w:bCs/>
          <w:lang w:val="en-GB"/>
        </w:rPr>
        <w:t>Venue Logistics</w:t>
      </w:r>
      <w:r w:rsidRPr="00272F07">
        <w:rPr>
          <w:lang w:val="en-GB"/>
        </w:rPr>
        <w:t xml:space="preserve">: Cordis Hotel’s main ballroom (capacity: 600) and four breakout rooms will host keynotes, workshops, and networking sessions. Pre-configured rooms and halal/vegan catering options enhance attendee experience </w:t>
      </w:r>
      <w:r w:rsidR="00BE708B">
        <w:rPr>
          <w:lang w:val="en-GB"/>
        </w:rPr>
        <w:fldChar w:fldCharType="begin"/>
      </w:r>
      <w:r w:rsidR="00BE708B">
        <w:rPr>
          <w:lang w:val="en-GB"/>
        </w:rPr>
        <w:instrText xml:space="preserve"> ADDIN ZOTERO_ITEM CSL_CITATION {"citationID":"ph8ttE8F","properties":{"formattedCitation":"({\\i{}Corporate Meeting and Event Space | Cordis, Hong Kong}, 2020)","plainCitation":"(Corporate Meeting and Event Space | Cordis, Hong Kong, 2020)","noteIndex":0},"citationItems":[{"id":1134,"uris":["http://zotero.org/users/7363269/items/NUVRAXMK"],"itemData":{"id":1134,"type":"webpage","abstract":"Perfect for conference, meeting or private event, Cordis, Hong Kong offers 11 fully-equipped function rooms, with an average space of 1,452m2. Enquire now.","language":"en","title":"Corporate Meeting and Event Space | Cordis, Hong Kong","URL":"https://www.cordishotels.com/en/hong-kong/meetings-events/","accessed":{"date-parts":[["2025",2,3]]},"issued":{"date-parts":[["2020"]]}}}],"schema":"https://github.com/citation-style-language/schema/raw/master/csl-citation.json"} </w:instrText>
      </w:r>
      <w:r w:rsidR="00BE708B">
        <w:rPr>
          <w:lang w:val="en-GB"/>
        </w:rPr>
        <w:fldChar w:fldCharType="separate"/>
      </w:r>
      <w:r w:rsidR="00BE708B" w:rsidRPr="00BE708B">
        <w:rPr>
          <w:rFonts w:cs="Arial"/>
          <w:szCs w:val="24"/>
        </w:rPr>
        <w:t>(</w:t>
      </w:r>
      <w:r w:rsidR="00BE708B" w:rsidRPr="00BE708B">
        <w:rPr>
          <w:rFonts w:cs="Arial"/>
          <w:i/>
          <w:iCs/>
          <w:szCs w:val="24"/>
        </w:rPr>
        <w:t>Corporate Meeting and Event Space | Cordis, Hong Kong</w:t>
      </w:r>
      <w:r w:rsidR="00BE708B" w:rsidRPr="00BE708B">
        <w:rPr>
          <w:rFonts w:cs="Arial"/>
          <w:szCs w:val="24"/>
        </w:rPr>
        <w:t>, 2020)</w:t>
      </w:r>
      <w:r w:rsidR="00BE708B">
        <w:rPr>
          <w:lang w:val="en-GB"/>
        </w:rPr>
        <w:fldChar w:fldCharType="end"/>
      </w:r>
      <w:r w:rsidRPr="00272F07">
        <w:rPr>
          <w:lang w:val="en-GB"/>
        </w:rPr>
        <w:t>.</w:t>
      </w:r>
    </w:p>
    <w:p w14:paraId="1B0F9134" w14:textId="5C7BA908" w:rsidR="00272F07" w:rsidRPr="00272F07" w:rsidRDefault="00272F07" w:rsidP="00C06B51">
      <w:pPr>
        <w:numPr>
          <w:ilvl w:val="0"/>
          <w:numId w:val="5"/>
        </w:numPr>
        <w:jc w:val="both"/>
        <w:rPr>
          <w:lang w:val="en-GB"/>
        </w:rPr>
      </w:pPr>
      <w:r w:rsidRPr="00272F07">
        <w:rPr>
          <w:b/>
          <w:bCs/>
          <w:lang w:val="en-GB"/>
        </w:rPr>
        <w:t>Hybrid Accessibility</w:t>
      </w:r>
      <w:r w:rsidRPr="00272F07">
        <w:rPr>
          <w:lang w:val="en-GB"/>
        </w:rPr>
        <w:t xml:space="preserve">: </w:t>
      </w:r>
      <w:r w:rsidR="00C06B51" w:rsidRPr="00C06B51">
        <w:rPr>
          <w:lang w:val="en-GB"/>
        </w:rPr>
        <w:t xml:space="preserve">While artificial intelligence-driven analytics track involvement in real-time, sites like </w:t>
      </w:r>
      <w:proofErr w:type="spellStart"/>
      <w:r w:rsidR="00C06B51" w:rsidRPr="00C06B51">
        <w:rPr>
          <w:lang w:val="en-GB"/>
        </w:rPr>
        <w:t>Bizzabo</w:t>
      </w:r>
      <w:proofErr w:type="spellEnd"/>
      <w:r w:rsidR="00C06B51" w:rsidRPr="00C06B51">
        <w:rPr>
          <w:lang w:val="en-GB"/>
        </w:rPr>
        <w:t xml:space="preserve"> enable virtual participation. By providing tools including virtual event settings, Q&amp;A sessions, audience reactions, and AI-driven networking to produce more interesting and memorable events, </w:t>
      </w:r>
      <w:proofErr w:type="spellStart"/>
      <w:r w:rsidR="00C06B51" w:rsidRPr="00C06B51">
        <w:rPr>
          <w:lang w:val="en-GB"/>
        </w:rPr>
        <w:t>Bizzabo</w:t>
      </w:r>
      <w:proofErr w:type="spellEnd"/>
      <w:r w:rsidR="00C06B51" w:rsidRPr="00C06B51">
        <w:rPr>
          <w:lang w:val="en-GB"/>
        </w:rPr>
        <w:t xml:space="preserve"> improves virtual event experiences. Backup A/V systems and </w:t>
      </w:r>
      <w:proofErr w:type="spellStart"/>
      <w:r w:rsidR="00C06B51" w:rsidRPr="00C06B51">
        <w:rPr>
          <w:lang w:val="en-GB"/>
        </w:rPr>
        <w:t>Swapcard</w:t>
      </w:r>
      <w:proofErr w:type="spellEnd"/>
      <w:r w:rsidR="00C06B51" w:rsidRPr="00C06B51">
        <w:rPr>
          <w:lang w:val="en-GB"/>
        </w:rPr>
        <w:t xml:space="preserve"> mobile app capabilities help with networking, meeting scheduling, and event navigation, so enhancing the participants' smooth experience</w:t>
      </w:r>
      <w:r w:rsidR="00C06B51">
        <w:rPr>
          <w:lang w:val="en-GB"/>
        </w:rPr>
        <w:t xml:space="preserve">. </w:t>
      </w:r>
      <w:r w:rsidR="00BE708B">
        <w:rPr>
          <w:lang w:val="en-GB"/>
        </w:rPr>
        <w:fldChar w:fldCharType="begin"/>
      </w:r>
      <w:r w:rsidR="00BE708B">
        <w:rPr>
          <w:lang w:val="en-GB"/>
        </w:rPr>
        <w:instrText xml:space="preserve"> ADDIN ZOTERO_ITEM CSL_CITATION {"citationID":"zql7Mo8u","properties":{"formattedCitation":"(Maira, 2024; {\\i{}Bizzabo}, 2025)","plainCitation":"(Maira, 2024; Bizzabo, 2025)","noteIndex":0},"citationItems":[{"id":1184,"uris":["http://zotero.org/users/7363269/items/NWFNNV7P"],"itemData":{"id":1184,"type":"webpage","abstract":"Get comprehensive Swapcard review, including its features, pricing, and Swapcard alternatives, to successfully host an event.","language":"en-US","note":"section: Blog Posts","title":"Swapcard Review: A Look at Features, Pricing, Alternatives &amp; More - vFairs.com","title-short":"Swapcard Review","URL":"https://www.vfairs.com/blog/swapcard-review/","author":[{"family":"Maira","given":""}],"accessed":{"date-parts":[["2025",2,27]]},"issued":{"date-parts":[["2024",7,1]]}}},{"id":1160,"uris":["http://zotero.org/users/7363269/items/G5QBQYLX"],"itemData":{"id":1160,"type":"webpage","title":"Bizzabo","URL":"https://www.bizzabo.com/","accessed":{"date-parts":[["2025",2,6]]},"issued":{"date-parts":[["2025"]]}}}],"schema":"https://github.com/citation-style-language/schema/raw/master/csl-citation.json"} </w:instrText>
      </w:r>
      <w:r w:rsidR="00BE708B">
        <w:rPr>
          <w:lang w:val="en-GB"/>
        </w:rPr>
        <w:fldChar w:fldCharType="separate"/>
      </w:r>
      <w:r w:rsidR="00BE708B" w:rsidRPr="00BE708B">
        <w:rPr>
          <w:rFonts w:cs="Arial"/>
          <w:szCs w:val="24"/>
        </w:rPr>
        <w:t xml:space="preserve">(Maira, 2024; </w:t>
      </w:r>
      <w:r w:rsidR="00BE708B" w:rsidRPr="00BE708B">
        <w:rPr>
          <w:rFonts w:cs="Arial"/>
          <w:i/>
          <w:iCs/>
          <w:szCs w:val="24"/>
        </w:rPr>
        <w:t>Bizzabo</w:t>
      </w:r>
      <w:r w:rsidR="00BE708B" w:rsidRPr="00BE708B">
        <w:rPr>
          <w:rFonts w:cs="Arial"/>
          <w:szCs w:val="24"/>
        </w:rPr>
        <w:t>, 2025)</w:t>
      </w:r>
      <w:r w:rsidR="00BE708B">
        <w:rPr>
          <w:lang w:val="en-GB"/>
        </w:rPr>
        <w:fldChar w:fldCharType="end"/>
      </w:r>
      <w:r w:rsidR="00BE708B">
        <w:rPr>
          <w:lang w:val="en-GB"/>
        </w:rPr>
        <w:t>.</w:t>
      </w:r>
    </w:p>
    <w:p w14:paraId="3F424B10" w14:textId="76406FA7" w:rsidR="00272F07" w:rsidRPr="00272F07" w:rsidRDefault="00272F07" w:rsidP="001C71A1">
      <w:pPr>
        <w:numPr>
          <w:ilvl w:val="0"/>
          <w:numId w:val="5"/>
        </w:numPr>
        <w:jc w:val="both"/>
        <w:rPr>
          <w:lang w:val="en-GB"/>
        </w:rPr>
      </w:pPr>
      <w:r w:rsidRPr="00272F07">
        <w:rPr>
          <w:b/>
          <w:bCs/>
          <w:lang w:val="en-GB"/>
        </w:rPr>
        <w:t>Sustainability Practices</w:t>
      </w:r>
      <w:r w:rsidRPr="00272F07">
        <w:rPr>
          <w:lang w:val="en-GB"/>
        </w:rPr>
        <w:t xml:space="preserve">: Cordis Hotel’s “Green Meetings” program integrates carbon offsetting and zero-waste catering, aligning with global sustainability trends </w:t>
      </w:r>
      <w:r w:rsidR="00BE708B">
        <w:rPr>
          <w:lang w:val="en-GB"/>
        </w:rPr>
        <w:fldChar w:fldCharType="begin"/>
      </w:r>
      <w:r w:rsidR="00BE708B">
        <w:rPr>
          <w:lang w:val="en-GB"/>
        </w:rPr>
        <w:instrText xml:space="preserve"> ADDIN ZOTERO_ITEM CSL_CITATION {"citationID":"Otp4SsrI","properties":{"formattedCitation":"(Enderes, 2021; {\\i{}Cordis Hong Kong \\uc0\\u160{}\\uc0\\u183{} Langham Hospitality Investment Limited}, [no date])","plainCitation":"(Enderes, 2021; Cordis Hong Kong  · Langham Hospitality Investment Limited, [no date])","noteIndex":0},"citationItems":[{"id":1161,"uris":["http://zotero.org/users/7363269/items/NJSIPQBH"],"itemData":{"id":1161,"type":"webpage","abstract":"Why do most diversity and inclusion programs underperform? In this new research, we uncover what really works.","container-title":"JOSH BERSIN","language":"en-US","title":"Elevating Equity and Diversity: The Challenge Of The Decade","title-short":"Elevating Equity and Diversity","URL":"https://joshbersin.com/2021/02/elevating-equity-and-diversity-the-challenge-of-the-decade/","author":[{"family":"Enderes","given":"Bersin"}],"accessed":{"date-parts":[["2025",2,27]]},"issued":{"date-parts":[["2021",2,11]]}}},{"id":1148,"uris":["http://zotero.org/users/7363269/items/JWMJM8VH"],"itemData":{"id":1148,"type":"webpage","abstract":"CORDIS, HONG KONG","title":"Cordis Hong Kong  · Langham Hospitality Investment Limited","URL":"https://www.langhamhospitality.com/en-US/Investments/Cordis-Hong-Kong/","accessed":{"date-parts":[["2025",2,3]]}}}],"schema":"https://github.com/citation-style-language/schema/raw/master/csl-citation.json"} </w:instrText>
      </w:r>
      <w:r w:rsidR="00BE708B">
        <w:rPr>
          <w:lang w:val="en-GB"/>
        </w:rPr>
        <w:fldChar w:fldCharType="separate"/>
      </w:r>
      <w:r w:rsidR="00BE708B" w:rsidRPr="00BE708B">
        <w:rPr>
          <w:rFonts w:cs="Arial"/>
          <w:szCs w:val="24"/>
        </w:rPr>
        <w:t>(</w:t>
      </w:r>
      <w:r w:rsidR="00BE708B" w:rsidRPr="00BE708B">
        <w:rPr>
          <w:rFonts w:cs="Arial"/>
          <w:i/>
          <w:iCs/>
          <w:szCs w:val="24"/>
        </w:rPr>
        <w:t>Cordis Hong Kong  · Langham Hospitality Investment Limited</w:t>
      </w:r>
      <w:r w:rsidR="00BE708B" w:rsidRPr="00BE708B">
        <w:rPr>
          <w:rFonts w:cs="Arial"/>
          <w:szCs w:val="24"/>
        </w:rPr>
        <w:t>, [no date])</w:t>
      </w:r>
      <w:r w:rsidR="00BE708B">
        <w:rPr>
          <w:lang w:val="en-GB"/>
        </w:rPr>
        <w:fldChar w:fldCharType="end"/>
      </w:r>
      <w:r w:rsidRPr="00272F07">
        <w:rPr>
          <w:lang w:val="en-GB"/>
        </w:rPr>
        <w:t>.</w:t>
      </w:r>
    </w:p>
    <w:p w14:paraId="6D46701D" w14:textId="77777777" w:rsidR="00272F07" w:rsidRPr="00272F07" w:rsidRDefault="00272F07" w:rsidP="001C71A1">
      <w:pPr>
        <w:pStyle w:val="Heading3"/>
        <w:spacing w:line="360" w:lineRule="auto"/>
        <w:jc w:val="both"/>
        <w:rPr>
          <w:lang w:val="en-GB"/>
        </w:rPr>
      </w:pPr>
      <w:bookmarkStart w:id="7" w:name="_Toc191598376"/>
      <w:r w:rsidRPr="00272F07">
        <w:rPr>
          <w:lang w:val="en-GB"/>
        </w:rPr>
        <w:t>Planning Activities</w:t>
      </w:r>
      <w:bookmarkEnd w:id="7"/>
    </w:p>
    <w:p w14:paraId="4247F76E" w14:textId="77777777" w:rsidR="00272F07" w:rsidRPr="00272F07" w:rsidRDefault="00272F07" w:rsidP="001C71A1">
      <w:pPr>
        <w:jc w:val="both"/>
        <w:rPr>
          <w:lang w:val="en-GB"/>
        </w:rPr>
      </w:pPr>
      <w:r w:rsidRPr="00272F07">
        <w:rPr>
          <w:lang w:val="en-GB"/>
        </w:rPr>
        <w:t>Planning involves resource allocation, timeline development, and risk management:</w:t>
      </w:r>
    </w:p>
    <w:p w14:paraId="5DEC0A34" w14:textId="4177FDE0" w:rsidR="00272F07" w:rsidRPr="00272F07" w:rsidRDefault="00272F07" w:rsidP="001C71A1">
      <w:pPr>
        <w:numPr>
          <w:ilvl w:val="0"/>
          <w:numId w:val="6"/>
        </w:numPr>
        <w:jc w:val="both"/>
        <w:rPr>
          <w:lang w:val="en-GB"/>
        </w:rPr>
      </w:pPr>
      <w:r w:rsidRPr="00272F07">
        <w:rPr>
          <w:b/>
          <w:bCs/>
          <w:lang w:val="en-GB"/>
        </w:rPr>
        <w:t xml:space="preserve">Budget </w:t>
      </w:r>
      <w:r w:rsidR="00AA57C1" w:rsidRPr="00272F07">
        <w:rPr>
          <w:b/>
          <w:bCs/>
          <w:lang w:val="en-GB"/>
        </w:rPr>
        <w:t>Allocation:</w:t>
      </w:r>
      <w:r w:rsidRPr="00272F07">
        <w:rPr>
          <w:lang w:val="en-GB"/>
        </w:rPr>
        <w:t xml:space="preserve"> 40% to venue/logistics, 30% to DEI programming, 20% to hybrid technology, and 10% to marketing/accessibility </w:t>
      </w:r>
      <w:r w:rsidR="00BE708B">
        <w:rPr>
          <w:lang w:val="en-GB"/>
        </w:rPr>
        <w:fldChar w:fldCharType="begin"/>
      </w:r>
      <w:r w:rsidR="00BE708B">
        <w:rPr>
          <w:lang w:val="en-GB"/>
        </w:rPr>
        <w:instrText xml:space="preserve"> ADDIN ZOTERO_ITEM CSL_CITATION {"citationID":"tY1hRxFC","properties":{"formattedCitation":"(Stefanic, 2024)","plainCitation":"(Stefanic, 2024)","noteIndex":0},"citationItems":[{"id":1140,"uris":["http://zotero.org/users/7363269/items/JJZRPUXH"],"itemData":{"id":1140,"type":"post-weblog","abstract":"Explore the intricacies of diversity training cost in the USA to plan your budget for impactful inclusion initiatives. Get key pricing insights here.","container-title":"Hyperspaceᵐᵛ - the metaverse for business platform","language":"en-US","title":"Understanding Diversity Training Cost in the USA","URL":"https://hyperspace.mv/understanding-diversity-training-cost-in-the-usa/","author":[{"family":"Stefanic","given":"Danny"}],"accessed":{"date-parts":[["2025",2,3]]},"issued":{"date-parts":[["2024",8,16]]}}}],"schema":"https://github.com/citation-style-language/schema/raw/master/csl-citation.json"} </w:instrText>
      </w:r>
      <w:r w:rsidR="00BE708B">
        <w:rPr>
          <w:lang w:val="en-GB"/>
        </w:rPr>
        <w:fldChar w:fldCharType="separate"/>
      </w:r>
      <w:r w:rsidR="00BE708B" w:rsidRPr="00BE708B">
        <w:rPr>
          <w:rFonts w:cs="Arial"/>
        </w:rPr>
        <w:t>(Stefanic, 2024)</w:t>
      </w:r>
      <w:r w:rsidR="00BE708B">
        <w:rPr>
          <w:lang w:val="en-GB"/>
        </w:rPr>
        <w:fldChar w:fldCharType="end"/>
      </w:r>
      <w:r w:rsidRPr="00272F07">
        <w:rPr>
          <w:lang w:val="en-GB"/>
        </w:rPr>
        <w:t>.</w:t>
      </w:r>
    </w:p>
    <w:p w14:paraId="7E53B073" w14:textId="77777777" w:rsidR="00272F07" w:rsidRPr="00272F07" w:rsidRDefault="00272F07" w:rsidP="001C71A1">
      <w:pPr>
        <w:pStyle w:val="Heading3"/>
        <w:spacing w:line="360" w:lineRule="auto"/>
        <w:jc w:val="both"/>
        <w:rPr>
          <w:lang w:val="en-GB"/>
        </w:rPr>
      </w:pPr>
      <w:bookmarkStart w:id="8" w:name="_Toc191598377"/>
      <w:r w:rsidRPr="00272F07">
        <w:rPr>
          <w:lang w:val="en-GB"/>
        </w:rPr>
        <w:t>Marketing Activities</w:t>
      </w:r>
      <w:bookmarkEnd w:id="8"/>
    </w:p>
    <w:p w14:paraId="6BA525C2" w14:textId="77777777" w:rsidR="00272F07" w:rsidRPr="00272F07" w:rsidRDefault="00272F07" w:rsidP="001C71A1">
      <w:pPr>
        <w:jc w:val="both"/>
        <w:rPr>
          <w:lang w:val="en-GB"/>
        </w:rPr>
      </w:pPr>
      <w:r w:rsidRPr="00272F07">
        <w:rPr>
          <w:lang w:val="en-GB"/>
        </w:rPr>
        <w:t>Marketing strategies focus on maximizing reach and engagement:</w:t>
      </w:r>
    </w:p>
    <w:p w14:paraId="39A67897" w14:textId="66D7071D" w:rsidR="00272F07" w:rsidRPr="00272F07" w:rsidRDefault="00C91E0E" w:rsidP="001C71A1">
      <w:pPr>
        <w:numPr>
          <w:ilvl w:val="0"/>
          <w:numId w:val="7"/>
        </w:numPr>
        <w:jc w:val="both"/>
        <w:rPr>
          <w:lang w:val="en-GB"/>
        </w:rPr>
      </w:pPr>
      <w:r w:rsidRPr="00272F07">
        <w:rPr>
          <w:b/>
          <w:bCs/>
          <w:lang w:val="en-GB"/>
        </w:rPr>
        <w:t>Partnerships:</w:t>
      </w:r>
      <w:r w:rsidR="00272F07" w:rsidRPr="00272F07">
        <w:rPr>
          <w:lang w:val="en-GB"/>
        </w:rPr>
        <w:t xml:space="preserve"> Collaborations with organizations like UN Women APAC and Catalyst Asia amplify credibility and outreach </w:t>
      </w:r>
      <w:r w:rsidR="00BE708B">
        <w:rPr>
          <w:lang w:val="en-GB"/>
        </w:rPr>
        <w:fldChar w:fldCharType="begin"/>
      </w:r>
      <w:r w:rsidR="00BE708B">
        <w:rPr>
          <w:lang w:val="en-GB"/>
        </w:rPr>
        <w:instrText xml:space="preserve"> ADDIN ZOTERO_ITEM CSL_CITATION {"citationID":"74FZJyYq","properties":{"formattedCitation":"(Enderes, 2021)","plainCitation":"(Enderes, 2021)","noteIndex":0},"citationItems":[{"id":1161,"uris":["http://zotero.org/users/7363269/items/NJSIPQBH"],"itemData":{"id":1161,"type":"webpage","abstract":"Why do most diversity and inclusion programs underperform? In this new research, we uncover what really works.","container-title":"JOSH BERSIN","language":"en-US","title":"Elevating Equity and Diversity: The Challenge Of The Decade","title-short":"Elevating Equity and Diversity","URL":"https://joshbersin.com/2021/02/elevating-equity-and-diversity-the-challenge-of-the-decade/","author":[{"family":"Enderes","given":"Bersin"}],"accessed":{"date-parts":[["2025",2,27]]},"issued":{"date-parts":[["2021",2,11]]}}}],"schema":"https://github.com/citation-style-language/schema/raw/master/csl-citation.json"} </w:instrText>
      </w:r>
      <w:r w:rsidR="00BE708B">
        <w:rPr>
          <w:lang w:val="en-GB"/>
        </w:rPr>
        <w:fldChar w:fldCharType="separate"/>
      </w:r>
      <w:r w:rsidR="00BE708B" w:rsidRPr="00BE708B">
        <w:rPr>
          <w:rFonts w:cs="Arial"/>
        </w:rPr>
        <w:t>(Enderes, 2021)</w:t>
      </w:r>
      <w:r w:rsidR="00BE708B">
        <w:rPr>
          <w:lang w:val="en-GB"/>
        </w:rPr>
        <w:fldChar w:fldCharType="end"/>
      </w:r>
      <w:r w:rsidR="00BE708B">
        <w:rPr>
          <w:lang w:val="en-GB"/>
        </w:rPr>
        <w:t>.</w:t>
      </w:r>
    </w:p>
    <w:p w14:paraId="426D0F19" w14:textId="478A79A7" w:rsidR="00272F07" w:rsidRPr="00272F07" w:rsidRDefault="00272F07" w:rsidP="001C71A1">
      <w:pPr>
        <w:numPr>
          <w:ilvl w:val="0"/>
          <w:numId w:val="7"/>
        </w:numPr>
        <w:jc w:val="both"/>
        <w:rPr>
          <w:lang w:val="en-GB"/>
        </w:rPr>
      </w:pPr>
      <w:r w:rsidRPr="00272F07">
        <w:rPr>
          <w:b/>
          <w:bCs/>
          <w:lang w:val="en-GB"/>
        </w:rPr>
        <w:t xml:space="preserve">Early-Bird </w:t>
      </w:r>
      <w:r w:rsidR="00C91E0E" w:rsidRPr="00272F07">
        <w:rPr>
          <w:b/>
          <w:bCs/>
          <w:lang w:val="en-GB"/>
        </w:rPr>
        <w:t>Discounts:</w:t>
      </w:r>
      <w:r w:rsidRPr="00272F07">
        <w:rPr>
          <w:lang w:val="en-GB"/>
        </w:rPr>
        <w:t xml:space="preserve"> 20% off for registrations before February 2025 incentivizes early commitments.</w:t>
      </w:r>
    </w:p>
    <w:p w14:paraId="6CE90E8B" w14:textId="470818B0" w:rsidR="00272F07" w:rsidRPr="00272F07" w:rsidRDefault="00272F07" w:rsidP="001C71A1">
      <w:pPr>
        <w:numPr>
          <w:ilvl w:val="0"/>
          <w:numId w:val="7"/>
        </w:numPr>
        <w:jc w:val="both"/>
        <w:rPr>
          <w:lang w:val="en-GB"/>
        </w:rPr>
      </w:pPr>
      <w:r w:rsidRPr="00272F07">
        <w:rPr>
          <w:b/>
          <w:bCs/>
          <w:lang w:val="en-GB"/>
        </w:rPr>
        <w:t xml:space="preserve">Tiered </w:t>
      </w:r>
      <w:r w:rsidR="00C91E0E" w:rsidRPr="00272F07">
        <w:rPr>
          <w:b/>
          <w:bCs/>
          <w:lang w:val="en-GB"/>
        </w:rPr>
        <w:t>Pricing:</w:t>
      </w:r>
      <w:r w:rsidRPr="00272F07">
        <w:rPr>
          <w:lang w:val="en-GB"/>
        </w:rPr>
        <w:t xml:space="preserve"> Group discounts (10% for 5+ registrations) encourage corporate participation.</w:t>
      </w:r>
    </w:p>
    <w:p w14:paraId="5AAB7C54" w14:textId="4612239B" w:rsidR="002F6D8D" w:rsidRPr="00693ECC" w:rsidRDefault="00272F07" w:rsidP="002F6D8D">
      <w:pPr>
        <w:numPr>
          <w:ilvl w:val="0"/>
          <w:numId w:val="7"/>
        </w:numPr>
        <w:jc w:val="both"/>
        <w:rPr>
          <w:lang w:val="en-GB"/>
        </w:rPr>
      </w:pPr>
      <w:r w:rsidRPr="00272F07">
        <w:rPr>
          <w:b/>
          <w:bCs/>
          <w:lang w:val="en-GB"/>
        </w:rPr>
        <w:t xml:space="preserve">Digital </w:t>
      </w:r>
      <w:r w:rsidR="00C91E0E" w:rsidRPr="00272F07">
        <w:rPr>
          <w:b/>
          <w:bCs/>
          <w:lang w:val="en-GB"/>
        </w:rPr>
        <w:t>Campaigns:</w:t>
      </w:r>
      <w:r w:rsidRPr="00272F07">
        <w:rPr>
          <w:lang w:val="en-GB"/>
        </w:rPr>
        <w:t xml:space="preserve"> </w:t>
      </w:r>
      <w:r w:rsidR="00693ECC" w:rsidRPr="00693ECC">
        <w:rPr>
          <w:lang w:val="en-GB"/>
        </w:rPr>
        <w:t xml:space="preserve">Social media, email, and industry journals reach 500+ Asia-Pacific companies and policymakers. </w:t>
      </w:r>
    </w:p>
    <w:p w14:paraId="7FCD9527" w14:textId="77777777" w:rsidR="002F6D8D" w:rsidRDefault="002F6D8D" w:rsidP="002F6D8D"/>
    <w:p w14:paraId="258E81B6" w14:textId="77777777" w:rsidR="008B2ED5" w:rsidRDefault="008B2ED5">
      <w:pPr>
        <w:spacing w:after="200" w:line="276" w:lineRule="auto"/>
      </w:pPr>
      <w:r>
        <w:br w:type="page"/>
      </w:r>
    </w:p>
    <w:p w14:paraId="0CDFF5ED" w14:textId="39903FE9" w:rsidR="002F6D8D" w:rsidRDefault="002F6D8D" w:rsidP="002F6D8D">
      <w:bookmarkStart w:id="9" w:name="_Toc191598378"/>
      <w:r w:rsidRPr="004D6407">
        <w:rPr>
          <w:rStyle w:val="Heading2Char"/>
          <w:rFonts w:eastAsiaTheme="minorEastAsia"/>
        </w:rPr>
        <w:t>Event Budget</w:t>
      </w:r>
      <w:bookmarkEnd w:id="9"/>
    </w:p>
    <w:p w14:paraId="1A9ED7EC" w14:textId="63DA8D31" w:rsidR="0070140E" w:rsidRPr="00631F9B" w:rsidRDefault="00045CBB">
      <w:r w:rsidRPr="00631F9B">
        <w:t>Below is a detailed breakdown of income and expenditure, along with an analysis of costs, funding sources, and income generation strategies.</w:t>
      </w:r>
    </w:p>
    <w:tbl>
      <w:tblPr>
        <w:tblStyle w:val="MediumShading2-Accent5"/>
        <w:tblW w:w="4846" w:type="pct"/>
        <w:tblLook w:val="0660" w:firstRow="1" w:lastRow="1" w:firstColumn="0" w:lastColumn="0" w:noHBand="1" w:noVBand="1"/>
      </w:tblPr>
      <w:tblGrid>
        <w:gridCol w:w="3330"/>
        <w:gridCol w:w="3151"/>
        <w:gridCol w:w="3149"/>
      </w:tblGrid>
      <w:tr w:rsidR="005B6206" w14:paraId="011445AD" w14:textId="77777777" w:rsidTr="00674BD4">
        <w:trPr>
          <w:cnfStyle w:val="100000000000" w:firstRow="1" w:lastRow="0" w:firstColumn="0" w:lastColumn="0" w:oddVBand="0" w:evenVBand="0" w:oddHBand="0" w:evenHBand="0" w:firstRowFirstColumn="0" w:firstRowLastColumn="0" w:lastRowFirstColumn="0" w:lastRowLastColumn="0"/>
        </w:trPr>
        <w:tc>
          <w:tcPr>
            <w:tcW w:w="1729" w:type="pct"/>
            <w:noWrap/>
          </w:tcPr>
          <w:p w14:paraId="5ACE3247" w14:textId="15A3C107" w:rsidR="005B6206" w:rsidRDefault="00674BD4">
            <w:r>
              <w:t>Category</w:t>
            </w:r>
          </w:p>
        </w:tc>
        <w:tc>
          <w:tcPr>
            <w:tcW w:w="1636" w:type="pct"/>
          </w:tcPr>
          <w:p w14:paraId="46EAA26A" w14:textId="2C885AC7" w:rsidR="005B6206" w:rsidRDefault="00674BD4" w:rsidP="005B6206">
            <w:pPr>
              <w:jc w:val="center"/>
            </w:pPr>
            <w:r>
              <w:t>Estimated Cost</w:t>
            </w:r>
          </w:p>
        </w:tc>
        <w:tc>
          <w:tcPr>
            <w:tcW w:w="1635" w:type="pct"/>
          </w:tcPr>
          <w:p w14:paraId="3265A914" w14:textId="5661C913" w:rsidR="005B6206" w:rsidRDefault="00674BD4" w:rsidP="005B6206">
            <w:pPr>
              <w:jc w:val="center"/>
            </w:pPr>
            <w:r>
              <w:t>Percentage of Total Budget</w:t>
            </w:r>
          </w:p>
        </w:tc>
      </w:tr>
      <w:tr w:rsidR="005B6206" w14:paraId="782F237A" w14:textId="77777777" w:rsidTr="00674BD4">
        <w:tc>
          <w:tcPr>
            <w:tcW w:w="1729" w:type="pct"/>
            <w:noWrap/>
            <w:vAlign w:val="bottom"/>
          </w:tcPr>
          <w:p w14:paraId="01C1B66C" w14:textId="385C0B55" w:rsidR="005B6206" w:rsidRPr="00F728C8" w:rsidRDefault="005B6206" w:rsidP="00E7576F">
            <w:pPr>
              <w:rPr>
                <w:rFonts w:cs="Arial"/>
                <w:b/>
                <w:bCs/>
              </w:rPr>
            </w:pPr>
            <w:r w:rsidRPr="00F728C8">
              <w:rPr>
                <w:rFonts w:cs="Arial"/>
                <w:b/>
                <w:bCs/>
                <w:color w:val="B50745" w:themeColor="accent4"/>
              </w:rPr>
              <w:t>Expenditure</w:t>
            </w:r>
          </w:p>
        </w:tc>
        <w:tc>
          <w:tcPr>
            <w:tcW w:w="1636" w:type="pct"/>
          </w:tcPr>
          <w:p w14:paraId="6D743A1B" w14:textId="77777777" w:rsidR="005B6206" w:rsidRDefault="005B6206" w:rsidP="005B6206">
            <w:pPr>
              <w:jc w:val="center"/>
            </w:pPr>
          </w:p>
        </w:tc>
        <w:tc>
          <w:tcPr>
            <w:tcW w:w="1635" w:type="pct"/>
          </w:tcPr>
          <w:p w14:paraId="1EE5FD32" w14:textId="77777777" w:rsidR="005B6206" w:rsidRDefault="005B6206" w:rsidP="000F3D95">
            <w:pPr>
              <w:jc w:val="center"/>
            </w:pPr>
          </w:p>
        </w:tc>
      </w:tr>
      <w:tr w:rsidR="005B6206" w14:paraId="5722E5CB" w14:textId="77777777" w:rsidTr="00674BD4">
        <w:tc>
          <w:tcPr>
            <w:tcW w:w="1729" w:type="pct"/>
            <w:noWrap/>
            <w:vAlign w:val="bottom"/>
          </w:tcPr>
          <w:p w14:paraId="437107FD" w14:textId="298E8058" w:rsidR="005B6206" w:rsidRPr="00E7576F" w:rsidRDefault="005B6206" w:rsidP="00420D01">
            <w:pPr>
              <w:rPr>
                <w:rFonts w:cs="Arial"/>
              </w:rPr>
            </w:pPr>
            <w:r w:rsidRPr="00E7576F">
              <w:rPr>
                <w:rFonts w:cs="Arial"/>
                <w:color w:val="000000"/>
              </w:rPr>
              <w:t>DEI Programming</w:t>
            </w:r>
          </w:p>
        </w:tc>
        <w:tc>
          <w:tcPr>
            <w:tcW w:w="1636" w:type="pct"/>
            <w:vAlign w:val="bottom"/>
          </w:tcPr>
          <w:p w14:paraId="2641D8BB" w14:textId="1DB2773D" w:rsidR="005B6206" w:rsidRDefault="005B6206" w:rsidP="005B6206">
            <w:pPr>
              <w:pStyle w:val="DecimalAligned"/>
              <w:jc w:val="center"/>
            </w:pPr>
            <w:r>
              <w:rPr>
                <w:rFonts w:ascii="Aptos Narrow" w:hAnsi="Aptos Narrow"/>
                <w:color w:val="000000"/>
              </w:rPr>
              <w:t>$60,000-</w:t>
            </w:r>
            <w:r w:rsidRPr="005B6206">
              <w:rPr>
                <w:rFonts w:ascii="Aptos Narrow" w:hAnsi="Aptos Narrow"/>
                <w:color w:val="000000"/>
                <w:lang w:val="en-US"/>
              </w:rPr>
              <w:t>$</w:t>
            </w:r>
            <w:r>
              <w:rPr>
                <w:rFonts w:ascii="Aptos Narrow" w:hAnsi="Aptos Narrow"/>
                <w:color w:val="000000"/>
                <w:lang w:val="en-US"/>
              </w:rPr>
              <w:t>8</w:t>
            </w:r>
            <w:r w:rsidRPr="005B6206">
              <w:rPr>
                <w:rFonts w:ascii="Aptos Narrow" w:hAnsi="Aptos Narrow"/>
                <w:color w:val="000000"/>
                <w:lang w:val="en-US"/>
              </w:rPr>
              <w:t>0,000</w:t>
            </w:r>
          </w:p>
        </w:tc>
        <w:tc>
          <w:tcPr>
            <w:tcW w:w="1635" w:type="pct"/>
          </w:tcPr>
          <w:p w14:paraId="47245021" w14:textId="2B19841E" w:rsidR="005B6206" w:rsidRDefault="002E59CD" w:rsidP="000F3D95">
            <w:pPr>
              <w:pStyle w:val="DecimalAligned"/>
              <w:jc w:val="center"/>
            </w:pPr>
            <w:r w:rsidRPr="002E59CD">
              <w:rPr>
                <w:lang w:val="en-US"/>
              </w:rPr>
              <w:t>39%</w:t>
            </w:r>
          </w:p>
        </w:tc>
      </w:tr>
      <w:tr w:rsidR="005B6206" w14:paraId="59D99E7A" w14:textId="77777777" w:rsidTr="00674BD4">
        <w:tc>
          <w:tcPr>
            <w:tcW w:w="1729" w:type="pct"/>
            <w:noWrap/>
            <w:vAlign w:val="bottom"/>
          </w:tcPr>
          <w:p w14:paraId="70D6747C" w14:textId="2493704E" w:rsidR="005B6206" w:rsidRPr="00E7576F" w:rsidRDefault="005B6206" w:rsidP="00420D01">
            <w:pPr>
              <w:rPr>
                <w:rFonts w:cs="Arial"/>
              </w:rPr>
            </w:pPr>
            <w:r w:rsidRPr="00E7576F">
              <w:rPr>
                <w:rFonts w:cs="Arial"/>
                <w:color w:val="000000"/>
              </w:rPr>
              <w:t>Venue &amp;amp; Logistics</w:t>
            </w:r>
          </w:p>
        </w:tc>
        <w:tc>
          <w:tcPr>
            <w:tcW w:w="1636" w:type="pct"/>
            <w:vAlign w:val="bottom"/>
          </w:tcPr>
          <w:p w14:paraId="1BFAD1DC" w14:textId="37557785" w:rsidR="005B6206" w:rsidRDefault="005B6206" w:rsidP="005B6206">
            <w:pPr>
              <w:pStyle w:val="DecimalAligned"/>
              <w:jc w:val="center"/>
            </w:pPr>
            <w:r w:rsidRPr="005B6206">
              <w:rPr>
                <w:rFonts w:ascii="Aptos Narrow" w:hAnsi="Aptos Narrow"/>
                <w:color w:val="000000"/>
                <w:lang w:val="en-US"/>
              </w:rPr>
              <w:t>$50,000–$70,000</w:t>
            </w:r>
          </w:p>
        </w:tc>
        <w:tc>
          <w:tcPr>
            <w:tcW w:w="1635" w:type="pct"/>
          </w:tcPr>
          <w:p w14:paraId="0051B6AC" w14:textId="7703DA87" w:rsidR="005B6206" w:rsidRPr="002E59CD" w:rsidRDefault="000F3D95" w:rsidP="000F3D95">
            <w:pPr>
              <w:spacing w:line="240" w:lineRule="auto"/>
              <w:jc w:val="center"/>
              <w:rPr>
                <w:rFonts w:eastAsia="Times New Roman" w:cs="Arial"/>
                <w:sz w:val="21"/>
                <w:szCs w:val="21"/>
              </w:rPr>
            </w:pPr>
            <w:r>
              <w:rPr>
                <w:rFonts w:cs="Arial"/>
                <w:sz w:val="21"/>
                <w:szCs w:val="21"/>
              </w:rPr>
              <w:t xml:space="preserve">   </w:t>
            </w:r>
            <w:r w:rsidR="002E59CD">
              <w:rPr>
                <w:rFonts w:cs="Arial"/>
                <w:sz w:val="21"/>
                <w:szCs w:val="21"/>
              </w:rPr>
              <w:t>33%</w:t>
            </w:r>
          </w:p>
        </w:tc>
      </w:tr>
      <w:tr w:rsidR="005B6206" w14:paraId="2A972FB1" w14:textId="77777777" w:rsidTr="00674BD4">
        <w:tc>
          <w:tcPr>
            <w:tcW w:w="1729" w:type="pct"/>
            <w:noWrap/>
            <w:vAlign w:val="bottom"/>
          </w:tcPr>
          <w:p w14:paraId="0CA19ECB" w14:textId="38B3249B" w:rsidR="005B6206" w:rsidRPr="00E7576F" w:rsidRDefault="005B6206" w:rsidP="00420D01">
            <w:pPr>
              <w:rPr>
                <w:rFonts w:cs="Arial"/>
              </w:rPr>
            </w:pPr>
            <w:r w:rsidRPr="00E7576F">
              <w:rPr>
                <w:rFonts w:cs="Arial"/>
                <w:color w:val="000000"/>
              </w:rPr>
              <w:t>Hybrid Technology</w:t>
            </w:r>
          </w:p>
        </w:tc>
        <w:tc>
          <w:tcPr>
            <w:tcW w:w="1636" w:type="pct"/>
            <w:vAlign w:val="bottom"/>
          </w:tcPr>
          <w:p w14:paraId="7EFE8C36" w14:textId="4AC64886" w:rsidR="005B6206" w:rsidRDefault="0090022C" w:rsidP="005B6206">
            <w:pPr>
              <w:pStyle w:val="DecimalAligned"/>
              <w:jc w:val="center"/>
            </w:pPr>
            <w:r w:rsidRPr="0090022C">
              <w:rPr>
                <w:rFonts w:ascii="Aptos Narrow" w:hAnsi="Aptos Narrow"/>
                <w:color w:val="000000"/>
                <w:lang w:val="en-US"/>
              </w:rPr>
              <w:t>$20,000–$30,000</w:t>
            </w:r>
          </w:p>
        </w:tc>
        <w:tc>
          <w:tcPr>
            <w:tcW w:w="1635" w:type="pct"/>
          </w:tcPr>
          <w:p w14:paraId="0655F4A6" w14:textId="5A309A59" w:rsidR="005B6206" w:rsidRDefault="00B54206" w:rsidP="000F3D95">
            <w:pPr>
              <w:pStyle w:val="DecimalAligned"/>
              <w:jc w:val="center"/>
            </w:pPr>
            <w:r w:rsidRPr="00B54206">
              <w:rPr>
                <w:lang w:val="en-US"/>
              </w:rPr>
              <w:t>13%</w:t>
            </w:r>
          </w:p>
        </w:tc>
      </w:tr>
      <w:tr w:rsidR="005B6206" w14:paraId="7F1D3F43" w14:textId="77777777" w:rsidTr="00674BD4">
        <w:tc>
          <w:tcPr>
            <w:tcW w:w="1729" w:type="pct"/>
            <w:noWrap/>
            <w:vAlign w:val="bottom"/>
          </w:tcPr>
          <w:p w14:paraId="050D534D" w14:textId="752A426C" w:rsidR="005B6206" w:rsidRPr="00E7576F" w:rsidRDefault="005B6206" w:rsidP="00420D01">
            <w:pPr>
              <w:rPr>
                <w:rFonts w:cs="Arial"/>
              </w:rPr>
            </w:pPr>
            <w:r w:rsidRPr="00E7576F">
              <w:rPr>
                <w:rFonts w:cs="Arial"/>
                <w:color w:val="000000"/>
              </w:rPr>
              <w:t>Marketing &amp;amp; Accessibility</w:t>
            </w:r>
          </w:p>
        </w:tc>
        <w:tc>
          <w:tcPr>
            <w:tcW w:w="1636" w:type="pct"/>
            <w:vAlign w:val="bottom"/>
          </w:tcPr>
          <w:p w14:paraId="445BBC9C" w14:textId="0B3A143F" w:rsidR="005B6206" w:rsidRDefault="0090022C" w:rsidP="005B6206">
            <w:pPr>
              <w:pStyle w:val="DecimalAligned"/>
              <w:jc w:val="center"/>
            </w:pPr>
            <w:r w:rsidRPr="0090022C">
              <w:rPr>
                <w:rFonts w:ascii="Aptos Narrow" w:hAnsi="Aptos Narrow"/>
                <w:color w:val="000000"/>
                <w:lang w:val="en-US"/>
              </w:rPr>
              <w:t>$10,000–$15,000</w:t>
            </w:r>
          </w:p>
        </w:tc>
        <w:tc>
          <w:tcPr>
            <w:tcW w:w="1635" w:type="pct"/>
          </w:tcPr>
          <w:p w14:paraId="0E5F7522" w14:textId="501214C5" w:rsidR="005B6206" w:rsidRPr="00B54206" w:rsidRDefault="000F3D95" w:rsidP="000F3D95">
            <w:pPr>
              <w:spacing w:line="240" w:lineRule="auto"/>
              <w:jc w:val="center"/>
              <w:rPr>
                <w:rFonts w:eastAsia="Times New Roman" w:cs="Arial"/>
                <w:sz w:val="21"/>
                <w:szCs w:val="21"/>
              </w:rPr>
            </w:pPr>
            <w:r>
              <w:rPr>
                <w:rFonts w:cs="Arial"/>
                <w:sz w:val="21"/>
                <w:szCs w:val="21"/>
              </w:rPr>
              <w:t xml:space="preserve">    </w:t>
            </w:r>
            <w:r w:rsidR="00B54206">
              <w:rPr>
                <w:rFonts w:cs="Arial"/>
                <w:sz w:val="21"/>
                <w:szCs w:val="21"/>
              </w:rPr>
              <w:t>7%</w:t>
            </w:r>
          </w:p>
        </w:tc>
      </w:tr>
      <w:tr w:rsidR="005B6206" w14:paraId="6EFEC768" w14:textId="77777777" w:rsidTr="00674BD4">
        <w:tc>
          <w:tcPr>
            <w:tcW w:w="1729" w:type="pct"/>
            <w:noWrap/>
            <w:vAlign w:val="bottom"/>
          </w:tcPr>
          <w:p w14:paraId="2010EA19" w14:textId="358BA29D" w:rsidR="005B6206" w:rsidRPr="00E7576F" w:rsidRDefault="005B6206" w:rsidP="00822EDE">
            <w:pPr>
              <w:rPr>
                <w:rFonts w:cs="Arial"/>
              </w:rPr>
            </w:pPr>
            <w:r w:rsidRPr="00E7576F">
              <w:rPr>
                <w:rFonts w:cs="Arial"/>
                <w:color w:val="000000"/>
              </w:rPr>
              <w:t>Contingency Fund</w:t>
            </w:r>
          </w:p>
        </w:tc>
        <w:tc>
          <w:tcPr>
            <w:tcW w:w="1636" w:type="pct"/>
            <w:vAlign w:val="bottom"/>
          </w:tcPr>
          <w:p w14:paraId="238F86EA" w14:textId="24F68B61" w:rsidR="00A446B9" w:rsidRPr="00A446B9" w:rsidRDefault="0090022C" w:rsidP="00822EDE">
            <w:pPr>
              <w:jc w:val="center"/>
              <w:rPr>
                <w:rFonts w:cs="Arial"/>
                <w:sz w:val="21"/>
                <w:szCs w:val="21"/>
              </w:rPr>
            </w:pPr>
            <w:r>
              <w:rPr>
                <w:rFonts w:cs="Arial"/>
                <w:sz w:val="21"/>
                <w:szCs w:val="21"/>
              </w:rPr>
              <w:t>$5,000–$10,000</w:t>
            </w:r>
          </w:p>
        </w:tc>
        <w:tc>
          <w:tcPr>
            <w:tcW w:w="1635" w:type="pct"/>
          </w:tcPr>
          <w:p w14:paraId="543777E1" w14:textId="75EEE28C" w:rsidR="005B6206" w:rsidRDefault="000F3D95" w:rsidP="000F3D95">
            <w:pPr>
              <w:pStyle w:val="DecimalAligned"/>
              <w:jc w:val="center"/>
            </w:pPr>
            <w:r w:rsidRPr="000F3D95">
              <w:rPr>
                <w:lang w:val="en-US"/>
              </w:rPr>
              <w:t>3%</w:t>
            </w:r>
          </w:p>
        </w:tc>
      </w:tr>
      <w:tr w:rsidR="005B6206" w14:paraId="5DD051AD" w14:textId="77777777" w:rsidTr="00674BD4">
        <w:tc>
          <w:tcPr>
            <w:tcW w:w="1729" w:type="pct"/>
            <w:noWrap/>
            <w:vAlign w:val="bottom"/>
          </w:tcPr>
          <w:p w14:paraId="3F34C45D" w14:textId="48EA237F" w:rsidR="005B6206" w:rsidRPr="00674BD4" w:rsidRDefault="005B6206" w:rsidP="00822EDE">
            <w:pPr>
              <w:rPr>
                <w:rFonts w:cs="Arial"/>
                <w:b/>
                <w:bCs/>
              </w:rPr>
            </w:pPr>
            <w:r w:rsidRPr="00674BD4">
              <w:rPr>
                <w:rFonts w:cs="Arial"/>
                <w:b/>
                <w:bCs/>
                <w:color w:val="000000"/>
              </w:rPr>
              <w:t>Total Expenditure</w:t>
            </w:r>
          </w:p>
        </w:tc>
        <w:tc>
          <w:tcPr>
            <w:tcW w:w="1636" w:type="pct"/>
            <w:vAlign w:val="bottom"/>
          </w:tcPr>
          <w:p w14:paraId="3B681C5F" w14:textId="54E1366D" w:rsidR="005B6206" w:rsidRPr="00674BD4" w:rsidRDefault="00A446B9" w:rsidP="00822EDE">
            <w:pPr>
              <w:jc w:val="center"/>
              <w:rPr>
                <w:b/>
                <w:bCs/>
              </w:rPr>
            </w:pPr>
            <w:r w:rsidRPr="00674BD4">
              <w:rPr>
                <w:rFonts w:ascii="Aptos Narrow" w:hAnsi="Aptos Narrow"/>
                <w:b/>
                <w:bCs/>
                <w:color w:val="000000"/>
              </w:rPr>
              <w:t>$145,000–$205,000</w:t>
            </w:r>
          </w:p>
        </w:tc>
        <w:tc>
          <w:tcPr>
            <w:tcW w:w="1635" w:type="pct"/>
          </w:tcPr>
          <w:p w14:paraId="24153CF5" w14:textId="77777777" w:rsidR="005B6206" w:rsidRDefault="005B6206" w:rsidP="005B6206">
            <w:pPr>
              <w:jc w:val="center"/>
            </w:pPr>
          </w:p>
        </w:tc>
      </w:tr>
      <w:tr w:rsidR="005B6206" w14:paraId="589545CE" w14:textId="77777777" w:rsidTr="00674BD4">
        <w:tc>
          <w:tcPr>
            <w:tcW w:w="1729" w:type="pct"/>
            <w:noWrap/>
            <w:vAlign w:val="bottom"/>
          </w:tcPr>
          <w:p w14:paraId="0DBC753C" w14:textId="02772A71" w:rsidR="005B6206" w:rsidRPr="00F728C8" w:rsidRDefault="001224CF" w:rsidP="00E7576F">
            <w:pPr>
              <w:rPr>
                <w:rFonts w:cs="Arial"/>
                <w:b/>
                <w:bCs/>
                <w:color w:val="000000"/>
              </w:rPr>
            </w:pPr>
            <w:r w:rsidRPr="00F728C8">
              <w:rPr>
                <w:rFonts w:cs="Arial"/>
                <w:b/>
                <w:bCs/>
                <w:color w:val="00B050"/>
              </w:rPr>
              <w:t>Income</w:t>
            </w:r>
          </w:p>
        </w:tc>
        <w:tc>
          <w:tcPr>
            <w:tcW w:w="1636" w:type="pct"/>
          </w:tcPr>
          <w:p w14:paraId="632F7B3A" w14:textId="77777777" w:rsidR="005B6206" w:rsidRDefault="005B6206" w:rsidP="005B6206">
            <w:pPr>
              <w:jc w:val="center"/>
            </w:pPr>
          </w:p>
        </w:tc>
        <w:tc>
          <w:tcPr>
            <w:tcW w:w="1635" w:type="pct"/>
          </w:tcPr>
          <w:p w14:paraId="2F974094" w14:textId="77777777" w:rsidR="005B6206" w:rsidRDefault="005B6206" w:rsidP="005B6206">
            <w:pPr>
              <w:jc w:val="center"/>
            </w:pPr>
          </w:p>
        </w:tc>
      </w:tr>
      <w:tr w:rsidR="001224CF" w14:paraId="0ABB97EB" w14:textId="77777777">
        <w:tc>
          <w:tcPr>
            <w:tcW w:w="1729" w:type="pct"/>
            <w:noWrap/>
            <w:vAlign w:val="bottom"/>
          </w:tcPr>
          <w:p w14:paraId="1BDA4F6A" w14:textId="5418F497" w:rsidR="001224CF" w:rsidRDefault="001224CF" w:rsidP="001224CF">
            <w:r>
              <w:rPr>
                <w:rFonts w:cs="Arial"/>
                <w:sz w:val="21"/>
                <w:szCs w:val="21"/>
              </w:rPr>
              <w:t>Ticket Sales (46%)</w:t>
            </w:r>
          </w:p>
        </w:tc>
        <w:tc>
          <w:tcPr>
            <w:tcW w:w="1636" w:type="pct"/>
            <w:vAlign w:val="bottom"/>
          </w:tcPr>
          <w:p w14:paraId="2E651D9C" w14:textId="3AA04750" w:rsidR="001224CF" w:rsidRDefault="001224CF" w:rsidP="001224CF">
            <w:pPr>
              <w:pStyle w:val="DecimalAligned"/>
              <w:jc w:val="center"/>
            </w:pPr>
            <w:r>
              <w:rPr>
                <w:rFonts w:ascii="Arial" w:hAnsi="Arial" w:cs="Arial"/>
                <w:sz w:val="21"/>
                <w:szCs w:val="21"/>
              </w:rPr>
              <w:t>$92,000–$115,000</w:t>
            </w:r>
          </w:p>
        </w:tc>
        <w:tc>
          <w:tcPr>
            <w:tcW w:w="1635" w:type="pct"/>
            <w:vAlign w:val="bottom"/>
          </w:tcPr>
          <w:p w14:paraId="782DA90F" w14:textId="751FB069" w:rsidR="001224CF" w:rsidRDefault="001224CF" w:rsidP="001224CF">
            <w:pPr>
              <w:pStyle w:val="DecimalAligned"/>
              <w:jc w:val="center"/>
            </w:pPr>
            <w:r>
              <w:rPr>
                <w:rFonts w:ascii="Arial" w:hAnsi="Arial" w:cs="Arial"/>
                <w:sz w:val="21"/>
                <w:szCs w:val="21"/>
              </w:rPr>
              <w:t>46%</w:t>
            </w:r>
          </w:p>
        </w:tc>
      </w:tr>
      <w:tr w:rsidR="001224CF" w14:paraId="5D387108" w14:textId="77777777">
        <w:tc>
          <w:tcPr>
            <w:tcW w:w="1729" w:type="pct"/>
            <w:noWrap/>
            <w:vAlign w:val="bottom"/>
          </w:tcPr>
          <w:p w14:paraId="59BFC266" w14:textId="61CB14F2" w:rsidR="001224CF" w:rsidRDefault="001224CF" w:rsidP="001224CF">
            <w:r>
              <w:rPr>
                <w:rFonts w:cs="Arial"/>
                <w:sz w:val="21"/>
                <w:szCs w:val="21"/>
              </w:rPr>
              <w:t>Sponsorships (40%)</w:t>
            </w:r>
          </w:p>
        </w:tc>
        <w:tc>
          <w:tcPr>
            <w:tcW w:w="1636" w:type="pct"/>
            <w:vAlign w:val="bottom"/>
          </w:tcPr>
          <w:p w14:paraId="6BB81248" w14:textId="68DF16C6" w:rsidR="001224CF" w:rsidRDefault="001224CF" w:rsidP="001224CF">
            <w:pPr>
              <w:pStyle w:val="DecimalAligned"/>
              <w:jc w:val="center"/>
            </w:pPr>
            <w:r>
              <w:rPr>
                <w:rFonts w:ascii="Arial" w:hAnsi="Arial" w:cs="Arial"/>
                <w:sz w:val="21"/>
                <w:szCs w:val="21"/>
              </w:rPr>
              <w:t>$80,000–$100,000</w:t>
            </w:r>
          </w:p>
        </w:tc>
        <w:tc>
          <w:tcPr>
            <w:tcW w:w="1635" w:type="pct"/>
            <w:vAlign w:val="bottom"/>
          </w:tcPr>
          <w:p w14:paraId="0FA23784" w14:textId="4189A2A8" w:rsidR="001224CF" w:rsidRDefault="001224CF" w:rsidP="001224CF">
            <w:pPr>
              <w:pStyle w:val="DecimalAligned"/>
              <w:jc w:val="center"/>
            </w:pPr>
            <w:r>
              <w:rPr>
                <w:rFonts w:ascii="Arial" w:hAnsi="Arial" w:cs="Arial"/>
                <w:sz w:val="21"/>
                <w:szCs w:val="21"/>
              </w:rPr>
              <w:t>40%</w:t>
            </w:r>
          </w:p>
        </w:tc>
      </w:tr>
      <w:tr w:rsidR="001224CF" w14:paraId="319B8F94" w14:textId="77777777">
        <w:tc>
          <w:tcPr>
            <w:tcW w:w="1729" w:type="pct"/>
            <w:noWrap/>
            <w:vAlign w:val="bottom"/>
          </w:tcPr>
          <w:p w14:paraId="595534F1" w14:textId="0B534AC9" w:rsidR="001224CF" w:rsidRDefault="001224CF" w:rsidP="001224CF">
            <w:r>
              <w:rPr>
                <w:rFonts w:cs="Arial"/>
                <w:sz w:val="21"/>
                <w:szCs w:val="21"/>
              </w:rPr>
              <w:t>On-Demand Content (11%)</w:t>
            </w:r>
          </w:p>
        </w:tc>
        <w:tc>
          <w:tcPr>
            <w:tcW w:w="1636" w:type="pct"/>
            <w:vAlign w:val="bottom"/>
          </w:tcPr>
          <w:p w14:paraId="1C00ED27" w14:textId="6B23B1DA" w:rsidR="001224CF" w:rsidRDefault="001224CF" w:rsidP="001224CF">
            <w:pPr>
              <w:pStyle w:val="DecimalAligned"/>
              <w:jc w:val="center"/>
            </w:pPr>
            <w:r>
              <w:rPr>
                <w:rFonts w:ascii="Arial" w:hAnsi="Arial" w:cs="Arial"/>
                <w:sz w:val="21"/>
                <w:szCs w:val="21"/>
              </w:rPr>
              <w:t>$11,000–$22,000</w:t>
            </w:r>
          </w:p>
        </w:tc>
        <w:tc>
          <w:tcPr>
            <w:tcW w:w="1635" w:type="pct"/>
            <w:vAlign w:val="bottom"/>
          </w:tcPr>
          <w:p w14:paraId="6A96ADEF" w14:textId="47B46ACD" w:rsidR="001224CF" w:rsidRDefault="001224CF" w:rsidP="001224CF">
            <w:pPr>
              <w:pStyle w:val="DecimalAligned"/>
              <w:jc w:val="center"/>
            </w:pPr>
            <w:r>
              <w:rPr>
                <w:rFonts w:ascii="Arial" w:hAnsi="Arial" w:cs="Arial"/>
                <w:sz w:val="21"/>
                <w:szCs w:val="21"/>
              </w:rPr>
              <w:t>11%</w:t>
            </w:r>
          </w:p>
        </w:tc>
      </w:tr>
      <w:tr w:rsidR="001224CF" w14:paraId="1E153F84" w14:textId="77777777">
        <w:tc>
          <w:tcPr>
            <w:tcW w:w="1729" w:type="pct"/>
            <w:noWrap/>
            <w:vAlign w:val="bottom"/>
          </w:tcPr>
          <w:p w14:paraId="37DFEDDE" w14:textId="07CCA3DE" w:rsidR="001224CF" w:rsidRDefault="001224CF" w:rsidP="001224CF">
            <w:r>
              <w:rPr>
                <w:rFonts w:cs="Arial"/>
                <w:sz w:val="21"/>
                <w:szCs w:val="21"/>
              </w:rPr>
              <w:t>Affiliate Partnerships (3%)</w:t>
            </w:r>
          </w:p>
        </w:tc>
        <w:tc>
          <w:tcPr>
            <w:tcW w:w="1636" w:type="pct"/>
            <w:vAlign w:val="bottom"/>
          </w:tcPr>
          <w:p w14:paraId="56976E29" w14:textId="1C81085B" w:rsidR="001224CF" w:rsidRDefault="001224CF" w:rsidP="001224CF">
            <w:pPr>
              <w:pStyle w:val="DecimalAligned"/>
              <w:jc w:val="center"/>
            </w:pPr>
            <w:r>
              <w:rPr>
                <w:rFonts w:ascii="Arial" w:hAnsi="Arial" w:cs="Arial"/>
                <w:sz w:val="21"/>
                <w:szCs w:val="21"/>
              </w:rPr>
              <w:t>$3,000–$6,000</w:t>
            </w:r>
          </w:p>
        </w:tc>
        <w:tc>
          <w:tcPr>
            <w:tcW w:w="1635" w:type="pct"/>
            <w:vAlign w:val="bottom"/>
          </w:tcPr>
          <w:p w14:paraId="0A69F629" w14:textId="787FE182" w:rsidR="001224CF" w:rsidRDefault="001224CF" w:rsidP="001224CF">
            <w:pPr>
              <w:pStyle w:val="DecimalAligned"/>
              <w:jc w:val="center"/>
            </w:pPr>
            <w:r>
              <w:rPr>
                <w:rFonts w:ascii="Arial" w:hAnsi="Arial" w:cs="Arial"/>
                <w:sz w:val="21"/>
                <w:szCs w:val="21"/>
              </w:rPr>
              <w:t>3%</w:t>
            </w:r>
          </w:p>
        </w:tc>
      </w:tr>
      <w:tr w:rsidR="001224CF" w14:paraId="5F3AF18A" w14:textId="77777777">
        <w:tc>
          <w:tcPr>
            <w:tcW w:w="1729" w:type="pct"/>
            <w:noWrap/>
            <w:vAlign w:val="bottom"/>
          </w:tcPr>
          <w:p w14:paraId="30325C68" w14:textId="5564AA4A" w:rsidR="001224CF" w:rsidRPr="00BE1584" w:rsidRDefault="00BE1584" w:rsidP="001224CF">
            <w:pPr>
              <w:rPr>
                <w:b/>
                <w:bCs/>
              </w:rPr>
            </w:pPr>
            <w:r w:rsidRPr="00BE1584">
              <w:rPr>
                <w:b/>
                <w:bCs/>
              </w:rPr>
              <w:t>Total Revenue</w:t>
            </w:r>
          </w:p>
        </w:tc>
        <w:tc>
          <w:tcPr>
            <w:tcW w:w="1636" w:type="pct"/>
            <w:vAlign w:val="bottom"/>
          </w:tcPr>
          <w:p w14:paraId="55BCBC31" w14:textId="7FB343B7" w:rsidR="001224CF" w:rsidRPr="00BE1584" w:rsidRDefault="00BE1584" w:rsidP="00BE1584">
            <w:pPr>
              <w:pStyle w:val="DecimalAligned"/>
              <w:jc w:val="center"/>
              <w:rPr>
                <w:b/>
                <w:bCs/>
              </w:rPr>
            </w:pPr>
            <w:r w:rsidRPr="00BE1584">
              <w:rPr>
                <w:b/>
                <w:bCs/>
              </w:rPr>
              <w:t>$186,000–$243,000</w:t>
            </w:r>
          </w:p>
        </w:tc>
        <w:tc>
          <w:tcPr>
            <w:tcW w:w="1635" w:type="pct"/>
            <w:vAlign w:val="center"/>
          </w:tcPr>
          <w:p w14:paraId="448C8E46" w14:textId="52EFC16E" w:rsidR="001224CF" w:rsidRDefault="001224CF" w:rsidP="001224CF">
            <w:pPr>
              <w:pStyle w:val="DecimalAligned"/>
              <w:jc w:val="center"/>
            </w:pPr>
          </w:p>
        </w:tc>
      </w:tr>
      <w:tr w:rsidR="005B6206" w14:paraId="12600356" w14:textId="77777777" w:rsidTr="00674BD4">
        <w:trPr>
          <w:cnfStyle w:val="010000000000" w:firstRow="0" w:lastRow="1" w:firstColumn="0" w:lastColumn="0" w:oddVBand="0" w:evenVBand="0" w:oddHBand="0" w:evenHBand="0" w:firstRowFirstColumn="0" w:firstRowLastColumn="0" w:lastRowFirstColumn="0" w:lastRowLastColumn="0"/>
        </w:trPr>
        <w:tc>
          <w:tcPr>
            <w:tcW w:w="1729" w:type="pct"/>
            <w:noWrap/>
          </w:tcPr>
          <w:p w14:paraId="73511A5D" w14:textId="100DCAA5" w:rsidR="005B6206" w:rsidRPr="005B4412" w:rsidRDefault="005B4412">
            <w:pPr>
              <w:rPr>
                <w:b/>
                <w:bCs/>
              </w:rPr>
            </w:pPr>
            <w:r w:rsidRPr="005B4412">
              <w:rPr>
                <w:b/>
                <w:bCs/>
              </w:rPr>
              <w:t>Profit margin</w:t>
            </w:r>
          </w:p>
        </w:tc>
        <w:tc>
          <w:tcPr>
            <w:tcW w:w="1636" w:type="pct"/>
          </w:tcPr>
          <w:p w14:paraId="438EA1A8" w14:textId="0B1639D2" w:rsidR="005B6206" w:rsidRPr="00001821" w:rsidRDefault="00235B90" w:rsidP="005B6206">
            <w:pPr>
              <w:pStyle w:val="DecimalAligned"/>
              <w:jc w:val="center"/>
            </w:pPr>
            <w:r w:rsidRPr="00001821">
              <w:rPr>
                <w:color w:val="00B050"/>
                <w:sz w:val="24"/>
                <w:szCs w:val="24"/>
              </w:rPr>
              <w:t>$41,000–$38,000</w:t>
            </w:r>
          </w:p>
        </w:tc>
        <w:tc>
          <w:tcPr>
            <w:tcW w:w="1635" w:type="pct"/>
          </w:tcPr>
          <w:p w14:paraId="51DC7ACE" w14:textId="6F986C15" w:rsidR="005B6206" w:rsidRDefault="005B6206" w:rsidP="005B6206">
            <w:pPr>
              <w:pStyle w:val="DecimalAligned"/>
              <w:jc w:val="center"/>
            </w:pPr>
          </w:p>
        </w:tc>
      </w:tr>
    </w:tbl>
    <w:p w14:paraId="216C8D3D" w14:textId="77777777" w:rsidR="008B2ED5" w:rsidRDefault="008B2ED5" w:rsidP="002F6D8D"/>
    <w:p w14:paraId="453E1C46" w14:textId="2AB84885" w:rsidR="0026352B" w:rsidRPr="00C60074" w:rsidRDefault="00C60074" w:rsidP="00F51BD5">
      <w:pPr>
        <w:jc w:val="both"/>
        <w:rPr>
          <w:lang w:val="en-GB"/>
        </w:rPr>
      </w:pPr>
      <w:r w:rsidRPr="00C60074">
        <w:rPr>
          <w:lang w:val="en-GB"/>
        </w:rPr>
        <w:t>The budget for the Asia DEI Summit 2025 strikes a smart balance between investments that will have a big effect and those that will save money. By putting an emphasis on DEI programs and hybrid accessibility, the event makes sure that it is relevant and open to everyone while still making money. The summit is expected to make between $186,000 and $243,000, which will cover its costs of $145,000 to $205,000. This means that it will make a profit margin of $41,000 to $38,000, which will help it continue in the future and be sustainable in the long run.</w:t>
      </w:r>
    </w:p>
    <w:p w14:paraId="478F624F" w14:textId="77777777" w:rsidR="00F51BD5" w:rsidRDefault="00F51BD5">
      <w:pPr>
        <w:spacing w:after="200" w:line="276" w:lineRule="auto"/>
      </w:pPr>
      <w:r>
        <w:br w:type="page"/>
      </w:r>
    </w:p>
    <w:p w14:paraId="1DBFBD38" w14:textId="41885B7F" w:rsidR="00913F78" w:rsidRPr="00913F78" w:rsidRDefault="00913F78" w:rsidP="001C71A1">
      <w:pPr>
        <w:pStyle w:val="Heading2"/>
        <w:jc w:val="both"/>
        <w:rPr>
          <w:lang w:val="en-GB"/>
        </w:rPr>
      </w:pPr>
      <w:bookmarkStart w:id="10" w:name="_Toc191598379"/>
      <w:r w:rsidRPr="00913F78">
        <w:rPr>
          <w:lang w:val="en-GB"/>
        </w:rPr>
        <w:t>Industry Trends</w:t>
      </w:r>
      <w:bookmarkEnd w:id="10"/>
    </w:p>
    <w:p w14:paraId="5FCADE6A" w14:textId="4B9BFCEC" w:rsidR="00913F78" w:rsidRPr="00913F78" w:rsidRDefault="00913F78" w:rsidP="001C71A1">
      <w:pPr>
        <w:jc w:val="both"/>
        <w:rPr>
          <w:lang w:val="en-GB"/>
        </w:rPr>
      </w:pPr>
      <w:r w:rsidRPr="00913F78">
        <w:rPr>
          <w:lang w:val="en-GB"/>
        </w:rPr>
        <w:t xml:space="preserve">The Asia-Pacific (APAC) meetings and events industry is undergoing rapid transformation, driven by technological advancements, shifting societal expectations, and economic challenges. These trends and issues significantly influence the planning and execution of events like the </w:t>
      </w:r>
      <w:r w:rsidRPr="00913F78">
        <w:rPr>
          <w:b/>
          <w:bCs/>
          <w:lang w:val="en-GB"/>
        </w:rPr>
        <w:t xml:space="preserve">Asia DEI Summit </w:t>
      </w:r>
      <w:r w:rsidR="000D0D64" w:rsidRPr="00913F78">
        <w:rPr>
          <w:b/>
          <w:bCs/>
          <w:lang w:val="en-GB"/>
        </w:rPr>
        <w:t>2025,</w:t>
      </w:r>
      <w:r w:rsidRPr="00913F78">
        <w:rPr>
          <w:lang w:val="en-GB"/>
        </w:rPr>
        <w:t xml:space="preserve"> shaping both opportunities and obstacles for event professionals.</w:t>
      </w:r>
    </w:p>
    <w:p w14:paraId="15D4356F" w14:textId="2B42087A" w:rsidR="00B0060A" w:rsidRPr="00B0060A" w:rsidRDefault="00B0060A" w:rsidP="001C71A1">
      <w:pPr>
        <w:pStyle w:val="Heading3"/>
        <w:jc w:val="both"/>
        <w:rPr>
          <w:lang w:val="en-GB"/>
        </w:rPr>
      </w:pPr>
      <w:bookmarkStart w:id="11" w:name="_Toc191598380"/>
      <w:r w:rsidRPr="00B0060A">
        <w:rPr>
          <w:lang w:val="en-GB"/>
        </w:rPr>
        <w:t>Key Trends in Asia’s Events Industry</w:t>
      </w:r>
      <w:bookmarkEnd w:id="11"/>
    </w:p>
    <w:p w14:paraId="20D3B122" w14:textId="77777777" w:rsidR="001C71A1" w:rsidRPr="001C71A1" w:rsidRDefault="00B0060A" w:rsidP="001C71A1">
      <w:pPr>
        <w:numPr>
          <w:ilvl w:val="0"/>
          <w:numId w:val="8"/>
        </w:numPr>
        <w:jc w:val="both"/>
        <w:rPr>
          <w:lang w:val="en-GB"/>
        </w:rPr>
      </w:pPr>
      <w:r w:rsidRPr="00B0060A">
        <w:rPr>
          <w:b/>
          <w:bCs/>
          <w:lang w:val="en-GB"/>
        </w:rPr>
        <w:t>Hybrid &amp; Tech-Driven Events</w:t>
      </w:r>
    </w:p>
    <w:p w14:paraId="0912AA96" w14:textId="46C27551" w:rsidR="00B0060A" w:rsidRPr="00B0060A" w:rsidRDefault="00CD54B1" w:rsidP="001C71A1">
      <w:pPr>
        <w:ind w:left="720"/>
        <w:jc w:val="both"/>
        <w:rPr>
          <w:lang w:val="en-GB"/>
        </w:rPr>
      </w:pPr>
      <w:r w:rsidRPr="00CD54B1">
        <w:t xml:space="preserve">Putting artificial intelligence (AI) and interactive technologies together has changed how events are managed.  To make the experience of attendees more personal, improve logistics, and cut costs by up to 30%, AI-powered systems like </w:t>
      </w:r>
      <w:proofErr w:type="spellStart"/>
      <w:r w:rsidRPr="00CD54B1">
        <w:t>Swapcard</w:t>
      </w:r>
      <w:proofErr w:type="spellEnd"/>
      <w:r w:rsidRPr="00CD54B1">
        <w:t xml:space="preserve"> use predictive analytics.  These technologies, along with tools like chatbots for real-time help and augmented reality (AR) or virtual reality (VR) for interactive experiences, work well with the Asia DEI Summit 2025's hybrid accessibility, making sure that both in-person and virtual participants can easily participate</w:t>
      </w:r>
      <w:r w:rsidR="00BE708B">
        <w:t xml:space="preserve"> </w:t>
      </w:r>
      <w:r w:rsidR="00BE708B">
        <w:fldChar w:fldCharType="begin"/>
      </w:r>
      <w:r w:rsidR="00BE708B">
        <w:instrText xml:space="preserve"> ADDIN ZOTERO_ITEM CSL_CITATION {"citationID":"wbiPMjh2","properties":{"formattedCitation":"(Thomas, 2024)","plainCitation":"(Thomas, 2024)","noteIndex":0},"citationItems":[{"id":1166,"uris":["http://zotero.org/users/7363269/items/AAST3MJI"],"itemData":{"id":1166,"type":"chapter","abstract":"The rapid progress of technology has introduced a period in which robots are progressively becoming essential contributors in several facets of human life. Amidst the current worldwide pandemic and increasing desire for creative and interactive encounters, facilitating the inclusion of robots into e...","container-title":"New Technologies in Virtual and Hybrid Events","ISBN":"9798369322727","language":"en","license":"Access limited to members","note":"DOI: 10.4018/979-8-3693-2272-7.ch002","page":"19-46","publisher":"IGI Global Scientific Publishing","source":"www.igi-global.com","title":"Revolutionizing Events: Exploring the Seamless Integration of Robots in Hybrid and Virtual Experiences","title-short":"Revolutionizing Events","URL":"https://www.igi-global.com/chapter/revolutionizing-events/www.igi-global.com/chapter/revolutionizing-events/353847","author":[{"family":"Thomas","given":"Anila"}],"accessed":{"date-parts":[["2025",2,27]]},"issued":{"date-parts":[["2024"]]}}}],"schema":"https://github.com/citation-style-language/schema/raw/master/csl-citation.json"} </w:instrText>
      </w:r>
      <w:r w:rsidR="00BE708B">
        <w:fldChar w:fldCharType="separate"/>
      </w:r>
      <w:r w:rsidR="00BE708B" w:rsidRPr="00BE708B">
        <w:rPr>
          <w:rFonts w:cs="Arial"/>
        </w:rPr>
        <w:t>(Thomas, 2024)</w:t>
      </w:r>
      <w:r w:rsidR="00BE708B">
        <w:fldChar w:fldCharType="end"/>
      </w:r>
      <w:r w:rsidRPr="00CD54B1">
        <w:t>.</w:t>
      </w:r>
    </w:p>
    <w:p w14:paraId="099CF6E7" w14:textId="77777777" w:rsidR="001C71A1" w:rsidRPr="001C71A1" w:rsidRDefault="00B0060A" w:rsidP="001C71A1">
      <w:pPr>
        <w:numPr>
          <w:ilvl w:val="0"/>
          <w:numId w:val="8"/>
        </w:numPr>
        <w:jc w:val="both"/>
        <w:rPr>
          <w:lang w:val="en-GB"/>
        </w:rPr>
      </w:pPr>
      <w:r w:rsidRPr="00B0060A">
        <w:rPr>
          <w:b/>
          <w:bCs/>
          <w:lang w:val="en-GB"/>
        </w:rPr>
        <w:t>Sustainability and Green Practices</w:t>
      </w:r>
    </w:p>
    <w:p w14:paraId="2C26E601" w14:textId="6AED50DA" w:rsidR="00B0060A" w:rsidRPr="00B0060A" w:rsidRDefault="00CD54B1" w:rsidP="001C71A1">
      <w:pPr>
        <w:ind w:left="720"/>
        <w:jc w:val="both"/>
        <w:rPr>
          <w:lang w:val="en-GB"/>
        </w:rPr>
      </w:pPr>
      <w:r w:rsidRPr="00CD54B1">
        <w:t xml:space="preserve">Modern events </w:t>
      </w:r>
      <w:proofErr w:type="spellStart"/>
      <w:r w:rsidRPr="00CD54B1">
        <w:t>emphasise</w:t>
      </w:r>
      <w:proofErr w:type="spellEnd"/>
      <w:r w:rsidRPr="00CD54B1">
        <w:t xml:space="preserve"> sustainability.  Hong Kong's Cordis Hotel offers “Green Meetings” with carbon offsetting, zero-waste catering, and eco-friendly materials.  This trend aligns with the summit's climate resilience focus, addressing delegates' and stakeholders' environmental concerns.</w:t>
      </w:r>
    </w:p>
    <w:p w14:paraId="70D8DC5E" w14:textId="77777777" w:rsidR="001C71A1" w:rsidRPr="001C71A1" w:rsidRDefault="00B0060A" w:rsidP="001C71A1">
      <w:pPr>
        <w:numPr>
          <w:ilvl w:val="0"/>
          <w:numId w:val="8"/>
        </w:numPr>
        <w:jc w:val="both"/>
        <w:rPr>
          <w:lang w:val="en-GB"/>
        </w:rPr>
      </w:pPr>
      <w:r w:rsidRPr="00B0060A">
        <w:rPr>
          <w:b/>
          <w:bCs/>
          <w:lang w:val="en-GB"/>
        </w:rPr>
        <w:t>Localized and Culturally Tailored Content</w:t>
      </w:r>
    </w:p>
    <w:p w14:paraId="6B527FF7" w14:textId="22A337DF" w:rsidR="00B0060A" w:rsidRPr="00B0060A" w:rsidRDefault="00B0060A" w:rsidP="00211CCF">
      <w:pPr>
        <w:ind w:left="720"/>
        <w:jc w:val="both"/>
        <w:rPr>
          <w:lang w:val="en-GB"/>
        </w:rPr>
      </w:pPr>
      <w:r w:rsidRPr="00B0060A">
        <w:rPr>
          <w:lang w:val="en-GB"/>
        </w:rPr>
        <w:t xml:space="preserve">As highlighted by Ponting &amp; </w:t>
      </w:r>
      <w:proofErr w:type="spellStart"/>
      <w:r w:rsidRPr="00B0060A">
        <w:rPr>
          <w:lang w:val="en-GB"/>
        </w:rPr>
        <w:t>Dillette</w:t>
      </w:r>
      <w:proofErr w:type="spellEnd"/>
      <w:r w:rsidRPr="00B0060A">
        <w:rPr>
          <w:lang w:val="en-GB"/>
        </w:rPr>
        <w:t xml:space="preserve"> (2023), there is a rising demand for localized diversity solutions. </w:t>
      </w:r>
      <w:r w:rsidR="00211CCF" w:rsidRPr="00211CCF">
        <w:rPr>
          <w:lang w:val="en-GB"/>
        </w:rPr>
        <w:t xml:space="preserve">Events tackling issues unique to a region—such as gender inequity, caste prejudice, and corporate responsibility—are gathering momentum. By offering practical frameworks catered to APAC markets, guaranteeing relevance and impact, the Asia DEI Summit 2025 </w:t>
      </w:r>
      <w:proofErr w:type="spellStart"/>
      <w:r w:rsidR="00211CCF" w:rsidRPr="00211CCF">
        <w:rPr>
          <w:lang w:val="en-GB"/>
        </w:rPr>
        <w:t>epitribes</w:t>
      </w:r>
      <w:proofErr w:type="spellEnd"/>
      <w:r w:rsidR="00211CCF" w:rsidRPr="00211CCF">
        <w:rPr>
          <w:lang w:val="en-GB"/>
        </w:rPr>
        <w:t xml:space="preserve"> this trend.</w:t>
      </w:r>
    </w:p>
    <w:p w14:paraId="646C055F" w14:textId="77777777" w:rsidR="00CA7FCC" w:rsidRPr="00CA7FCC" w:rsidRDefault="00CA7FCC" w:rsidP="00211CCF">
      <w:pPr>
        <w:pStyle w:val="Heading3"/>
        <w:spacing w:line="360" w:lineRule="auto"/>
        <w:jc w:val="both"/>
        <w:rPr>
          <w:lang w:val="en-GB"/>
        </w:rPr>
      </w:pPr>
      <w:bookmarkStart w:id="12" w:name="_Toc191598381"/>
      <w:r w:rsidRPr="00CA7FCC">
        <w:rPr>
          <w:lang w:val="en-GB"/>
        </w:rPr>
        <w:t>Critical Challenges</w:t>
      </w:r>
      <w:bookmarkEnd w:id="12"/>
    </w:p>
    <w:p w14:paraId="79432726" w14:textId="77777777" w:rsidR="001C71A1" w:rsidRPr="001C71A1" w:rsidRDefault="00CA7FCC" w:rsidP="00211CCF">
      <w:pPr>
        <w:numPr>
          <w:ilvl w:val="0"/>
          <w:numId w:val="9"/>
        </w:numPr>
        <w:jc w:val="both"/>
        <w:rPr>
          <w:lang w:val="en-GB"/>
        </w:rPr>
      </w:pPr>
      <w:r w:rsidRPr="00CA7FCC">
        <w:rPr>
          <w:b/>
          <w:bCs/>
          <w:lang w:val="en-GB"/>
        </w:rPr>
        <w:t>Talent Shortages</w:t>
      </w:r>
    </w:p>
    <w:p w14:paraId="68CD9B82" w14:textId="3A0CA559" w:rsidR="0070119F" w:rsidRPr="0070119F" w:rsidRDefault="00E8514B" w:rsidP="001C71A1">
      <w:pPr>
        <w:ind w:left="720"/>
        <w:jc w:val="both"/>
        <w:rPr>
          <w:lang w:val="en-GB"/>
        </w:rPr>
      </w:pPr>
      <w:r w:rsidRPr="00E8514B">
        <w:t xml:space="preserve">A lot of experienced professionals have left the event industry since the pandemic, leaving a big skills gap. This problem is made worse by the rise of freelancing, which makes it hard to find skilled workers for big events </w:t>
      </w:r>
      <w:r w:rsidR="00BE708B">
        <w:fldChar w:fldCharType="begin"/>
      </w:r>
      <w:r w:rsidR="00BE708B">
        <w:instrText xml:space="preserve"> ADDIN ZOTERO_ITEM CSL_CITATION {"citationID":"9OH76M0H","properties":{"formattedCitation":"(Wang et al., 2020)","plainCitation":"(Wang et al., 2020)","noteIndex":0},"citationItems":[{"id":746,"uris":["http://zotero.org/users/7363269/items/6T8GPCVN"],"itemData":{"id":746,"type":"article-journal","abstract":"This study aims to investigate the corporate social responsibility (CSR) practices of international hotel chains operating in China and their effects on local Chinese employees. As CSR practices vary across countries and contexts, this study developed a scale of CSR metrics, which was based on CSR reports published by international hotel chains in China and a comprehensive literature review. Subsequently, the proposed model, which depicts the relationships between CSR practices and local employee work metrics, was tested with a PLS-SEM. Multiple phases of qualitative and quantitative investigations of 2451 local Chinese employees of international hotel chains allowed for validating a formative construct of CSR with four dimensions: environment protection, employee wellness, business ethics, and customer wellness. The PLS-SEM results confirmed the significant effects of CSR practices of international hotel chains in China on local Chinese employee engagement, commitment, job satisfaction, and organizational citizenship behaviors. Theoretical and practical implications are presented.","container-title":"International Journal of Hospitality Management","DOI":"10.1016/j.ijhm.2020.102598","ISSN":"0278-4319","journalAbbreviation":"International Journal of Hospitality Management","page":"102598","source":"ScienceDirect","title":"Corporate social responsibility in international hotel chains and its effects on local employees: Scale development and empirical testing in China","title-short":"Corporate social responsibility in international hotel chains and its effects on local employees","volume":"90","author":[{"family":"Wang","given":"Chaohui"},{"family":"Hu","given":"Runhong"},{"family":"Zhang","given":"Tingting (Christina)"}],"issued":{"date-parts":[["2020",9,1]]}}}],"schema":"https://github.com/citation-style-language/schema/raw/master/csl-citation.json"} </w:instrText>
      </w:r>
      <w:r w:rsidR="00BE708B">
        <w:fldChar w:fldCharType="separate"/>
      </w:r>
      <w:r w:rsidR="00BE708B" w:rsidRPr="00BE708B">
        <w:rPr>
          <w:rFonts w:cs="Arial"/>
        </w:rPr>
        <w:t>(Wang et al., 2020)</w:t>
      </w:r>
      <w:r w:rsidR="00BE708B">
        <w:fldChar w:fldCharType="end"/>
      </w:r>
      <w:r w:rsidRPr="00E8514B">
        <w:t>.  This shows how important it is to work together with groups like UN Women APAC and Catalyst Asia. These relationships help fill in gaps in knowledge and give events like the Asia DEI Summit more credibility.</w:t>
      </w:r>
    </w:p>
    <w:p w14:paraId="36114F0A" w14:textId="77777777" w:rsidR="001C71A1" w:rsidRPr="001C71A1" w:rsidRDefault="00CA7FCC" w:rsidP="001C71A1">
      <w:pPr>
        <w:numPr>
          <w:ilvl w:val="0"/>
          <w:numId w:val="9"/>
        </w:numPr>
        <w:jc w:val="both"/>
        <w:rPr>
          <w:lang w:val="en-GB"/>
        </w:rPr>
      </w:pPr>
      <w:r w:rsidRPr="00CA7FCC">
        <w:rPr>
          <w:b/>
          <w:bCs/>
          <w:lang w:val="en-GB"/>
        </w:rPr>
        <w:t>Budget Constraints</w:t>
      </w:r>
    </w:p>
    <w:p w14:paraId="50A44C1A" w14:textId="5D165464" w:rsidR="00CA7FCC" w:rsidRPr="00CA7FCC" w:rsidRDefault="00B95AF5" w:rsidP="00281755">
      <w:pPr>
        <w:ind w:left="720"/>
        <w:jc w:val="both"/>
        <w:rPr>
          <w:lang w:val="en-GB"/>
        </w:rPr>
      </w:pPr>
      <w:r w:rsidRPr="00B95AF5">
        <w:rPr>
          <w:lang w:val="en-GB"/>
        </w:rPr>
        <w:t xml:space="preserve">In 2025, flat budgets force planners to "do more with less." Cost-cutting is needed in India and Southeast Asia due to rising hotel charges and inflation </w:t>
      </w:r>
      <w:r w:rsidR="00BE708B">
        <w:rPr>
          <w:lang w:val="en-GB"/>
        </w:rPr>
        <w:fldChar w:fldCharType="begin"/>
      </w:r>
      <w:r w:rsidR="00BE708B">
        <w:rPr>
          <w:lang w:val="en-GB"/>
        </w:rPr>
        <w:instrText xml:space="preserve"> ADDIN ZOTERO_ITEM CSL_CITATION {"citationID":"dM3vSaUe","properties":{"formattedCitation":"(de Sausmarez *, 2004)","plainCitation":"(de Sausmarez *, 2004)","noteIndex":0},"citationItems":[{"id":1171,"uris":["http://zotero.org/users/7363269/items/GPD3GCKI"],"itemData":{"id":1171,"type":"article-journal","abstract":"Crisis management is increasingly being applied in the context of tourism and, although there has been some research into crisis management at a macro-level, most of this focuses on the response to, rather than the anticipation of, a crisis. This paper explores the issues associated with the establishment of a crisis management policy for the tourism sector prior to a crisis and especially considers the management of the pre-crisis period. The areas addressed include the evaluation of the importance of the tourism sector to the economy, risk assessment and then the challenges presented by the identification and monitoring of indicators, aspects of implementation and funding of a policy, and the development of a crisis plan. It suggests a model to clarify the different components that would need to be addressed for the establishment of a policy and how they relate to each other. It concludes that to develop an appropriate policy would be extremely complex and questions whether or not the maintenance of the tourism sector in a healthy state would not be a more efficient use of time and resources.","container-title":"Tourism and Hospitality Planning &amp; Development","DOI":"10.1080/1479053042000251070","ISSN":"1479-053X","issue":"2","note":"publisher: Routledge\n_eprint: https://doi.org/10.1080/1479053042000251070","page":"157-172","source":"Taylor and Francis+NEJM","title":"Crisis management for the tourism sector: Preliminary considerations in policy development","title-short":"Crisis management for the tourism sector","volume":"1","author":[{"family":"Sausmarez *","given":"Nicolette","non-dropping-particle":"de"}],"issued":{"date-parts":[["2004",8,1]]}}}],"schema":"https://github.com/citation-style-language/schema/raw/master/csl-citation.json"} </w:instrText>
      </w:r>
      <w:r w:rsidR="00BE708B">
        <w:rPr>
          <w:lang w:val="en-GB"/>
        </w:rPr>
        <w:fldChar w:fldCharType="separate"/>
      </w:r>
      <w:r w:rsidR="00BE708B" w:rsidRPr="00BE708B">
        <w:rPr>
          <w:rFonts w:cs="Arial"/>
        </w:rPr>
        <w:t>(de Sausmarez *, 2004)</w:t>
      </w:r>
      <w:r w:rsidR="00BE708B">
        <w:rPr>
          <w:lang w:val="en-GB"/>
        </w:rPr>
        <w:fldChar w:fldCharType="end"/>
      </w:r>
      <w:r w:rsidRPr="00B95AF5">
        <w:rPr>
          <w:lang w:val="en-GB"/>
        </w:rPr>
        <w:t>. Sponsorships, early-bird discounts, and tiered pricing help the Asia DEI Summit be financially viable while delivering high-quality content.</w:t>
      </w:r>
    </w:p>
    <w:p w14:paraId="1ACE809B" w14:textId="77777777" w:rsidR="001C71A1" w:rsidRPr="001C71A1" w:rsidRDefault="00CA7FCC" w:rsidP="001C71A1">
      <w:pPr>
        <w:numPr>
          <w:ilvl w:val="0"/>
          <w:numId w:val="9"/>
        </w:numPr>
        <w:jc w:val="both"/>
        <w:rPr>
          <w:lang w:val="en-GB"/>
        </w:rPr>
      </w:pPr>
      <w:r w:rsidRPr="00CA7FCC">
        <w:rPr>
          <w:b/>
          <w:bCs/>
          <w:lang w:val="en-GB"/>
        </w:rPr>
        <w:t>Geopolitical and Climate Risks</w:t>
      </w:r>
    </w:p>
    <w:p w14:paraId="2DB1D772" w14:textId="11BA5298" w:rsidR="000D0D64" w:rsidRDefault="00BB69CC" w:rsidP="005373B3">
      <w:pPr>
        <w:ind w:left="720"/>
        <w:jc w:val="both"/>
      </w:pPr>
      <w:r w:rsidRPr="00BB69CC">
        <w:t xml:space="preserve">Tensions in geopolitics and harsh weather can make international events very dangerous, especially when it comes to travel and choosing venues.  </w:t>
      </w:r>
      <w:r w:rsidR="00BE708B">
        <w:fldChar w:fldCharType="begin"/>
      </w:r>
      <w:r w:rsidR="00BE708B">
        <w:instrText xml:space="preserve"> ADDIN ZOTERO_ITEM CSL_CITATION {"citationID":"EmZtzvRd","properties":{"formattedCitation":"(Seyfi et al., 2023)","plainCitation":"(Seyfi et al., 2023)","noteIndex":0},"citationItems":[{"id":1174,"uris":["http://zotero.org/users/7363269/items/YAT22QR6"],"itemData":{"id":1174,"type":"article-journal","container-title":"Tourism Geographies","DOI":"10.1080/14616688.2020.1833972","ISSN":"1461-6688, 1470-1340","issue":"1","journalAbbreviation":"Tourism Geographies","language":"en","page":"357-373","source":"DOI.org (Crossref)","title":"COVID-19 and international travel restrictions: the geopolitics of health and tourism","title-short":"COVID-19 and international travel restrictions","volume":"25","author":[{"family":"Seyfi","given":"Siamak"},{"family":"Hall","given":"C. Michael"},{"family":"Shabani","given":"Bardia"}],"issued":{"date-parts":[["2023",1,2]]}}}],"schema":"https://github.com/citation-style-language/schema/raw/master/csl-citation.json"} </w:instrText>
      </w:r>
      <w:r w:rsidR="00BE708B">
        <w:fldChar w:fldCharType="separate"/>
      </w:r>
      <w:r w:rsidR="00BE708B" w:rsidRPr="00BE708B">
        <w:rPr>
          <w:rFonts w:cs="Arial"/>
        </w:rPr>
        <w:t>Seyfi et al.</w:t>
      </w:r>
      <w:r w:rsidR="00BE708B" w:rsidRPr="00BE708B">
        <w:t xml:space="preserve"> </w:t>
      </w:r>
      <w:r w:rsidR="00BE708B">
        <w:rPr>
          <w:rFonts w:cs="Arial"/>
        </w:rPr>
        <w:t xml:space="preserve">, </w:t>
      </w:r>
      <w:r w:rsidR="00BE708B" w:rsidRPr="00BE708B">
        <w:rPr>
          <w:rFonts w:cs="Arial"/>
        </w:rPr>
        <w:t xml:space="preserve">Hall, and Shabani </w:t>
      </w:r>
      <w:r w:rsidR="00BE708B">
        <w:rPr>
          <w:rFonts w:cs="Arial"/>
        </w:rPr>
        <w:t>(</w:t>
      </w:r>
      <w:r w:rsidR="00BE708B" w:rsidRPr="00BE708B">
        <w:rPr>
          <w:rFonts w:cs="Arial"/>
        </w:rPr>
        <w:t>2023)</w:t>
      </w:r>
      <w:r w:rsidR="00BE708B">
        <w:fldChar w:fldCharType="end"/>
      </w:r>
      <w:r w:rsidR="00BE708B">
        <w:t xml:space="preserve"> </w:t>
      </w:r>
      <w:r w:rsidRPr="00BB69CC">
        <w:t>say that these reasons require strong backup plans to lessen the effects of possible problems.  The Asia DEI Summit deals with these problems by holding its events in key spots like the Cordis Hotel in Hong Kong and planning for what could go wrong so that it can be flexible when external threats happen.</w:t>
      </w:r>
    </w:p>
    <w:p w14:paraId="2C4878E2" w14:textId="77777777" w:rsidR="00251CD0" w:rsidRPr="00251CD0" w:rsidRDefault="00251CD0" w:rsidP="001C71A1">
      <w:pPr>
        <w:pStyle w:val="Heading2"/>
        <w:jc w:val="both"/>
        <w:rPr>
          <w:lang w:val="en-GB"/>
        </w:rPr>
      </w:pPr>
      <w:bookmarkStart w:id="13" w:name="_Toc191598382"/>
      <w:r w:rsidRPr="00251CD0">
        <w:rPr>
          <w:lang w:val="en-GB"/>
        </w:rPr>
        <w:t>Situational and Cultural Considerations</w:t>
      </w:r>
      <w:bookmarkEnd w:id="13"/>
    </w:p>
    <w:p w14:paraId="73524D17" w14:textId="1101C760" w:rsidR="00251CD0" w:rsidRPr="00251CD0" w:rsidRDefault="00510833" w:rsidP="001C71A1">
      <w:pPr>
        <w:jc w:val="both"/>
        <w:rPr>
          <w:lang w:val="en-GB"/>
        </w:rPr>
      </w:pPr>
      <w:r w:rsidRPr="00510833">
        <w:rPr>
          <w:lang w:val="en-GB"/>
        </w:rPr>
        <w:t>A PESTEL framework is used to look at the bigger political, economic, social, technological, environmental, and legal issues that will affect the Asia DEI Summit 2025. This organised method makes sure that all the outside factors that might affect the event's planning, performance, and success are fully understood.</w:t>
      </w:r>
    </w:p>
    <w:p w14:paraId="0DA7DEA4" w14:textId="77777777" w:rsidR="00DA45DD" w:rsidRPr="00DA45DD" w:rsidRDefault="00DA45DD" w:rsidP="001C71A1">
      <w:pPr>
        <w:jc w:val="both"/>
        <w:rPr>
          <w:b/>
          <w:bCs/>
          <w:lang w:val="en-GB"/>
        </w:rPr>
      </w:pPr>
      <w:r w:rsidRPr="00DA45DD">
        <w:rPr>
          <w:b/>
          <w:bCs/>
          <w:lang w:val="en-GB"/>
        </w:rPr>
        <w:t>1. Political Considerations</w:t>
      </w:r>
    </w:p>
    <w:p w14:paraId="7C14EA81" w14:textId="687E9E4C" w:rsidR="00DA45DD" w:rsidRPr="00DA45DD" w:rsidRDefault="00DA45DD" w:rsidP="0067453A">
      <w:pPr>
        <w:numPr>
          <w:ilvl w:val="0"/>
          <w:numId w:val="11"/>
        </w:numPr>
        <w:jc w:val="both"/>
        <w:rPr>
          <w:b/>
          <w:bCs/>
          <w:lang w:val="en-GB"/>
        </w:rPr>
      </w:pPr>
      <w:r w:rsidRPr="00DA45DD">
        <w:rPr>
          <w:b/>
          <w:bCs/>
          <w:lang w:val="en-GB"/>
        </w:rPr>
        <w:t>Government Policies</w:t>
      </w:r>
      <w:r w:rsidRPr="00DA45DD">
        <w:rPr>
          <w:lang w:val="en-GB"/>
        </w:rPr>
        <w:t xml:space="preserve">: </w:t>
      </w:r>
      <w:r w:rsidR="0067453A" w:rsidRPr="0067453A">
        <w:rPr>
          <w:lang w:val="en-GB"/>
        </w:rPr>
        <w:t xml:space="preserve">Hong Kong is a great place for foreign events because it is a global business hub and has a stable government. But tensions in Asia, such as political uncertainty, could make it harder for people from different countries to work together </w:t>
      </w:r>
      <w:r w:rsidR="00BE708B">
        <w:rPr>
          <w:lang w:val="en-GB"/>
        </w:rPr>
        <w:fldChar w:fldCharType="begin"/>
      </w:r>
      <w:r w:rsidR="00BE708B">
        <w:rPr>
          <w:lang w:val="en-GB"/>
        </w:rPr>
        <w:instrText xml:space="preserve"> ADDIN ZOTERO_ITEM CSL_CITATION {"citationID":"WyS4eUCg","properties":{"formattedCitation":"(Yeung, 1997)","plainCitation":"(Yeung, 1997)","noteIndex":0},"citationItems":[{"id":1176,"uris":["http://zotero.org/users/7363269/items/DUHL5Q9Z"],"itemData":{"id":1176,"type":"article-journal","abstract":"Abstract: In recent years, the question of how business firms are embedded in society and space has received serious attention in economic geography. Arising from empirical research into the transnational operations of Hong Kong–based firms in Southeast Asia, this paper is concerned with the organizational processes of transnationalization—that is, how transnational operations are accomplished through networks of personal and business relationships. A network perspective specifies that three dimensions of transnational organizations—extrafirm, interfirm, and intrafirm networks—must be addressed simultaneously. Based on personal interviews with top executives from 111 headquarters and 63 subsidiaries of Hong Kong transnational corporations operating in the ASEAN region, I argue that social and business networks are necessary mechanisms of transnationalization. Political connections at the highest level enable Hong Kong entrepreneurs and business firms to tap into extrafirm networks and to penetrate local markets in Southeast Asia. Business connections and personal relationships are cornerstones of interfirm transactional governance structures through which Hong Kong firms establish their ASEAN operations. At the intrafirm level, personal trust and experience are keys to coordination and control in transnational operations. By showing how these Hong Kong firms and their ASEAN operations are socially and culturally embedded in networks of relationships, this paper serves also as a critique of economistic arguments and transaction cost analysis commonly found in leading international business research.","container-title":"Economic Geography","DOI":"10.1111/j.1944-8287.1997.tb00082.x","ISSN":"1944-8287","issue":"1","language":"en","license":"© 1997 Clark University","note":"_eprint: https://onlinelibrary.wiley.com/doi/pdf/10.1111/j.1944-8287.1997.tb00082.x","page":"1-25","source":"Wiley Online Library","title":"Business Networks and Transnational Corporations: A Study of Hong Kong Firms in the ASEAN Region","title-short":"Business Networks and Transnational Corporations","volume":"73","author":[{"family":"Yeung","given":"Henry Wai-chung"}],"issued":{"date-parts":[["1997"]]}}}],"schema":"https://github.com/citation-style-language/schema/raw/master/csl-citation.json"} </w:instrText>
      </w:r>
      <w:r w:rsidR="00BE708B">
        <w:rPr>
          <w:lang w:val="en-GB"/>
        </w:rPr>
        <w:fldChar w:fldCharType="separate"/>
      </w:r>
      <w:r w:rsidR="00BE708B" w:rsidRPr="00BE708B">
        <w:rPr>
          <w:rFonts w:cs="Arial"/>
        </w:rPr>
        <w:t>(Yeung, 1997)</w:t>
      </w:r>
      <w:r w:rsidR="00BE708B">
        <w:rPr>
          <w:lang w:val="en-GB"/>
        </w:rPr>
        <w:fldChar w:fldCharType="end"/>
      </w:r>
      <w:r w:rsidR="0067453A" w:rsidRPr="0067453A">
        <w:rPr>
          <w:lang w:val="en-GB"/>
        </w:rPr>
        <w:t>. These risks show how important it is to plan when picking out places for events.</w:t>
      </w:r>
    </w:p>
    <w:p w14:paraId="49754828" w14:textId="77777777" w:rsidR="00DA45DD" w:rsidRPr="00DA45DD" w:rsidRDefault="00DA45DD" w:rsidP="001C71A1">
      <w:pPr>
        <w:numPr>
          <w:ilvl w:val="0"/>
          <w:numId w:val="11"/>
        </w:numPr>
        <w:jc w:val="both"/>
        <w:rPr>
          <w:lang w:val="en-GB"/>
        </w:rPr>
      </w:pPr>
      <w:r w:rsidRPr="00DA45DD">
        <w:rPr>
          <w:b/>
          <w:bCs/>
          <w:lang w:val="en-GB"/>
        </w:rPr>
        <w:t>Importance</w:t>
      </w:r>
      <w:r w:rsidRPr="00DA45DD">
        <w:rPr>
          <w:lang w:val="en-GB"/>
        </w:rPr>
        <w:t>: Ensuring the event aligns with local regulations and fosters diplomatic goodwill is critical for smooth operations.</w:t>
      </w:r>
    </w:p>
    <w:p w14:paraId="0DCEF140" w14:textId="77777777" w:rsidR="00F33B08" w:rsidRPr="00F33B08" w:rsidRDefault="00F33B08" w:rsidP="001C71A1">
      <w:pPr>
        <w:jc w:val="both"/>
        <w:rPr>
          <w:b/>
          <w:bCs/>
          <w:lang w:val="en-GB"/>
        </w:rPr>
      </w:pPr>
      <w:r w:rsidRPr="00F33B08">
        <w:rPr>
          <w:b/>
          <w:bCs/>
          <w:lang w:val="en-GB"/>
        </w:rPr>
        <w:t>2. Economic Factors</w:t>
      </w:r>
    </w:p>
    <w:p w14:paraId="5709E01E" w14:textId="48F818BC" w:rsidR="00F33B08" w:rsidRPr="00F33B08" w:rsidRDefault="00F33B08" w:rsidP="00F92622">
      <w:pPr>
        <w:numPr>
          <w:ilvl w:val="0"/>
          <w:numId w:val="12"/>
        </w:numPr>
        <w:jc w:val="both"/>
        <w:rPr>
          <w:lang w:val="en-GB"/>
        </w:rPr>
      </w:pPr>
      <w:r w:rsidRPr="00F33B08">
        <w:rPr>
          <w:b/>
          <w:bCs/>
          <w:lang w:val="en-GB"/>
        </w:rPr>
        <w:t xml:space="preserve">Flat Budgets and Cost </w:t>
      </w:r>
      <w:r w:rsidR="00171D4F" w:rsidRPr="00F33B08">
        <w:rPr>
          <w:b/>
          <w:bCs/>
          <w:lang w:val="en-GB"/>
        </w:rPr>
        <w:t>Pressures:</w:t>
      </w:r>
      <w:r w:rsidRPr="00F33B08">
        <w:rPr>
          <w:lang w:val="en-GB"/>
        </w:rPr>
        <w:t xml:space="preserve"> </w:t>
      </w:r>
      <w:r w:rsidR="00F92622" w:rsidRPr="00F92622">
        <w:rPr>
          <w:lang w:val="en-GB"/>
        </w:rPr>
        <w:t xml:space="preserve">Rising hotel prices and pricing pressures in markets like India and Southeast Asia, along with flat budgets in 2025, mean that cost-cutting strategies are needed </w:t>
      </w:r>
      <w:r w:rsidR="00BE708B">
        <w:rPr>
          <w:lang w:val="en-GB"/>
        </w:rPr>
        <w:fldChar w:fldCharType="begin"/>
      </w:r>
      <w:r w:rsidR="00BE708B">
        <w:rPr>
          <w:lang w:val="en-GB"/>
        </w:rPr>
        <w:instrText xml:space="preserve"> ADDIN ZOTERO_ITEM CSL_CITATION {"citationID":"l8rxIrM2","properties":{"formattedCitation":"(Brigitte Prud\\uc0\\u8217{}homme and L. Raymond, 2013)","plainCitation":"(Brigitte Prud’homme and L. Raymond, 2013)","noteIndex":0},"citationItems":[{"id":808,"uris":["http://zotero.org/users/7363269/items/QWWA7A28"],"itemData":{"id":808,"type":"article-journal","container-title":"International Journal of Hospitality Management","DOI":"10.1016/J.IJHM.2013.03.003","journalAbbreviation":"International Journal of Hospitality Management","page":"116-126","title":"Sustainable development practices in the hospitality industry: an empirical study of their impact on customer satisfaction and intentions.","volume":"34","author":[{"literal":"Brigitte Prud’homme"},{"literal":"L. Raymond"}],"issued":{"date-parts":[["2013",9,1]]}}}],"schema":"https://github.com/citation-style-language/schema/raw/master/csl-citation.json"} </w:instrText>
      </w:r>
      <w:r w:rsidR="00BE708B">
        <w:rPr>
          <w:lang w:val="en-GB"/>
        </w:rPr>
        <w:fldChar w:fldCharType="separate"/>
      </w:r>
      <w:r w:rsidR="00BE708B" w:rsidRPr="00BE708B">
        <w:rPr>
          <w:rFonts w:cs="Arial"/>
          <w:szCs w:val="24"/>
        </w:rPr>
        <w:t>(Brigitte Prud’homme and L. Raymond, 2013)</w:t>
      </w:r>
      <w:r w:rsidR="00BE708B">
        <w:rPr>
          <w:lang w:val="en-GB"/>
        </w:rPr>
        <w:fldChar w:fldCharType="end"/>
      </w:r>
      <w:r w:rsidR="00F92622" w:rsidRPr="00F92622">
        <w:rPr>
          <w:lang w:val="en-GB"/>
        </w:rPr>
        <w:t>. This is taken care of at the summit by using tiered pricing and hybrid entry.</w:t>
      </w:r>
    </w:p>
    <w:p w14:paraId="424E91BE" w14:textId="4A9AFA12" w:rsidR="00CA1332" w:rsidRPr="00CA1332" w:rsidRDefault="00CA1332" w:rsidP="00E62DCB">
      <w:pPr>
        <w:pStyle w:val="NormalWeb"/>
        <w:numPr>
          <w:ilvl w:val="0"/>
          <w:numId w:val="12"/>
        </w:numPr>
        <w:spacing w:before="0" w:beforeAutospacing="0" w:after="0" w:afterAutospacing="0" w:line="360" w:lineRule="auto"/>
        <w:jc w:val="both"/>
        <w:rPr>
          <w:rFonts w:ascii="Arial" w:hAnsi="Arial" w:cs="Arial"/>
        </w:rPr>
      </w:pPr>
      <w:r w:rsidRPr="00CA1332">
        <w:rPr>
          <w:rStyle w:val="Strong"/>
          <w:rFonts w:ascii="Arial" w:hAnsi="Arial" w:cs="Arial"/>
          <w:sz w:val="22"/>
          <w:szCs w:val="22"/>
        </w:rPr>
        <w:t>Importance</w:t>
      </w:r>
      <w:r w:rsidRPr="00CA1332">
        <w:rPr>
          <w:rFonts w:ascii="Arial" w:hAnsi="Arial" w:cs="Arial"/>
          <w:color w:val="404040"/>
          <w:sz w:val="22"/>
          <w:szCs w:val="22"/>
        </w:rPr>
        <w:t>:</w:t>
      </w:r>
      <w:r>
        <w:rPr>
          <w:rFonts w:ascii="Segoe UI" w:hAnsi="Segoe UI" w:cs="Segoe UI"/>
          <w:color w:val="404040"/>
        </w:rPr>
        <w:t xml:space="preserve"> </w:t>
      </w:r>
      <w:r w:rsidR="00E62DCB" w:rsidRPr="00E62DCB">
        <w:rPr>
          <w:rFonts w:ascii="Arial" w:hAnsi="Arial" w:cs="Arial"/>
          <w:sz w:val="22"/>
          <w:szCs w:val="22"/>
        </w:rPr>
        <w:t>To attract sponsors and visitors, ROI must be shown through partnerships and training.</w:t>
      </w:r>
    </w:p>
    <w:p w14:paraId="006096B5" w14:textId="77777777" w:rsidR="00844C7A" w:rsidRPr="00844C7A" w:rsidRDefault="00844C7A" w:rsidP="00E62DCB">
      <w:pPr>
        <w:jc w:val="both"/>
        <w:rPr>
          <w:b/>
          <w:bCs/>
          <w:lang w:val="en-GB"/>
        </w:rPr>
      </w:pPr>
      <w:r w:rsidRPr="00844C7A">
        <w:rPr>
          <w:b/>
          <w:bCs/>
          <w:lang w:val="en-GB"/>
        </w:rPr>
        <w:t>3. Social Factors</w:t>
      </w:r>
    </w:p>
    <w:p w14:paraId="14824DF0" w14:textId="13D31C85" w:rsidR="00844C7A" w:rsidRPr="00844C7A" w:rsidRDefault="00844C7A" w:rsidP="00E62DCB">
      <w:pPr>
        <w:numPr>
          <w:ilvl w:val="0"/>
          <w:numId w:val="14"/>
        </w:numPr>
        <w:jc w:val="both"/>
        <w:rPr>
          <w:lang w:val="en-GB"/>
        </w:rPr>
      </w:pPr>
      <w:r w:rsidRPr="00844C7A">
        <w:rPr>
          <w:b/>
          <w:bCs/>
          <w:lang w:val="en-GB"/>
        </w:rPr>
        <w:t xml:space="preserve">Cultural Hierarchies and </w:t>
      </w:r>
      <w:r w:rsidR="00E62DCB" w:rsidRPr="00844C7A">
        <w:rPr>
          <w:b/>
          <w:bCs/>
          <w:lang w:val="en-GB"/>
        </w:rPr>
        <w:t>Bias:</w:t>
      </w:r>
      <w:r w:rsidRPr="00844C7A">
        <w:rPr>
          <w:lang w:val="en-GB"/>
        </w:rPr>
        <w:t xml:space="preserve"> Deep-rooted cultural hierarchies, caste dynamics, and gender inequality pose challenges to DEI adoption</w:t>
      </w:r>
      <w:r w:rsidR="00542702">
        <w:rPr>
          <w:lang w:val="en-GB"/>
        </w:rPr>
        <w:t xml:space="preserve"> </w:t>
      </w:r>
      <w:r w:rsidR="00BE708B">
        <w:rPr>
          <w:lang w:val="en-GB"/>
        </w:rPr>
        <w:fldChar w:fldCharType="begin"/>
      </w:r>
      <w:r w:rsidR="002B0E5C">
        <w:rPr>
          <w:lang w:val="en-GB"/>
        </w:rPr>
        <w:instrText xml:space="preserve"> ADDIN ZOTERO_ITEM CSL_CITATION {"citationID":"4WrCeJK8","properties":{"formattedCitation":"(Bush and Lindsey, 2024)","plainCitation":"(Bush and Lindsey, 2024)","noteIndex":0},"citationItems":[{"id":1178,"uris":["http://zotero.org/users/7363269/items/YQFLT3Y2"],"itemData":{"id":1178,"type":"book","abstract":"Taking a DEI-first approach, this book teaches students to become culturally proficient communicators by approaching diversity, equity, and inclusion (DEI) with intentionality in every aspect of strategic communications.Those who work in strategic communications play a powerful role in shaping public perceptions and thus have a crucial responsibility to understand and practice the principles of diversity, equity, and inclusion in their work. This book introduces students to DEI theories and concepts and guides them through applying these concepts to communications research, planning, and execution. Chapters in the book align with the courses and competencies most often taught in advertising and public relations programs. It also includes chapters on “Inclusive Leadership” and “Working on Diverse Teams,” as students will need these competencies when working on group class projects and in preparing for internships. The concluding chapter on “Communicating for Social Change” allows students to look beyond advertising and PR as corporate-centered disciplines and expand their understanding of the power of communications to advocate for social justice and change.Ideal for students at the undergraduate level with relevance to graduate students as well, the book can be used as a stand-alone text in DEI communications courses, as a supplement to core advertising or public relations texts, or in modules in advanced communications courses.Online materials for instructors include teaching tips, suggested discussions and activities, student assignments, sample quizzes, and video links. They are available at www.routledge.com/9781032533865","ISBN":"978-1-04-010170-4","language":"en","note":"Google-Books-ID: zhcQEQAAQBAJ","number-of-pages":"193","publisher":"Taylor &amp; Francis","source":"Google Books","title":"Diversity, Equity, and Inclusion in Strategic Communications: Becoming Culturally Proficient Communicators","title-short":"Diversity, Equity, and Inclusion in Strategic Communications","author":[{"family":"Bush","given":"Lee"},{"family":"Lindsey","given":"Karen"}],"issued":{"date-parts":[["2024",8,15]]}}}],"schema":"https://github.com/citation-style-language/schema/raw/master/csl-citation.json"} </w:instrText>
      </w:r>
      <w:r w:rsidR="00BE708B">
        <w:rPr>
          <w:lang w:val="en-GB"/>
        </w:rPr>
        <w:fldChar w:fldCharType="separate"/>
      </w:r>
      <w:r w:rsidR="002B0E5C" w:rsidRPr="002B0E5C">
        <w:rPr>
          <w:rFonts w:cs="Arial"/>
        </w:rPr>
        <w:t>(Bush and Lindsey, 2024)</w:t>
      </w:r>
      <w:r w:rsidR="00BE708B">
        <w:rPr>
          <w:lang w:val="en-GB"/>
        </w:rPr>
        <w:fldChar w:fldCharType="end"/>
      </w:r>
      <w:r w:rsidRPr="00844C7A">
        <w:rPr>
          <w:lang w:val="en-GB"/>
        </w:rPr>
        <w:t>. The summit addresses these issues through culturally tailored workshops and inclusive content.</w:t>
      </w:r>
    </w:p>
    <w:p w14:paraId="65F49BCC" w14:textId="0701AEF8" w:rsidR="00844C7A" w:rsidRPr="00844C7A" w:rsidRDefault="00844C7A" w:rsidP="00A13965">
      <w:pPr>
        <w:numPr>
          <w:ilvl w:val="0"/>
          <w:numId w:val="14"/>
        </w:numPr>
        <w:jc w:val="both"/>
        <w:rPr>
          <w:lang w:val="en-GB"/>
        </w:rPr>
      </w:pPr>
      <w:r w:rsidRPr="00844C7A">
        <w:rPr>
          <w:b/>
          <w:bCs/>
          <w:lang w:val="en-GB"/>
        </w:rPr>
        <w:t xml:space="preserve">Gen Z </w:t>
      </w:r>
      <w:r w:rsidR="00BA3803" w:rsidRPr="00844C7A">
        <w:rPr>
          <w:b/>
          <w:bCs/>
          <w:lang w:val="en-GB"/>
        </w:rPr>
        <w:t>Expectations:</w:t>
      </w:r>
      <w:r w:rsidRPr="00844C7A">
        <w:rPr>
          <w:lang w:val="en-GB"/>
        </w:rPr>
        <w:t xml:space="preserve"> </w:t>
      </w:r>
      <w:r w:rsidR="00A13965" w:rsidRPr="00A13965">
        <w:rPr>
          <w:lang w:val="en-GB"/>
        </w:rPr>
        <w:t>As Gen Z starts to work, their desire for welcoming settings increases the need for customised DEI solutions</w:t>
      </w:r>
      <w:r w:rsidR="002B0E5C">
        <w:rPr>
          <w:lang w:val="en-GB"/>
        </w:rPr>
        <w:t xml:space="preserve"> </w:t>
      </w:r>
      <w:r w:rsidR="002B0E5C">
        <w:rPr>
          <w:lang w:val="en-GB"/>
        </w:rPr>
        <w:fldChar w:fldCharType="begin"/>
      </w:r>
      <w:r w:rsidR="002B0E5C">
        <w:rPr>
          <w:lang w:val="en-GB"/>
        </w:rPr>
        <w:instrText xml:space="preserve"> ADDIN ZOTERO_ITEM CSL_CITATION {"citationID":"YAayJ68e","properties":{"formattedCitation":"(Alahakoon et al., 2024)","plainCitation":"(Alahakoon et al., 2024)","noteIndex":0},"citationItems":[{"id":1180,"uris":["http://zotero.org/users/7363269/items/7KNH2KCU"],"itemData":{"id":1180,"type":"article-journal","abstract":"Employers increasingly commit to embracing diversity, equity and inclusion (DEI) in their workplaces. A key strategy for communicating this commitment is the use of DEI statements in recruitment materials, including job advertisements. However, this practice is ad hoc and is mostly viewed as a matter of compliance or impression management. This paper presents a systematic literature review of 39 studies published between 1994 and 2023 to understand the wider outcomes of using DEI statements as a recruitment marketing strategy. In doing so, it considers both employer and job applicant perspectives to outline goals communicated through DEI statements and environmental influences that drive the adoption of DEI communication. The paper also presents an agenda for future research highlighting critical observations and gaps that contribute to the progress of DEI discussions within recruitment marketing.","container-title":"Australasian Marketing Journal","DOI":"10.1177/14413582241255680","ISSN":"1441-3582","issue":"3","language":"en","note":"publisher: SAGE Publications Ltd","page":"263-274","source":"SAGE Journals","title":"Diversity, Equity and Inclusion Statements in Recruitment Materials: A Systematic Review and Research Agenda","title-short":"Diversity, Equity and Inclusion Statements in Recruitment Materials","volume":"32","author":[{"family":"Alahakoon","given":"Thilini"},{"family":"Beatson","given":"Amanda"},{"family":"Keating","given":"Byron"},{"family":"Mathmann","given":"Frank"},{"family":"Mortimer","given":"Gary"},{"family":"Worsteling","given":"Asha"}],"issued":{"date-parts":[["2024",8,1]]}}}],"schema":"https://github.com/citation-style-language/schema/raw/master/csl-citation.json"} </w:instrText>
      </w:r>
      <w:r w:rsidR="002B0E5C">
        <w:rPr>
          <w:lang w:val="en-GB"/>
        </w:rPr>
        <w:fldChar w:fldCharType="separate"/>
      </w:r>
      <w:r w:rsidR="002B0E5C" w:rsidRPr="002B0E5C">
        <w:rPr>
          <w:rFonts w:cs="Arial"/>
        </w:rPr>
        <w:t>(Alahakoon et al., 2024)</w:t>
      </w:r>
      <w:r w:rsidR="002B0E5C">
        <w:rPr>
          <w:lang w:val="en-GB"/>
        </w:rPr>
        <w:fldChar w:fldCharType="end"/>
      </w:r>
      <w:r w:rsidR="00A13965" w:rsidRPr="00A13965">
        <w:rPr>
          <w:lang w:val="en-GB"/>
        </w:rPr>
        <w:t>. This generational change fits with the summit's focus on frameworks that can be used.</w:t>
      </w:r>
    </w:p>
    <w:p w14:paraId="7409BE60" w14:textId="3B5A1A54" w:rsidR="00844C7A" w:rsidRPr="00844C7A" w:rsidRDefault="00844C7A" w:rsidP="00022F7F">
      <w:pPr>
        <w:numPr>
          <w:ilvl w:val="0"/>
          <w:numId w:val="14"/>
        </w:numPr>
        <w:jc w:val="both"/>
        <w:rPr>
          <w:lang w:val="en-GB"/>
        </w:rPr>
      </w:pPr>
      <w:r w:rsidRPr="00844C7A">
        <w:rPr>
          <w:b/>
          <w:bCs/>
          <w:lang w:val="en-GB"/>
        </w:rPr>
        <w:t xml:space="preserve">Community </w:t>
      </w:r>
      <w:r w:rsidR="00BA3803" w:rsidRPr="00844C7A">
        <w:rPr>
          <w:b/>
          <w:bCs/>
          <w:lang w:val="en-GB"/>
        </w:rPr>
        <w:t>Engagement:</w:t>
      </w:r>
      <w:r w:rsidRPr="00844C7A">
        <w:rPr>
          <w:lang w:val="en-GB"/>
        </w:rPr>
        <w:t xml:space="preserve"> </w:t>
      </w:r>
      <w:r w:rsidR="00022F7F" w:rsidRPr="00022F7F">
        <w:rPr>
          <w:lang w:val="en-GB"/>
        </w:rPr>
        <w:t>Working with NGOs and local communities builds trust and makes sure that the work is relevant to the needs of the area.</w:t>
      </w:r>
    </w:p>
    <w:p w14:paraId="0CA050D2" w14:textId="77777777" w:rsidR="008B70C0" w:rsidRPr="008B70C0" w:rsidRDefault="008B70C0" w:rsidP="001C71A1">
      <w:pPr>
        <w:jc w:val="both"/>
        <w:rPr>
          <w:b/>
          <w:bCs/>
          <w:lang w:val="en-GB"/>
        </w:rPr>
      </w:pPr>
      <w:r w:rsidRPr="008B70C0">
        <w:rPr>
          <w:b/>
          <w:bCs/>
          <w:lang w:val="en-GB"/>
        </w:rPr>
        <w:t>4. Technological Factors</w:t>
      </w:r>
    </w:p>
    <w:p w14:paraId="7BAF3515" w14:textId="7E8D027A" w:rsidR="008B70C0" w:rsidRPr="008B70C0" w:rsidRDefault="008B70C0" w:rsidP="009749AE">
      <w:pPr>
        <w:numPr>
          <w:ilvl w:val="0"/>
          <w:numId w:val="15"/>
        </w:numPr>
        <w:jc w:val="both"/>
        <w:rPr>
          <w:lang w:val="en-GB"/>
        </w:rPr>
      </w:pPr>
      <w:r w:rsidRPr="008B70C0">
        <w:rPr>
          <w:b/>
          <w:bCs/>
          <w:lang w:val="en-GB"/>
        </w:rPr>
        <w:t xml:space="preserve">Hybrid </w:t>
      </w:r>
      <w:r w:rsidR="00BA3803" w:rsidRPr="008B70C0">
        <w:rPr>
          <w:b/>
          <w:bCs/>
          <w:lang w:val="en-GB"/>
        </w:rPr>
        <w:t>Accessibility:</w:t>
      </w:r>
      <w:r w:rsidRPr="008B70C0">
        <w:rPr>
          <w:lang w:val="en-GB"/>
        </w:rPr>
        <w:t xml:space="preserve"> </w:t>
      </w:r>
      <w:r w:rsidR="00E67718" w:rsidRPr="00E67718">
        <w:rPr>
          <w:lang w:val="en-GB"/>
        </w:rPr>
        <w:t xml:space="preserve">AI-powered </w:t>
      </w:r>
      <w:proofErr w:type="spellStart"/>
      <w:r w:rsidR="00E67718" w:rsidRPr="00E67718">
        <w:rPr>
          <w:lang w:val="en-GB"/>
        </w:rPr>
        <w:t>Swapcard</w:t>
      </w:r>
      <w:proofErr w:type="spellEnd"/>
      <w:r w:rsidR="00E67718" w:rsidRPr="00E67718">
        <w:rPr>
          <w:lang w:val="en-GB"/>
        </w:rPr>
        <w:t xml:space="preserve"> and </w:t>
      </w:r>
      <w:proofErr w:type="spellStart"/>
      <w:r w:rsidR="00E67718" w:rsidRPr="00E67718">
        <w:rPr>
          <w:lang w:val="en-GB"/>
        </w:rPr>
        <w:t>Bizzabo</w:t>
      </w:r>
      <w:proofErr w:type="spellEnd"/>
      <w:r w:rsidR="00E67718" w:rsidRPr="00E67718">
        <w:rPr>
          <w:lang w:val="en-GB"/>
        </w:rPr>
        <w:t xml:space="preserve"> boost guest engagement and cut expenditures by 30%. Mandarin, Hindi, and Korean real-time translation ensures inclusion.</w:t>
      </w:r>
      <w:r w:rsidR="006A036B" w:rsidRPr="009749AE">
        <w:rPr>
          <w:lang w:val="en-GB"/>
        </w:rPr>
        <w:t xml:space="preserve"> </w:t>
      </w:r>
    </w:p>
    <w:p w14:paraId="54FAE4FD" w14:textId="2C6C588C" w:rsidR="008B70C0" w:rsidRPr="008B70C0" w:rsidRDefault="008B70C0">
      <w:pPr>
        <w:numPr>
          <w:ilvl w:val="0"/>
          <w:numId w:val="15"/>
        </w:numPr>
        <w:jc w:val="both"/>
        <w:rPr>
          <w:lang w:val="en-GB"/>
        </w:rPr>
      </w:pPr>
      <w:r w:rsidRPr="008B70C0">
        <w:rPr>
          <w:b/>
          <w:bCs/>
          <w:lang w:val="en-GB"/>
        </w:rPr>
        <w:t>Digital Divide</w:t>
      </w:r>
      <w:r w:rsidRPr="008B70C0">
        <w:rPr>
          <w:lang w:val="en-GB"/>
        </w:rPr>
        <w:t xml:space="preserve">: </w:t>
      </w:r>
      <w:r w:rsidR="009749AE" w:rsidRPr="009749AE">
        <w:rPr>
          <w:lang w:val="en-GB"/>
        </w:rPr>
        <w:t>The lack of technology in rural Asia-Pacific may hamper virtual engagement. Providing low pricing and accessible platforms is crucial.</w:t>
      </w:r>
    </w:p>
    <w:p w14:paraId="382FB0DA" w14:textId="77777777" w:rsidR="008B70C0" w:rsidRPr="008B70C0" w:rsidRDefault="008B70C0" w:rsidP="001C71A1">
      <w:pPr>
        <w:jc w:val="both"/>
        <w:rPr>
          <w:b/>
          <w:bCs/>
          <w:lang w:val="en-GB"/>
        </w:rPr>
      </w:pPr>
      <w:r w:rsidRPr="008B70C0">
        <w:rPr>
          <w:b/>
          <w:bCs/>
          <w:lang w:val="en-GB"/>
        </w:rPr>
        <w:t>5. Environmental Factors</w:t>
      </w:r>
    </w:p>
    <w:p w14:paraId="18A0671A" w14:textId="3B3775B4" w:rsidR="008B70C0" w:rsidRPr="008B70C0" w:rsidRDefault="008B70C0" w:rsidP="00C403BA">
      <w:pPr>
        <w:numPr>
          <w:ilvl w:val="0"/>
          <w:numId w:val="16"/>
        </w:numPr>
        <w:jc w:val="both"/>
        <w:rPr>
          <w:lang w:val="en-GB"/>
        </w:rPr>
      </w:pPr>
      <w:r w:rsidRPr="008B70C0">
        <w:rPr>
          <w:b/>
          <w:bCs/>
          <w:lang w:val="en-GB"/>
        </w:rPr>
        <w:t>Climate Adaptation</w:t>
      </w:r>
      <w:r w:rsidRPr="008B70C0">
        <w:rPr>
          <w:lang w:val="en-GB"/>
        </w:rPr>
        <w:t xml:space="preserve">: </w:t>
      </w:r>
      <w:r w:rsidR="00C403BA" w:rsidRPr="00C403BA">
        <w:rPr>
          <w:lang w:val="en-GB"/>
        </w:rPr>
        <w:t xml:space="preserve">Extreme weather events make it hard to do things outside, which shows how important it is to have infrastructure that can handle damage. The "Green Meetings" program at the Cordis Hotel follows green trends by offering carbon offsetting and zero-waste food </w:t>
      </w:r>
      <w:r w:rsidR="00C403BA" w:rsidRPr="002B0E5C">
        <w:rPr>
          <w:b/>
          <w:bCs/>
          <w:lang w:val="en-GB"/>
        </w:rPr>
        <w:t>(Elevate Your Events at Cordis, n</w:t>
      </w:r>
      <w:r w:rsidR="00C403BA" w:rsidRPr="00C403BA">
        <w:rPr>
          <w:lang w:val="en-GB"/>
        </w:rPr>
        <w:t>.d.).</w:t>
      </w:r>
    </w:p>
    <w:p w14:paraId="01C62648" w14:textId="04A70AEF" w:rsidR="008B70C0" w:rsidRPr="008B70C0" w:rsidRDefault="008B70C0">
      <w:pPr>
        <w:numPr>
          <w:ilvl w:val="0"/>
          <w:numId w:val="16"/>
        </w:numPr>
        <w:jc w:val="both"/>
        <w:rPr>
          <w:lang w:val="en-GB"/>
        </w:rPr>
      </w:pPr>
      <w:r w:rsidRPr="008B70C0">
        <w:rPr>
          <w:b/>
          <w:bCs/>
          <w:lang w:val="en-GB"/>
        </w:rPr>
        <w:t>Sustainability Expectations</w:t>
      </w:r>
      <w:r w:rsidR="00720415" w:rsidRPr="00B63EB7">
        <w:rPr>
          <w:b/>
          <w:bCs/>
          <w:lang w:val="en-GB"/>
        </w:rPr>
        <w:t>:</w:t>
      </w:r>
      <w:r w:rsidRPr="008B70C0">
        <w:rPr>
          <w:lang w:val="en-GB"/>
        </w:rPr>
        <w:t xml:space="preserve"> </w:t>
      </w:r>
      <w:r w:rsidR="00B63EB7" w:rsidRPr="00B63EB7">
        <w:rPr>
          <w:lang w:val="en-GB"/>
        </w:rPr>
        <w:t>More and more, attendees expect eco-friendly actions. Sustainability is important to the summit because it helps its image and fits with global environmental goals.</w:t>
      </w:r>
    </w:p>
    <w:p w14:paraId="29B74710" w14:textId="77777777" w:rsidR="008B70C0" w:rsidRPr="008B70C0" w:rsidRDefault="008B70C0" w:rsidP="001C71A1">
      <w:pPr>
        <w:jc w:val="both"/>
        <w:rPr>
          <w:b/>
          <w:bCs/>
          <w:lang w:val="en-GB"/>
        </w:rPr>
      </w:pPr>
      <w:r w:rsidRPr="008B70C0">
        <w:rPr>
          <w:b/>
          <w:bCs/>
          <w:lang w:val="en-GB"/>
        </w:rPr>
        <w:t>6. Legal Factors</w:t>
      </w:r>
    </w:p>
    <w:p w14:paraId="772DFF69" w14:textId="4C2D1E64" w:rsidR="008B70C0" w:rsidRPr="008B70C0" w:rsidRDefault="008B70C0" w:rsidP="003A3CFE">
      <w:pPr>
        <w:numPr>
          <w:ilvl w:val="0"/>
          <w:numId w:val="17"/>
        </w:numPr>
        <w:jc w:val="both"/>
        <w:rPr>
          <w:lang w:val="en-GB"/>
        </w:rPr>
      </w:pPr>
      <w:r w:rsidRPr="008B70C0">
        <w:rPr>
          <w:b/>
          <w:bCs/>
          <w:lang w:val="en-GB"/>
        </w:rPr>
        <w:t xml:space="preserve">Data Privacy </w:t>
      </w:r>
      <w:r w:rsidR="00720415" w:rsidRPr="008B70C0">
        <w:rPr>
          <w:b/>
          <w:bCs/>
          <w:lang w:val="en-GB"/>
        </w:rPr>
        <w:t>Regulations:</w:t>
      </w:r>
      <w:r w:rsidRPr="008B70C0">
        <w:rPr>
          <w:lang w:val="en-GB"/>
        </w:rPr>
        <w:t xml:space="preserve"> </w:t>
      </w:r>
      <w:r w:rsidR="003A3CFE" w:rsidRPr="003A3CFE">
        <w:rPr>
          <w:lang w:val="en-GB"/>
        </w:rPr>
        <w:t xml:space="preserve">It is very important to follow data privacy laws, like GDPR and state rules in the Asia-Pacific region, when handling information about attendees. These rules must be followed by platforms like </w:t>
      </w:r>
      <w:proofErr w:type="spellStart"/>
      <w:r w:rsidR="003A3CFE" w:rsidRPr="003A3CFE">
        <w:rPr>
          <w:lang w:val="en-GB"/>
        </w:rPr>
        <w:t>Hopin</w:t>
      </w:r>
      <w:proofErr w:type="spellEnd"/>
      <w:r w:rsidR="003A3CFE" w:rsidRPr="003A3CFE">
        <w:rPr>
          <w:lang w:val="en-GB"/>
        </w:rPr>
        <w:t xml:space="preserve"> and Zoom.</w:t>
      </w:r>
    </w:p>
    <w:p w14:paraId="3AAC64BE" w14:textId="0317E729" w:rsidR="008B70C0" w:rsidRPr="008B70C0" w:rsidRDefault="008B70C0" w:rsidP="005319CE">
      <w:pPr>
        <w:numPr>
          <w:ilvl w:val="0"/>
          <w:numId w:val="17"/>
        </w:numPr>
        <w:jc w:val="both"/>
        <w:rPr>
          <w:lang w:val="en-GB"/>
        </w:rPr>
      </w:pPr>
      <w:r w:rsidRPr="008B70C0">
        <w:rPr>
          <w:b/>
          <w:bCs/>
          <w:lang w:val="en-GB"/>
        </w:rPr>
        <w:t xml:space="preserve">Labor </w:t>
      </w:r>
      <w:r w:rsidR="00720415" w:rsidRPr="008B70C0">
        <w:rPr>
          <w:b/>
          <w:bCs/>
          <w:lang w:val="en-GB"/>
        </w:rPr>
        <w:t>Laws:</w:t>
      </w:r>
      <w:r w:rsidRPr="008B70C0">
        <w:rPr>
          <w:lang w:val="en-GB"/>
        </w:rPr>
        <w:t xml:space="preserve"> </w:t>
      </w:r>
      <w:r w:rsidR="005319CE" w:rsidRPr="005319CE">
        <w:rPr>
          <w:lang w:val="en-GB"/>
        </w:rPr>
        <w:t>Regional labour regulations, especially workplace equity and anti-discrimination, shape the summit. Corporate accountability workshops maintain legal compliance.</w:t>
      </w:r>
    </w:p>
    <w:p w14:paraId="26083F58" w14:textId="77777777" w:rsidR="00251CD0" w:rsidRPr="00251CD0" w:rsidRDefault="00251CD0" w:rsidP="002F6D8D">
      <w:pPr>
        <w:rPr>
          <w:lang w:val="en-GB"/>
        </w:rPr>
      </w:pPr>
    </w:p>
    <w:p w14:paraId="68CD7376" w14:textId="77777777" w:rsidR="0038217F" w:rsidRDefault="0038217F">
      <w:pPr>
        <w:spacing w:after="200" w:line="276" w:lineRule="auto"/>
        <w:rPr>
          <w:b/>
          <w:bCs/>
          <w:lang w:val="en-GB"/>
        </w:rPr>
      </w:pPr>
      <w:r>
        <w:rPr>
          <w:b/>
          <w:bCs/>
          <w:lang w:val="en-GB"/>
        </w:rPr>
        <w:br w:type="page"/>
      </w:r>
    </w:p>
    <w:p w14:paraId="48DA3CED" w14:textId="32650715" w:rsidR="00E71389" w:rsidRPr="00E71389" w:rsidRDefault="00E71389" w:rsidP="001C71A1">
      <w:pPr>
        <w:pStyle w:val="Heading2"/>
        <w:jc w:val="both"/>
        <w:rPr>
          <w:lang w:val="en-GB"/>
        </w:rPr>
      </w:pPr>
      <w:bookmarkStart w:id="14" w:name="_Toc191598383"/>
      <w:r w:rsidRPr="00E71389">
        <w:rPr>
          <w:lang w:val="en-GB"/>
        </w:rPr>
        <w:t>Conclusion &amp; Strategic Recommendations</w:t>
      </w:r>
      <w:bookmarkEnd w:id="14"/>
    </w:p>
    <w:p w14:paraId="776038B2" w14:textId="6312F489" w:rsidR="00E71389" w:rsidRPr="00E71389" w:rsidRDefault="00E71389" w:rsidP="001C71A1">
      <w:pPr>
        <w:spacing w:after="200"/>
        <w:jc w:val="both"/>
        <w:rPr>
          <w:lang w:val="en-GB"/>
        </w:rPr>
      </w:pPr>
      <w:r w:rsidRPr="00E71389">
        <w:rPr>
          <w:lang w:val="en-GB"/>
        </w:rPr>
        <w:t>The Asia DEI Summit 2025</w:t>
      </w:r>
      <w:r w:rsidRPr="00E71389">
        <w:rPr>
          <w:b/>
          <w:bCs/>
          <w:lang w:val="en-GB"/>
        </w:rPr>
        <w:t xml:space="preserve"> </w:t>
      </w:r>
      <w:r w:rsidRPr="00E71389">
        <w:rPr>
          <w:lang w:val="en-GB"/>
        </w:rPr>
        <w:t xml:space="preserve">represents a pivotal opportunity to address the pressing need for actionable Equality, Diversity, and Inclusion (ED&amp;I) frameworks in Asia’s corporate and hospitality sectors. </w:t>
      </w:r>
      <w:r w:rsidR="00386A48">
        <w:rPr>
          <w:lang w:val="en-GB"/>
        </w:rPr>
        <w:t>T</w:t>
      </w:r>
      <w:r w:rsidRPr="00E71389">
        <w:rPr>
          <w:lang w:val="en-GB"/>
        </w:rPr>
        <w:t xml:space="preserve">he summit’s focus on culturally tailored solutions, hybrid accessibility, and strategic partnerships ensures its relevance and impact. </w:t>
      </w:r>
      <w:r w:rsidR="006B2BBA" w:rsidRPr="006B2BBA">
        <w:rPr>
          <w:lang w:val="en-GB"/>
        </w:rPr>
        <w:t>By using advanced technologies, sustainability practices, and partnerships with UN Women APAC and Catalyst Asia, the event can empower 500+ leaders, foster cross-sector collaboration, and change policy in Japan, India, and Hong Kong.</w:t>
      </w:r>
    </w:p>
    <w:p w14:paraId="416BF462" w14:textId="77777777" w:rsidR="00E71389" w:rsidRPr="00E71389" w:rsidRDefault="00E71389" w:rsidP="001C71A1">
      <w:pPr>
        <w:spacing w:after="200"/>
        <w:jc w:val="both"/>
        <w:rPr>
          <w:lang w:val="en-GB"/>
        </w:rPr>
      </w:pPr>
      <w:r w:rsidRPr="00E71389">
        <w:rPr>
          <w:lang w:val="en-GB"/>
        </w:rPr>
        <w:t>To sustain and amplify this impact, several strategic recommendations are proposed:</w:t>
      </w:r>
    </w:p>
    <w:p w14:paraId="04C24139" w14:textId="522B2975" w:rsidR="00E71389" w:rsidRPr="00E71389" w:rsidRDefault="00E71389" w:rsidP="00185E21">
      <w:pPr>
        <w:numPr>
          <w:ilvl w:val="0"/>
          <w:numId w:val="18"/>
        </w:numPr>
        <w:spacing w:after="200"/>
        <w:jc w:val="both"/>
        <w:rPr>
          <w:lang w:val="en-GB"/>
        </w:rPr>
      </w:pPr>
      <w:r w:rsidRPr="00E71389">
        <w:rPr>
          <w:b/>
          <w:bCs/>
          <w:lang w:val="en-GB"/>
        </w:rPr>
        <w:t xml:space="preserve">Focus on Measurable </w:t>
      </w:r>
      <w:r w:rsidR="00303FCA" w:rsidRPr="00E71389">
        <w:rPr>
          <w:b/>
          <w:bCs/>
          <w:lang w:val="en-GB"/>
        </w:rPr>
        <w:t>Outcomes:</w:t>
      </w:r>
      <w:r w:rsidRPr="00E71389">
        <w:rPr>
          <w:lang w:val="en-GB"/>
        </w:rPr>
        <w:t xml:space="preserve"> </w:t>
      </w:r>
      <w:r w:rsidR="00185E21" w:rsidRPr="00185E21">
        <w:rPr>
          <w:lang w:val="en-GB"/>
        </w:rPr>
        <w:t>Create a rigorous post-event evaluation mechanism to track attendee learning and organisational development, reinforcing accountability.</w:t>
      </w:r>
    </w:p>
    <w:p w14:paraId="2B4CD4F7" w14:textId="2DDF5D89" w:rsidR="00E71389" w:rsidRPr="00E71389" w:rsidRDefault="00E71389" w:rsidP="002559E6">
      <w:pPr>
        <w:numPr>
          <w:ilvl w:val="0"/>
          <w:numId w:val="18"/>
        </w:numPr>
        <w:spacing w:after="200"/>
        <w:jc w:val="both"/>
        <w:rPr>
          <w:lang w:val="en-GB"/>
        </w:rPr>
      </w:pPr>
      <w:r w:rsidRPr="00E71389">
        <w:rPr>
          <w:b/>
          <w:bCs/>
          <w:lang w:val="en-GB"/>
        </w:rPr>
        <w:t xml:space="preserve">Leverage Sustainability </w:t>
      </w:r>
      <w:r w:rsidR="00303FCA" w:rsidRPr="00E71389">
        <w:rPr>
          <w:b/>
          <w:bCs/>
          <w:lang w:val="en-GB"/>
        </w:rPr>
        <w:t>Practices:</w:t>
      </w:r>
      <w:r w:rsidRPr="00E71389">
        <w:rPr>
          <w:lang w:val="en-GB"/>
        </w:rPr>
        <w:t xml:space="preserve"> </w:t>
      </w:r>
      <w:r w:rsidR="002559E6" w:rsidRPr="002559E6">
        <w:rPr>
          <w:lang w:val="en-GB"/>
        </w:rPr>
        <w:t>Expand Cordis Hotel's “Green Meetings” program to future events to support global environmental goals and boost the event's reputation.</w:t>
      </w:r>
    </w:p>
    <w:p w14:paraId="3D92D67B" w14:textId="6FF2138C" w:rsidR="00E71389" w:rsidRPr="00E71389" w:rsidRDefault="00E71389" w:rsidP="002559E6">
      <w:pPr>
        <w:numPr>
          <w:ilvl w:val="0"/>
          <w:numId w:val="18"/>
        </w:numPr>
        <w:spacing w:after="200"/>
        <w:jc w:val="both"/>
        <w:rPr>
          <w:lang w:val="en-GB"/>
        </w:rPr>
      </w:pPr>
      <w:r w:rsidRPr="00E71389">
        <w:rPr>
          <w:b/>
          <w:bCs/>
          <w:lang w:val="en-GB"/>
        </w:rPr>
        <w:t xml:space="preserve">Address Talent </w:t>
      </w:r>
      <w:r w:rsidR="00303FCA" w:rsidRPr="00E71389">
        <w:rPr>
          <w:b/>
          <w:bCs/>
          <w:lang w:val="en-GB"/>
        </w:rPr>
        <w:t>Shortages:</w:t>
      </w:r>
      <w:r w:rsidRPr="00E71389">
        <w:rPr>
          <w:lang w:val="en-GB"/>
        </w:rPr>
        <w:t xml:space="preserve"> </w:t>
      </w:r>
      <w:r w:rsidR="002559E6" w:rsidRPr="002559E6">
        <w:rPr>
          <w:lang w:val="en-GB"/>
        </w:rPr>
        <w:t>Partner with educational institutions to provide DEI training programs to fill the feasibility study skills gap</w:t>
      </w:r>
      <w:r w:rsidR="002559E6">
        <w:rPr>
          <w:lang w:val="en-GB"/>
        </w:rPr>
        <w:t>.</w:t>
      </w:r>
    </w:p>
    <w:p w14:paraId="453B02DA" w14:textId="7456C861" w:rsidR="00E71389" w:rsidRPr="00E71389" w:rsidRDefault="00565EEF" w:rsidP="001C71A1">
      <w:pPr>
        <w:spacing w:after="200"/>
        <w:jc w:val="both"/>
        <w:rPr>
          <w:lang w:val="en-GB"/>
        </w:rPr>
      </w:pPr>
      <w:r w:rsidRPr="00565EEF">
        <w:rPr>
          <w:lang w:val="en-GB"/>
        </w:rPr>
        <w:t>These suggestions not only guarantee the ongoing success of the summit but also help to establish it as pillar of inclusive development for Asia.  The summit shows resilience and adaptation by tackling geopolitical, economic, and cultural issues via a PESTEL-informed lens.  With 56% of planners expecting more meetings in 2025, the Asia DEI Summit is positioned to become a top forum for transformative change delivering actionable DEI strategies that resonate across sectors and borders as the APAC region drives global optimism.</w:t>
      </w:r>
    </w:p>
    <w:p w14:paraId="26E9275A" w14:textId="101CE6CB" w:rsidR="00EF0262" w:rsidRPr="00E71389" w:rsidRDefault="00EF0262">
      <w:pPr>
        <w:spacing w:after="200"/>
        <w:rPr>
          <w:lang w:val="en-GB"/>
        </w:rPr>
      </w:pPr>
    </w:p>
    <w:p w14:paraId="37D7E8FA" w14:textId="77777777" w:rsidR="00E71389" w:rsidRDefault="00E71389">
      <w:pPr>
        <w:spacing w:after="200" w:line="276" w:lineRule="auto"/>
      </w:pPr>
      <w:r>
        <w:br w:type="page"/>
      </w:r>
    </w:p>
    <w:p w14:paraId="2B9929BA" w14:textId="77777777" w:rsidR="00E2082F" w:rsidRDefault="00EF0262" w:rsidP="00E2082F">
      <w:pPr>
        <w:pStyle w:val="Bibliography"/>
        <w:spacing w:line="360" w:lineRule="auto"/>
        <w:rPr>
          <w:rStyle w:val="Heading2Char"/>
          <w:rFonts w:eastAsiaTheme="minorEastAsia"/>
        </w:rPr>
      </w:pPr>
      <w:bookmarkStart w:id="15" w:name="_Toc191598384"/>
      <w:r w:rsidRPr="00E2082F">
        <w:rPr>
          <w:rStyle w:val="Heading2Char"/>
          <w:rFonts w:eastAsiaTheme="minorEastAsia"/>
        </w:rPr>
        <w:t>Reference</w:t>
      </w:r>
      <w:bookmarkEnd w:id="15"/>
    </w:p>
    <w:p w14:paraId="6770F5B6" w14:textId="77777777" w:rsidR="002B0E5C" w:rsidRPr="002B0E5C" w:rsidRDefault="005B4314" w:rsidP="002B0E5C">
      <w:pPr>
        <w:pStyle w:val="Bibliography"/>
        <w:rPr>
          <w:rFonts w:cs="Arial"/>
        </w:rPr>
      </w:pPr>
      <w:r>
        <w:fldChar w:fldCharType="begin"/>
      </w:r>
      <w:r>
        <w:instrText xml:space="preserve"> ADDIN ZOTERO_BIBL {"uncited":[],"omitted":[],"custom":[]} CSL_BIBLIOGRAPHY </w:instrText>
      </w:r>
      <w:r>
        <w:fldChar w:fldCharType="separate"/>
      </w:r>
      <w:r w:rsidR="002B0E5C" w:rsidRPr="002B0E5C">
        <w:rPr>
          <w:rFonts w:cs="Arial"/>
        </w:rPr>
        <w:t xml:space="preserve">Alahakoon, T., Beatson, A., Keating, B., Mathmann, F., Mortimer, G. and Worsteling, A. (2024) ‘Diversity, Equity and Inclusion Statements in Recruitment Materials: A Systematic Review and Research Agenda’. </w:t>
      </w:r>
      <w:r w:rsidR="002B0E5C" w:rsidRPr="002B0E5C">
        <w:rPr>
          <w:rFonts w:cs="Arial"/>
          <w:i/>
          <w:iCs/>
        </w:rPr>
        <w:t>Australasian Marketing Journal</w:t>
      </w:r>
      <w:r w:rsidR="002B0E5C" w:rsidRPr="002B0E5C">
        <w:rPr>
          <w:rFonts w:cs="Arial"/>
        </w:rPr>
        <w:t xml:space="preserve"> 32(3), pp. 263–274. Available at: doi:10.1177/14413582241255680.</w:t>
      </w:r>
    </w:p>
    <w:p w14:paraId="738F351C" w14:textId="77777777" w:rsidR="002B0E5C" w:rsidRPr="002B0E5C" w:rsidRDefault="002B0E5C" w:rsidP="002B0E5C">
      <w:pPr>
        <w:pStyle w:val="Bibliography"/>
        <w:rPr>
          <w:rFonts w:cs="Arial"/>
        </w:rPr>
      </w:pPr>
      <w:r w:rsidRPr="002B0E5C">
        <w:rPr>
          <w:rFonts w:cs="Arial"/>
          <w:i/>
          <w:iCs/>
        </w:rPr>
        <w:t>Bizzabo</w:t>
      </w:r>
      <w:r w:rsidRPr="002B0E5C">
        <w:rPr>
          <w:rFonts w:cs="Arial"/>
        </w:rPr>
        <w:t xml:space="preserve"> (2025). Available at: https://www.bizzabo.com/ (Accessed: 6 February 2025).</w:t>
      </w:r>
    </w:p>
    <w:p w14:paraId="57F565E3" w14:textId="77777777" w:rsidR="002B0E5C" w:rsidRPr="002B0E5C" w:rsidRDefault="002B0E5C" w:rsidP="002B0E5C">
      <w:pPr>
        <w:pStyle w:val="Bibliography"/>
        <w:rPr>
          <w:rFonts w:cs="Arial"/>
        </w:rPr>
      </w:pPr>
      <w:r w:rsidRPr="002B0E5C">
        <w:rPr>
          <w:rFonts w:cs="Arial"/>
        </w:rPr>
        <w:t xml:space="preserve">Bowdin, G.A.J., Allen, J., Harris, R., Jago, L., O’Toole, W. and McDonnell, I. (2023) </w:t>
      </w:r>
      <w:r w:rsidRPr="002B0E5C">
        <w:rPr>
          <w:rFonts w:cs="Arial"/>
          <w:i/>
          <w:iCs/>
        </w:rPr>
        <w:t>Events Management</w:t>
      </w:r>
      <w:r w:rsidRPr="002B0E5C">
        <w:rPr>
          <w:rFonts w:cs="Arial"/>
        </w:rPr>
        <w:t>. 4th edn. London: Routledge. Available at: doi:10.4324/9781003044963 (Accessed: 27 January 2025).</w:t>
      </w:r>
    </w:p>
    <w:p w14:paraId="7C5292E6" w14:textId="77777777" w:rsidR="002B0E5C" w:rsidRPr="002B0E5C" w:rsidRDefault="002B0E5C" w:rsidP="002B0E5C">
      <w:pPr>
        <w:pStyle w:val="Bibliography"/>
        <w:rPr>
          <w:rFonts w:cs="Arial"/>
        </w:rPr>
      </w:pPr>
      <w:r w:rsidRPr="002B0E5C">
        <w:rPr>
          <w:rFonts w:cs="Arial"/>
        </w:rPr>
        <w:t xml:space="preserve">Brigitte Prud’homme and L. Raymond (2013) ‘Sustainable development practices in the hospitality industry: an empirical study of their impact on customer satisfaction and intentions.’ </w:t>
      </w:r>
      <w:r w:rsidRPr="002B0E5C">
        <w:rPr>
          <w:rFonts w:cs="Arial"/>
          <w:i/>
          <w:iCs/>
        </w:rPr>
        <w:t>International Journal of Hospitality Management</w:t>
      </w:r>
      <w:r w:rsidRPr="002B0E5C">
        <w:rPr>
          <w:rFonts w:cs="Arial"/>
        </w:rPr>
        <w:t xml:space="preserve"> 34, pp. 116–126. Available at: doi:10.1016/J.IJHM.2013.03.003.</w:t>
      </w:r>
    </w:p>
    <w:p w14:paraId="06DA6ECE" w14:textId="77777777" w:rsidR="002B0E5C" w:rsidRPr="002B0E5C" w:rsidRDefault="002B0E5C" w:rsidP="002B0E5C">
      <w:pPr>
        <w:pStyle w:val="Bibliography"/>
        <w:rPr>
          <w:rFonts w:cs="Arial"/>
        </w:rPr>
      </w:pPr>
      <w:r w:rsidRPr="002B0E5C">
        <w:rPr>
          <w:rFonts w:cs="Arial"/>
        </w:rPr>
        <w:t xml:space="preserve">Bush, L. and Lindsey, K. (2024) </w:t>
      </w:r>
      <w:r w:rsidRPr="002B0E5C">
        <w:rPr>
          <w:rFonts w:cs="Arial"/>
          <w:i/>
          <w:iCs/>
        </w:rPr>
        <w:t>Diversity, Equity, and Inclusion in Strategic Communications: Becoming Culturally Proficient Communicators</w:t>
      </w:r>
      <w:r w:rsidRPr="002B0E5C">
        <w:rPr>
          <w:rFonts w:cs="Arial"/>
        </w:rPr>
        <w:t>. Taylor &amp; Francis.</w:t>
      </w:r>
    </w:p>
    <w:p w14:paraId="04D98206" w14:textId="77777777" w:rsidR="002B0E5C" w:rsidRPr="002B0E5C" w:rsidRDefault="002B0E5C" w:rsidP="002B0E5C">
      <w:pPr>
        <w:pStyle w:val="Bibliography"/>
        <w:rPr>
          <w:rFonts w:cs="Arial"/>
        </w:rPr>
      </w:pPr>
      <w:r w:rsidRPr="002B0E5C">
        <w:rPr>
          <w:rFonts w:cs="Arial"/>
          <w:i/>
          <w:iCs/>
        </w:rPr>
        <w:t>Comprehensive Breakdown of How Much a Hybrid Event Costs</w:t>
      </w:r>
      <w:r w:rsidRPr="002B0E5C">
        <w:rPr>
          <w:rFonts w:cs="Arial"/>
        </w:rPr>
        <w:t xml:space="preserve"> (2021). Available at: https://www.clarityexperiences.com/blog/comprehensive-breakdown-of-how-much-a-hybrid-event-costs (Accessed: 3 February 2025).</w:t>
      </w:r>
    </w:p>
    <w:p w14:paraId="275DC199" w14:textId="77777777" w:rsidR="002B0E5C" w:rsidRPr="002B0E5C" w:rsidRDefault="002B0E5C" w:rsidP="002B0E5C">
      <w:pPr>
        <w:pStyle w:val="Bibliography"/>
        <w:rPr>
          <w:rFonts w:cs="Arial"/>
        </w:rPr>
      </w:pPr>
      <w:r w:rsidRPr="002B0E5C">
        <w:rPr>
          <w:rFonts w:cs="Arial"/>
          <w:i/>
          <w:iCs/>
        </w:rPr>
        <w:t>Cordis Hong Kong  · Langham Hospitality Investment Limited</w:t>
      </w:r>
      <w:r w:rsidRPr="002B0E5C">
        <w:rPr>
          <w:rFonts w:cs="Arial"/>
        </w:rPr>
        <w:t xml:space="preserve"> ([no date]). Available at: https://www.langhamhospitality.com/en-US/Investments/Cordis-Hong-Kong/ (Accessed: 3 February 2025).</w:t>
      </w:r>
    </w:p>
    <w:p w14:paraId="52D8E4DF" w14:textId="77777777" w:rsidR="002B0E5C" w:rsidRPr="002B0E5C" w:rsidRDefault="002B0E5C" w:rsidP="002B0E5C">
      <w:pPr>
        <w:pStyle w:val="Bibliography"/>
        <w:rPr>
          <w:rFonts w:cs="Arial"/>
        </w:rPr>
      </w:pPr>
      <w:r w:rsidRPr="002B0E5C">
        <w:rPr>
          <w:rFonts w:cs="Arial"/>
          <w:i/>
          <w:iCs/>
        </w:rPr>
        <w:t>Corporate Meeting and Event Space | Cordis, Hong Kong</w:t>
      </w:r>
      <w:r w:rsidRPr="002B0E5C">
        <w:rPr>
          <w:rFonts w:cs="Arial"/>
        </w:rPr>
        <w:t xml:space="preserve"> (2020). Available at: https://www.cordishotels.com/en/hong-kong/meetings-events/ (Accessed: 3 February 2025).</w:t>
      </w:r>
    </w:p>
    <w:p w14:paraId="65D11421" w14:textId="77777777" w:rsidR="002B0E5C" w:rsidRPr="002B0E5C" w:rsidRDefault="002B0E5C" w:rsidP="002B0E5C">
      <w:pPr>
        <w:pStyle w:val="Bibliography"/>
        <w:rPr>
          <w:rFonts w:cs="Arial"/>
        </w:rPr>
      </w:pPr>
      <w:r w:rsidRPr="002B0E5C">
        <w:rPr>
          <w:rFonts w:cs="Arial"/>
        </w:rPr>
        <w:t xml:space="preserve">Enderes, B. (2021) </w:t>
      </w:r>
      <w:r w:rsidRPr="002B0E5C">
        <w:rPr>
          <w:rFonts w:cs="Arial"/>
          <w:i/>
          <w:iCs/>
        </w:rPr>
        <w:t>Elevating Equity and Diversity: The Challenge Of The Decade</w:t>
      </w:r>
      <w:r w:rsidRPr="002B0E5C">
        <w:rPr>
          <w:rFonts w:cs="Arial"/>
        </w:rPr>
        <w:t>. Available at: https://joshbersin.com/2021/02/elevating-equity-and-diversity-the-challenge-of-the-decade/ (Accessed: 27 February 2025).</w:t>
      </w:r>
    </w:p>
    <w:p w14:paraId="20FE1D04" w14:textId="77777777" w:rsidR="002B0E5C" w:rsidRPr="002B0E5C" w:rsidRDefault="002B0E5C" w:rsidP="002B0E5C">
      <w:pPr>
        <w:pStyle w:val="Bibliography"/>
        <w:rPr>
          <w:rFonts w:cs="Arial"/>
        </w:rPr>
      </w:pPr>
      <w:r w:rsidRPr="002B0E5C">
        <w:rPr>
          <w:rFonts w:cs="Arial"/>
        </w:rPr>
        <w:t xml:space="preserve">Getz, D. (2017) ‘Developing a Framework for Sustainable Event Cities’. </w:t>
      </w:r>
      <w:r w:rsidRPr="002B0E5C">
        <w:rPr>
          <w:rFonts w:cs="Arial"/>
          <w:i/>
          <w:iCs/>
        </w:rPr>
        <w:t>Event Management</w:t>
      </w:r>
      <w:r w:rsidRPr="002B0E5C">
        <w:rPr>
          <w:rFonts w:cs="Arial"/>
        </w:rPr>
        <w:t xml:space="preserve"> 21(5), pp. 575–591. Available at: doi:10.3727/152599517X15053272359031.</w:t>
      </w:r>
    </w:p>
    <w:p w14:paraId="4FABF2ED" w14:textId="2BD2703F" w:rsidR="002B0E5C" w:rsidRPr="002B0E5C" w:rsidRDefault="002B0E5C" w:rsidP="002B0E5C">
      <w:pPr>
        <w:pStyle w:val="Bibliography"/>
        <w:rPr>
          <w:rFonts w:cs="Arial"/>
        </w:rPr>
      </w:pPr>
      <w:r w:rsidRPr="002B0E5C">
        <w:rPr>
          <w:rFonts w:cs="Arial"/>
        </w:rPr>
        <w:t xml:space="preserve">Goldblatt, J.J. (2011) </w:t>
      </w:r>
      <w:r w:rsidRPr="002B0E5C">
        <w:rPr>
          <w:rFonts w:cs="Arial"/>
          <w:i/>
          <w:iCs/>
        </w:rPr>
        <w:t>Special events : a new generation and the next frontier</w:t>
      </w:r>
      <w:r w:rsidRPr="002B0E5C">
        <w:rPr>
          <w:rFonts w:cs="Arial"/>
        </w:rPr>
        <w:t>. Hoboken, N.J. : Wiley. Available at: http://archive.org/details/specialeventsnew0000gold (Accessed: 6 January 2025).</w:t>
      </w:r>
    </w:p>
    <w:p w14:paraId="12934B16" w14:textId="472D318B" w:rsidR="002B0E5C" w:rsidRPr="002B0E5C" w:rsidRDefault="002B0E5C" w:rsidP="002B0E5C">
      <w:pPr>
        <w:pStyle w:val="Bibliography"/>
        <w:rPr>
          <w:rFonts w:cs="Arial"/>
        </w:rPr>
      </w:pPr>
      <w:r w:rsidRPr="002B0E5C">
        <w:rPr>
          <w:rFonts w:cs="Arial"/>
          <w:i/>
          <w:iCs/>
        </w:rPr>
        <w:t>Goldblatt: Special Events: A New Generation and the Next Frontier, 6th Edition - Instructor Companion Site</w:t>
      </w:r>
      <w:r w:rsidRPr="002B0E5C">
        <w:rPr>
          <w:rFonts w:cs="Arial"/>
        </w:rPr>
        <w:t xml:space="preserve"> ([no date]). Available at: https://bcs.wiley.com/he-bcs/Books?action=contents&amp;itemId=047044987X&amp;bcsId=5922 (Accessed: 6 February 2025).</w:t>
      </w:r>
    </w:p>
    <w:p w14:paraId="37B44E6E" w14:textId="4328F70E" w:rsidR="002B0E5C" w:rsidRPr="002B0E5C" w:rsidRDefault="002B0E5C" w:rsidP="002B0E5C">
      <w:pPr>
        <w:pStyle w:val="Bibliography"/>
        <w:rPr>
          <w:rFonts w:cs="Arial"/>
        </w:rPr>
      </w:pPr>
      <w:r w:rsidRPr="002B0E5C">
        <w:rPr>
          <w:rFonts w:cs="Arial"/>
        </w:rPr>
        <w:t xml:space="preserve">Maira (2024) </w:t>
      </w:r>
      <w:r w:rsidRPr="002B0E5C">
        <w:rPr>
          <w:rFonts w:cs="Arial"/>
          <w:i/>
          <w:iCs/>
        </w:rPr>
        <w:t>Swapcard Review: A Look at Features, Pricing, Alternatives &amp; More - vFairs.com</w:t>
      </w:r>
      <w:r w:rsidRPr="002B0E5C">
        <w:rPr>
          <w:rFonts w:cs="Arial"/>
        </w:rPr>
        <w:t>. Available at: https://www.vfairs.com/blog/swapcard-review/ (Accessed: 7 February 2025).</w:t>
      </w:r>
    </w:p>
    <w:p w14:paraId="1B3197B9" w14:textId="77777777" w:rsidR="002B0E5C" w:rsidRPr="002B0E5C" w:rsidRDefault="002B0E5C" w:rsidP="002B0E5C">
      <w:pPr>
        <w:pStyle w:val="Bibliography"/>
        <w:rPr>
          <w:rFonts w:cs="Arial"/>
        </w:rPr>
      </w:pPr>
      <w:r w:rsidRPr="002B0E5C">
        <w:rPr>
          <w:rFonts w:cs="Arial"/>
        </w:rPr>
        <w:t xml:space="preserve">Ponting, S.S.-A. and Dillette, A. (2023) ‘Diversity, equity, and inclusion practices: a Delphi study to build a consensus in hospitality and tourism organizations’. </w:t>
      </w:r>
      <w:r w:rsidRPr="002B0E5C">
        <w:rPr>
          <w:rFonts w:cs="Arial"/>
          <w:i/>
          <w:iCs/>
        </w:rPr>
        <w:t>International Journal of Contemporary Hospitality Management</w:t>
      </w:r>
      <w:r w:rsidRPr="002B0E5C">
        <w:rPr>
          <w:rFonts w:cs="Arial"/>
        </w:rPr>
        <w:t xml:space="preserve"> 35(11), pp. 3764–3786. Available at: doi:10.1108/IJCHM-11-2022-1503.</w:t>
      </w:r>
    </w:p>
    <w:p w14:paraId="58964BCD" w14:textId="77777777" w:rsidR="002B0E5C" w:rsidRPr="002B0E5C" w:rsidRDefault="002B0E5C" w:rsidP="002B0E5C">
      <w:pPr>
        <w:pStyle w:val="Bibliography"/>
        <w:rPr>
          <w:rFonts w:cs="Arial"/>
        </w:rPr>
      </w:pPr>
      <w:r w:rsidRPr="002B0E5C">
        <w:rPr>
          <w:rFonts w:cs="Arial"/>
        </w:rPr>
        <w:t xml:space="preserve">de Sausmarez *, N. (2004) ‘Crisis management for the tourism sector: Preliminary considerations in policy development’. </w:t>
      </w:r>
      <w:r w:rsidRPr="002B0E5C">
        <w:rPr>
          <w:rFonts w:cs="Arial"/>
          <w:i/>
          <w:iCs/>
        </w:rPr>
        <w:t>Tourism and Hospitality Planning &amp; Development</w:t>
      </w:r>
      <w:r w:rsidRPr="002B0E5C">
        <w:rPr>
          <w:rFonts w:cs="Arial"/>
        </w:rPr>
        <w:t xml:space="preserve"> 1(2), pp. 157–172. Available at: doi:10.1080/1479053042000251070.</w:t>
      </w:r>
    </w:p>
    <w:p w14:paraId="18E6EF23" w14:textId="77777777" w:rsidR="002B0E5C" w:rsidRPr="002B0E5C" w:rsidRDefault="002B0E5C" w:rsidP="002B0E5C">
      <w:pPr>
        <w:pStyle w:val="Bibliography"/>
        <w:rPr>
          <w:rFonts w:cs="Arial"/>
        </w:rPr>
      </w:pPr>
      <w:r w:rsidRPr="002B0E5C">
        <w:rPr>
          <w:rFonts w:cs="Arial"/>
        </w:rPr>
        <w:t xml:space="preserve">Seyfi, S., Hall, C.M. and Shabani, B. (2023) ‘COVID-19 and international travel restrictions: the geopolitics of health and tourism’. </w:t>
      </w:r>
      <w:r w:rsidRPr="002B0E5C">
        <w:rPr>
          <w:rFonts w:cs="Arial"/>
          <w:i/>
          <w:iCs/>
        </w:rPr>
        <w:t>Tourism Geographies</w:t>
      </w:r>
      <w:r w:rsidRPr="002B0E5C">
        <w:rPr>
          <w:rFonts w:cs="Arial"/>
        </w:rPr>
        <w:t xml:space="preserve"> 25(1), pp. 357–373. Available at: doi:10.1080/14616688.2020.1833972.</w:t>
      </w:r>
    </w:p>
    <w:p w14:paraId="6E70C843" w14:textId="77777777" w:rsidR="002B0E5C" w:rsidRPr="002B0E5C" w:rsidRDefault="002B0E5C" w:rsidP="002B0E5C">
      <w:pPr>
        <w:pStyle w:val="Bibliography"/>
        <w:rPr>
          <w:rFonts w:cs="Arial"/>
        </w:rPr>
      </w:pPr>
      <w:r w:rsidRPr="002B0E5C">
        <w:rPr>
          <w:rFonts w:cs="Arial"/>
        </w:rPr>
        <w:t xml:space="preserve">Shinozaki, S. (2023) </w:t>
      </w:r>
      <w:r w:rsidRPr="002B0E5C">
        <w:rPr>
          <w:rFonts w:cs="Arial"/>
          <w:i/>
          <w:iCs/>
        </w:rPr>
        <w:t>Asia small and medium-sized enterprise monitor 2023: how small firms can contribute to resilient growth in the Pacific post COVID-19 pandemic</w:t>
      </w:r>
      <w:r w:rsidRPr="002B0E5C">
        <w:rPr>
          <w:rFonts w:cs="Arial"/>
        </w:rPr>
        <w:t>. Mandaluyong City, Metro Manila, Philippines: Asian Development Bank.</w:t>
      </w:r>
    </w:p>
    <w:p w14:paraId="77BF952B" w14:textId="77777777" w:rsidR="002B0E5C" w:rsidRPr="002B0E5C" w:rsidRDefault="002B0E5C" w:rsidP="002B0E5C">
      <w:pPr>
        <w:pStyle w:val="Bibliography"/>
        <w:rPr>
          <w:rFonts w:cs="Arial"/>
        </w:rPr>
      </w:pPr>
      <w:r w:rsidRPr="002B0E5C">
        <w:rPr>
          <w:rFonts w:cs="Arial"/>
        </w:rPr>
        <w:t xml:space="preserve">Silvers, J.R., Bowdin, G.A.J., O’Toole, W.J. and Nelson, K.B. (2005) ‘Towards an International Event Management Body of Knowledge (EMBOK)’. </w:t>
      </w:r>
      <w:r w:rsidRPr="002B0E5C">
        <w:rPr>
          <w:rFonts w:cs="Arial"/>
          <w:i/>
          <w:iCs/>
        </w:rPr>
        <w:t>Event Management</w:t>
      </w:r>
      <w:r w:rsidRPr="002B0E5C">
        <w:rPr>
          <w:rFonts w:cs="Arial"/>
        </w:rPr>
        <w:t xml:space="preserve"> 9(4), pp. 185–198. Available at: doi:10.3727/152599506776771571.</w:t>
      </w:r>
    </w:p>
    <w:p w14:paraId="0BCA82F1" w14:textId="77777777" w:rsidR="002B0E5C" w:rsidRPr="002B0E5C" w:rsidRDefault="002B0E5C" w:rsidP="002B0E5C">
      <w:pPr>
        <w:pStyle w:val="Bibliography"/>
        <w:rPr>
          <w:rFonts w:cs="Arial"/>
        </w:rPr>
      </w:pPr>
      <w:r w:rsidRPr="002B0E5C">
        <w:rPr>
          <w:rFonts w:cs="Arial"/>
        </w:rPr>
        <w:t xml:space="preserve">Stefanic, D. (2024) ‘Understanding Diversity Training Cost in the USA’. </w:t>
      </w:r>
      <w:r w:rsidRPr="002B0E5C">
        <w:rPr>
          <w:rFonts w:cs="Arial"/>
          <w:i/>
          <w:iCs/>
        </w:rPr>
        <w:t>Hyperspace</w:t>
      </w:r>
      <w:r w:rsidRPr="002B0E5C">
        <w:rPr>
          <w:rFonts w:cs="Arial"/>
          <w:i/>
          <w:iCs/>
          <w:vertAlign w:val="superscript"/>
        </w:rPr>
        <w:t>mv</w:t>
      </w:r>
      <w:r w:rsidRPr="002B0E5C">
        <w:rPr>
          <w:rFonts w:cs="Arial"/>
          <w:i/>
          <w:iCs/>
        </w:rPr>
        <w:t xml:space="preserve"> - the metaverse for business platform</w:t>
      </w:r>
      <w:r w:rsidRPr="002B0E5C">
        <w:rPr>
          <w:rFonts w:cs="Arial"/>
        </w:rPr>
        <w:t xml:space="preserve"> 16 August. Available at: https://hyperspace.mv/understanding-diversity-training-cost-in-the-usa/ (Accessed: 3 February 2025).</w:t>
      </w:r>
    </w:p>
    <w:p w14:paraId="730E15D0" w14:textId="77777777" w:rsidR="002B0E5C" w:rsidRPr="002B0E5C" w:rsidRDefault="002B0E5C" w:rsidP="002B0E5C">
      <w:pPr>
        <w:pStyle w:val="Bibliography"/>
        <w:rPr>
          <w:rFonts w:cs="Arial"/>
        </w:rPr>
      </w:pPr>
      <w:r w:rsidRPr="002B0E5C">
        <w:rPr>
          <w:rFonts w:cs="Arial"/>
        </w:rPr>
        <w:t xml:space="preserve">Taylor, M.M., Fernandez, C.S., Dave, G., Brandert, K., Larkin, S., Mollenkopf, K. and Corbie, G. (2023) ‘Implementing measurable goals for diversity, equity, and inclusion in Clinical and Translational Science Awards leadership’. </w:t>
      </w:r>
      <w:r w:rsidRPr="002B0E5C">
        <w:rPr>
          <w:rFonts w:cs="Arial"/>
          <w:i/>
          <w:iCs/>
        </w:rPr>
        <w:t>Equity in Education &amp; Society</w:t>
      </w:r>
      <w:r w:rsidRPr="002B0E5C">
        <w:rPr>
          <w:rFonts w:cs="Arial"/>
        </w:rPr>
        <w:t xml:space="preserve"> 2(2), pp. 198–205. Available at: doi:10.1177/27526461231159920.</w:t>
      </w:r>
    </w:p>
    <w:p w14:paraId="7E67CA97" w14:textId="159AA995" w:rsidR="002B0E5C" w:rsidRPr="002B0E5C" w:rsidRDefault="002B0E5C" w:rsidP="002B0E5C">
      <w:pPr>
        <w:pStyle w:val="Bibliography"/>
        <w:rPr>
          <w:rFonts w:cs="Arial"/>
        </w:rPr>
      </w:pPr>
      <w:r w:rsidRPr="002B0E5C">
        <w:rPr>
          <w:rFonts w:cs="Arial"/>
        </w:rPr>
        <w:t xml:space="preserve">Thomas, A. (2024) ‘Revolutionizing Events: Exploring the Seamless Integration of Robots in Hybrid and Virtual Experiences’. in </w:t>
      </w:r>
      <w:r w:rsidRPr="002B0E5C">
        <w:rPr>
          <w:rFonts w:cs="Arial"/>
          <w:i/>
          <w:iCs/>
        </w:rPr>
        <w:t>New Technologies in Virtual and Hybrid Events</w:t>
      </w:r>
      <w:r w:rsidRPr="002B0E5C">
        <w:rPr>
          <w:rFonts w:cs="Arial"/>
        </w:rPr>
        <w:t>. IGI Global Scientific Publishing, pp. 19–46. Available at: doi:10.4018/979-8-3693-2272-7.ch002 (Accessed: 7 February 2025).</w:t>
      </w:r>
    </w:p>
    <w:p w14:paraId="6ED3F0C6" w14:textId="77777777" w:rsidR="002B0E5C" w:rsidRPr="002B0E5C" w:rsidRDefault="002B0E5C" w:rsidP="002B0E5C">
      <w:pPr>
        <w:pStyle w:val="Bibliography"/>
        <w:rPr>
          <w:rFonts w:cs="Arial"/>
        </w:rPr>
      </w:pPr>
      <w:r w:rsidRPr="002B0E5C">
        <w:rPr>
          <w:rFonts w:cs="Arial"/>
        </w:rPr>
        <w:t xml:space="preserve">Wang, C., Hu, R. and Zhang, T. (Christina) (2020) ‘Corporate social responsibility in international hotel chains and its effects on local employees: Scale development and empirical testing in China’. </w:t>
      </w:r>
      <w:r w:rsidRPr="002B0E5C">
        <w:rPr>
          <w:rFonts w:cs="Arial"/>
          <w:i/>
          <w:iCs/>
        </w:rPr>
        <w:t>International Journal of Hospitality Management</w:t>
      </w:r>
      <w:r w:rsidRPr="002B0E5C">
        <w:rPr>
          <w:rFonts w:cs="Arial"/>
        </w:rPr>
        <w:t xml:space="preserve"> 90, p. 102598. Available at: doi:10.1016/j.ijhm.2020.102598.</w:t>
      </w:r>
    </w:p>
    <w:p w14:paraId="53C8C7C0" w14:textId="77777777" w:rsidR="002B0E5C" w:rsidRPr="002B0E5C" w:rsidRDefault="002B0E5C" w:rsidP="002B0E5C">
      <w:pPr>
        <w:pStyle w:val="Bibliography"/>
        <w:rPr>
          <w:rFonts w:cs="Arial"/>
        </w:rPr>
      </w:pPr>
      <w:r w:rsidRPr="002B0E5C">
        <w:rPr>
          <w:rFonts w:cs="Arial"/>
        </w:rPr>
        <w:t xml:space="preserve">Yeung, H.W. (1997) ‘Business Networks and Transnational Corporations: A Study of Hong Kong Firms in the ASEAN Region’. </w:t>
      </w:r>
      <w:r w:rsidRPr="002B0E5C">
        <w:rPr>
          <w:rFonts w:cs="Arial"/>
          <w:i/>
          <w:iCs/>
        </w:rPr>
        <w:t>Economic Geography</w:t>
      </w:r>
      <w:r w:rsidRPr="002B0E5C">
        <w:rPr>
          <w:rFonts w:cs="Arial"/>
        </w:rPr>
        <w:t xml:space="preserve"> 73(1), pp. 1–25. Available at: doi:10.1111/j.1944-8287.1997.tb00082.x.</w:t>
      </w:r>
    </w:p>
    <w:p w14:paraId="405E7D32" w14:textId="5A4B4B00" w:rsidR="00E94B5F" w:rsidRPr="004B7E44" w:rsidRDefault="005B4314" w:rsidP="004B7E44">
      <w:r>
        <w:fldChar w:fldCharType="end"/>
      </w:r>
    </w:p>
    <w:sectPr w:rsidR="00E94B5F" w:rsidRPr="004B7E44" w:rsidSect="00C00F02">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5735C" w14:textId="77777777" w:rsidR="00F01A00" w:rsidRDefault="00F01A00" w:rsidP="004B7E44">
      <w:r>
        <w:separator/>
      </w:r>
    </w:p>
  </w:endnote>
  <w:endnote w:type="continuationSeparator" w:id="0">
    <w:p w14:paraId="3CFF5AF7" w14:textId="77777777" w:rsidR="00F01A00" w:rsidRDefault="00F01A00" w:rsidP="004B7E44">
      <w:r>
        <w:continuationSeparator/>
      </w:r>
    </w:p>
  </w:endnote>
  <w:endnote w:type="continuationNotice" w:id="1">
    <w:p w14:paraId="72488DDB" w14:textId="77777777" w:rsidR="00F01A00" w:rsidRDefault="00F01A0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Nirmala UI">
    <w:panose1 w:val="020B0502040204020203"/>
    <w:charset w:val="00"/>
    <w:family w:val="swiss"/>
    <w:pitch w:val="variable"/>
    <w:sig w:usb0="80FF8023" w:usb1="0200004A" w:usb2="00000200" w:usb3="00000000" w:csb0="00000001" w:csb1="00000000"/>
  </w:font>
  <w:font w:name="Arial">
    <w:panose1 w:val="020B0604020202020204"/>
    <w:charset w:val="00"/>
    <w:family w:val="swiss"/>
    <w:pitch w:val="variable"/>
    <w:sig w:usb0="E0002EFF" w:usb1="C000785B" w:usb2="00000009" w:usb3="00000000" w:csb0="000001FF" w:csb1="00000000"/>
  </w:font>
  <w:font w:name="Franklin Gothic Book">
    <w:altName w:val="Cambria"/>
    <w:panose1 w:val="00000000000000000000"/>
    <w:charset w:val="00"/>
    <w:family w:val="roman"/>
    <w:notTrueType/>
    <w:pitch w:val="default"/>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CCDF6" w14:textId="77777777" w:rsidR="003B68C6" w:rsidRDefault="009E5819">
    <w:r>
      <w:cr/>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191010"/>
      <w:docPartObj>
        <w:docPartGallery w:val="Page Numbers (Bottom of Page)"/>
        <w:docPartUnique/>
      </w:docPartObj>
    </w:sdtPr>
    <w:sdtEndPr>
      <w:rPr>
        <w:noProof/>
      </w:rPr>
    </w:sdtEndPr>
    <w:sdtContent>
      <w:p w14:paraId="7DFD25BA" w14:textId="52935F07" w:rsidR="005A718F" w:rsidRDefault="005A718F" w:rsidP="004B7E44">
        <w:pPr>
          <w:pStyle w:val="Footer"/>
        </w:pPr>
        <w:r>
          <w:fldChar w:fldCharType="begin"/>
        </w:r>
        <w:r>
          <w:instrText xml:space="preserve"> PAGE   \* MERGEFORMAT </w:instrText>
        </w:r>
        <w:r>
          <w:fldChar w:fldCharType="separate"/>
        </w:r>
        <w:r w:rsidR="00EA54E2">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32D45" w14:textId="77777777" w:rsidR="00F01A00" w:rsidRDefault="00F01A00" w:rsidP="004B7E44">
      <w:r>
        <w:separator/>
      </w:r>
    </w:p>
  </w:footnote>
  <w:footnote w:type="continuationSeparator" w:id="0">
    <w:p w14:paraId="24B371A9" w14:textId="77777777" w:rsidR="00F01A00" w:rsidRDefault="00F01A00" w:rsidP="004B7E44">
      <w:r>
        <w:continuationSeparator/>
      </w:r>
    </w:p>
  </w:footnote>
  <w:footnote w:type="continuationNotice" w:id="1">
    <w:p w14:paraId="39A8A75D" w14:textId="77777777" w:rsidR="00F01A00" w:rsidRDefault="00F01A0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04D3A449" w14:textId="77777777" w:rsidTr="004B7E44">
      <w:trPr>
        <w:trHeight w:val="1318"/>
      </w:trPr>
      <w:tc>
        <w:tcPr>
          <w:tcW w:w="12210" w:type="dxa"/>
          <w:tcBorders>
            <w:top w:val="nil"/>
            <w:left w:val="nil"/>
            <w:bottom w:val="nil"/>
            <w:right w:val="nil"/>
          </w:tcBorders>
        </w:tcPr>
        <w:p w14:paraId="40A49422" w14:textId="7406C0F4" w:rsidR="004B7E44" w:rsidRDefault="004B7E44" w:rsidP="004B7E44">
          <w:pPr>
            <w:pStyle w:val="Header"/>
          </w:pP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2E92"/>
    <w:multiLevelType w:val="multilevel"/>
    <w:tmpl w:val="91FE2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EF0B5B"/>
    <w:multiLevelType w:val="multilevel"/>
    <w:tmpl w:val="87068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3F0B2D"/>
    <w:multiLevelType w:val="multilevel"/>
    <w:tmpl w:val="E4CC1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230D32"/>
    <w:multiLevelType w:val="multilevel"/>
    <w:tmpl w:val="D0BE8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924775"/>
    <w:multiLevelType w:val="multilevel"/>
    <w:tmpl w:val="4D5C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337A49"/>
    <w:multiLevelType w:val="multilevel"/>
    <w:tmpl w:val="2230E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7C22FF"/>
    <w:multiLevelType w:val="hybridMultilevel"/>
    <w:tmpl w:val="8236C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CA66B0"/>
    <w:multiLevelType w:val="multilevel"/>
    <w:tmpl w:val="947A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7D41BD"/>
    <w:multiLevelType w:val="multilevel"/>
    <w:tmpl w:val="79F42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5606A7"/>
    <w:multiLevelType w:val="multilevel"/>
    <w:tmpl w:val="B3F0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5A3A75"/>
    <w:multiLevelType w:val="multilevel"/>
    <w:tmpl w:val="B17C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FD31AA"/>
    <w:multiLevelType w:val="multilevel"/>
    <w:tmpl w:val="01101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75097F"/>
    <w:multiLevelType w:val="multilevel"/>
    <w:tmpl w:val="0D7C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DF3CB3"/>
    <w:multiLevelType w:val="multilevel"/>
    <w:tmpl w:val="9C52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61D2192"/>
    <w:multiLevelType w:val="multilevel"/>
    <w:tmpl w:val="3F340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226A79"/>
    <w:multiLevelType w:val="multilevel"/>
    <w:tmpl w:val="DBBE8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3403E78"/>
    <w:multiLevelType w:val="multilevel"/>
    <w:tmpl w:val="6CC8C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EE30CD"/>
    <w:multiLevelType w:val="multilevel"/>
    <w:tmpl w:val="BB80B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121BB0"/>
    <w:multiLevelType w:val="multilevel"/>
    <w:tmpl w:val="E67CB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2695762">
    <w:abstractNumId w:val="1"/>
  </w:num>
  <w:num w:numId="2" w16cid:durableId="1884437815">
    <w:abstractNumId w:val="2"/>
  </w:num>
  <w:num w:numId="3" w16cid:durableId="1652833234">
    <w:abstractNumId w:val="14"/>
  </w:num>
  <w:num w:numId="4" w16cid:durableId="1135172288">
    <w:abstractNumId w:val="11"/>
  </w:num>
  <w:num w:numId="5" w16cid:durableId="359279896">
    <w:abstractNumId w:val="10"/>
  </w:num>
  <w:num w:numId="6" w16cid:durableId="1771045556">
    <w:abstractNumId w:val="8"/>
  </w:num>
  <w:num w:numId="7" w16cid:durableId="693724119">
    <w:abstractNumId w:val="13"/>
  </w:num>
  <w:num w:numId="8" w16cid:durableId="700135154">
    <w:abstractNumId w:val="17"/>
  </w:num>
  <w:num w:numId="9" w16cid:durableId="1999308440">
    <w:abstractNumId w:val="18"/>
  </w:num>
  <w:num w:numId="10" w16cid:durableId="699167855">
    <w:abstractNumId w:val="5"/>
  </w:num>
  <w:num w:numId="11" w16cid:durableId="241718274">
    <w:abstractNumId w:val="7"/>
  </w:num>
  <w:num w:numId="12" w16cid:durableId="2121292984">
    <w:abstractNumId w:val="12"/>
  </w:num>
  <w:num w:numId="13" w16cid:durableId="1707177432">
    <w:abstractNumId w:val="16"/>
  </w:num>
  <w:num w:numId="14" w16cid:durableId="482114952">
    <w:abstractNumId w:val="0"/>
  </w:num>
  <w:num w:numId="15" w16cid:durableId="850143630">
    <w:abstractNumId w:val="9"/>
  </w:num>
  <w:num w:numId="16" w16cid:durableId="859247624">
    <w:abstractNumId w:val="15"/>
  </w:num>
  <w:num w:numId="17" w16cid:durableId="743793934">
    <w:abstractNumId w:val="4"/>
  </w:num>
  <w:num w:numId="18" w16cid:durableId="439688694">
    <w:abstractNumId w:val="3"/>
  </w:num>
  <w:num w:numId="19" w16cid:durableId="14008646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0E9"/>
    <w:rsid w:val="00001821"/>
    <w:rsid w:val="00022F7F"/>
    <w:rsid w:val="00035CF1"/>
    <w:rsid w:val="00045CBB"/>
    <w:rsid w:val="0005142B"/>
    <w:rsid w:val="00094880"/>
    <w:rsid w:val="000A3B9D"/>
    <w:rsid w:val="000B4AB5"/>
    <w:rsid w:val="000D0D64"/>
    <w:rsid w:val="000D1D3F"/>
    <w:rsid w:val="000F276A"/>
    <w:rsid w:val="000F3D95"/>
    <w:rsid w:val="00100E58"/>
    <w:rsid w:val="00104892"/>
    <w:rsid w:val="0011713B"/>
    <w:rsid w:val="00117A5C"/>
    <w:rsid w:val="00117BBC"/>
    <w:rsid w:val="001224CF"/>
    <w:rsid w:val="00122F4C"/>
    <w:rsid w:val="00137C1B"/>
    <w:rsid w:val="0015415C"/>
    <w:rsid w:val="00162DDE"/>
    <w:rsid w:val="00167217"/>
    <w:rsid w:val="00171D4F"/>
    <w:rsid w:val="001833D3"/>
    <w:rsid w:val="00185E21"/>
    <w:rsid w:val="001A051A"/>
    <w:rsid w:val="001A3379"/>
    <w:rsid w:val="001A451E"/>
    <w:rsid w:val="001A61F9"/>
    <w:rsid w:val="001A7F2C"/>
    <w:rsid w:val="001B7E47"/>
    <w:rsid w:val="001C71A1"/>
    <w:rsid w:val="001D3F74"/>
    <w:rsid w:val="00211CCF"/>
    <w:rsid w:val="00220746"/>
    <w:rsid w:val="002318FE"/>
    <w:rsid w:val="00235B90"/>
    <w:rsid w:val="002368A3"/>
    <w:rsid w:val="00251CD0"/>
    <w:rsid w:val="00254599"/>
    <w:rsid w:val="002559E6"/>
    <w:rsid w:val="0026221F"/>
    <w:rsid w:val="0026352B"/>
    <w:rsid w:val="002643C8"/>
    <w:rsid w:val="0027255C"/>
    <w:rsid w:val="00272F07"/>
    <w:rsid w:val="00277C6C"/>
    <w:rsid w:val="00280BCA"/>
    <w:rsid w:val="00281755"/>
    <w:rsid w:val="00293B83"/>
    <w:rsid w:val="002A28D0"/>
    <w:rsid w:val="002B0E5C"/>
    <w:rsid w:val="002B549C"/>
    <w:rsid w:val="002C3A95"/>
    <w:rsid w:val="002C5FD9"/>
    <w:rsid w:val="002C7FB7"/>
    <w:rsid w:val="002D76C8"/>
    <w:rsid w:val="002E5721"/>
    <w:rsid w:val="002E59CD"/>
    <w:rsid w:val="002F6D8D"/>
    <w:rsid w:val="00303FCA"/>
    <w:rsid w:val="00321EEF"/>
    <w:rsid w:val="0033152A"/>
    <w:rsid w:val="00354411"/>
    <w:rsid w:val="00365BB8"/>
    <w:rsid w:val="0038217F"/>
    <w:rsid w:val="00386A48"/>
    <w:rsid w:val="003A3CFE"/>
    <w:rsid w:val="003B2826"/>
    <w:rsid w:val="003B68C6"/>
    <w:rsid w:val="003C0E43"/>
    <w:rsid w:val="003C6BAE"/>
    <w:rsid w:val="004053A9"/>
    <w:rsid w:val="004116D7"/>
    <w:rsid w:val="0041694A"/>
    <w:rsid w:val="00417252"/>
    <w:rsid w:val="00420D01"/>
    <w:rsid w:val="004248A1"/>
    <w:rsid w:val="00427C11"/>
    <w:rsid w:val="004425AC"/>
    <w:rsid w:val="0045092D"/>
    <w:rsid w:val="00465AC6"/>
    <w:rsid w:val="00471164"/>
    <w:rsid w:val="00476A80"/>
    <w:rsid w:val="00480F2A"/>
    <w:rsid w:val="004853BF"/>
    <w:rsid w:val="004A1E34"/>
    <w:rsid w:val="004A383C"/>
    <w:rsid w:val="004A6F49"/>
    <w:rsid w:val="004B7E44"/>
    <w:rsid w:val="004D2431"/>
    <w:rsid w:val="004D5252"/>
    <w:rsid w:val="004D6407"/>
    <w:rsid w:val="004E16B5"/>
    <w:rsid w:val="004F292D"/>
    <w:rsid w:val="004F2B86"/>
    <w:rsid w:val="00502269"/>
    <w:rsid w:val="00510833"/>
    <w:rsid w:val="00511499"/>
    <w:rsid w:val="00517481"/>
    <w:rsid w:val="0051783A"/>
    <w:rsid w:val="00520604"/>
    <w:rsid w:val="00525B5C"/>
    <w:rsid w:val="00525E01"/>
    <w:rsid w:val="0053069B"/>
    <w:rsid w:val="005319CE"/>
    <w:rsid w:val="005373B3"/>
    <w:rsid w:val="0053783F"/>
    <w:rsid w:val="00541557"/>
    <w:rsid w:val="00542702"/>
    <w:rsid w:val="00546951"/>
    <w:rsid w:val="00547535"/>
    <w:rsid w:val="00547BC2"/>
    <w:rsid w:val="00565EEF"/>
    <w:rsid w:val="00567703"/>
    <w:rsid w:val="00594594"/>
    <w:rsid w:val="005A139D"/>
    <w:rsid w:val="005A4267"/>
    <w:rsid w:val="005A718F"/>
    <w:rsid w:val="005B4314"/>
    <w:rsid w:val="005B4412"/>
    <w:rsid w:val="005B6206"/>
    <w:rsid w:val="005D232C"/>
    <w:rsid w:val="005E4BB2"/>
    <w:rsid w:val="005E62E7"/>
    <w:rsid w:val="005E6B17"/>
    <w:rsid w:val="00611F05"/>
    <w:rsid w:val="00631F9B"/>
    <w:rsid w:val="00646402"/>
    <w:rsid w:val="00650248"/>
    <w:rsid w:val="00670527"/>
    <w:rsid w:val="0067453A"/>
    <w:rsid w:val="00674BD4"/>
    <w:rsid w:val="00691A07"/>
    <w:rsid w:val="00693ECC"/>
    <w:rsid w:val="00696D85"/>
    <w:rsid w:val="00697E40"/>
    <w:rsid w:val="006A036B"/>
    <w:rsid w:val="006A3CE7"/>
    <w:rsid w:val="006B2ADE"/>
    <w:rsid w:val="006B2BBA"/>
    <w:rsid w:val="006C54C3"/>
    <w:rsid w:val="006D55F0"/>
    <w:rsid w:val="006D7DD5"/>
    <w:rsid w:val="006E6E41"/>
    <w:rsid w:val="006E735D"/>
    <w:rsid w:val="006E740F"/>
    <w:rsid w:val="0070119F"/>
    <w:rsid w:val="0070140E"/>
    <w:rsid w:val="00720415"/>
    <w:rsid w:val="00723CEE"/>
    <w:rsid w:val="0073620C"/>
    <w:rsid w:val="007420D5"/>
    <w:rsid w:val="007476C0"/>
    <w:rsid w:val="007516CF"/>
    <w:rsid w:val="0079783B"/>
    <w:rsid w:val="007B169C"/>
    <w:rsid w:val="007D6646"/>
    <w:rsid w:val="007E0B32"/>
    <w:rsid w:val="007F09EB"/>
    <w:rsid w:val="00800589"/>
    <w:rsid w:val="00802119"/>
    <w:rsid w:val="00822EDE"/>
    <w:rsid w:val="008236B0"/>
    <w:rsid w:val="00832E42"/>
    <w:rsid w:val="008400E4"/>
    <w:rsid w:val="00844C7A"/>
    <w:rsid w:val="00857DD6"/>
    <w:rsid w:val="008701B5"/>
    <w:rsid w:val="00874DE0"/>
    <w:rsid w:val="00890CC2"/>
    <w:rsid w:val="008925E1"/>
    <w:rsid w:val="008A7F02"/>
    <w:rsid w:val="008B2ED5"/>
    <w:rsid w:val="008B33BC"/>
    <w:rsid w:val="008B6472"/>
    <w:rsid w:val="008B70C0"/>
    <w:rsid w:val="008C0AEB"/>
    <w:rsid w:val="008D0C15"/>
    <w:rsid w:val="008D444E"/>
    <w:rsid w:val="008F7921"/>
    <w:rsid w:val="0090022C"/>
    <w:rsid w:val="009120E9"/>
    <w:rsid w:val="00913F78"/>
    <w:rsid w:val="00945900"/>
    <w:rsid w:val="009749AE"/>
    <w:rsid w:val="00977A42"/>
    <w:rsid w:val="0099010D"/>
    <w:rsid w:val="009B60B4"/>
    <w:rsid w:val="009C396C"/>
    <w:rsid w:val="009C658E"/>
    <w:rsid w:val="009E5819"/>
    <w:rsid w:val="009F265B"/>
    <w:rsid w:val="00A01905"/>
    <w:rsid w:val="00A049E4"/>
    <w:rsid w:val="00A07147"/>
    <w:rsid w:val="00A13232"/>
    <w:rsid w:val="00A13965"/>
    <w:rsid w:val="00A20F93"/>
    <w:rsid w:val="00A27C94"/>
    <w:rsid w:val="00A4085D"/>
    <w:rsid w:val="00A446B9"/>
    <w:rsid w:val="00A47E09"/>
    <w:rsid w:val="00A66C41"/>
    <w:rsid w:val="00A81D00"/>
    <w:rsid w:val="00A90775"/>
    <w:rsid w:val="00AA57C1"/>
    <w:rsid w:val="00AE57AA"/>
    <w:rsid w:val="00AE644E"/>
    <w:rsid w:val="00AE7132"/>
    <w:rsid w:val="00AF18ED"/>
    <w:rsid w:val="00B0060A"/>
    <w:rsid w:val="00B01976"/>
    <w:rsid w:val="00B2580D"/>
    <w:rsid w:val="00B33778"/>
    <w:rsid w:val="00B51E41"/>
    <w:rsid w:val="00B53912"/>
    <w:rsid w:val="00B54206"/>
    <w:rsid w:val="00B572B4"/>
    <w:rsid w:val="00B63EB7"/>
    <w:rsid w:val="00B65AEE"/>
    <w:rsid w:val="00B77B9F"/>
    <w:rsid w:val="00B94A3A"/>
    <w:rsid w:val="00B95AF5"/>
    <w:rsid w:val="00BA3803"/>
    <w:rsid w:val="00BB605F"/>
    <w:rsid w:val="00BB69CC"/>
    <w:rsid w:val="00BD6C55"/>
    <w:rsid w:val="00BE1584"/>
    <w:rsid w:val="00BE528B"/>
    <w:rsid w:val="00BE708B"/>
    <w:rsid w:val="00C00F02"/>
    <w:rsid w:val="00C06B51"/>
    <w:rsid w:val="00C11FAC"/>
    <w:rsid w:val="00C20043"/>
    <w:rsid w:val="00C241F3"/>
    <w:rsid w:val="00C403BA"/>
    <w:rsid w:val="00C44D5B"/>
    <w:rsid w:val="00C47C7E"/>
    <w:rsid w:val="00C5329C"/>
    <w:rsid w:val="00C54B11"/>
    <w:rsid w:val="00C60074"/>
    <w:rsid w:val="00C60B66"/>
    <w:rsid w:val="00C64E88"/>
    <w:rsid w:val="00C7431F"/>
    <w:rsid w:val="00C85D9A"/>
    <w:rsid w:val="00C9103E"/>
    <w:rsid w:val="00C91E0E"/>
    <w:rsid w:val="00CA1332"/>
    <w:rsid w:val="00CA7FCC"/>
    <w:rsid w:val="00CB3EE0"/>
    <w:rsid w:val="00CC3E52"/>
    <w:rsid w:val="00CD3871"/>
    <w:rsid w:val="00CD54B1"/>
    <w:rsid w:val="00CE4C02"/>
    <w:rsid w:val="00CE5A99"/>
    <w:rsid w:val="00CF3DD7"/>
    <w:rsid w:val="00D01267"/>
    <w:rsid w:val="00D13847"/>
    <w:rsid w:val="00D142E3"/>
    <w:rsid w:val="00D20E8F"/>
    <w:rsid w:val="00D307C5"/>
    <w:rsid w:val="00D40E34"/>
    <w:rsid w:val="00D4127F"/>
    <w:rsid w:val="00D57F41"/>
    <w:rsid w:val="00D73A7B"/>
    <w:rsid w:val="00DA137F"/>
    <w:rsid w:val="00DA45DD"/>
    <w:rsid w:val="00DB26A7"/>
    <w:rsid w:val="00DC7EA7"/>
    <w:rsid w:val="00DD75B5"/>
    <w:rsid w:val="00DE0DFE"/>
    <w:rsid w:val="00DE6926"/>
    <w:rsid w:val="00DF1C19"/>
    <w:rsid w:val="00E042B8"/>
    <w:rsid w:val="00E2082F"/>
    <w:rsid w:val="00E42C02"/>
    <w:rsid w:val="00E44637"/>
    <w:rsid w:val="00E53505"/>
    <w:rsid w:val="00E56A09"/>
    <w:rsid w:val="00E62DCB"/>
    <w:rsid w:val="00E67718"/>
    <w:rsid w:val="00E71389"/>
    <w:rsid w:val="00E7576F"/>
    <w:rsid w:val="00E76CAD"/>
    <w:rsid w:val="00E82FF8"/>
    <w:rsid w:val="00E8514B"/>
    <w:rsid w:val="00E92431"/>
    <w:rsid w:val="00E94B5F"/>
    <w:rsid w:val="00EA0E85"/>
    <w:rsid w:val="00EA45E9"/>
    <w:rsid w:val="00EA54E2"/>
    <w:rsid w:val="00EB26CF"/>
    <w:rsid w:val="00EC7134"/>
    <w:rsid w:val="00ED660F"/>
    <w:rsid w:val="00EE0A53"/>
    <w:rsid w:val="00EF0262"/>
    <w:rsid w:val="00EF3775"/>
    <w:rsid w:val="00F01A00"/>
    <w:rsid w:val="00F06245"/>
    <w:rsid w:val="00F337D0"/>
    <w:rsid w:val="00F33B08"/>
    <w:rsid w:val="00F4252A"/>
    <w:rsid w:val="00F43E87"/>
    <w:rsid w:val="00F46555"/>
    <w:rsid w:val="00F51BD5"/>
    <w:rsid w:val="00F728C8"/>
    <w:rsid w:val="00F731B1"/>
    <w:rsid w:val="00F92622"/>
    <w:rsid w:val="00FA3853"/>
    <w:rsid w:val="00FB1F43"/>
    <w:rsid w:val="00FB3179"/>
    <w:rsid w:val="00FC76A4"/>
    <w:rsid w:val="00FF1BC9"/>
    <w:rsid w:val="00FF49E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6264AB"/>
  <w15:chartTrackingRefBased/>
  <w15:docId w15:val="{8CABEC32-5AB6-489D-A256-AF3A3F282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D3F"/>
    <w:pPr>
      <w:spacing w:after="0" w:line="360" w:lineRule="auto"/>
    </w:pPr>
    <w:rPr>
      <w:rFonts w:ascii="Arial" w:eastAsiaTheme="minorEastAsia" w:hAnsi="Arial"/>
      <w:sz w:val="22"/>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5E4BB2"/>
    <w:pPr>
      <w:keepNext/>
      <w:spacing w:before="240" w:after="240" w:line="240" w:lineRule="auto"/>
      <w:outlineLvl w:val="1"/>
    </w:pPr>
    <w:rPr>
      <w:rFonts w:eastAsia="Times New Roman" w:cs="Times New Roman"/>
      <w:b/>
      <w:sz w:val="36"/>
    </w:rPr>
  </w:style>
  <w:style w:type="paragraph" w:styleId="Heading3">
    <w:name w:val="heading 3"/>
    <w:basedOn w:val="Normal"/>
    <w:link w:val="Heading3Char"/>
    <w:uiPriority w:val="2"/>
    <w:unhideWhenUsed/>
    <w:qFormat/>
    <w:rsid w:val="002E5721"/>
    <w:pPr>
      <w:spacing w:line="240" w:lineRule="auto"/>
      <w:outlineLvl w:val="2"/>
    </w:pPr>
    <w:rPr>
      <w:rFonts w:eastAsia="Times New Roman" w:cs="Times New Roman"/>
      <w:b/>
      <w:sz w:val="28"/>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5E4BB2"/>
    <w:rPr>
      <w:rFonts w:ascii="Arial" w:eastAsia="Times New Roman" w:hAnsi="Arial" w:cs="Times New Roman"/>
      <w:b/>
      <w:sz w:val="36"/>
      <w:szCs w:val="22"/>
    </w:rPr>
  </w:style>
  <w:style w:type="character" w:customStyle="1" w:styleId="Heading3Char">
    <w:name w:val="Heading 3 Char"/>
    <w:basedOn w:val="DefaultParagraphFont"/>
    <w:link w:val="Heading3"/>
    <w:uiPriority w:val="2"/>
    <w:rsid w:val="002E5721"/>
    <w:rPr>
      <w:rFonts w:ascii="Arial" w:eastAsia="Times New Roman" w:hAnsi="Arial" w:cs="Times New Roman"/>
      <w:b/>
      <w:sz w:val="28"/>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Bibliography">
    <w:name w:val="Bibliography"/>
    <w:basedOn w:val="Normal"/>
    <w:next w:val="Normal"/>
    <w:uiPriority w:val="37"/>
    <w:unhideWhenUsed/>
    <w:rsid w:val="005B4314"/>
    <w:pPr>
      <w:spacing w:after="240" w:line="240" w:lineRule="auto"/>
    </w:pPr>
  </w:style>
  <w:style w:type="table" w:styleId="TableGrid">
    <w:name w:val="Table Grid"/>
    <w:basedOn w:val="TableNormal"/>
    <w:uiPriority w:val="39"/>
    <w:rsid w:val="00FF4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70140E"/>
    <w:pPr>
      <w:tabs>
        <w:tab w:val="decimal" w:pos="360"/>
      </w:tabs>
      <w:spacing w:after="200" w:line="276" w:lineRule="auto"/>
    </w:pPr>
    <w:rPr>
      <w:rFonts w:asciiTheme="minorHAnsi" w:hAnsiTheme="minorHAnsi" w:cs="Times New Roman"/>
      <w:lang w:val="en-GB" w:eastAsia="en-GB" w:bidi="hi-IN"/>
    </w:rPr>
  </w:style>
  <w:style w:type="paragraph" w:styleId="FootnoteText">
    <w:name w:val="footnote text"/>
    <w:basedOn w:val="Normal"/>
    <w:link w:val="FootnoteTextChar"/>
    <w:uiPriority w:val="99"/>
    <w:unhideWhenUsed/>
    <w:rsid w:val="0070140E"/>
    <w:pPr>
      <w:spacing w:line="240" w:lineRule="auto"/>
    </w:pPr>
    <w:rPr>
      <w:rFonts w:asciiTheme="minorHAnsi" w:hAnsiTheme="minorHAnsi" w:cs="Times New Roman"/>
      <w:sz w:val="20"/>
      <w:szCs w:val="20"/>
      <w:lang w:val="en-GB" w:eastAsia="en-GB" w:bidi="hi-IN"/>
    </w:rPr>
  </w:style>
  <w:style w:type="character" w:customStyle="1" w:styleId="FootnoteTextChar">
    <w:name w:val="Footnote Text Char"/>
    <w:basedOn w:val="DefaultParagraphFont"/>
    <w:link w:val="FootnoteText"/>
    <w:uiPriority w:val="99"/>
    <w:rsid w:val="0070140E"/>
    <w:rPr>
      <w:rFonts w:eastAsiaTheme="minorEastAsia" w:cs="Times New Roman"/>
      <w:sz w:val="20"/>
      <w:szCs w:val="20"/>
      <w:lang w:val="en-GB" w:eastAsia="en-GB" w:bidi="hi-IN"/>
    </w:rPr>
  </w:style>
  <w:style w:type="character" w:styleId="SubtleEmphasis">
    <w:name w:val="Subtle Emphasis"/>
    <w:basedOn w:val="DefaultParagraphFont"/>
    <w:uiPriority w:val="19"/>
    <w:qFormat/>
    <w:rsid w:val="0070140E"/>
    <w:rPr>
      <w:i/>
      <w:iCs/>
    </w:rPr>
  </w:style>
  <w:style w:type="table" w:styleId="MediumShading2-Accent5">
    <w:name w:val="Medium Shading 2 Accent 5"/>
    <w:basedOn w:val="TableNormal"/>
    <w:uiPriority w:val="64"/>
    <w:rsid w:val="0070140E"/>
    <w:pPr>
      <w:spacing w:after="0" w:line="240" w:lineRule="auto"/>
    </w:pPr>
    <w:rPr>
      <w:rFonts w:eastAsiaTheme="minorEastAsia"/>
      <w:sz w:val="22"/>
      <w:szCs w:val="22"/>
      <w:lang w:val="en-GB" w:eastAsia="en-GB" w:bidi="hi-IN"/>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3C84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3C842" w:themeFill="accent5"/>
      </w:tcPr>
    </w:tblStylePr>
    <w:tblStylePr w:type="lastCol">
      <w:rPr>
        <w:b/>
        <w:bCs/>
        <w:color w:val="FFFFFF" w:themeColor="background1"/>
      </w:rPr>
      <w:tblPr/>
      <w:tcPr>
        <w:tcBorders>
          <w:left w:val="nil"/>
          <w:right w:val="nil"/>
          <w:insideH w:val="nil"/>
          <w:insideV w:val="nil"/>
        </w:tcBorders>
        <w:shd w:val="clear" w:color="auto" w:fill="93C84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1224CF"/>
    <w:rPr>
      <w:b/>
      <w:bCs/>
    </w:rPr>
  </w:style>
  <w:style w:type="paragraph" w:styleId="NormalWeb">
    <w:name w:val="Normal (Web)"/>
    <w:basedOn w:val="Normal"/>
    <w:uiPriority w:val="99"/>
    <w:unhideWhenUsed/>
    <w:rsid w:val="00CA1332"/>
    <w:pPr>
      <w:spacing w:before="100" w:beforeAutospacing="1" w:after="100" w:afterAutospacing="1" w:line="240" w:lineRule="auto"/>
    </w:pPr>
    <w:rPr>
      <w:rFonts w:ascii="Times New Roman" w:eastAsia="Times New Roman" w:hAnsi="Times New Roman" w:cs="Times New Roman"/>
      <w:sz w:val="24"/>
      <w:szCs w:val="24"/>
      <w:lang w:val="en-GB" w:eastAsia="en-GB" w:bidi="hi-IN"/>
    </w:rPr>
  </w:style>
  <w:style w:type="paragraph" w:styleId="ListParagraph">
    <w:name w:val="List Paragraph"/>
    <w:basedOn w:val="Normal"/>
    <w:uiPriority w:val="34"/>
    <w:unhideWhenUsed/>
    <w:qFormat/>
    <w:rsid w:val="00DA137F"/>
    <w:pPr>
      <w:ind w:left="720"/>
      <w:contextualSpacing/>
    </w:pPr>
  </w:style>
  <w:style w:type="paragraph" w:styleId="TOCHeading">
    <w:name w:val="TOC Heading"/>
    <w:basedOn w:val="Heading1"/>
    <w:next w:val="Normal"/>
    <w:uiPriority w:val="39"/>
    <w:unhideWhenUsed/>
    <w:qFormat/>
    <w:rsid w:val="007E0B32"/>
    <w:pPr>
      <w:keepLines/>
      <w:spacing w:before="240" w:line="259" w:lineRule="auto"/>
      <w:outlineLvl w:val="9"/>
    </w:pPr>
    <w:rPr>
      <w:rFonts w:eastAsiaTheme="majorEastAsia" w:cstheme="majorBidi"/>
      <w:b w:val="0"/>
      <w:color w:val="7A042E" w:themeColor="accent1" w:themeShade="BF"/>
      <w:sz w:val="32"/>
      <w:szCs w:val="32"/>
      <w:lang w:val="en-GB" w:eastAsia="en-GB" w:bidi="hi-IN"/>
    </w:rPr>
  </w:style>
  <w:style w:type="paragraph" w:styleId="TOC2">
    <w:name w:val="toc 2"/>
    <w:basedOn w:val="Normal"/>
    <w:next w:val="Normal"/>
    <w:autoRedefine/>
    <w:uiPriority w:val="39"/>
    <w:unhideWhenUsed/>
    <w:rsid w:val="007E0B32"/>
    <w:pPr>
      <w:spacing w:after="100"/>
      <w:ind w:left="220"/>
    </w:pPr>
  </w:style>
  <w:style w:type="paragraph" w:styleId="TOC3">
    <w:name w:val="toc 3"/>
    <w:basedOn w:val="Normal"/>
    <w:next w:val="Normal"/>
    <w:autoRedefine/>
    <w:uiPriority w:val="39"/>
    <w:unhideWhenUsed/>
    <w:rsid w:val="007E0B32"/>
    <w:pPr>
      <w:spacing w:after="100"/>
      <w:ind w:left="440"/>
    </w:pPr>
  </w:style>
  <w:style w:type="character" w:styleId="Hyperlink">
    <w:name w:val="Hyperlink"/>
    <w:basedOn w:val="DefaultParagraphFont"/>
    <w:uiPriority w:val="99"/>
    <w:unhideWhenUsed/>
    <w:rsid w:val="007E0B32"/>
    <w:rPr>
      <w:color w:val="93C842"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1213">
      <w:bodyDiv w:val="1"/>
      <w:marLeft w:val="0"/>
      <w:marRight w:val="0"/>
      <w:marTop w:val="0"/>
      <w:marBottom w:val="0"/>
      <w:divBdr>
        <w:top w:val="none" w:sz="0" w:space="0" w:color="auto"/>
        <w:left w:val="none" w:sz="0" w:space="0" w:color="auto"/>
        <w:bottom w:val="none" w:sz="0" w:space="0" w:color="auto"/>
        <w:right w:val="none" w:sz="0" w:space="0" w:color="auto"/>
      </w:divBdr>
    </w:div>
    <w:div w:id="20254298">
      <w:bodyDiv w:val="1"/>
      <w:marLeft w:val="0"/>
      <w:marRight w:val="0"/>
      <w:marTop w:val="0"/>
      <w:marBottom w:val="0"/>
      <w:divBdr>
        <w:top w:val="none" w:sz="0" w:space="0" w:color="auto"/>
        <w:left w:val="none" w:sz="0" w:space="0" w:color="auto"/>
        <w:bottom w:val="none" w:sz="0" w:space="0" w:color="auto"/>
        <w:right w:val="none" w:sz="0" w:space="0" w:color="auto"/>
      </w:divBdr>
    </w:div>
    <w:div w:id="70009574">
      <w:bodyDiv w:val="1"/>
      <w:marLeft w:val="0"/>
      <w:marRight w:val="0"/>
      <w:marTop w:val="0"/>
      <w:marBottom w:val="0"/>
      <w:divBdr>
        <w:top w:val="none" w:sz="0" w:space="0" w:color="auto"/>
        <w:left w:val="none" w:sz="0" w:space="0" w:color="auto"/>
        <w:bottom w:val="none" w:sz="0" w:space="0" w:color="auto"/>
        <w:right w:val="none" w:sz="0" w:space="0" w:color="auto"/>
      </w:divBdr>
    </w:div>
    <w:div w:id="79058803">
      <w:bodyDiv w:val="1"/>
      <w:marLeft w:val="0"/>
      <w:marRight w:val="0"/>
      <w:marTop w:val="0"/>
      <w:marBottom w:val="0"/>
      <w:divBdr>
        <w:top w:val="none" w:sz="0" w:space="0" w:color="auto"/>
        <w:left w:val="none" w:sz="0" w:space="0" w:color="auto"/>
        <w:bottom w:val="none" w:sz="0" w:space="0" w:color="auto"/>
        <w:right w:val="none" w:sz="0" w:space="0" w:color="auto"/>
      </w:divBdr>
      <w:divsChild>
        <w:div w:id="1180657180">
          <w:marLeft w:val="0"/>
          <w:marRight w:val="0"/>
          <w:marTop w:val="0"/>
          <w:marBottom w:val="0"/>
          <w:divBdr>
            <w:top w:val="single" w:sz="2" w:space="0" w:color="auto"/>
            <w:left w:val="single" w:sz="2" w:space="0" w:color="auto"/>
            <w:bottom w:val="single" w:sz="2" w:space="0" w:color="auto"/>
            <w:right w:val="single" w:sz="2" w:space="0" w:color="auto"/>
          </w:divBdr>
        </w:div>
      </w:divsChild>
    </w:div>
    <w:div w:id="89745736">
      <w:bodyDiv w:val="1"/>
      <w:marLeft w:val="0"/>
      <w:marRight w:val="0"/>
      <w:marTop w:val="0"/>
      <w:marBottom w:val="0"/>
      <w:divBdr>
        <w:top w:val="none" w:sz="0" w:space="0" w:color="auto"/>
        <w:left w:val="none" w:sz="0" w:space="0" w:color="auto"/>
        <w:bottom w:val="none" w:sz="0" w:space="0" w:color="auto"/>
        <w:right w:val="none" w:sz="0" w:space="0" w:color="auto"/>
      </w:divBdr>
    </w:div>
    <w:div w:id="93745199">
      <w:bodyDiv w:val="1"/>
      <w:marLeft w:val="0"/>
      <w:marRight w:val="0"/>
      <w:marTop w:val="0"/>
      <w:marBottom w:val="0"/>
      <w:divBdr>
        <w:top w:val="none" w:sz="0" w:space="0" w:color="auto"/>
        <w:left w:val="none" w:sz="0" w:space="0" w:color="auto"/>
        <w:bottom w:val="none" w:sz="0" w:space="0" w:color="auto"/>
        <w:right w:val="none" w:sz="0" w:space="0" w:color="auto"/>
      </w:divBdr>
    </w:div>
    <w:div w:id="124277151">
      <w:bodyDiv w:val="1"/>
      <w:marLeft w:val="0"/>
      <w:marRight w:val="0"/>
      <w:marTop w:val="0"/>
      <w:marBottom w:val="0"/>
      <w:divBdr>
        <w:top w:val="none" w:sz="0" w:space="0" w:color="auto"/>
        <w:left w:val="none" w:sz="0" w:space="0" w:color="auto"/>
        <w:bottom w:val="none" w:sz="0" w:space="0" w:color="auto"/>
        <w:right w:val="none" w:sz="0" w:space="0" w:color="auto"/>
      </w:divBdr>
    </w:div>
    <w:div w:id="131942520">
      <w:bodyDiv w:val="1"/>
      <w:marLeft w:val="0"/>
      <w:marRight w:val="0"/>
      <w:marTop w:val="0"/>
      <w:marBottom w:val="0"/>
      <w:divBdr>
        <w:top w:val="none" w:sz="0" w:space="0" w:color="auto"/>
        <w:left w:val="none" w:sz="0" w:space="0" w:color="auto"/>
        <w:bottom w:val="none" w:sz="0" w:space="0" w:color="auto"/>
        <w:right w:val="none" w:sz="0" w:space="0" w:color="auto"/>
      </w:divBdr>
    </w:div>
    <w:div w:id="165950463">
      <w:bodyDiv w:val="1"/>
      <w:marLeft w:val="0"/>
      <w:marRight w:val="0"/>
      <w:marTop w:val="0"/>
      <w:marBottom w:val="0"/>
      <w:divBdr>
        <w:top w:val="none" w:sz="0" w:space="0" w:color="auto"/>
        <w:left w:val="none" w:sz="0" w:space="0" w:color="auto"/>
        <w:bottom w:val="none" w:sz="0" w:space="0" w:color="auto"/>
        <w:right w:val="none" w:sz="0" w:space="0" w:color="auto"/>
      </w:divBdr>
    </w:div>
    <w:div w:id="167452371">
      <w:bodyDiv w:val="1"/>
      <w:marLeft w:val="0"/>
      <w:marRight w:val="0"/>
      <w:marTop w:val="0"/>
      <w:marBottom w:val="0"/>
      <w:divBdr>
        <w:top w:val="none" w:sz="0" w:space="0" w:color="auto"/>
        <w:left w:val="none" w:sz="0" w:space="0" w:color="auto"/>
        <w:bottom w:val="none" w:sz="0" w:space="0" w:color="auto"/>
        <w:right w:val="none" w:sz="0" w:space="0" w:color="auto"/>
      </w:divBdr>
    </w:div>
    <w:div w:id="175582060">
      <w:bodyDiv w:val="1"/>
      <w:marLeft w:val="0"/>
      <w:marRight w:val="0"/>
      <w:marTop w:val="0"/>
      <w:marBottom w:val="0"/>
      <w:divBdr>
        <w:top w:val="none" w:sz="0" w:space="0" w:color="auto"/>
        <w:left w:val="none" w:sz="0" w:space="0" w:color="auto"/>
        <w:bottom w:val="none" w:sz="0" w:space="0" w:color="auto"/>
        <w:right w:val="none" w:sz="0" w:space="0" w:color="auto"/>
      </w:divBdr>
    </w:div>
    <w:div w:id="180974361">
      <w:bodyDiv w:val="1"/>
      <w:marLeft w:val="0"/>
      <w:marRight w:val="0"/>
      <w:marTop w:val="0"/>
      <w:marBottom w:val="0"/>
      <w:divBdr>
        <w:top w:val="none" w:sz="0" w:space="0" w:color="auto"/>
        <w:left w:val="none" w:sz="0" w:space="0" w:color="auto"/>
        <w:bottom w:val="none" w:sz="0" w:space="0" w:color="auto"/>
        <w:right w:val="none" w:sz="0" w:space="0" w:color="auto"/>
      </w:divBdr>
    </w:div>
    <w:div w:id="203754051">
      <w:bodyDiv w:val="1"/>
      <w:marLeft w:val="0"/>
      <w:marRight w:val="0"/>
      <w:marTop w:val="0"/>
      <w:marBottom w:val="0"/>
      <w:divBdr>
        <w:top w:val="none" w:sz="0" w:space="0" w:color="auto"/>
        <w:left w:val="none" w:sz="0" w:space="0" w:color="auto"/>
        <w:bottom w:val="none" w:sz="0" w:space="0" w:color="auto"/>
        <w:right w:val="none" w:sz="0" w:space="0" w:color="auto"/>
      </w:divBdr>
    </w:div>
    <w:div w:id="212693500">
      <w:bodyDiv w:val="1"/>
      <w:marLeft w:val="0"/>
      <w:marRight w:val="0"/>
      <w:marTop w:val="0"/>
      <w:marBottom w:val="0"/>
      <w:divBdr>
        <w:top w:val="none" w:sz="0" w:space="0" w:color="auto"/>
        <w:left w:val="none" w:sz="0" w:space="0" w:color="auto"/>
        <w:bottom w:val="none" w:sz="0" w:space="0" w:color="auto"/>
        <w:right w:val="none" w:sz="0" w:space="0" w:color="auto"/>
      </w:divBdr>
    </w:div>
    <w:div w:id="215318027">
      <w:bodyDiv w:val="1"/>
      <w:marLeft w:val="0"/>
      <w:marRight w:val="0"/>
      <w:marTop w:val="0"/>
      <w:marBottom w:val="0"/>
      <w:divBdr>
        <w:top w:val="none" w:sz="0" w:space="0" w:color="auto"/>
        <w:left w:val="none" w:sz="0" w:space="0" w:color="auto"/>
        <w:bottom w:val="none" w:sz="0" w:space="0" w:color="auto"/>
        <w:right w:val="none" w:sz="0" w:space="0" w:color="auto"/>
      </w:divBdr>
    </w:div>
    <w:div w:id="216279534">
      <w:bodyDiv w:val="1"/>
      <w:marLeft w:val="0"/>
      <w:marRight w:val="0"/>
      <w:marTop w:val="0"/>
      <w:marBottom w:val="0"/>
      <w:divBdr>
        <w:top w:val="none" w:sz="0" w:space="0" w:color="auto"/>
        <w:left w:val="none" w:sz="0" w:space="0" w:color="auto"/>
        <w:bottom w:val="none" w:sz="0" w:space="0" w:color="auto"/>
        <w:right w:val="none" w:sz="0" w:space="0" w:color="auto"/>
      </w:divBdr>
    </w:div>
    <w:div w:id="241570174">
      <w:bodyDiv w:val="1"/>
      <w:marLeft w:val="0"/>
      <w:marRight w:val="0"/>
      <w:marTop w:val="0"/>
      <w:marBottom w:val="0"/>
      <w:divBdr>
        <w:top w:val="none" w:sz="0" w:space="0" w:color="auto"/>
        <w:left w:val="none" w:sz="0" w:space="0" w:color="auto"/>
        <w:bottom w:val="none" w:sz="0" w:space="0" w:color="auto"/>
        <w:right w:val="none" w:sz="0" w:space="0" w:color="auto"/>
      </w:divBdr>
    </w:div>
    <w:div w:id="247815327">
      <w:bodyDiv w:val="1"/>
      <w:marLeft w:val="0"/>
      <w:marRight w:val="0"/>
      <w:marTop w:val="0"/>
      <w:marBottom w:val="0"/>
      <w:divBdr>
        <w:top w:val="none" w:sz="0" w:space="0" w:color="auto"/>
        <w:left w:val="none" w:sz="0" w:space="0" w:color="auto"/>
        <w:bottom w:val="none" w:sz="0" w:space="0" w:color="auto"/>
        <w:right w:val="none" w:sz="0" w:space="0" w:color="auto"/>
      </w:divBdr>
    </w:div>
    <w:div w:id="281156239">
      <w:bodyDiv w:val="1"/>
      <w:marLeft w:val="0"/>
      <w:marRight w:val="0"/>
      <w:marTop w:val="0"/>
      <w:marBottom w:val="0"/>
      <w:divBdr>
        <w:top w:val="none" w:sz="0" w:space="0" w:color="auto"/>
        <w:left w:val="none" w:sz="0" w:space="0" w:color="auto"/>
        <w:bottom w:val="none" w:sz="0" w:space="0" w:color="auto"/>
        <w:right w:val="none" w:sz="0" w:space="0" w:color="auto"/>
      </w:divBdr>
    </w:div>
    <w:div w:id="283509700">
      <w:bodyDiv w:val="1"/>
      <w:marLeft w:val="0"/>
      <w:marRight w:val="0"/>
      <w:marTop w:val="0"/>
      <w:marBottom w:val="0"/>
      <w:divBdr>
        <w:top w:val="none" w:sz="0" w:space="0" w:color="auto"/>
        <w:left w:val="none" w:sz="0" w:space="0" w:color="auto"/>
        <w:bottom w:val="none" w:sz="0" w:space="0" w:color="auto"/>
        <w:right w:val="none" w:sz="0" w:space="0" w:color="auto"/>
      </w:divBdr>
    </w:div>
    <w:div w:id="332491933">
      <w:bodyDiv w:val="1"/>
      <w:marLeft w:val="0"/>
      <w:marRight w:val="0"/>
      <w:marTop w:val="0"/>
      <w:marBottom w:val="0"/>
      <w:divBdr>
        <w:top w:val="none" w:sz="0" w:space="0" w:color="auto"/>
        <w:left w:val="none" w:sz="0" w:space="0" w:color="auto"/>
        <w:bottom w:val="none" w:sz="0" w:space="0" w:color="auto"/>
        <w:right w:val="none" w:sz="0" w:space="0" w:color="auto"/>
      </w:divBdr>
    </w:div>
    <w:div w:id="335810364">
      <w:bodyDiv w:val="1"/>
      <w:marLeft w:val="0"/>
      <w:marRight w:val="0"/>
      <w:marTop w:val="0"/>
      <w:marBottom w:val="0"/>
      <w:divBdr>
        <w:top w:val="none" w:sz="0" w:space="0" w:color="auto"/>
        <w:left w:val="none" w:sz="0" w:space="0" w:color="auto"/>
        <w:bottom w:val="none" w:sz="0" w:space="0" w:color="auto"/>
        <w:right w:val="none" w:sz="0" w:space="0" w:color="auto"/>
      </w:divBdr>
    </w:div>
    <w:div w:id="346561816">
      <w:bodyDiv w:val="1"/>
      <w:marLeft w:val="0"/>
      <w:marRight w:val="0"/>
      <w:marTop w:val="0"/>
      <w:marBottom w:val="0"/>
      <w:divBdr>
        <w:top w:val="none" w:sz="0" w:space="0" w:color="auto"/>
        <w:left w:val="none" w:sz="0" w:space="0" w:color="auto"/>
        <w:bottom w:val="none" w:sz="0" w:space="0" w:color="auto"/>
        <w:right w:val="none" w:sz="0" w:space="0" w:color="auto"/>
      </w:divBdr>
    </w:div>
    <w:div w:id="375353641">
      <w:bodyDiv w:val="1"/>
      <w:marLeft w:val="0"/>
      <w:marRight w:val="0"/>
      <w:marTop w:val="0"/>
      <w:marBottom w:val="0"/>
      <w:divBdr>
        <w:top w:val="none" w:sz="0" w:space="0" w:color="auto"/>
        <w:left w:val="none" w:sz="0" w:space="0" w:color="auto"/>
        <w:bottom w:val="none" w:sz="0" w:space="0" w:color="auto"/>
        <w:right w:val="none" w:sz="0" w:space="0" w:color="auto"/>
      </w:divBdr>
    </w:div>
    <w:div w:id="378629022">
      <w:bodyDiv w:val="1"/>
      <w:marLeft w:val="0"/>
      <w:marRight w:val="0"/>
      <w:marTop w:val="0"/>
      <w:marBottom w:val="0"/>
      <w:divBdr>
        <w:top w:val="none" w:sz="0" w:space="0" w:color="auto"/>
        <w:left w:val="none" w:sz="0" w:space="0" w:color="auto"/>
        <w:bottom w:val="none" w:sz="0" w:space="0" w:color="auto"/>
        <w:right w:val="none" w:sz="0" w:space="0" w:color="auto"/>
      </w:divBdr>
    </w:div>
    <w:div w:id="397244150">
      <w:bodyDiv w:val="1"/>
      <w:marLeft w:val="0"/>
      <w:marRight w:val="0"/>
      <w:marTop w:val="0"/>
      <w:marBottom w:val="0"/>
      <w:divBdr>
        <w:top w:val="none" w:sz="0" w:space="0" w:color="auto"/>
        <w:left w:val="none" w:sz="0" w:space="0" w:color="auto"/>
        <w:bottom w:val="none" w:sz="0" w:space="0" w:color="auto"/>
        <w:right w:val="none" w:sz="0" w:space="0" w:color="auto"/>
      </w:divBdr>
    </w:div>
    <w:div w:id="406879821">
      <w:bodyDiv w:val="1"/>
      <w:marLeft w:val="0"/>
      <w:marRight w:val="0"/>
      <w:marTop w:val="0"/>
      <w:marBottom w:val="0"/>
      <w:divBdr>
        <w:top w:val="none" w:sz="0" w:space="0" w:color="auto"/>
        <w:left w:val="none" w:sz="0" w:space="0" w:color="auto"/>
        <w:bottom w:val="none" w:sz="0" w:space="0" w:color="auto"/>
        <w:right w:val="none" w:sz="0" w:space="0" w:color="auto"/>
      </w:divBdr>
    </w:div>
    <w:div w:id="411053385">
      <w:bodyDiv w:val="1"/>
      <w:marLeft w:val="0"/>
      <w:marRight w:val="0"/>
      <w:marTop w:val="0"/>
      <w:marBottom w:val="0"/>
      <w:divBdr>
        <w:top w:val="none" w:sz="0" w:space="0" w:color="auto"/>
        <w:left w:val="none" w:sz="0" w:space="0" w:color="auto"/>
        <w:bottom w:val="none" w:sz="0" w:space="0" w:color="auto"/>
        <w:right w:val="none" w:sz="0" w:space="0" w:color="auto"/>
      </w:divBdr>
    </w:div>
    <w:div w:id="427043163">
      <w:bodyDiv w:val="1"/>
      <w:marLeft w:val="0"/>
      <w:marRight w:val="0"/>
      <w:marTop w:val="0"/>
      <w:marBottom w:val="0"/>
      <w:divBdr>
        <w:top w:val="none" w:sz="0" w:space="0" w:color="auto"/>
        <w:left w:val="none" w:sz="0" w:space="0" w:color="auto"/>
        <w:bottom w:val="none" w:sz="0" w:space="0" w:color="auto"/>
        <w:right w:val="none" w:sz="0" w:space="0" w:color="auto"/>
      </w:divBdr>
    </w:div>
    <w:div w:id="431710288">
      <w:bodyDiv w:val="1"/>
      <w:marLeft w:val="0"/>
      <w:marRight w:val="0"/>
      <w:marTop w:val="0"/>
      <w:marBottom w:val="0"/>
      <w:divBdr>
        <w:top w:val="none" w:sz="0" w:space="0" w:color="auto"/>
        <w:left w:val="none" w:sz="0" w:space="0" w:color="auto"/>
        <w:bottom w:val="none" w:sz="0" w:space="0" w:color="auto"/>
        <w:right w:val="none" w:sz="0" w:space="0" w:color="auto"/>
      </w:divBdr>
    </w:div>
    <w:div w:id="434981045">
      <w:bodyDiv w:val="1"/>
      <w:marLeft w:val="0"/>
      <w:marRight w:val="0"/>
      <w:marTop w:val="0"/>
      <w:marBottom w:val="0"/>
      <w:divBdr>
        <w:top w:val="none" w:sz="0" w:space="0" w:color="auto"/>
        <w:left w:val="none" w:sz="0" w:space="0" w:color="auto"/>
        <w:bottom w:val="none" w:sz="0" w:space="0" w:color="auto"/>
        <w:right w:val="none" w:sz="0" w:space="0" w:color="auto"/>
      </w:divBdr>
    </w:div>
    <w:div w:id="438070172">
      <w:bodyDiv w:val="1"/>
      <w:marLeft w:val="0"/>
      <w:marRight w:val="0"/>
      <w:marTop w:val="0"/>
      <w:marBottom w:val="0"/>
      <w:divBdr>
        <w:top w:val="none" w:sz="0" w:space="0" w:color="auto"/>
        <w:left w:val="none" w:sz="0" w:space="0" w:color="auto"/>
        <w:bottom w:val="none" w:sz="0" w:space="0" w:color="auto"/>
        <w:right w:val="none" w:sz="0" w:space="0" w:color="auto"/>
      </w:divBdr>
    </w:div>
    <w:div w:id="451217562">
      <w:bodyDiv w:val="1"/>
      <w:marLeft w:val="0"/>
      <w:marRight w:val="0"/>
      <w:marTop w:val="0"/>
      <w:marBottom w:val="0"/>
      <w:divBdr>
        <w:top w:val="none" w:sz="0" w:space="0" w:color="auto"/>
        <w:left w:val="none" w:sz="0" w:space="0" w:color="auto"/>
        <w:bottom w:val="none" w:sz="0" w:space="0" w:color="auto"/>
        <w:right w:val="none" w:sz="0" w:space="0" w:color="auto"/>
      </w:divBdr>
    </w:div>
    <w:div w:id="499007895">
      <w:bodyDiv w:val="1"/>
      <w:marLeft w:val="0"/>
      <w:marRight w:val="0"/>
      <w:marTop w:val="0"/>
      <w:marBottom w:val="0"/>
      <w:divBdr>
        <w:top w:val="none" w:sz="0" w:space="0" w:color="auto"/>
        <w:left w:val="none" w:sz="0" w:space="0" w:color="auto"/>
        <w:bottom w:val="none" w:sz="0" w:space="0" w:color="auto"/>
        <w:right w:val="none" w:sz="0" w:space="0" w:color="auto"/>
      </w:divBdr>
    </w:div>
    <w:div w:id="520820390">
      <w:bodyDiv w:val="1"/>
      <w:marLeft w:val="0"/>
      <w:marRight w:val="0"/>
      <w:marTop w:val="0"/>
      <w:marBottom w:val="0"/>
      <w:divBdr>
        <w:top w:val="none" w:sz="0" w:space="0" w:color="auto"/>
        <w:left w:val="none" w:sz="0" w:space="0" w:color="auto"/>
        <w:bottom w:val="none" w:sz="0" w:space="0" w:color="auto"/>
        <w:right w:val="none" w:sz="0" w:space="0" w:color="auto"/>
      </w:divBdr>
    </w:div>
    <w:div w:id="537862713">
      <w:bodyDiv w:val="1"/>
      <w:marLeft w:val="0"/>
      <w:marRight w:val="0"/>
      <w:marTop w:val="0"/>
      <w:marBottom w:val="0"/>
      <w:divBdr>
        <w:top w:val="none" w:sz="0" w:space="0" w:color="auto"/>
        <w:left w:val="none" w:sz="0" w:space="0" w:color="auto"/>
        <w:bottom w:val="none" w:sz="0" w:space="0" w:color="auto"/>
        <w:right w:val="none" w:sz="0" w:space="0" w:color="auto"/>
      </w:divBdr>
    </w:div>
    <w:div w:id="538126221">
      <w:bodyDiv w:val="1"/>
      <w:marLeft w:val="0"/>
      <w:marRight w:val="0"/>
      <w:marTop w:val="0"/>
      <w:marBottom w:val="0"/>
      <w:divBdr>
        <w:top w:val="none" w:sz="0" w:space="0" w:color="auto"/>
        <w:left w:val="none" w:sz="0" w:space="0" w:color="auto"/>
        <w:bottom w:val="none" w:sz="0" w:space="0" w:color="auto"/>
        <w:right w:val="none" w:sz="0" w:space="0" w:color="auto"/>
      </w:divBdr>
    </w:div>
    <w:div w:id="547449310">
      <w:bodyDiv w:val="1"/>
      <w:marLeft w:val="0"/>
      <w:marRight w:val="0"/>
      <w:marTop w:val="0"/>
      <w:marBottom w:val="0"/>
      <w:divBdr>
        <w:top w:val="none" w:sz="0" w:space="0" w:color="auto"/>
        <w:left w:val="none" w:sz="0" w:space="0" w:color="auto"/>
        <w:bottom w:val="none" w:sz="0" w:space="0" w:color="auto"/>
        <w:right w:val="none" w:sz="0" w:space="0" w:color="auto"/>
      </w:divBdr>
    </w:div>
    <w:div w:id="573976661">
      <w:bodyDiv w:val="1"/>
      <w:marLeft w:val="0"/>
      <w:marRight w:val="0"/>
      <w:marTop w:val="0"/>
      <w:marBottom w:val="0"/>
      <w:divBdr>
        <w:top w:val="none" w:sz="0" w:space="0" w:color="auto"/>
        <w:left w:val="none" w:sz="0" w:space="0" w:color="auto"/>
        <w:bottom w:val="none" w:sz="0" w:space="0" w:color="auto"/>
        <w:right w:val="none" w:sz="0" w:space="0" w:color="auto"/>
      </w:divBdr>
    </w:div>
    <w:div w:id="582837751">
      <w:bodyDiv w:val="1"/>
      <w:marLeft w:val="0"/>
      <w:marRight w:val="0"/>
      <w:marTop w:val="0"/>
      <w:marBottom w:val="0"/>
      <w:divBdr>
        <w:top w:val="none" w:sz="0" w:space="0" w:color="auto"/>
        <w:left w:val="none" w:sz="0" w:space="0" w:color="auto"/>
        <w:bottom w:val="none" w:sz="0" w:space="0" w:color="auto"/>
        <w:right w:val="none" w:sz="0" w:space="0" w:color="auto"/>
      </w:divBdr>
    </w:div>
    <w:div w:id="587613361">
      <w:bodyDiv w:val="1"/>
      <w:marLeft w:val="0"/>
      <w:marRight w:val="0"/>
      <w:marTop w:val="0"/>
      <w:marBottom w:val="0"/>
      <w:divBdr>
        <w:top w:val="none" w:sz="0" w:space="0" w:color="auto"/>
        <w:left w:val="none" w:sz="0" w:space="0" w:color="auto"/>
        <w:bottom w:val="none" w:sz="0" w:space="0" w:color="auto"/>
        <w:right w:val="none" w:sz="0" w:space="0" w:color="auto"/>
      </w:divBdr>
    </w:div>
    <w:div w:id="607349857">
      <w:bodyDiv w:val="1"/>
      <w:marLeft w:val="0"/>
      <w:marRight w:val="0"/>
      <w:marTop w:val="0"/>
      <w:marBottom w:val="0"/>
      <w:divBdr>
        <w:top w:val="none" w:sz="0" w:space="0" w:color="auto"/>
        <w:left w:val="none" w:sz="0" w:space="0" w:color="auto"/>
        <w:bottom w:val="none" w:sz="0" w:space="0" w:color="auto"/>
        <w:right w:val="none" w:sz="0" w:space="0" w:color="auto"/>
      </w:divBdr>
    </w:div>
    <w:div w:id="612325307">
      <w:bodyDiv w:val="1"/>
      <w:marLeft w:val="0"/>
      <w:marRight w:val="0"/>
      <w:marTop w:val="0"/>
      <w:marBottom w:val="0"/>
      <w:divBdr>
        <w:top w:val="none" w:sz="0" w:space="0" w:color="auto"/>
        <w:left w:val="none" w:sz="0" w:space="0" w:color="auto"/>
        <w:bottom w:val="none" w:sz="0" w:space="0" w:color="auto"/>
        <w:right w:val="none" w:sz="0" w:space="0" w:color="auto"/>
      </w:divBdr>
    </w:div>
    <w:div w:id="613444679">
      <w:bodyDiv w:val="1"/>
      <w:marLeft w:val="0"/>
      <w:marRight w:val="0"/>
      <w:marTop w:val="0"/>
      <w:marBottom w:val="0"/>
      <w:divBdr>
        <w:top w:val="none" w:sz="0" w:space="0" w:color="auto"/>
        <w:left w:val="none" w:sz="0" w:space="0" w:color="auto"/>
        <w:bottom w:val="none" w:sz="0" w:space="0" w:color="auto"/>
        <w:right w:val="none" w:sz="0" w:space="0" w:color="auto"/>
      </w:divBdr>
    </w:div>
    <w:div w:id="630554578">
      <w:bodyDiv w:val="1"/>
      <w:marLeft w:val="0"/>
      <w:marRight w:val="0"/>
      <w:marTop w:val="0"/>
      <w:marBottom w:val="0"/>
      <w:divBdr>
        <w:top w:val="none" w:sz="0" w:space="0" w:color="auto"/>
        <w:left w:val="none" w:sz="0" w:space="0" w:color="auto"/>
        <w:bottom w:val="none" w:sz="0" w:space="0" w:color="auto"/>
        <w:right w:val="none" w:sz="0" w:space="0" w:color="auto"/>
      </w:divBdr>
    </w:div>
    <w:div w:id="632102790">
      <w:bodyDiv w:val="1"/>
      <w:marLeft w:val="0"/>
      <w:marRight w:val="0"/>
      <w:marTop w:val="0"/>
      <w:marBottom w:val="0"/>
      <w:divBdr>
        <w:top w:val="none" w:sz="0" w:space="0" w:color="auto"/>
        <w:left w:val="none" w:sz="0" w:space="0" w:color="auto"/>
        <w:bottom w:val="none" w:sz="0" w:space="0" w:color="auto"/>
        <w:right w:val="none" w:sz="0" w:space="0" w:color="auto"/>
      </w:divBdr>
    </w:div>
    <w:div w:id="641622580">
      <w:bodyDiv w:val="1"/>
      <w:marLeft w:val="0"/>
      <w:marRight w:val="0"/>
      <w:marTop w:val="0"/>
      <w:marBottom w:val="0"/>
      <w:divBdr>
        <w:top w:val="none" w:sz="0" w:space="0" w:color="auto"/>
        <w:left w:val="none" w:sz="0" w:space="0" w:color="auto"/>
        <w:bottom w:val="none" w:sz="0" w:space="0" w:color="auto"/>
        <w:right w:val="none" w:sz="0" w:space="0" w:color="auto"/>
      </w:divBdr>
    </w:div>
    <w:div w:id="642084380">
      <w:bodyDiv w:val="1"/>
      <w:marLeft w:val="0"/>
      <w:marRight w:val="0"/>
      <w:marTop w:val="0"/>
      <w:marBottom w:val="0"/>
      <w:divBdr>
        <w:top w:val="none" w:sz="0" w:space="0" w:color="auto"/>
        <w:left w:val="none" w:sz="0" w:space="0" w:color="auto"/>
        <w:bottom w:val="none" w:sz="0" w:space="0" w:color="auto"/>
        <w:right w:val="none" w:sz="0" w:space="0" w:color="auto"/>
      </w:divBdr>
    </w:div>
    <w:div w:id="686637829">
      <w:bodyDiv w:val="1"/>
      <w:marLeft w:val="0"/>
      <w:marRight w:val="0"/>
      <w:marTop w:val="0"/>
      <w:marBottom w:val="0"/>
      <w:divBdr>
        <w:top w:val="none" w:sz="0" w:space="0" w:color="auto"/>
        <w:left w:val="none" w:sz="0" w:space="0" w:color="auto"/>
        <w:bottom w:val="none" w:sz="0" w:space="0" w:color="auto"/>
        <w:right w:val="none" w:sz="0" w:space="0" w:color="auto"/>
      </w:divBdr>
    </w:div>
    <w:div w:id="707218588">
      <w:bodyDiv w:val="1"/>
      <w:marLeft w:val="0"/>
      <w:marRight w:val="0"/>
      <w:marTop w:val="0"/>
      <w:marBottom w:val="0"/>
      <w:divBdr>
        <w:top w:val="none" w:sz="0" w:space="0" w:color="auto"/>
        <w:left w:val="none" w:sz="0" w:space="0" w:color="auto"/>
        <w:bottom w:val="none" w:sz="0" w:space="0" w:color="auto"/>
        <w:right w:val="none" w:sz="0" w:space="0" w:color="auto"/>
      </w:divBdr>
    </w:div>
    <w:div w:id="708988826">
      <w:bodyDiv w:val="1"/>
      <w:marLeft w:val="0"/>
      <w:marRight w:val="0"/>
      <w:marTop w:val="0"/>
      <w:marBottom w:val="0"/>
      <w:divBdr>
        <w:top w:val="none" w:sz="0" w:space="0" w:color="auto"/>
        <w:left w:val="none" w:sz="0" w:space="0" w:color="auto"/>
        <w:bottom w:val="none" w:sz="0" w:space="0" w:color="auto"/>
        <w:right w:val="none" w:sz="0" w:space="0" w:color="auto"/>
      </w:divBdr>
    </w:div>
    <w:div w:id="744455943">
      <w:bodyDiv w:val="1"/>
      <w:marLeft w:val="0"/>
      <w:marRight w:val="0"/>
      <w:marTop w:val="0"/>
      <w:marBottom w:val="0"/>
      <w:divBdr>
        <w:top w:val="none" w:sz="0" w:space="0" w:color="auto"/>
        <w:left w:val="none" w:sz="0" w:space="0" w:color="auto"/>
        <w:bottom w:val="none" w:sz="0" w:space="0" w:color="auto"/>
        <w:right w:val="none" w:sz="0" w:space="0" w:color="auto"/>
      </w:divBdr>
    </w:div>
    <w:div w:id="757403868">
      <w:bodyDiv w:val="1"/>
      <w:marLeft w:val="0"/>
      <w:marRight w:val="0"/>
      <w:marTop w:val="0"/>
      <w:marBottom w:val="0"/>
      <w:divBdr>
        <w:top w:val="none" w:sz="0" w:space="0" w:color="auto"/>
        <w:left w:val="none" w:sz="0" w:space="0" w:color="auto"/>
        <w:bottom w:val="none" w:sz="0" w:space="0" w:color="auto"/>
        <w:right w:val="none" w:sz="0" w:space="0" w:color="auto"/>
      </w:divBdr>
    </w:div>
    <w:div w:id="786510416">
      <w:bodyDiv w:val="1"/>
      <w:marLeft w:val="0"/>
      <w:marRight w:val="0"/>
      <w:marTop w:val="0"/>
      <w:marBottom w:val="0"/>
      <w:divBdr>
        <w:top w:val="none" w:sz="0" w:space="0" w:color="auto"/>
        <w:left w:val="none" w:sz="0" w:space="0" w:color="auto"/>
        <w:bottom w:val="none" w:sz="0" w:space="0" w:color="auto"/>
        <w:right w:val="none" w:sz="0" w:space="0" w:color="auto"/>
      </w:divBdr>
    </w:div>
    <w:div w:id="789472842">
      <w:bodyDiv w:val="1"/>
      <w:marLeft w:val="0"/>
      <w:marRight w:val="0"/>
      <w:marTop w:val="0"/>
      <w:marBottom w:val="0"/>
      <w:divBdr>
        <w:top w:val="none" w:sz="0" w:space="0" w:color="auto"/>
        <w:left w:val="none" w:sz="0" w:space="0" w:color="auto"/>
        <w:bottom w:val="none" w:sz="0" w:space="0" w:color="auto"/>
        <w:right w:val="none" w:sz="0" w:space="0" w:color="auto"/>
      </w:divBdr>
    </w:div>
    <w:div w:id="789973706">
      <w:bodyDiv w:val="1"/>
      <w:marLeft w:val="0"/>
      <w:marRight w:val="0"/>
      <w:marTop w:val="0"/>
      <w:marBottom w:val="0"/>
      <w:divBdr>
        <w:top w:val="none" w:sz="0" w:space="0" w:color="auto"/>
        <w:left w:val="none" w:sz="0" w:space="0" w:color="auto"/>
        <w:bottom w:val="none" w:sz="0" w:space="0" w:color="auto"/>
        <w:right w:val="none" w:sz="0" w:space="0" w:color="auto"/>
      </w:divBdr>
    </w:div>
    <w:div w:id="808745214">
      <w:bodyDiv w:val="1"/>
      <w:marLeft w:val="0"/>
      <w:marRight w:val="0"/>
      <w:marTop w:val="0"/>
      <w:marBottom w:val="0"/>
      <w:divBdr>
        <w:top w:val="none" w:sz="0" w:space="0" w:color="auto"/>
        <w:left w:val="none" w:sz="0" w:space="0" w:color="auto"/>
        <w:bottom w:val="none" w:sz="0" w:space="0" w:color="auto"/>
        <w:right w:val="none" w:sz="0" w:space="0" w:color="auto"/>
      </w:divBdr>
    </w:div>
    <w:div w:id="813333447">
      <w:bodyDiv w:val="1"/>
      <w:marLeft w:val="0"/>
      <w:marRight w:val="0"/>
      <w:marTop w:val="0"/>
      <w:marBottom w:val="0"/>
      <w:divBdr>
        <w:top w:val="none" w:sz="0" w:space="0" w:color="auto"/>
        <w:left w:val="none" w:sz="0" w:space="0" w:color="auto"/>
        <w:bottom w:val="none" w:sz="0" w:space="0" w:color="auto"/>
        <w:right w:val="none" w:sz="0" w:space="0" w:color="auto"/>
      </w:divBdr>
    </w:div>
    <w:div w:id="816340017">
      <w:bodyDiv w:val="1"/>
      <w:marLeft w:val="0"/>
      <w:marRight w:val="0"/>
      <w:marTop w:val="0"/>
      <w:marBottom w:val="0"/>
      <w:divBdr>
        <w:top w:val="none" w:sz="0" w:space="0" w:color="auto"/>
        <w:left w:val="none" w:sz="0" w:space="0" w:color="auto"/>
        <w:bottom w:val="none" w:sz="0" w:space="0" w:color="auto"/>
        <w:right w:val="none" w:sz="0" w:space="0" w:color="auto"/>
      </w:divBdr>
    </w:div>
    <w:div w:id="821046588">
      <w:bodyDiv w:val="1"/>
      <w:marLeft w:val="0"/>
      <w:marRight w:val="0"/>
      <w:marTop w:val="0"/>
      <w:marBottom w:val="0"/>
      <w:divBdr>
        <w:top w:val="none" w:sz="0" w:space="0" w:color="auto"/>
        <w:left w:val="none" w:sz="0" w:space="0" w:color="auto"/>
        <w:bottom w:val="none" w:sz="0" w:space="0" w:color="auto"/>
        <w:right w:val="none" w:sz="0" w:space="0" w:color="auto"/>
      </w:divBdr>
    </w:div>
    <w:div w:id="856962223">
      <w:bodyDiv w:val="1"/>
      <w:marLeft w:val="0"/>
      <w:marRight w:val="0"/>
      <w:marTop w:val="0"/>
      <w:marBottom w:val="0"/>
      <w:divBdr>
        <w:top w:val="none" w:sz="0" w:space="0" w:color="auto"/>
        <w:left w:val="none" w:sz="0" w:space="0" w:color="auto"/>
        <w:bottom w:val="none" w:sz="0" w:space="0" w:color="auto"/>
        <w:right w:val="none" w:sz="0" w:space="0" w:color="auto"/>
      </w:divBdr>
    </w:div>
    <w:div w:id="861742857">
      <w:bodyDiv w:val="1"/>
      <w:marLeft w:val="0"/>
      <w:marRight w:val="0"/>
      <w:marTop w:val="0"/>
      <w:marBottom w:val="0"/>
      <w:divBdr>
        <w:top w:val="none" w:sz="0" w:space="0" w:color="auto"/>
        <w:left w:val="none" w:sz="0" w:space="0" w:color="auto"/>
        <w:bottom w:val="none" w:sz="0" w:space="0" w:color="auto"/>
        <w:right w:val="none" w:sz="0" w:space="0" w:color="auto"/>
      </w:divBdr>
    </w:div>
    <w:div w:id="863325425">
      <w:bodyDiv w:val="1"/>
      <w:marLeft w:val="0"/>
      <w:marRight w:val="0"/>
      <w:marTop w:val="0"/>
      <w:marBottom w:val="0"/>
      <w:divBdr>
        <w:top w:val="none" w:sz="0" w:space="0" w:color="auto"/>
        <w:left w:val="none" w:sz="0" w:space="0" w:color="auto"/>
        <w:bottom w:val="none" w:sz="0" w:space="0" w:color="auto"/>
        <w:right w:val="none" w:sz="0" w:space="0" w:color="auto"/>
      </w:divBdr>
    </w:div>
    <w:div w:id="873928427">
      <w:bodyDiv w:val="1"/>
      <w:marLeft w:val="0"/>
      <w:marRight w:val="0"/>
      <w:marTop w:val="0"/>
      <w:marBottom w:val="0"/>
      <w:divBdr>
        <w:top w:val="none" w:sz="0" w:space="0" w:color="auto"/>
        <w:left w:val="none" w:sz="0" w:space="0" w:color="auto"/>
        <w:bottom w:val="none" w:sz="0" w:space="0" w:color="auto"/>
        <w:right w:val="none" w:sz="0" w:space="0" w:color="auto"/>
      </w:divBdr>
    </w:div>
    <w:div w:id="876310971">
      <w:bodyDiv w:val="1"/>
      <w:marLeft w:val="0"/>
      <w:marRight w:val="0"/>
      <w:marTop w:val="0"/>
      <w:marBottom w:val="0"/>
      <w:divBdr>
        <w:top w:val="none" w:sz="0" w:space="0" w:color="auto"/>
        <w:left w:val="none" w:sz="0" w:space="0" w:color="auto"/>
        <w:bottom w:val="none" w:sz="0" w:space="0" w:color="auto"/>
        <w:right w:val="none" w:sz="0" w:space="0" w:color="auto"/>
      </w:divBdr>
    </w:div>
    <w:div w:id="900798087">
      <w:bodyDiv w:val="1"/>
      <w:marLeft w:val="0"/>
      <w:marRight w:val="0"/>
      <w:marTop w:val="0"/>
      <w:marBottom w:val="0"/>
      <w:divBdr>
        <w:top w:val="none" w:sz="0" w:space="0" w:color="auto"/>
        <w:left w:val="none" w:sz="0" w:space="0" w:color="auto"/>
        <w:bottom w:val="none" w:sz="0" w:space="0" w:color="auto"/>
        <w:right w:val="none" w:sz="0" w:space="0" w:color="auto"/>
      </w:divBdr>
    </w:div>
    <w:div w:id="919756984">
      <w:bodyDiv w:val="1"/>
      <w:marLeft w:val="0"/>
      <w:marRight w:val="0"/>
      <w:marTop w:val="0"/>
      <w:marBottom w:val="0"/>
      <w:divBdr>
        <w:top w:val="none" w:sz="0" w:space="0" w:color="auto"/>
        <w:left w:val="none" w:sz="0" w:space="0" w:color="auto"/>
        <w:bottom w:val="none" w:sz="0" w:space="0" w:color="auto"/>
        <w:right w:val="none" w:sz="0" w:space="0" w:color="auto"/>
      </w:divBdr>
    </w:div>
    <w:div w:id="924145550">
      <w:bodyDiv w:val="1"/>
      <w:marLeft w:val="0"/>
      <w:marRight w:val="0"/>
      <w:marTop w:val="0"/>
      <w:marBottom w:val="0"/>
      <w:divBdr>
        <w:top w:val="none" w:sz="0" w:space="0" w:color="auto"/>
        <w:left w:val="none" w:sz="0" w:space="0" w:color="auto"/>
        <w:bottom w:val="none" w:sz="0" w:space="0" w:color="auto"/>
        <w:right w:val="none" w:sz="0" w:space="0" w:color="auto"/>
      </w:divBdr>
    </w:div>
    <w:div w:id="925654808">
      <w:bodyDiv w:val="1"/>
      <w:marLeft w:val="0"/>
      <w:marRight w:val="0"/>
      <w:marTop w:val="0"/>
      <w:marBottom w:val="0"/>
      <w:divBdr>
        <w:top w:val="none" w:sz="0" w:space="0" w:color="auto"/>
        <w:left w:val="none" w:sz="0" w:space="0" w:color="auto"/>
        <w:bottom w:val="none" w:sz="0" w:space="0" w:color="auto"/>
        <w:right w:val="none" w:sz="0" w:space="0" w:color="auto"/>
      </w:divBdr>
    </w:div>
    <w:div w:id="938558757">
      <w:bodyDiv w:val="1"/>
      <w:marLeft w:val="0"/>
      <w:marRight w:val="0"/>
      <w:marTop w:val="0"/>
      <w:marBottom w:val="0"/>
      <w:divBdr>
        <w:top w:val="none" w:sz="0" w:space="0" w:color="auto"/>
        <w:left w:val="none" w:sz="0" w:space="0" w:color="auto"/>
        <w:bottom w:val="none" w:sz="0" w:space="0" w:color="auto"/>
        <w:right w:val="none" w:sz="0" w:space="0" w:color="auto"/>
      </w:divBdr>
    </w:div>
    <w:div w:id="941491683">
      <w:bodyDiv w:val="1"/>
      <w:marLeft w:val="0"/>
      <w:marRight w:val="0"/>
      <w:marTop w:val="0"/>
      <w:marBottom w:val="0"/>
      <w:divBdr>
        <w:top w:val="none" w:sz="0" w:space="0" w:color="auto"/>
        <w:left w:val="none" w:sz="0" w:space="0" w:color="auto"/>
        <w:bottom w:val="none" w:sz="0" w:space="0" w:color="auto"/>
        <w:right w:val="none" w:sz="0" w:space="0" w:color="auto"/>
      </w:divBdr>
    </w:div>
    <w:div w:id="973753816">
      <w:bodyDiv w:val="1"/>
      <w:marLeft w:val="0"/>
      <w:marRight w:val="0"/>
      <w:marTop w:val="0"/>
      <w:marBottom w:val="0"/>
      <w:divBdr>
        <w:top w:val="none" w:sz="0" w:space="0" w:color="auto"/>
        <w:left w:val="none" w:sz="0" w:space="0" w:color="auto"/>
        <w:bottom w:val="none" w:sz="0" w:space="0" w:color="auto"/>
        <w:right w:val="none" w:sz="0" w:space="0" w:color="auto"/>
      </w:divBdr>
    </w:div>
    <w:div w:id="984892515">
      <w:bodyDiv w:val="1"/>
      <w:marLeft w:val="0"/>
      <w:marRight w:val="0"/>
      <w:marTop w:val="0"/>
      <w:marBottom w:val="0"/>
      <w:divBdr>
        <w:top w:val="none" w:sz="0" w:space="0" w:color="auto"/>
        <w:left w:val="none" w:sz="0" w:space="0" w:color="auto"/>
        <w:bottom w:val="none" w:sz="0" w:space="0" w:color="auto"/>
        <w:right w:val="none" w:sz="0" w:space="0" w:color="auto"/>
      </w:divBdr>
    </w:div>
    <w:div w:id="998926920">
      <w:bodyDiv w:val="1"/>
      <w:marLeft w:val="0"/>
      <w:marRight w:val="0"/>
      <w:marTop w:val="0"/>
      <w:marBottom w:val="0"/>
      <w:divBdr>
        <w:top w:val="none" w:sz="0" w:space="0" w:color="auto"/>
        <w:left w:val="none" w:sz="0" w:space="0" w:color="auto"/>
        <w:bottom w:val="none" w:sz="0" w:space="0" w:color="auto"/>
        <w:right w:val="none" w:sz="0" w:space="0" w:color="auto"/>
      </w:divBdr>
    </w:div>
    <w:div w:id="1063213912">
      <w:bodyDiv w:val="1"/>
      <w:marLeft w:val="0"/>
      <w:marRight w:val="0"/>
      <w:marTop w:val="0"/>
      <w:marBottom w:val="0"/>
      <w:divBdr>
        <w:top w:val="none" w:sz="0" w:space="0" w:color="auto"/>
        <w:left w:val="none" w:sz="0" w:space="0" w:color="auto"/>
        <w:bottom w:val="none" w:sz="0" w:space="0" w:color="auto"/>
        <w:right w:val="none" w:sz="0" w:space="0" w:color="auto"/>
      </w:divBdr>
    </w:div>
    <w:div w:id="1070688902">
      <w:bodyDiv w:val="1"/>
      <w:marLeft w:val="0"/>
      <w:marRight w:val="0"/>
      <w:marTop w:val="0"/>
      <w:marBottom w:val="0"/>
      <w:divBdr>
        <w:top w:val="none" w:sz="0" w:space="0" w:color="auto"/>
        <w:left w:val="none" w:sz="0" w:space="0" w:color="auto"/>
        <w:bottom w:val="none" w:sz="0" w:space="0" w:color="auto"/>
        <w:right w:val="none" w:sz="0" w:space="0" w:color="auto"/>
      </w:divBdr>
    </w:div>
    <w:div w:id="1080833798">
      <w:bodyDiv w:val="1"/>
      <w:marLeft w:val="0"/>
      <w:marRight w:val="0"/>
      <w:marTop w:val="0"/>
      <w:marBottom w:val="0"/>
      <w:divBdr>
        <w:top w:val="none" w:sz="0" w:space="0" w:color="auto"/>
        <w:left w:val="none" w:sz="0" w:space="0" w:color="auto"/>
        <w:bottom w:val="none" w:sz="0" w:space="0" w:color="auto"/>
        <w:right w:val="none" w:sz="0" w:space="0" w:color="auto"/>
      </w:divBdr>
    </w:div>
    <w:div w:id="1087120262">
      <w:bodyDiv w:val="1"/>
      <w:marLeft w:val="0"/>
      <w:marRight w:val="0"/>
      <w:marTop w:val="0"/>
      <w:marBottom w:val="0"/>
      <w:divBdr>
        <w:top w:val="none" w:sz="0" w:space="0" w:color="auto"/>
        <w:left w:val="none" w:sz="0" w:space="0" w:color="auto"/>
        <w:bottom w:val="none" w:sz="0" w:space="0" w:color="auto"/>
        <w:right w:val="none" w:sz="0" w:space="0" w:color="auto"/>
      </w:divBdr>
    </w:div>
    <w:div w:id="1111976256">
      <w:bodyDiv w:val="1"/>
      <w:marLeft w:val="0"/>
      <w:marRight w:val="0"/>
      <w:marTop w:val="0"/>
      <w:marBottom w:val="0"/>
      <w:divBdr>
        <w:top w:val="none" w:sz="0" w:space="0" w:color="auto"/>
        <w:left w:val="none" w:sz="0" w:space="0" w:color="auto"/>
        <w:bottom w:val="none" w:sz="0" w:space="0" w:color="auto"/>
        <w:right w:val="none" w:sz="0" w:space="0" w:color="auto"/>
      </w:divBdr>
    </w:div>
    <w:div w:id="1120955514">
      <w:bodyDiv w:val="1"/>
      <w:marLeft w:val="0"/>
      <w:marRight w:val="0"/>
      <w:marTop w:val="0"/>
      <w:marBottom w:val="0"/>
      <w:divBdr>
        <w:top w:val="none" w:sz="0" w:space="0" w:color="auto"/>
        <w:left w:val="none" w:sz="0" w:space="0" w:color="auto"/>
        <w:bottom w:val="none" w:sz="0" w:space="0" w:color="auto"/>
        <w:right w:val="none" w:sz="0" w:space="0" w:color="auto"/>
      </w:divBdr>
    </w:div>
    <w:div w:id="1124957342">
      <w:bodyDiv w:val="1"/>
      <w:marLeft w:val="0"/>
      <w:marRight w:val="0"/>
      <w:marTop w:val="0"/>
      <w:marBottom w:val="0"/>
      <w:divBdr>
        <w:top w:val="none" w:sz="0" w:space="0" w:color="auto"/>
        <w:left w:val="none" w:sz="0" w:space="0" w:color="auto"/>
        <w:bottom w:val="none" w:sz="0" w:space="0" w:color="auto"/>
        <w:right w:val="none" w:sz="0" w:space="0" w:color="auto"/>
      </w:divBdr>
    </w:div>
    <w:div w:id="1135486356">
      <w:bodyDiv w:val="1"/>
      <w:marLeft w:val="0"/>
      <w:marRight w:val="0"/>
      <w:marTop w:val="0"/>
      <w:marBottom w:val="0"/>
      <w:divBdr>
        <w:top w:val="none" w:sz="0" w:space="0" w:color="auto"/>
        <w:left w:val="none" w:sz="0" w:space="0" w:color="auto"/>
        <w:bottom w:val="none" w:sz="0" w:space="0" w:color="auto"/>
        <w:right w:val="none" w:sz="0" w:space="0" w:color="auto"/>
      </w:divBdr>
    </w:div>
    <w:div w:id="1137260488">
      <w:bodyDiv w:val="1"/>
      <w:marLeft w:val="0"/>
      <w:marRight w:val="0"/>
      <w:marTop w:val="0"/>
      <w:marBottom w:val="0"/>
      <w:divBdr>
        <w:top w:val="none" w:sz="0" w:space="0" w:color="auto"/>
        <w:left w:val="none" w:sz="0" w:space="0" w:color="auto"/>
        <w:bottom w:val="none" w:sz="0" w:space="0" w:color="auto"/>
        <w:right w:val="none" w:sz="0" w:space="0" w:color="auto"/>
      </w:divBdr>
    </w:div>
    <w:div w:id="1147358916">
      <w:bodyDiv w:val="1"/>
      <w:marLeft w:val="0"/>
      <w:marRight w:val="0"/>
      <w:marTop w:val="0"/>
      <w:marBottom w:val="0"/>
      <w:divBdr>
        <w:top w:val="none" w:sz="0" w:space="0" w:color="auto"/>
        <w:left w:val="none" w:sz="0" w:space="0" w:color="auto"/>
        <w:bottom w:val="none" w:sz="0" w:space="0" w:color="auto"/>
        <w:right w:val="none" w:sz="0" w:space="0" w:color="auto"/>
      </w:divBdr>
    </w:div>
    <w:div w:id="1161580510">
      <w:bodyDiv w:val="1"/>
      <w:marLeft w:val="0"/>
      <w:marRight w:val="0"/>
      <w:marTop w:val="0"/>
      <w:marBottom w:val="0"/>
      <w:divBdr>
        <w:top w:val="none" w:sz="0" w:space="0" w:color="auto"/>
        <w:left w:val="none" w:sz="0" w:space="0" w:color="auto"/>
        <w:bottom w:val="none" w:sz="0" w:space="0" w:color="auto"/>
        <w:right w:val="none" w:sz="0" w:space="0" w:color="auto"/>
      </w:divBdr>
    </w:div>
    <w:div w:id="1162043370">
      <w:bodyDiv w:val="1"/>
      <w:marLeft w:val="0"/>
      <w:marRight w:val="0"/>
      <w:marTop w:val="0"/>
      <w:marBottom w:val="0"/>
      <w:divBdr>
        <w:top w:val="none" w:sz="0" w:space="0" w:color="auto"/>
        <w:left w:val="none" w:sz="0" w:space="0" w:color="auto"/>
        <w:bottom w:val="none" w:sz="0" w:space="0" w:color="auto"/>
        <w:right w:val="none" w:sz="0" w:space="0" w:color="auto"/>
      </w:divBdr>
    </w:div>
    <w:div w:id="1186405797">
      <w:bodyDiv w:val="1"/>
      <w:marLeft w:val="0"/>
      <w:marRight w:val="0"/>
      <w:marTop w:val="0"/>
      <w:marBottom w:val="0"/>
      <w:divBdr>
        <w:top w:val="none" w:sz="0" w:space="0" w:color="auto"/>
        <w:left w:val="none" w:sz="0" w:space="0" w:color="auto"/>
        <w:bottom w:val="none" w:sz="0" w:space="0" w:color="auto"/>
        <w:right w:val="none" w:sz="0" w:space="0" w:color="auto"/>
      </w:divBdr>
    </w:div>
    <w:div w:id="1187255595">
      <w:bodyDiv w:val="1"/>
      <w:marLeft w:val="0"/>
      <w:marRight w:val="0"/>
      <w:marTop w:val="0"/>
      <w:marBottom w:val="0"/>
      <w:divBdr>
        <w:top w:val="none" w:sz="0" w:space="0" w:color="auto"/>
        <w:left w:val="none" w:sz="0" w:space="0" w:color="auto"/>
        <w:bottom w:val="none" w:sz="0" w:space="0" w:color="auto"/>
        <w:right w:val="none" w:sz="0" w:space="0" w:color="auto"/>
      </w:divBdr>
    </w:div>
    <w:div w:id="1219513625">
      <w:bodyDiv w:val="1"/>
      <w:marLeft w:val="0"/>
      <w:marRight w:val="0"/>
      <w:marTop w:val="0"/>
      <w:marBottom w:val="0"/>
      <w:divBdr>
        <w:top w:val="none" w:sz="0" w:space="0" w:color="auto"/>
        <w:left w:val="none" w:sz="0" w:space="0" w:color="auto"/>
        <w:bottom w:val="none" w:sz="0" w:space="0" w:color="auto"/>
        <w:right w:val="none" w:sz="0" w:space="0" w:color="auto"/>
      </w:divBdr>
    </w:div>
    <w:div w:id="1227106261">
      <w:bodyDiv w:val="1"/>
      <w:marLeft w:val="0"/>
      <w:marRight w:val="0"/>
      <w:marTop w:val="0"/>
      <w:marBottom w:val="0"/>
      <w:divBdr>
        <w:top w:val="none" w:sz="0" w:space="0" w:color="auto"/>
        <w:left w:val="none" w:sz="0" w:space="0" w:color="auto"/>
        <w:bottom w:val="none" w:sz="0" w:space="0" w:color="auto"/>
        <w:right w:val="none" w:sz="0" w:space="0" w:color="auto"/>
      </w:divBdr>
    </w:div>
    <w:div w:id="1276521931">
      <w:bodyDiv w:val="1"/>
      <w:marLeft w:val="0"/>
      <w:marRight w:val="0"/>
      <w:marTop w:val="0"/>
      <w:marBottom w:val="0"/>
      <w:divBdr>
        <w:top w:val="none" w:sz="0" w:space="0" w:color="auto"/>
        <w:left w:val="none" w:sz="0" w:space="0" w:color="auto"/>
        <w:bottom w:val="none" w:sz="0" w:space="0" w:color="auto"/>
        <w:right w:val="none" w:sz="0" w:space="0" w:color="auto"/>
      </w:divBdr>
    </w:div>
    <w:div w:id="1287662086">
      <w:bodyDiv w:val="1"/>
      <w:marLeft w:val="0"/>
      <w:marRight w:val="0"/>
      <w:marTop w:val="0"/>
      <w:marBottom w:val="0"/>
      <w:divBdr>
        <w:top w:val="none" w:sz="0" w:space="0" w:color="auto"/>
        <w:left w:val="none" w:sz="0" w:space="0" w:color="auto"/>
        <w:bottom w:val="none" w:sz="0" w:space="0" w:color="auto"/>
        <w:right w:val="none" w:sz="0" w:space="0" w:color="auto"/>
      </w:divBdr>
    </w:div>
    <w:div w:id="1301417887">
      <w:bodyDiv w:val="1"/>
      <w:marLeft w:val="0"/>
      <w:marRight w:val="0"/>
      <w:marTop w:val="0"/>
      <w:marBottom w:val="0"/>
      <w:divBdr>
        <w:top w:val="none" w:sz="0" w:space="0" w:color="auto"/>
        <w:left w:val="none" w:sz="0" w:space="0" w:color="auto"/>
        <w:bottom w:val="none" w:sz="0" w:space="0" w:color="auto"/>
        <w:right w:val="none" w:sz="0" w:space="0" w:color="auto"/>
      </w:divBdr>
    </w:div>
    <w:div w:id="1305087614">
      <w:bodyDiv w:val="1"/>
      <w:marLeft w:val="0"/>
      <w:marRight w:val="0"/>
      <w:marTop w:val="0"/>
      <w:marBottom w:val="0"/>
      <w:divBdr>
        <w:top w:val="none" w:sz="0" w:space="0" w:color="auto"/>
        <w:left w:val="none" w:sz="0" w:space="0" w:color="auto"/>
        <w:bottom w:val="none" w:sz="0" w:space="0" w:color="auto"/>
        <w:right w:val="none" w:sz="0" w:space="0" w:color="auto"/>
      </w:divBdr>
    </w:div>
    <w:div w:id="1317298135">
      <w:bodyDiv w:val="1"/>
      <w:marLeft w:val="0"/>
      <w:marRight w:val="0"/>
      <w:marTop w:val="0"/>
      <w:marBottom w:val="0"/>
      <w:divBdr>
        <w:top w:val="none" w:sz="0" w:space="0" w:color="auto"/>
        <w:left w:val="none" w:sz="0" w:space="0" w:color="auto"/>
        <w:bottom w:val="none" w:sz="0" w:space="0" w:color="auto"/>
        <w:right w:val="none" w:sz="0" w:space="0" w:color="auto"/>
      </w:divBdr>
    </w:div>
    <w:div w:id="1318531926">
      <w:bodyDiv w:val="1"/>
      <w:marLeft w:val="0"/>
      <w:marRight w:val="0"/>
      <w:marTop w:val="0"/>
      <w:marBottom w:val="0"/>
      <w:divBdr>
        <w:top w:val="none" w:sz="0" w:space="0" w:color="auto"/>
        <w:left w:val="none" w:sz="0" w:space="0" w:color="auto"/>
        <w:bottom w:val="none" w:sz="0" w:space="0" w:color="auto"/>
        <w:right w:val="none" w:sz="0" w:space="0" w:color="auto"/>
      </w:divBdr>
    </w:div>
    <w:div w:id="1319265342">
      <w:bodyDiv w:val="1"/>
      <w:marLeft w:val="0"/>
      <w:marRight w:val="0"/>
      <w:marTop w:val="0"/>
      <w:marBottom w:val="0"/>
      <w:divBdr>
        <w:top w:val="none" w:sz="0" w:space="0" w:color="auto"/>
        <w:left w:val="none" w:sz="0" w:space="0" w:color="auto"/>
        <w:bottom w:val="none" w:sz="0" w:space="0" w:color="auto"/>
        <w:right w:val="none" w:sz="0" w:space="0" w:color="auto"/>
      </w:divBdr>
    </w:div>
    <w:div w:id="1381132331">
      <w:bodyDiv w:val="1"/>
      <w:marLeft w:val="0"/>
      <w:marRight w:val="0"/>
      <w:marTop w:val="0"/>
      <w:marBottom w:val="0"/>
      <w:divBdr>
        <w:top w:val="none" w:sz="0" w:space="0" w:color="auto"/>
        <w:left w:val="none" w:sz="0" w:space="0" w:color="auto"/>
        <w:bottom w:val="none" w:sz="0" w:space="0" w:color="auto"/>
        <w:right w:val="none" w:sz="0" w:space="0" w:color="auto"/>
      </w:divBdr>
    </w:div>
    <w:div w:id="1384673862">
      <w:bodyDiv w:val="1"/>
      <w:marLeft w:val="0"/>
      <w:marRight w:val="0"/>
      <w:marTop w:val="0"/>
      <w:marBottom w:val="0"/>
      <w:divBdr>
        <w:top w:val="none" w:sz="0" w:space="0" w:color="auto"/>
        <w:left w:val="none" w:sz="0" w:space="0" w:color="auto"/>
        <w:bottom w:val="none" w:sz="0" w:space="0" w:color="auto"/>
        <w:right w:val="none" w:sz="0" w:space="0" w:color="auto"/>
      </w:divBdr>
    </w:div>
    <w:div w:id="1387879250">
      <w:bodyDiv w:val="1"/>
      <w:marLeft w:val="0"/>
      <w:marRight w:val="0"/>
      <w:marTop w:val="0"/>
      <w:marBottom w:val="0"/>
      <w:divBdr>
        <w:top w:val="none" w:sz="0" w:space="0" w:color="auto"/>
        <w:left w:val="none" w:sz="0" w:space="0" w:color="auto"/>
        <w:bottom w:val="none" w:sz="0" w:space="0" w:color="auto"/>
        <w:right w:val="none" w:sz="0" w:space="0" w:color="auto"/>
      </w:divBdr>
    </w:div>
    <w:div w:id="1401514848">
      <w:bodyDiv w:val="1"/>
      <w:marLeft w:val="0"/>
      <w:marRight w:val="0"/>
      <w:marTop w:val="0"/>
      <w:marBottom w:val="0"/>
      <w:divBdr>
        <w:top w:val="none" w:sz="0" w:space="0" w:color="auto"/>
        <w:left w:val="none" w:sz="0" w:space="0" w:color="auto"/>
        <w:bottom w:val="none" w:sz="0" w:space="0" w:color="auto"/>
        <w:right w:val="none" w:sz="0" w:space="0" w:color="auto"/>
      </w:divBdr>
    </w:div>
    <w:div w:id="1417559188">
      <w:bodyDiv w:val="1"/>
      <w:marLeft w:val="0"/>
      <w:marRight w:val="0"/>
      <w:marTop w:val="0"/>
      <w:marBottom w:val="0"/>
      <w:divBdr>
        <w:top w:val="none" w:sz="0" w:space="0" w:color="auto"/>
        <w:left w:val="none" w:sz="0" w:space="0" w:color="auto"/>
        <w:bottom w:val="none" w:sz="0" w:space="0" w:color="auto"/>
        <w:right w:val="none" w:sz="0" w:space="0" w:color="auto"/>
      </w:divBdr>
    </w:div>
    <w:div w:id="1428690691">
      <w:bodyDiv w:val="1"/>
      <w:marLeft w:val="0"/>
      <w:marRight w:val="0"/>
      <w:marTop w:val="0"/>
      <w:marBottom w:val="0"/>
      <w:divBdr>
        <w:top w:val="none" w:sz="0" w:space="0" w:color="auto"/>
        <w:left w:val="none" w:sz="0" w:space="0" w:color="auto"/>
        <w:bottom w:val="none" w:sz="0" w:space="0" w:color="auto"/>
        <w:right w:val="none" w:sz="0" w:space="0" w:color="auto"/>
      </w:divBdr>
    </w:div>
    <w:div w:id="1444642774">
      <w:bodyDiv w:val="1"/>
      <w:marLeft w:val="0"/>
      <w:marRight w:val="0"/>
      <w:marTop w:val="0"/>
      <w:marBottom w:val="0"/>
      <w:divBdr>
        <w:top w:val="none" w:sz="0" w:space="0" w:color="auto"/>
        <w:left w:val="none" w:sz="0" w:space="0" w:color="auto"/>
        <w:bottom w:val="none" w:sz="0" w:space="0" w:color="auto"/>
        <w:right w:val="none" w:sz="0" w:space="0" w:color="auto"/>
      </w:divBdr>
    </w:div>
    <w:div w:id="1452361582">
      <w:bodyDiv w:val="1"/>
      <w:marLeft w:val="0"/>
      <w:marRight w:val="0"/>
      <w:marTop w:val="0"/>
      <w:marBottom w:val="0"/>
      <w:divBdr>
        <w:top w:val="none" w:sz="0" w:space="0" w:color="auto"/>
        <w:left w:val="none" w:sz="0" w:space="0" w:color="auto"/>
        <w:bottom w:val="none" w:sz="0" w:space="0" w:color="auto"/>
        <w:right w:val="none" w:sz="0" w:space="0" w:color="auto"/>
      </w:divBdr>
    </w:div>
    <w:div w:id="1464275167">
      <w:bodyDiv w:val="1"/>
      <w:marLeft w:val="0"/>
      <w:marRight w:val="0"/>
      <w:marTop w:val="0"/>
      <w:marBottom w:val="0"/>
      <w:divBdr>
        <w:top w:val="none" w:sz="0" w:space="0" w:color="auto"/>
        <w:left w:val="none" w:sz="0" w:space="0" w:color="auto"/>
        <w:bottom w:val="none" w:sz="0" w:space="0" w:color="auto"/>
        <w:right w:val="none" w:sz="0" w:space="0" w:color="auto"/>
      </w:divBdr>
    </w:div>
    <w:div w:id="1466896248">
      <w:bodyDiv w:val="1"/>
      <w:marLeft w:val="0"/>
      <w:marRight w:val="0"/>
      <w:marTop w:val="0"/>
      <w:marBottom w:val="0"/>
      <w:divBdr>
        <w:top w:val="none" w:sz="0" w:space="0" w:color="auto"/>
        <w:left w:val="none" w:sz="0" w:space="0" w:color="auto"/>
        <w:bottom w:val="none" w:sz="0" w:space="0" w:color="auto"/>
        <w:right w:val="none" w:sz="0" w:space="0" w:color="auto"/>
      </w:divBdr>
    </w:div>
    <w:div w:id="1487085241">
      <w:bodyDiv w:val="1"/>
      <w:marLeft w:val="0"/>
      <w:marRight w:val="0"/>
      <w:marTop w:val="0"/>
      <w:marBottom w:val="0"/>
      <w:divBdr>
        <w:top w:val="none" w:sz="0" w:space="0" w:color="auto"/>
        <w:left w:val="none" w:sz="0" w:space="0" w:color="auto"/>
        <w:bottom w:val="none" w:sz="0" w:space="0" w:color="auto"/>
        <w:right w:val="none" w:sz="0" w:space="0" w:color="auto"/>
      </w:divBdr>
    </w:div>
    <w:div w:id="1488400944">
      <w:bodyDiv w:val="1"/>
      <w:marLeft w:val="0"/>
      <w:marRight w:val="0"/>
      <w:marTop w:val="0"/>
      <w:marBottom w:val="0"/>
      <w:divBdr>
        <w:top w:val="none" w:sz="0" w:space="0" w:color="auto"/>
        <w:left w:val="none" w:sz="0" w:space="0" w:color="auto"/>
        <w:bottom w:val="none" w:sz="0" w:space="0" w:color="auto"/>
        <w:right w:val="none" w:sz="0" w:space="0" w:color="auto"/>
      </w:divBdr>
    </w:div>
    <w:div w:id="1560164586">
      <w:bodyDiv w:val="1"/>
      <w:marLeft w:val="0"/>
      <w:marRight w:val="0"/>
      <w:marTop w:val="0"/>
      <w:marBottom w:val="0"/>
      <w:divBdr>
        <w:top w:val="none" w:sz="0" w:space="0" w:color="auto"/>
        <w:left w:val="none" w:sz="0" w:space="0" w:color="auto"/>
        <w:bottom w:val="none" w:sz="0" w:space="0" w:color="auto"/>
        <w:right w:val="none" w:sz="0" w:space="0" w:color="auto"/>
      </w:divBdr>
    </w:div>
    <w:div w:id="1575234867">
      <w:bodyDiv w:val="1"/>
      <w:marLeft w:val="0"/>
      <w:marRight w:val="0"/>
      <w:marTop w:val="0"/>
      <w:marBottom w:val="0"/>
      <w:divBdr>
        <w:top w:val="none" w:sz="0" w:space="0" w:color="auto"/>
        <w:left w:val="none" w:sz="0" w:space="0" w:color="auto"/>
        <w:bottom w:val="none" w:sz="0" w:space="0" w:color="auto"/>
        <w:right w:val="none" w:sz="0" w:space="0" w:color="auto"/>
      </w:divBdr>
    </w:div>
    <w:div w:id="1582326702">
      <w:bodyDiv w:val="1"/>
      <w:marLeft w:val="0"/>
      <w:marRight w:val="0"/>
      <w:marTop w:val="0"/>
      <w:marBottom w:val="0"/>
      <w:divBdr>
        <w:top w:val="none" w:sz="0" w:space="0" w:color="auto"/>
        <w:left w:val="none" w:sz="0" w:space="0" w:color="auto"/>
        <w:bottom w:val="none" w:sz="0" w:space="0" w:color="auto"/>
        <w:right w:val="none" w:sz="0" w:space="0" w:color="auto"/>
      </w:divBdr>
    </w:div>
    <w:div w:id="1599412485">
      <w:bodyDiv w:val="1"/>
      <w:marLeft w:val="0"/>
      <w:marRight w:val="0"/>
      <w:marTop w:val="0"/>
      <w:marBottom w:val="0"/>
      <w:divBdr>
        <w:top w:val="none" w:sz="0" w:space="0" w:color="auto"/>
        <w:left w:val="none" w:sz="0" w:space="0" w:color="auto"/>
        <w:bottom w:val="none" w:sz="0" w:space="0" w:color="auto"/>
        <w:right w:val="none" w:sz="0" w:space="0" w:color="auto"/>
      </w:divBdr>
    </w:div>
    <w:div w:id="1609697757">
      <w:bodyDiv w:val="1"/>
      <w:marLeft w:val="0"/>
      <w:marRight w:val="0"/>
      <w:marTop w:val="0"/>
      <w:marBottom w:val="0"/>
      <w:divBdr>
        <w:top w:val="none" w:sz="0" w:space="0" w:color="auto"/>
        <w:left w:val="none" w:sz="0" w:space="0" w:color="auto"/>
        <w:bottom w:val="none" w:sz="0" w:space="0" w:color="auto"/>
        <w:right w:val="none" w:sz="0" w:space="0" w:color="auto"/>
      </w:divBdr>
    </w:div>
    <w:div w:id="1610311466">
      <w:bodyDiv w:val="1"/>
      <w:marLeft w:val="0"/>
      <w:marRight w:val="0"/>
      <w:marTop w:val="0"/>
      <w:marBottom w:val="0"/>
      <w:divBdr>
        <w:top w:val="none" w:sz="0" w:space="0" w:color="auto"/>
        <w:left w:val="none" w:sz="0" w:space="0" w:color="auto"/>
        <w:bottom w:val="none" w:sz="0" w:space="0" w:color="auto"/>
        <w:right w:val="none" w:sz="0" w:space="0" w:color="auto"/>
      </w:divBdr>
    </w:div>
    <w:div w:id="1614942374">
      <w:bodyDiv w:val="1"/>
      <w:marLeft w:val="0"/>
      <w:marRight w:val="0"/>
      <w:marTop w:val="0"/>
      <w:marBottom w:val="0"/>
      <w:divBdr>
        <w:top w:val="none" w:sz="0" w:space="0" w:color="auto"/>
        <w:left w:val="none" w:sz="0" w:space="0" w:color="auto"/>
        <w:bottom w:val="none" w:sz="0" w:space="0" w:color="auto"/>
        <w:right w:val="none" w:sz="0" w:space="0" w:color="auto"/>
      </w:divBdr>
    </w:div>
    <w:div w:id="1630821023">
      <w:bodyDiv w:val="1"/>
      <w:marLeft w:val="0"/>
      <w:marRight w:val="0"/>
      <w:marTop w:val="0"/>
      <w:marBottom w:val="0"/>
      <w:divBdr>
        <w:top w:val="none" w:sz="0" w:space="0" w:color="auto"/>
        <w:left w:val="none" w:sz="0" w:space="0" w:color="auto"/>
        <w:bottom w:val="none" w:sz="0" w:space="0" w:color="auto"/>
        <w:right w:val="none" w:sz="0" w:space="0" w:color="auto"/>
      </w:divBdr>
    </w:div>
    <w:div w:id="1638948081">
      <w:bodyDiv w:val="1"/>
      <w:marLeft w:val="0"/>
      <w:marRight w:val="0"/>
      <w:marTop w:val="0"/>
      <w:marBottom w:val="0"/>
      <w:divBdr>
        <w:top w:val="none" w:sz="0" w:space="0" w:color="auto"/>
        <w:left w:val="none" w:sz="0" w:space="0" w:color="auto"/>
        <w:bottom w:val="none" w:sz="0" w:space="0" w:color="auto"/>
        <w:right w:val="none" w:sz="0" w:space="0" w:color="auto"/>
      </w:divBdr>
      <w:divsChild>
        <w:div w:id="270360670">
          <w:marLeft w:val="0"/>
          <w:marRight w:val="0"/>
          <w:marTop w:val="0"/>
          <w:marBottom w:val="0"/>
          <w:divBdr>
            <w:top w:val="single" w:sz="2" w:space="0" w:color="auto"/>
            <w:left w:val="single" w:sz="2" w:space="0" w:color="auto"/>
            <w:bottom w:val="single" w:sz="2" w:space="0" w:color="auto"/>
            <w:right w:val="single" w:sz="2" w:space="0" w:color="auto"/>
          </w:divBdr>
        </w:div>
      </w:divsChild>
    </w:div>
    <w:div w:id="1640377264">
      <w:bodyDiv w:val="1"/>
      <w:marLeft w:val="0"/>
      <w:marRight w:val="0"/>
      <w:marTop w:val="0"/>
      <w:marBottom w:val="0"/>
      <w:divBdr>
        <w:top w:val="none" w:sz="0" w:space="0" w:color="auto"/>
        <w:left w:val="none" w:sz="0" w:space="0" w:color="auto"/>
        <w:bottom w:val="none" w:sz="0" w:space="0" w:color="auto"/>
        <w:right w:val="none" w:sz="0" w:space="0" w:color="auto"/>
      </w:divBdr>
    </w:div>
    <w:div w:id="1670518065">
      <w:bodyDiv w:val="1"/>
      <w:marLeft w:val="0"/>
      <w:marRight w:val="0"/>
      <w:marTop w:val="0"/>
      <w:marBottom w:val="0"/>
      <w:divBdr>
        <w:top w:val="none" w:sz="0" w:space="0" w:color="auto"/>
        <w:left w:val="none" w:sz="0" w:space="0" w:color="auto"/>
        <w:bottom w:val="none" w:sz="0" w:space="0" w:color="auto"/>
        <w:right w:val="none" w:sz="0" w:space="0" w:color="auto"/>
      </w:divBdr>
    </w:div>
    <w:div w:id="1728258479">
      <w:bodyDiv w:val="1"/>
      <w:marLeft w:val="0"/>
      <w:marRight w:val="0"/>
      <w:marTop w:val="0"/>
      <w:marBottom w:val="0"/>
      <w:divBdr>
        <w:top w:val="none" w:sz="0" w:space="0" w:color="auto"/>
        <w:left w:val="none" w:sz="0" w:space="0" w:color="auto"/>
        <w:bottom w:val="none" w:sz="0" w:space="0" w:color="auto"/>
        <w:right w:val="none" w:sz="0" w:space="0" w:color="auto"/>
      </w:divBdr>
    </w:div>
    <w:div w:id="1733385207">
      <w:bodyDiv w:val="1"/>
      <w:marLeft w:val="0"/>
      <w:marRight w:val="0"/>
      <w:marTop w:val="0"/>
      <w:marBottom w:val="0"/>
      <w:divBdr>
        <w:top w:val="none" w:sz="0" w:space="0" w:color="auto"/>
        <w:left w:val="none" w:sz="0" w:space="0" w:color="auto"/>
        <w:bottom w:val="none" w:sz="0" w:space="0" w:color="auto"/>
        <w:right w:val="none" w:sz="0" w:space="0" w:color="auto"/>
      </w:divBdr>
    </w:div>
    <w:div w:id="1751345610">
      <w:bodyDiv w:val="1"/>
      <w:marLeft w:val="0"/>
      <w:marRight w:val="0"/>
      <w:marTop w:val="0"/>
      <w:marBottom w:val="0"/>
      <w:divBdr>
        <w:top w:val="none" w:sz="0" w:space="0" w:color="auto"/>
        <w:left w:val="none" w:sz="0" w:space="0" w:color="auto"/>
        <w:bottom w:val="none" w:sz="0" w:space="0" w:color="auto"/>
        <w:right w:val="none" w:sz="0" w:space="0" w:color="auto"/>
      </w:divBdr>
    </w:div>
    <w:div w:id="1755591312">
      <w:bodyDiv w:val="1"/>
      <w:marLeft w:val="0"/>
      <w:marRight w:val="0"/>
      <w:marTop w:val="0"/>
      <w:marBottom w:val="0"/>
      <w:divBdr>
        <w:top w:val="none" w:sz="0" w:space="0" w:color="auto"/>
        <w:left w:val="none" w:sz="0" w:space="0" w:color="auto"/>
        <w:bottom w:val="none" w:sz="0" w:space="0" w:color="auto"/>
        <w:right w:val="none" w:sz="0" w:space="0" w:color="auto"/>
      </w:divBdr>
    </w:div>
    <w:div w:id="1778479103">
      <w:bodyDiv w:val="1"/>
      <w:marLeft w:val="0"/>
      <w:marRight w:val="0"/>
      <w:marTop w:val="0"/>
      <w:marBottom w:val="0"/>
      <w:divBdr>
        <w:top w:val="none" w:sz="0" w:space="0" w:color="auto"/>
        <w:left w:val="none" w:sz="0" w:space="0" w:color="auto"/>
        <w:bottom w:val="none" w:sz="0" w:space="0" w:color="auto"/>
        <w:right w:val="none" w:sz="0" w:space="0" w:color="auto"/>
      </w:divBdr>
    </w:div>
    <w:div w:id="1805928444">
      <w:bodyDiv w:val="1"/>
      <w:marLeft w:val="0"/>
      <w:marRight w:val="0"/>
      <w:marTop w:val="0"/>
      <w:marBottom w:val="0"/>
      <w:divBdr>
        <w:top w:val="none" w:sz="0" w:space="0" w:color="auto"/>
        <w:left w:val="none" w:sz="0" w:space="0" w:color="auto"/>
        <w:bottom w:val="none" w:sz="0" w:space="0" w:color="auto"/>
        <w:right w:val="none" w:sz="0" w:space="0" w:color="auto"/>
      </w:divBdr>
    </w:div>
    <w:div w:id="1806268974">
      <w:bodyDiv w:val="1"/>
      <w:marLeft w:val="0"/>
      <w:marRight w:val="0"/>
      <w:marTop w:val="0"/>
      <w:marBottom w:val="0"/>
      <w:divBdr>
        <w:top w:val="none" w:sz="0" w:space="0" w:color="auto"/>
        <w:left w:val="none" w:sz="0" w:space="0" w:color="auto"/>
        <w:bottom w:val="none" w:sz="0" w:space="0" w:color="auto"/>
        <w:right w:val="none" w:sz="0" w:space="0" w:color="auto"/>
      </w:divBdr>
    </w:div>
    <w:div w:id="1815901925">
      <w:bodyDiv w:val="1"/>
      <w:marLeft w:val="0"/>
      <w:marRight w:val="0"/>
      <w:marTop w:val="0"/>
      <w:marBottom w:val="0"/>
      <w:divBdr>
        <w:top w:val="none" w:sz="0" w:space="0" w:color="auto"/>
        <w:left w:val="none" w:sz="0" w:space="0" w:color="auto"/>
        <w:bottom w:val="none" w:sz="0" w:space="0" w:color="auto"/>
        <w:right w:val="none" w:sz="0" w:space="0" w:color="auto"/>
      </w:divBdr>
    </w:div>
    <w:div w:id="1868056026">
      <w:bodyDiv w:val="1"/>
      <w:marLeft w:val="0"/>
      <w:marRight w:val="0"/>
      <w:marTop w:val="0"/>
      <w:marBottom w:val="0"/>
      <w:divBdr>
        <w:top w:val="none" w:sz="0" w:space="0" w:color="auto"/>
        <w:left w:val="none" w:sz="0" w:space="0" w:color="auto"/>
        <w:bottom w:val="none" w:sz="0" w:space="0" w:color="auto"/>
        <w:right w:val="none" w:sz="0" w:space="0" w:color="auto"/>
      </w:divBdr>
    </w:div>
    <w:div w:id="1871411206">
      <w:bodyDiv w:val="1"/>
      <w:marLeft w:val="0"/>
      <w:marRight w:val="0"/>
      <w:marTop w:val="0"/>
      <w:marBottom w:val="0"/>
      <w:divBdr>
        <w:top w:val="none" w:sz="0" w:space="0" w:color="auto"/>
        <w:left w:val="none" w:sz="0" w:space="0" w:color="auto"/>
        <w:bottom w:val="none" w:sz="0" w:space="0" w:color="auto"/>
        <w:right w:val="none" w:sz="0" w:space="0" w:color="auto"/>
      </w:divBdr>
    </w:div>
    <w:div w:id="1901748729">
      <w:bodyDiv w:val="1"/>
      <w:marLeft w:val="0"/>
      <w:marRight w:val="0"/>
      <w:marTop w:val="0"/>
      <w:marBottom w:val="0"/>
      <w:divBdr>
        <w:top w:val="none" w:sz="0" w:space="0" w:color="auto"/>
        <w:left w:val="none" w:sz="0" w:space="0" w:color="auto"/>
        <w:bottom w:val="none" w:sz="0" w:space="0" w:color="auto"/>
        <w:right w:val="none" w:sz="0" w:space="0" w:color="auto"/>
      </w:divBdr>
      <w:divsChild>
        <w:div w:id="949555711">
          <w:marLeft w:val="0"/>
          <w:marRight w:val="0"/>
          <w:marTop w:val="0"/>
          <w:marBottom w:val="0"/>
          <w:divBdr>
            <w:top w:val="single" w:sz="2" w:space="0" w:color="auto"/>
            <w:left w:val="single" w:sz="2" w:space="0" w:color="auto"/>
            <w:bottom w:val="single" w:sz="2" w:space="0" w:color="auto"/>
            <w:right w:val="single" w:sz="2" w:space="0" w:color="auto"/>
          </w:divBdr>
        </w:div>
      </w:divsChild>
    </w:div>
    <w:div w:id="1959797542">
      <w:bodyDiv w:val="1"/>
      <w:marLeft w:val="0"/>
      <w:marRight w:val="0"/>
      <w:marTop w:val="0"/>
      <w:marBottom w:val="0"/>
      <w:divBdr>
        <w:top w:val="none" w:sz="0" w:space="0" w:color="auto"/>
        <w:left w:val="none" w:sz="0" w:space="0" w:color="auto"/>
        <w:bottom w:val="none" w:sz="0" w:space="0" w:color="auto"/>
        <w:right w:val="none" w:sz="0" w:space="0" w:color="auto"/>
      </w:divBdr>
    </w:div>
    <w:div w:id="1975407701">
      <w:bodyDiv w:val="1"/>
      <w:marLeft w:val="0"/>
      <w:marRight w:val="0"/>
      <w:marTop w:val="0"/>
      <w:marBottom w:val="0"/>
      <w:divBdr>
        <w:top w:val="none" w:sz="0" w:space="0" w:color="auto"/>
        <w:left w:val="none" w:sz="0" w:space="0" w:color="auto"/>
        <w:bottom w:val="none" w:sz="0" w:space="0" w:color="auto"/>
        <w:right w:val="none" w:sz="0" w:space="0" w:color="auto"/>
      </w:divBdr>
    </w:div>
    <w:div w:id="1992362397">
      <w:bodyDiv w:val="1"/>
      <w:marLeft w:val="0"/>
      <w:marRight w:val="0"/>
      <w:marTop w:val="0"/>
      <w:marBottom w:val="0"/>
      <w:divBdr>
        <w:top w:val="none" w:sz="0" w:space="0" w:color="auto"/>
        <w:left w:val="none" w:sz="0" w:space="0" w:color="auto"/>
        <w:bottom w:val="none" w:sz="0" w:space="0" w:color="auto"/>
        <w:right w:val="none" w:sz="0" w:space="0" w:color="auto"/>
      </w:divBdr>
    </w:div>
    <w:div w:id="2000645910">
      <w:bodyDiv w:val="1"/>
      <w:marLeft w:val="0"/>
      <w:marRight w:val="0"/>
      <w:marTop w:val="0"/>
      <w:marBottom w:val="0"/>
      <w:divBdr>
        <w:top w:val="none" w:sz="0" w:space="0" w:color="auto"/>
        <w:left w:val="none" w:sz="0" w:space="0" w:color="auto"/>
        <w:bottom w:val="none" w:sz="0" w:space="0" w:color="auto"/>
        <w:right w:val="none" w:sz="0" w:space="0" w:color="auto"/>
      </w:divBdr>
    </w:div>
    <w:div w:id="2000846174">
      <w:bodyDiv w:val="1"/>
      <w:marLeft w:val="0"/>
      <w:marRight w:val="0"/>
      <w:marTop w:val="0"/>
      <w:marBottom w:val="0"/>
      <w:divBdr>
        <w:top w:val="none" w:sz="0" w:space="0" w:color="auto"/>
        <w:left w:val="none" w:sz="0" w:space="0" w:color="auto"/>
        <w:bottom w:val="none" w:sz="0" w:space="0" w:color="auto"/>
        <w:right w:val="none" w:sz="0" w:space="0" w:color="auto"/>
      </w:divBdr>
    </w:div>
    <w:div w:id="2002855930">
      <w:bodyDiv w:val="1"/>
      <w:marLeft w:val="0"/>
      <w:marRight w:val="0"/>
      <w:marTop w:val="0"/>
      <w:marBottom w:val="0"/>
      <w:divBdr>
        <w:top w:val="none" w:sz="0" w:space="0" w:color="auto"/>
        <w:left w:val="none" w:sz="0" w:space="0" w:color="auto"/>
        <w:bottom w:val="none" w:sz="0" w:space="0" w:color="auto"/>
        <w:right w:val="none" w:sz="0" w:space="0" w:color="auto"/>
      </w:divBdr>
    </w:div>
    <w:div w:id="2008169496">
      <w:bodyDiv w:val="1"/>
      <w:marLeft w:val="0"/>
      <w:marRight w:val="0"/>
      <w:marTop w:val="0"/>
      <w:marBottom w:val="0"/>
      <w:divBdr>
        <w:top w:val="none" w:sz="0" w:space="0" w:color="auto"/>
        <w:left w:val="none" w:sz="0" w:space="0" w:color="auto"/>
        <w:bottom w:val="none" w:sz="0" w:space="0" w:color="auto"/>
        <w:right w:val="none" w:sz="0" w:space="0" w:color="auto"/>
      </w:divBdr>
    </w:div>
    <w:div w:id="2042823824">
      <w:bodyDiv w:val="1"/>
      <w:marLeft w:val="0"/>
      <w:marRight w:val="0"/>
      <w:marTop w:val="0"/>
      <w:marBottom w:val="0"/>
      <w:divBdr>
        <w:top w:val="none" w:sz="0" w:space="0" w:color="auto"/>
        <w:left w:val="none" w:sz="0" w:space="0" w:color="auto"/>
        <w:bottom w:val="none" w:sz="0" w:space="0" w:color="auto"/>
        <w:right w:val="none" w:sz="0" w:space="0" w:color="auto"/>
      </w:divBdr>
    </w:div>
    <w:div w:id="2062098876">
      <w:bodyDiv w:val="1"/>
      <w:marLeft w:val="0"/>
      <w:marRight w:val="0"/>
      <w:marTop w:val="0"/>
      <w:marBottom w:val="0"/>
      <w:divBdr>
        <w:top w:val="none" w:sz="0" w:space="0" w:color="auto"/>
        <w:left w:val="none" w:sz="0" w:space="0" w:color="auto"/>
        <w:bottom w:val="none" w:sz="0" w:space="0" w:color="auto"/>
        <w:right w:val="none" w:sz="0" w:space="0" w:color="auto"/>
      </w:divBdr>
    </w:div>
    <w:div w:id="2062752747">
      <w:bodyDiv w:val="1"/>
      <w:marLeft w:val="0"/>
      <w:marRight w:val="0"/>
      <w:marTop w:val="0"/>
      <w:marBottom w:val="0"/>
      <w:divBdr>
        <w:top w:val="none" w:sz="0" w:space="0" w:color="auto"/>
        <w:left w:val="none" w:sz="0" w:space="0" w:color="auto"/>
        <w:bottom w:val="none" w:sz="0" w:space="0" w:color="auto"/>
        <w:right w:val="none" w:sz="0" w:space="0" w:color="auto"/>
      </w:divBdr>
    </w:div>
    <w:div w:id="2067296809">
      <w:bodyDiv w:val="1"/>
      <w:marLeft w:val="0"/>
      <w:marRight w:val="0"/>
      <w:marTop w:val="0"/>
      <w:marBottom w:val="0"/>
      <w:divBdr>
        <w:top w:val="none" w:sz="0" w:space="0" w:color="auto"/>
        <w:left w:val="none" w:sz="0" w:space="0" w:color="auto"/>
        <w:bottom w:val="none" w:sz="0" w:space="0" w:color="auto"/>
        <w:right w:val="none" w:sz="0" w:space="0" w:color="auto"/>
      </w:divBdr>
    </w:div>
    <w:div w:id="2094011955">
      <w:bodyDiv w:val="1"/>
      <w:marLeft w:val="0"/>
      <w:marRight w:val="0"/>
      <w:marTop w:val="0"/>
      <w:marBottom w:val="0"/>
      <w:divBdr>
        <w:top w:val="none" w:sz="0" w:space="0" w:color="auto"/>
        <w:left w:val="none" w:sz="0" w:space="0" w:color="auto"/>
        <w:bottom w:val="none" w:sz="0" w:space="0" w:color="auto"/>
        <w:right w:val="none" w:sz="0" w:space="0" w:color="auto"/>
      </w:divBdr>
    </w:div>
    <w:div w:id="2097895875">
      <w:bodyDiv w:val="1"/>
      <w:marLeft w:val="0"/>
      <w:marRight w:val="0"/>
      <w:marTop w:val="0"/>
      <w:marBottom w:val="0"/>
      <w:divBdr>
        <w:top w:val="none" w:sz="0" w:space="0" w:color="auto"/>
        <w:left w:val="none" w:sz="0" w:space="0" w:color="auto"/>
        <w:bottom w:val="none" w:sz="0" w:space="0" w:color="auto"/>
        <w:right w:val="none" w:sz="0" w:space="0" w:color="auto"/>
      </w:divBdr>
    </w:div>
    <w:div w:id="2115589964">
      <w:bodyDiv w:val="1"/>
      <w:marLeft w:val="0"/>
      <w:marRight w:val="0"/>
      <w:marTop w:val="0"/>
      <w:marBottom w:val="0"/>
      <w:divBdr>
        <w:top w:val="none" w:sz="0" w:space="0" w:color="auto"/>
        <w:left w:val="none" w:sz="0" w:space="0" w:color="auto"/>
        <w:bottom w:val="none" w:sz="0" w:space="0" w:color="auto"/>
        <w:right w:val="none" w:sz="0" w:space="0" w:color="auto"/>
      </w:divBdr>
      <w:divsChild>
        <w:div w:id="1189954681">
          <w:marLeft w:val="0"/>
          <w:marRight w:val="0"/>
          <w:marTop w:val="0"/>
          <w:marBottom w:val="0"/>
          <w:divBdr>
            <w:top w:val="single" w:sz="2" w:space="0" w:color="auto"/>
            <w:left w:val="single" w:sz="2" w:space="0" w:color="auto"/>
            <w:bottom w:val="single" w:sz="2" w:space="0" w:color="auto"/>
            <w:right w:val="single" w:sz="2" w:space="0" w:color="auto"/>
          </w:divBdr>
        </w:div>
      </w:divsChild>
    </w:div>
    <w:div w:id="2126272762">
      <w:bodyDiv w:val="1"/>
      <w:marLeft w:val="0"/>
      <w:marRight w:val="0"/>
      <w:marTop w:val="0"/>
      <w:marBottom w:val="0"/>
      <w:divBdr>
        <w:top w:val="none" w:sz="0" w:space="0" w:color="auto"/>
        <w:left w:val="none" w:sz="0" w:space="0" w:color="auto"/>
        <w:bottom w:val="none" w:sz="0" w:space="0" w:color="auto"/>
        <w:right w:val="none" w:sz="0" w:space="0" w:color="auto"/>
      </w:divBdr>
    </w:div>
    <w:div w:id="2131630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AFAFADBC6E4EBF80EB7A19F6A20B92"/>
        <w:category>
          <w:name w:val="General"/>
          <w:gallery w:val="placeholder"/>
        </w:category>
        <w:types>
          <w:type w:val="bbPlcHdr"/>
        </w:types>
        <w:behaviors>
          <w:behavior w:val="content"/>
        </w:behaviors>
        <w:guid w:val="{C265FAED-5BD2-4644-8EB4-C9C17D51F987}"/>
      </w:docPartPr>
      <w:docPartBody>
        <w:p w:rsidR="00FB641C" w:rsidRDefault="005B06CD" w:rsidP="005B06CD">
          <w:pPr>
            <w:pStyle w:val="10AFAFADBC6E4EBF80EB7A19F6A20B92"/>
          </w:pPr>
          <w:r>
            <w:rPr>
              <w:rFonts w:asciiTheme="majorHAnsi" w:hAnsiTheme="majorHAnsi"/>
              <w:color w:val="FFFFFF" w:themeColor="background1"/>
              <w:sz w:val="96"/>
              <w:szCs w:val="96"/>
            </w:rPr>
            <w:t>[Document title]</w:t>
          </w:r>
        </w:p>
      </w:docPartBody>
    </w:docPart>
    <w:docPart>
      <w:docPartPr>
        <w:name w:val="8EC26F931CE94D56A1B4D415E372F6D5"/>
        <w:category>
          <w:name w:val="General"/>
          <w:gallery w:val="placeholder"/>
        </w:category>
        <w:types>
          <w:type w:val="bbPlcHdr"/>
        </w:types>
        <w:behaviors>
          <w:behavior w:val="content"/>
        </w:behaviors>
        <w:guid w:val="{EEB75E3A-5673-4BE1-9058-F2BFAC2FBAEF}"/>
      </w:docPartPr>
      <w:docPartBody>
        <w:p w:rsidR="00FB641C" w:rsidRDefault="005B06CD" w:rsidP="005B06CD">
          <w:pPr>
            <w:pStyle w:val="8EC26F931CE94D56A1B4D415E372F6D5"/>
          </w:pPr>
          <w:r>
            <w:rPr>
              <w:color w:val="FFFFFF" w:themeColor="background1"/>
              <w:sz w:val="32"/>
              <w:szCs w:val="32"/>
            </w:rPr>
            <w:t>[Document subtitle]</w:t>
          </w:r>
        </w:p>
      </w:docPartBody>
    </w:docPart>
    <w:docPart>
      <w:docPartPr>
        <w:name w:val="0B29872A91444DE5BD7F092694F8EB38"/>
        <w:category>
          <w:name w:val="General"/>
          <w:gallery w:val="placeholder"/>
        </w:category>
        <w:types>
          <w:type w:val="bbPlcHdr"/>
        </w:types>
        <w:behaviors>
          <w:behavior w:val="content"/>
        </w:behaviors>
        <w:guid w:val="{5438E38E-FE7C-43E3-B857-D404D68E935D}"/>
      </w:docPartPr>
      <w:docPartBody>
        <w:p w:rsidR="00FB641C" w:rsidRDefault="005B06CD" w:rsidP="005B06CD">
          <w:pPr>
            <w:pStyle w:val="0B29872A91444DE5BD7F092694F8EB38"/>
          </w:pPr>
          <w:r>
            <w:rPr>
              <w:color w:val="FFFFFF" w:themeColor="background1"/>
            </w:rPr>
            <w:t>[Author name]</w:t>
          </w:r>
        </w:p>
      </w:docPartBody>
    </w:docPart>
    <w:docPart>
      <w:docPartPr>
        <w:name w:val="C0C3B889B34B4200A0815A9E3427F3B3"/>
        <w:category>
          <w:name w:val="General"/>
          <w:gallery w:val="placeholder"/>
        </w:category>
        <w:types>
          <w:type w:val="bbPlcHdr"/>
        </w:types>
        <w:behaviors>
          <w:behavior w:val="content"/>
        </w:behaviors>
        <w:guid w:val="{20F30CD9-8D27-4C0F-9DF2-B90A70FB64FE}"/>
      </w:docPartPr>
      <w:docPartBody>
        <w:p w:rsidR="00FB641C" w:rsidRDefault="005B06CD" w:rsidP="005B06CD">
          <w:pPr>
            <w:pStyle w:val="C0C3B889B34B4200A0815A9E3427F3B3"/>
          </w:pPr>
          <w:r>
            <w:rPr>
              <w:color w:val="FFFFFF" w:themeColor="background1"/>
            </w:rPr>
            <w:t>[Date]</w:t>
          </w:r>
        </w:p>
      </w:docPartBody>
    </w:docPart>
    <w:docPart>
      <w:docPartPr>
        <w:name w:val="702554AC423A43F6BA79E0672598EEAE"/>
        <w:category>
          <w:name w:val="General"/>
          <w:gallery w:val="placeholder"/>
        </w:category>
        <w:types>
          <w:type w:val="bbPlcHdr"/>
        </w:types>
        <w:behaviors>
          <w:behavior w:val="content"/>
        </w:behaviors>
        <w:guid w:val="{95F3DE1C-0EF3-40ED-8A88-9766FC05C817}"/>
      </w:docPartPr>
      <w:docPartBody>
        <w:p w:rsidR="00FB641C" w:rsidRDefault="005B06CD" w:rsidP="005B06CD">
          <w:pPr>
            <w:pStyle w:val="702554AC423A43F6BA79E0672598EEAE"/>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Nirmala UI">
    <w:panose1 w:val="020B0502040204020203"/>
    <w:charset w:val="00"/>
    <w:family w:val="swiss"/>
    <w:pitch w:val="variable"/>
    <w:sig w:usb0="80FF8023" w:usb1="0200004A" w:usb2="00000200" w:usb3="00000000" w:csb0="00000001" w:csb1="00000000"/>
  </w:font>
  <w:font w:name="Arial">
    <w:panose1 w:val="020B0604020202020204"/>
    <w:charset w:val="00"/>
    <w:family w:val="swiss"/>
    <w:pitch w:val="variable"/>
    <w:sig w:usb0="E0002EFF" w:usb1="C000785B" w:usb2="00000009" w:usb3="00000000" w:csb0="000001FF" w:csb1="00000000"/>
  </w:font>
  <w:font w:name="Franklin Gothic Book">
    <w:altName w:val="Cambria"/>
    <w:panose1 w:val="00000000000000000000"/>
    <w:charset w:val="00"/>
    <w:family w:val="roman"/>
    <w:notTrueType/>
    <w:pitch w:val="default"/>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0000000000000000000"/>
    <w:charset w:val="00"/>
    <w:family w:val="roman"/>
    <w:notTrueType/>
    <w:pitch w:val="default"/>
  </w:font>
  <w:font w:name="Mangal">
    <w:panose1 w:val="00000400000000000000"/>
    <w:charset w:val="01"/>
    <w:family w:val="roman"/>
    <w:pitch w:val="variable"/>
    <w:sig w:usb0="00002000" w:usb1="00000000" w:usb2="00000000" w:usb3="00000000" w:csb0="00000000" w:csb1="00000000"/>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0A20"/>
    <w:rsid w:val="002A1E8A"/>
    <w:rsid w:val="002B549C"/>
    <w:rsid w:val="004049AB"/>
    <w:rsid w:val="00513B27"/>
    <w:rsid w:val="005B06CD"/>
    <w:rsid w:val="005E0FEB"/>
    <w:rsid w:val="008036DA"/>
    <w:rsid w:val="009132CD"/>
    <w:rsid w:val="00AE57AA"/>
    <w:rsid w:val="00BD0A20"/>
    <w:rsid w:val="00BD5F5C"/>
    <w:rsid w:val="00CD0CAF"/>
    <w:rsid w:val="00D90521"/>
    <w:rsid w:val="00DE0D1C"/>
    <w:rsid w:val="00FB641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2"/>
    <w:qFormat/>
    <w:rsid w:val="00CD0CAF"/>
    <w:pPr>
      <w:keepNext/>
      <w:spacing w:after="0" w:line="276" w:lineRule="auto"/>
      <w:outlineLvl w:val="0"/>
    </w:pPr>
    <w:rPr>
      <w:rFonts w:asciiTheme="majorHAnsi" w:eastAsia="Times New Roman" w:hAnsiTheme="majorHAnsi" w:cs="Times New Roman"/>
      <w:b/>
      <w:color w:val="FFFFFF" w:themeColor="background1"/>
      <w:sz w:val="4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AFAFADBC6E4EBF80EB7A19F6A20B92">
    <w:name w:val="10AFAFADBC6E4EBF80EB7A19F6A20B92"/>
    <w:rsid w:val="005B06CD"/>
    <w:pPr>
      <w:spacing w:line="278" w:lineRule="auto"/>
    </w:pPr>
    <w:rPr>
      <w:kern w:val="2"/>
      <w:sz w:val="24"/>
      <w:szCs w:val="21"/>
      <w:lang w:val="en-GB" w:eastAsia="en-GB" w:bidi="hi-IN"/>
      <w14:ligatures w14:val="standardContextual"/>
    </w:rPr>
  </w:style>
  <w:style w:type="paragraph" w:customStyle="1" w:styleId="8EC26F931CE94D56A1B4D415E372F6D5">
    <w:name w:val="8EC26F931CE94D56A1B4D415E372F6D5"/>
    <w:rsid w:val="005B06CD"/>
    <w:pPr>
      <w:spacing w:line="278" w:lineRule="auto"/>
    </w:pPr>
    <w:rPr>
      <w:kern w:val="2"/>
      <w:sz w:val="24"/>
      <w:szCs w:val="21"/>
      <w:lang w:val="en-GB" w:eastAsia="en-GB" w:bidi="hi-IN"/>
      <w14:ligatures w14:val="standardContextual"/>
    </w:rPr>
  </w:style>
  <w:style w:type="paragraph" w:customStyle="1" w:styleId="0B29872A91444DE5BD7F092694F8EB38">
    <w:name w:val="0B29872A91444DE5BD7F092694F8EB38"/>
    <w:rsid w:val="005B06CD"/>
    <w:pPr>
      <w:spacing w:line="278" w:lineRule="auto"/>
    </w:pPr>
    <w:rPr>
      <w:kern w:val="2"/>
      <w:sz w:val="24"/>
      <w:szCs w:val="21"/>
      <w:lang w:val="en-GB" w:eastAsia="en-GB" w:bidi="hi-IN"/>
      <w14:ligatures w14:val="standardContextual"/>
    </w:rPr>
  </w:style>
  <w:style w:type="paragraph" w:customStyle="1" w:styleId="C0C3B889B34B4200A0815A9E3427F3B3">
    <w:name w:val="C0C3B889B34B4200A0815A9E3427F3B3"/>
    <w:rsid w:val="005B06CD"/>
    <w:pPr>
      <w:spacing w:line="278" w:lineRule="auto"/>
    </w:pPr>
    <w:rPr>
      <w:kern w:val="2"/>
      <w:sz w:val="24"/>
      <w:szCs w:val="21"/>
      <w:lang w:val="en-GB" w:eastAsia="en-GB" w:bidi="hi-IN"/>
      <w14:ligatures w14:val="standardContextual"/>
    </w:rPr>
  </w:style>
  <w:style w:type="character" w:styleId="PlaceholderText">
    <w:name w:val="Placeholder Text"/>
    <w:basedOn w:val="DefaultParagraphFont"/>
    <w:uiPriority w:val="99"/>
    <w:semiHidden/>
    <w:rsid w:val="00CD0CAF"/>
    <w:rPr>
      <w:color w:val="808080"/>
    </w:rPr>
  </w:style>
  <w:style w:type="paragraph" w:styleId="Title">
    <w:name w:val="Title"/>
    <w:basedOn w:val="Normal"/>
    <w:link w:val="TitleChar"/>
    <w:uiPriority w:val="1"/>
    <w:qFormat/>
    <w:rsid w:val="00CD0CAF"/>
    <w:pPr>
      <w:spacing w:after="0" w:line="240" w:lineRule="auto"/>
      <w:contextualSpacing/>
    </w:pPr>
    <w:rPr>
      <w:rFonts w:asciiTheme="majorHAnsi" w:eastAsia="Times New Roman" w:hAnsiTheme="majorHAnsi" w:cs="Times New Roman"/>
      <w:b/>
      <w:caps/>
      <w:color w:val="FFFFFF" w:themeColor="background1"/>
      <w:sz w:val="100"/>
      <w:szCs w:val="40"/>
    </w:rPr>
  </w:style>
  <w:style w:type="character" w:customStyle="1" w:styleId="TitleChar">
    <w:name w:val="Title Char"/>
    <w:basedOn w:val="DefaultParagraphFont"/>
    <w:link w:val="Title"/>
    <w:uiPriority w:val="1"/>
    <w:rsid w:val="00CD0CAF"/>
    <w:rPr>
      <w:rFonts w:asciiTheme="majorHAnsi" w:eastAsia="Times New Roman" w:hAnsiTheme="majorHAnsi" w:cs="Times New Roman"/>
      <w:b/>
      <w:caps/>
      <w:color w:val="FFFFFF" w:themeColor="background1"/>
      <w:sz w:val="100"/>
      <w:szCs w:val="40"/>
    </w:rPr>
  </w:style>
  <w:style w:type="paragraph" w:customStyle="1" w:styleId="702554AC423A43F6BA79E0672598EEAE">
    <w:name w:val="702554AC423A43F6BA79E0672598EEAE"/>
    <w:rsid w:val="005B06CD"/>
    <w:pPr>
      <w:spacing w:line="278" w:lineRule="auto"/>
    </w:pPr>
    <w:rPr>
      <w:kern w:val="2"/>
      <w:sz w:val="24"/>
      <w:szCs w:val="21"/>
      <w:lang w:val="en-GB" w:eastAsia="en-GB" w:bidi="hi-IN"/>
      <w14:ligatures w14:val="standardContextual"/>
    </w:rPr>
  </w:style>
  <w:style w:type="paragraph" w:styleId="Subtitle">
    <w:name w:val="Subtitle"/>
    <w:basedOn w:val="Normal"/>
    <w:link w:val="SubtitleChar"/>
    <w:uiPriority w:val="4"/>
    <w:qFormat/>
    <w:rsid w:val="00CD0CAF"/>
    <w:pPr>
      <w:spacing w:after="0" w:line="276" w:lineRule="auto"/>
      <w:contextualSpacing/>
    </w:pPr>
    <w:rPr>
      <w:rFonts w:eastAsia="Times New Roman" w:cs="Times New Roman"/>
      <w:b/>
      <w:color w:val="FFFFFF" w:themeColor="background1"/>
      <w:sz w:val="72"/>
    </w:rPr>
  </w:style>
  <w:style w:type="character" w:customStyle="1" w:styleId="SubtitleChar">
    <w:name w:val="Subtitle Char"/>
    <w:basedOn w:val="DefaultParagraphFont"/>
    <w:link w:val="Subtitle"/>
    <w:uiPriority w:val="4"/>
    <w:rsid w:val="00CD0CAF"/>
    <w:rPr>
      <w:rFonts w:eastAsia="Times New Roman" w:cs="Times New Roman"/>
      <w:b/>
      <w:color w:val="FFFFFF" w:themeColor="background1"/>
      <w:sz w:val="72"/>
    </w:rPr>
  </w:style>
  <w:style w:type="character" w:customStyle="1" w:styleId="Heading1Char">
    <w:name w:val="Heading 1 Char"/>
    <w:basedOn w:val="DefaultParagraphFont"/>
    <w:link w:val="Heading1"/>
    <w:uiPriority w:val="2"/>
    <w:rsid w:val="00CD0CAF"/>
    <w:rPr>
      <w:rFonts w:asciiTheme="majorHAnsi" w:eastAsia="Times New Roman" w:hAnsiTheme="majorHAnsi" w:cs="Times New Roman"/>
      <w:b/>
      <w:color w:val="FFFFFF" w:themeColor="background1"/>
      <w:sz w:val="48"/>
      <w:szCs w:val="24"/>
    </w:rPr>
  </w:style>
  <w:style w:type="paragraph" w:styleId="NoSpacing">
    <w:name w:val="No Spacing"/>
    <w:uiPriority w:val="1"/>
    <w:unhideWhenUsed/>
    <w:qFormat/>
    <w:rsid w:val="00D90521"/>
    <w:pPr>
      <w:spacing w:after="0" w:line="276" w:lineRule="auto"/>
    </w:pPr>
    <w:rPr>
      <w:rFonts w:eastAsia="Times New Roman" w:cs="Times New Roman"/>
      <w:spacing w:val="10"/>
      <w:sz w:val="18"/>
      <w:szCs w:val="18"/>
    </w:rPr>
  </w:style>
  <w:style w:type="paragraph" w:styleId="Header">
    <w:name w:val="header"/>
    <w:basedOn w:val="Normal"/>
    <w:link w:val="HeaderChar"/>
    <w:uiPriority w:val="99"/>
    <w:unhideWhenUsed/>
    <w:rsid w:val="00CD0CAF"/>
    <w:pPr>
      <w:spacing w:after="0" w:line="240" w:lineRule="auto"/>
    </w:pPr>
    <w:rPr>
      <w:color w:val="FFFFFF" w:themeColor="background1"/>
      <w:sz w:val="28"/>
    </w:rPr>
  </w:style>
  <w:style w:type="character" w:customStyle="1" w:styleId="HeaderChar">
    <w:name w:val="Header Char"/>
    <w:basedOn w:val="DefaultParagraphFont"/>
    <w:link w:val="Header"/>
    <w:uiPriority w:val="99"/>
    <w:rsid w:val="00CD0CAF"/>
    <w:rPr>
      <w:color w:val="FFFFFF" w:themeColor="background1"/>
      <w:sz w:val="28"/>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2025-02-28T00:00:00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1dc0abb5-3e01-4ed9-b7da-cd3558e8b8ef" xsi:nil="true"/>
    <_activity xmlns="1dc0abb5-3e01-4ed9-b7da-cd3558e8b8e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03A5F1F8AD7E6345AD79F053A1E52B2D" ma:contentTypeVersion="17" ma:contentTypeDescription="Create a new document." ma:contentTypeScope="" ma:versionID="d3a3692fa702a336bdb62eda3bb92e01">
  <xsd:schema xmlns:xsd="http://www.w3.org/2001/XMLSchema" xmlns:xs="http://www.w3.org/2001/XMLSchema" xmlns:p="http://schemas.microsoft.com/office/2006/metadata/properties" xmlns:ns3="1dc0abb5-3e01-4ed9-b7da-cd3558e8b8ef" xmlns:ns4="e64ee127-89e0-4507-8ce9-8e62b97e7a49" targetNamespace="http://schemas.microsoft.com/office/2006/metadata/properties" ma:root="true" ma:fieldsID="3b2daea3e4985f0879a6a15f7555f9fd" ns3:_="" ns4:_="">
    <xsd:import namespace="1dc0abb5-3e01-4ed9-b7da-cd3558e8b8ef"/>
    <xsd:import namespace="e64ee127-89e0-4507-8ce9-8e62b97e7a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c0abb5-3e01-4ed9-b7da-cd3558e8b8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64ee127-89e0-4507-8ce9-8e62b97e7a4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F9C92D-7B06-4A03-9501-4A60B293BE73}">
  <ds:schemaRefs>
    <ds:schemaRef ds:uri="http://schemas.microsoft.com/office/2006/metadata/properties"/>
    <ds:schemaRef ds:uri="http://schemas.microsoft.com/office/infopath/2007/PartnerControls"/>
    <ds:schemaRef ds:uri="1dc0abb5-3e01-4ed9-b7da-cd3558e8b8ef"/>
  </ds:schemaRefs>
</ds:datastoreItem>
</file>

<file path=customXml/itemProps3.xml><?xml version="1.0" encoding="utf-8"?>
<ds:datastoreItem xmlns:ds="http://schemas.openxmlformats.org/officeDocument/2006/customXml" ds:itemID="{F3A5623D-5C68-44DB-AB44-E4911C036F26}">
  <ds:schemaRefs>
    <ds:schemaRef ds:uri="http://schemas.microsoft.com/sharepoint/v3/contenttype/forms"/>
  </ds:schemaRefs>
</ds:datastoreItem>
</file>

<file path=customXml/itemProps4.xml><?xml version="1.0" encoding="utf-8"?>
<ds:datastoreItem xmlns:ds="http://schemas.openxmlformats.org/officeDocument/2006/customXml" ds:itemID="{1BA7FDA1-A2C6-4B0B-BE74-326624C8809A}">
  <ds:schemaRefs>
    <ds:schemaRef ds:uri="http://schemas.openxmlformats.org/officeDocument/2006/bibliography"/>
  </ds:schemaRefs>
</ds:datastoreItem>
</file>

<file path=customXml/itemProps5.xml><?xml version="1.0" encoding="utf-8"?>
<ds:datastoreItem xmlns:ds="http://schemas.openxmlformats.org/officeDocument/2006/customXml" ds:itemID="{3FDEECF0-FCF0-4875-A0F2-AE1D1B1AB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c0abb5-3e01-4ed9-b7da-cd3558e8b8ef"/>
    <ds:schemaRef ds:uri="e64ee127-89e0-4507-8ce9-8e62b97e7a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Normal.dotm</Template>
  <TotalTime>7</TotalTime>
  <Pages>1</Pages>
  <Words>10101</Words>
  <Characters>57578</Characters>
  <Application>Microsoft Office Word</Application>
  <DocSecurity>4</DocSecurity>
  <Lines>479</Lines>
  <Paragraphs>135</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67544</CharactersWithSpaces>
  <SharedDoc>false</SharedDoc>
  <HLinks>
    <vt:vector size="96" baseType="variant">
      <vt:variant>
        <vt:i4>1769530</vt:i4>
      </vt:variant>
      <vt:variant>
        <vt:i4>92</vt:i4>
      </vt:variant>
      <vt:variant>
        <vt:i4>0</vt:i4>
      </vt:variant>
      <vt:variant>
        <vt:i4>5</vt:i4>
      </vt:variant>
      <vt:variant>
        <vt:lpwstr/>
      </vt:variant>
      <vt:variant>
        <vt:lpwstr>_Toc191598384</vt:lpwstr>
      </vt:variant>
      <vt:variant>
        <vt:i4>1769530</vt:i4>
      </vt:variant>
      <vt:variant>
        <vt:i4>86</vt:i4>
      </vt:variant>
      <vt:variant>
        <vt:i4>0</vt:i4>
      </vt:variant>
      <vt:variant>
        <vt:i4>5</vt:i4>
      </vt:variant>
      <vt:variant>
        <vt:lpwstr/>
      </vt:variant>
      <vt:variant>
        <vt:lpwstr>_Toc191598383</vt:lpwstr>
      </vt:variant>
      <vt:variant>
        <vt:i4>1769530</vt:i4>
      </vt:variant>
      <vt:variant>
        <vt:i4>80</vt:i4>
      </vt:variant>
      <vt:variant>
        <vt:i4>0</vt:i4>
      </vt:variant>
      <vt:variant>
        <vt:i4>5</vt:i4>
      </vt:variant>
      <vt:variant>
        <vt:lpwstr/>
      </vt:variant>
      <vt:variant>
        <vt:lpwstr>_Toc191598382</vt:lpwstr>
      </vt:variant>
      <vt:variant>
        <vt:i4>1769530</vt:i4>
      </vt:variant>
      <vt:variant>
        <vt:i4>74</vt:i4>
      </vt:variant>
      <vt:variant>
        <vt:i4>0</vt:i4>
      </vt:variant>
      <vt:variant>
        <vt:i4>5</vt:i4>
      </vt:variant>
      <vt:variant>
        <vt:lpwstr/>
      </vt:variant>
      <vt:variant>
        <vt:lpwstr>_Toc191598381</vt:lpwstr>
      </vt:variant>
      <vt:variant>
        <vt:i4>1769530</vt:i4>
      </vt:variant>
      <vt:variant>
        <vt:i4>68</vt:i4>
      </vt:variant>
      <vt:variant>
        <vt:i4>0</vt:i4>
      </vt:variant>
      <vt:variant>
        <vt:i4>5</vt:i4>
      </vt:variant>
      <vt:variant>
        <vt:lpwstr/>
      </vt:variant>
      <vt:variant>
        <vt:lpwstr>_Toc191598380</vt:lpwstr>
      </vt:variant>
      <vt:variant>
        <vt:i4>1310778</vt:i4>
      </vt:variant>
      <vt:variant>
        <vt:i4>62</vt:i4>
      </vt:variant>
      <vt:variant>
        <vt:i4>0</vt:i4>
      </vt:variant>
      <vt:variant>
        <vt:i4>5</vt:i4>
      </vt:variant>
      <vt:variant>
        <vt:lpwstr/>
      </vt:variant>
      <vt:variant>
        <vt:lpwstr>_Toc191598379</vt:lpwstr>
      </vt:variant>
      <vt:variant>
        <vt:i4>1310778</vt:i4>
      </vt:variant>
      <vt:variant>
        <vt:i4>56</vt:i4>
      </vt:variant>
      <vt:variant>
        <vt:i4>0</vt:i4>
      </vt:variant>
      <vt:variant>
        <vt:i4>5</vt:i4>
      </vt:variant>
      <vt:variant>
        <vt:lpwstr/>
      </vt:variant>
      <vt:variant>
        <vt:lpwstr>_Toc191598378</vt:lpwstr>
      </vt:variant>
      <vt:variant>
        <vt:i4>1310778</vt:i4>
      </vt:variant>
      <vt:variant>
        <vt:i4>50</vt:i4>
      </vt:variant>
      <vt:variant>
        <vt:i4>0</vt:i4>
      </vt:variant>
      <vt:variant>
        <vt:i4>5</vt:i4>
      </vt:variant>
      <vt:variant>
        <vt:lpwstr/>
      </vt:variant>
      <vt:variant>
        <vt:lpwstr>_Toc191598377</vt:lpwstr>
      </vt:variant>
      <vt:variant>
        <vt:i4>1310778</vt:i4>
      </vt:variant>
      <vt:variant>
        <vt:i4>44</vt:i4>
      </vt:variant>
      <vt:variant>
        <vt:i4>0</vt:i4>
      </vt:variant>
      <vt:variant>
        <vt:i4>5</vt:i4>
      </vt:variant>
      <vt:variant>
        <vt:lpwstr/>
      </vt:variant>
      <vt:variant>
        <vt:lpwstr>_Toc191598376</vt:lpwstr>
      </vt:variant>
      <vt:variant>
        <vt:i4>1310778</vt:i4>
      </vt:variant>
      <vt:variant>
        <vt:i4>38</vt:i4>
      </vt:variant>
      <vt:variant>
        <vt:i4>0</vt:i4>
      </vt:variant>
      <vt:variant>
        <vt:i4>5</vt:i4>
      </vt:variant>
      <vt:variant>
        <vt:lpwstr/>
      </vt:variant>
      <vt:variant>
        <vt:lpwstr>_Toc191598375</vt:lpwstr>
      </vt:variant>
      <vt:variant>
        <vt:i4>1310778</vt:i4>
      </vt:variant>
      <vt:variant>
        <vt:i4>32</vt:i4>
      </vt:variant>
      <vt:variant>
        <vt:i4>0</vt:i4>
      </vt:variant>
      <vt:variant>
        <vt:i4>5</vt:i4>
      </vt:variant>
      <vt:variant>
        <vt:lpwstr/>
      </vt:variant>
      <vt:variant>
        <vt:lpwstr>_Toc191598374</vt:lpwstr>
      </vt:variant>
      <vt:variant>
        <vt:i4>1310778</vt:i4>
      </vt:variant>
      <vt:variant>
        <vt:i4>26</vt:i4>
      </vt:variant>
      <vt:variant>
        <vt:i4>0</vt:i4>
      </vt:variant>
      <vt:variant>
        <vt:i4>5</vt:i4>
      </vt:variant>
      <vt:variant>
        <vt:lpwstr/>
      </vt:variant>
      <vt:variant>
        <vt:lpwstr>_Toc191598373</vt:lpwstr>
      </vt:variant>
      <vt:variant>
        <vt:i4>1310778</vt:i4>
      </vt:variant>
      <vt:variant>
        <vt:i4>20</vt:i4>
      </vt:variant>
      <vt:variant>
        <vt:i4>0</vt:i4>
      </vt:variant>
      <vt:variant>
        <vt:i4>5</vt:i4>
      </vt:variant>
      <vt:variant>
        <vt:lpwstr/>
      </vt:variant>
      <vt:variant>
        <vt:lpwstr>_Toc191598372</vt:lpwstr>
      </vt:variant>
      <vt:variant>
        <vt:i4>1310778</vt:i4>
      </vt:variant>
      <vt:variant>
        <vt:i4>14</vt:i4>
      </vt:variant>
      <vt:variant>
        <vt:i4>0</vt:i4>
      </vt:variant>
      <vt:variant>
        <vt:i4>5</vt:i4>
      </vt:variant>
      <vt:variant>
        <vt:lpwstr/>
      </vt:variant>
      <vt:variant>
        <vt:lpwstr>_Toc191598371</vt:lpwstr>
      </vt:variant>
      <vt:variant>
        <vt:i4>1310778</vt:i4>
      </vt:variant>
      <vt:variant>
        <vt:i4>8</vt:i4>
      </vt:variant>
      <vt:variant>
        <vt:i4>0</vt:i4>
      </vt:variant>
      <vt:variant>
        <vt:i4>5</vt:i4>
      </vt:variant>
      <vt:variant>
        <vt:lpwstr/>
      </vt:variant>
      <vt:variant>
        <vt:lpwstr>_Toc191598370</vt:lpwstr>
      </vt:variant>
      <vt:variant>
        <vt:i4>1376314</vt:i4>
      </vt:variant>
      <vt:variant>
        <vt:i4>2</vt:i4>
      </vt:variant>
      <vt:variant>
        <vt:i4>0</vt:i4>
      </vt:variant>
      <vt:variant>
        <vt:i4>5</vt:i4>
      </vt:variant>
      <vt:variant>
        <vt:lpwstr/>
      </vt:variant>
      <vt:variant>
        <vt:lpwstr>_Toc191598369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Strategic Considerations for the Asia DEI Summit 2025  Tutor: Kathryn Flynn                                                                         Student ID: 2122721</dc:subject>
  <dc:creator>Jasmin Khatun</dc:creator>
  <cp:keywords/>
  <dc:description/>
  <cp:lastModifiedBy>jasmin khatun</cp:lastModifiedBy>
  <cp:revision>11</cp:revision>
  <dcterms:created xsi:type="dcterms:W3CDTF">2025-03-01T06:46:00Z</dcterms:created>
  <dcterms:modified xsi:type="dcterms:W3CDTF">2025-02-28T22:53:00Z</dcterms:modified>
  <cp:category>BMIH6007: International Meetings Management for the Hotel Industry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0x01010003A5F1F8AD7E6345AD79F053A1E52B2D</vt:lpwstr>
  </property>
  <property fmtid="{D5CDD505-2E9C-101B-9397-08002B2CF9AE}" pid="3" name="MediaServiceImageTags">
    <vt:lpwstr/>
  </property>
  <property fmtid="{D5CDD505-2E9C-101B-9397-08002B2CF9AE}" pid="4" name="ZOTERO_PREF_1">
    <vt:lpwstr>&lt;data data-version="3" zotero-version="6.0.36"&gt;&lt;session id="aWyDUTbY"/&gt;&lt;style id="http://www.zotero.org/styles/university-of-south-wales-harvard" hasBibliography="1" bibliographyStyleHasBeenSet="1"/&gt;&lt;prefs&gt;&lt;pref name="fieldType" value="Field"/&gt;&lt;/prefs&gt;&lt;/d</vt:lpwstr>
  </property>
  <property fmtid="{D5CDD505-2E9C-101B-9397-08002B2CF9AE}" pid="5" name="ZOTERO_PREF_2">
    <vt:lpwstr>ata&gt;</vt:lpwstr>
  </property>
</Properties>
</file>