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layout2.xml" ContentType="application/vnd.openxmlformats-officedocument.drawingml.diagramLayout+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quickStyle2.xml" ContentType="application/vnd.openxmlformats-officedocument.drawingml.diagramStyle+xml"/>
  <Override PartName="/word/diagrams/layout1.xml" ContentType="application/vnd.openxmlformats-officedocument.drawingml.diagramLayout+xml"/>
  <Override PartName="/word/diagrams/drawing2.xml" ContentType="application/vnd.ms-office.drawingml.diagramDrawing+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diagrams/data2.xml" ContentType="application/vnd.openxmlformats-officedocument.drawingml.diagramData+xml"/>
  <Override PartName="/word/diagrams/colors2.xml" ContentType="application/vnd.openxmlformats-officedocument.drawingml.diagramColor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color w:val="000000"/>
          <w:sz w:val="22"/>
          <w:szCs w:val="22"/>
        </w:rPr>
      </w:pPr>
      <w:bookmarkStart w:id="0" w:name="_6wg2syoicf8n" w:colFirst="0" w:colLast="0"/>
      <w:bookmarkEnd w:id="0"/>
    </w:p>
    <w:p>
      <w:pPr>
        <w:pStyle w:val="style0"/>
        <w:jc w:val="center"/>
        <w:rPr>
          <w:szCs w:val="24"/>
        </w:rPr>
      </w:pPr>
      <w:r>
        <w:rPr>
          <w:noProof/>
          <w:szCs w:val="24"/>
        </w:rPr>
        <w:drawing>
          <wp:inline distL="0" distT="0" distB="0" distR="0">
            <wp:extent cx="2385267" cy="92210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385267" cy="922100"/>
                    </a:xfrm>
                    <a:prstGeom prst="rect"/>
                  </pic:spPr>
                </pic:pic>
              </a:graphicData>
            </a:graphic>
          </wp:inline>
        </w:drawing>
      </w:r>
    </w:p>
    <w:p>
      <w:pPr>
        <w:pStyle w:val="style0"/>
        <w:jc w:val="center"/>
        <w:rPr>
          <w:b/>
          <w:bCs/>
          <w:sz w:val="32"/>
          <w:szCs w:val="32"/>
        </w:rPr>
      </w:pPr>
    </w:p>
    <w:p>
      <w:pPr>
        <w:pStyle w:val="style0"/>
        <w:spacing w:lineRule="auto" w:line="480"/>
        <w:jc w:val="center"/>
        <w:rPr>
          <w:b/>
          <w:bCs/>
          <w:sz w:val="32"/>
          <w:szCs w:val="32"/>
        </w:rPr>
      </w:pPr>
      <w:r>
        <w:rPr>
          <w:b/>
          <w:bCs/>
          <w:sz w:val="32"/>
          <w:szCs w:val="32"/>
        </w:rPr>
        <w:t>PRACTICE BASED RESEARCH</w:t>
      </w:r>
    </w:p>
    <w:p>
      <w:pPr>
        <w:pStyle w:val="style0"/>
        <w:spacing w:lineRule="auto" w:line="480"/>
        <w:jc w:val="center"/>
        <w:rPr>
          <w:b/>
          <w:bCs/>
          <w:sz w:val="32"/>
          <w:szCs w:val="32"/>
        </w:rPr>
      </w:pPr>
      <w:r>
        <w:rPr>
          <w:b/>
          <w:bCs/>
          <w:sz w:val="32"/>
          <w:szCs w:val="32"/>
        </w:rPr>
        <w:t xml:space="preserve">ASSESSMENT </w:t>
      </w:r>
      <w:r>
        <w:rPr>
          <w:b/>
          <w:bCs/>
          <w:sz w:val="32"/>
          <w:szCs w:val="32"/>
        </w:rPr>
        <w:t>2</w:t>
      </w:r>
    </w:p>
    <w:p>
      <w:pPr>
        <w:pStyle w:val="style0"/>
        <w:spacing w:lineRule="auto" w:line="480"/>
        <w:jc w:val="center"/>
        <w:rPr>
          <w:b/>
          <w:bCs/>
          <w:sz w:val="32"/>
          <w:szCs w:val="32"/>
        </w:rPr>
      </w:pPr>
      <w:r>
        <w:rPr>
          <w:b/>
          <w:bCs/>
          <w:sz w:val="32"/>
          <w:szCs w:val="32"/>
        </w:rPr>
        <w:t>PROGRAMME: M.Sc PUBLIC HEALTH AND SOCIAL CARE AND PRACTICE PROGRAMME</w:t>
      </w:r>
    </w:p>
    <w:p>
      <w:pPr>
        <w:pStyle w:val="style0"/>
        <w:spacing w:lineRule="auto" w:line="480"/>
        <w:jc w:val="center"/>
        <w:rPr>
          <w:b/>
          <w:bCs/>
          <w:sz w:val="32"/>
          <w:szCs w:val="32"/>
        </w:rPr>
      </w:pPr>
      <w:r>
        <w:rPr>
          <w:b/>
          <w:bCs/>
          <w:sz w:val="32"/>
          <w:szCs w:val="32"/>
        </w:rPr>
        <w:t xml:space="preserve">STUDENT NAME: SIVA </w:t>
      </w:r>
      <w:r>
        <w:rPr>
          <w:b/>
          <w:bCs/>
          <w:sz w:val="32"/>
          <w:szCs w:val="32"/>
          <w:lang w:val="en-US"/>
        </w:rPr>
        <w:t xml:space="preserve">Prasanth dandamudi </w:t>
      </w:r>
    </w:p>
    <w:p>
      <w:pPr>
        <w:pStyle w:val="style0"/>
        <w:spacing w:lineRule="auto" w:line="480"/>
        <w:jc w:val="center"/>
        <w:rPr>
          <w:b/>
          <w:bCs/>
          <w:sz w:val="32"/>
          <w:szCs w:val="32"/>
        </w:rPr>
      </w:pPr>
      <w:r>
        <w:rPr>
          <w:b/>
          <w:bCs/>
          <w:sz w:val="32"/>
          <w:szCs w:val="32"/>
        </w:rPr>
        <w:t>STUDENT ID: 224</w:t>
      </w:r>
      <w:r>
        <w:rPr>
          <w:b/>
          <w:bCs/>
          <w:sz w:val="32"/>
          <w:szCs w:val="32"/>
          <w:lang w:val="en-US"/>
        </w:rPr>
        <w:t>2089</w:t>
      </w:r>
    </w:p>
    <w:p>
      <w:pPr>
        <w:pStyle w:val="style0"/>
        <w:spacing w:lineRule="auto" w:line="480"/>
        <w:jc w:val="center"/>
        <w:rPr>
          <w:b/>
          <w:bCs/>
          <w:sz w:val="32"/>
          <w:szCs w:val="32"/>
        </w:rPr>
      </w:pPr>
      <w:r>
        <w:rPr>
          <w:b/>
          <w:bCs/>
          <w:sz w:val="32"/>
          <w:szCs w:val="32"/>
        </w:rPr>
        <w:t>MODULE CODE: LCHS7001</w:t>
      </w:r>
    </w:p>
    <w:p>
      <w:pPr>
        <w:pStyle w:val="style0"/>
        <w:spacing w:lineRule="auto" w:line="480"/>
        <w:jc w:val="center"/>
        <w:rPr>
          <w:b/>
          <w:bCs/>
          <w:sz w:val="32"/>
          <w:szCs w:val="32"/>
        </w:rPr>
      </w:pPr>
      <w:r>
        <w:rPr>
          <w:b/>
          <w:bCs/>
          <w:sz w:val="32"/>
          <w:szCs w:val="32"/>
        </w:rPr>
        <w:t>LECTURE NAME: Dr. DIOLA BIJLHOUT</w:t>
      </w: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 w:val="22"/>
          <w:szCs w:val="22"/>
        </w:rPr>
      </w:pPr>
    </w:p>
    <w:p>
      <w:pPr>
        <w:pStyle w:val="style62"/>
        <w:rPr>
          <w:color w:val="000000"/>
          <w:szCs w:val="22"/>
        </w:rPr>
      </w:pPr>
    </w:p>
    <w:p>
      <w:pPr>
        <w:pStyle w:val="style62"/>
        <w:rPr>
          <w:color w:val="000000"/>
          <w:szCs w:val="22"/>
        </w:rPr>
      </w:pPr>
    </w:p>
    <w:p>
      <w:pPr>
        <w:pStyle w:val="style0"/>
        <w:rPr>
          <w:b/>
          <w:color w:val="000000"/>
        </w:rPr>
      </w:pPr>
      <w:r>
        <w:rPr>
          <w:color w:val="000000"/>
        </w:rPr>
        <w:br w:type="page"/>
      </w:r>
    </w:p>
    <w:p>
      <w:pPr>
        <w:pStyle w:val="style266"/>
        <w:spacing w:lineRule="auto" w:line="360"/>
        <w:jc w:val="center"/>
        <w:rPr>
          <w:rFonts w:ascii="Arial" w:cs="Arial" w:hAnsi="Arial"/>
          <w:color w:val="000000"/>
          <w:sz w:val="22"/>
          <w:szCs w:val="22"/>
        </w:rPr>
      </w:pPr>
      <w:r>
        <w:rPr>
          <w:rFonts w:ascii="Arial" w:cs="Arial" w:hAnsi="Arial"/>
          <w:b/>
          <w:color w:val="000000"/>
          <w:sz w:val="24"/>
          <w:szCs w:val="22"/>
        </w:rPr>
        <w:t>TABLE OF CONTENTS</w:t>
      </w:r>
    </w:p>
    <w:p>
      <w:pPr>
        <w:pStyle w:val="style19"/>
        <w:tabs>
          <w:tab w:val="right" w:leader="dot" w:pos="9019"/>
        </w:tabs>
        <w:rPr>
          <w:rFonts w:ascii="Cambria" w:cs="宋体" w:eastAsia="宋体" w:hAnsi="Cambria"/>
          <w:noProof/>
          <w:color w:val="000000"/>
          <w:lang w:val="en-IN" w:eastAsia="en-IN"/>
        </w:rPr>
      </w:pPr>
      <w:r>
        <w:rPr>
          <w:color w:val="000000"/>
        </w:rPr>
        <w:fldChar w:fldCharType="begin"/>
      </w:r>
      <w:r>
        <w:rPr>
          <w:color w:val="000000"/>
        </w:rPr>
        <w:instrText xml:space="preserve"> TOC \o "1-3" \h \z \u </w:instrText>
      </w:r>
      <w:r>
        <w:rPr>
          <w:color w:val="000000"/>
        </w:rPr>
        <w:fldChar w:fldCharType="separate"/>
      </w:r>
      <w:r>
        <w:rPr/>
        <w:fldChar w:fldCharType="begin"/>
      </w:r>
      <w:r>
        <w:instrText xml:space="preserve"> HYPERLINK \l "_Toc153727085" </w:instrText>
      </w:r>
      <w:r>
        <w:rPr/>
        <w:fldChar w:fldCharType="separate"/>
      </w:r>
      <w:r>
        <w:rPr>
          <w:rStyle w:val="style85"/>
          <w:noProof/>
          <w:color w:val="000000"/>
        </w:rPr>
        <w:t>Introduction</w:t>
      </w:r>
      <w:r>
        <w:rPr>
          <w:noProof/>
          <w:webHidden/>
          <w:color w:val="000000"/>
        </w:rPr>
        <w:tab/>
      </w:r>
      <w:r>
        <w:rPr>
          <w:noProof/>
          <w:webHidden/>
          <w:color w:val="000000"/>
        </w:rPr>
        <w:fldChar w:fldCharType="begin"/>
      </w:r>
      <w:r>
        <w:rPr>
          <w:noProof/>
          <w:webHidden/>
          <w:color w:val="000000"/>
        </w:rPr>
        <w:instrText xml:space="preserve"> PAGEREF _Toc153727085 \h </w:instrText>
      </w:r>
      <w:r>
        <w:rPr>
          <w:noProof/>
          <w:webHidden/>
          <w:color w:val="000000"/>
        </w:rPr>
        <w:fldChar w:fldCharType="separate"/>
      </w:r>
      <w:r>
        <w:rPr>
          <w:noProof/>
          <w:webHidden/>
          <w:color w:val="000000"/>
        </w:rPr>
        <w:t>3</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"_Toc153727086" </w:instrText>
      </w:r>
      <w:r>
        <w:rPr/>
        <w:fldChar w:fldCharType="separate"/>
      </w:r>
      <w:r>
        <w:rPr>
          <w:rStyle w:val="style85"/>
          <w:noProof/>
          <w:color w:val="000000"/>
        </w:rPr>
        <w:t>Background of the study</w:t>
      </w:r>
      <w:r>
        <w:rPr>
          <w:noProof/>
          <w:webHidden/>
          <w:color w:val="000000"/>
        </w:rPr>
        <w:tab/>
      </w:r>
      <w:r>
        <w:rPr>
          <w:noProof/>
          <w:webHidden/>
          <w:color w:val="000000"/>
        </w:rPr>
        <w:fldChar w:fldCharType="begin"/>
      </w:r>
      <w:r>
        <w:rPr>
          <w:noProof/>
          <w:webHidden/>
          <w:color w:val="000000"/>
        </w:rPr>
        <w:instrText xml:space="preserve"> PAGEREF _Toc153727086 \h </w:instrText>
      </w:r>
      <w:r>
        <w:rPr>
          <w:noProof/>
          <w:webHidden/>
          <w:color w:val="000000"/>
        </w:rPr>
        <w:fldChar w:fldCharType="separate"/>
      </w:r>
      <w:r>
        <w:rPr>
          <w:noProof/>
          <w:webHidden/>
          <w:color w:val="000000"/>
        </w:rPr>
        <w:t>3</w:t>
      </w:r>
      <w:r>
        <w:rPr>
          <w:noProof/>
          <w:webHidden/>
          <w:color w:val="000000"/>
        </w:rPr>
        <w:fldChar w:fldCharType="end"/>
      </w:r>
      <w:r>
        <w:rPr/>
        <w:fldChar w:fldCharType="end"/>
      </w:r>
    </w:p>
    <w:p>
      <w:pPr>
        <w:pStyle w:val="style20"/>
        <w:tabs>
          <w:tab w:val="right" w:leader="dot" w:pos="9019"/>
        </w:tabs>
        <w:rPr>
          <w:rFonts w:ascii="Cambria" w:cs="宋体" w:eastAsia="宋体" w:hAnsi="Cambria"/>
          <w:noProof/>
          <w:color w:val="000000"/>
          <w:lang w:val="en-IN" w:eastAsia="en-IN"/>
        </w:rPr>
      </w:pPr>
      <w:r>
        <w:rPr/>
        <w:fldChar w:fldCharType="begin"/>
      </w:r>
      <w:r>
        <w:instrText xml:space="preserve"> HYPERLINK \l "_Toc153727088" </w:instrText>
      </w:r>
      <w:r>
        <w:rPr/>
        <w:fldChar w:fldCharType="separate"/>
      </w:r>
      <w:r>
        <w:rPr>
          <w:rStyle w:val="style85"/>
          <w:noProof/>
          <w:color w:val="000000"/>
        </w:rPr>
        <w:t>Research aim</w:t>
      </w:r>
      <w:r>
        <w:rPr>
          <w:noProof/>
          <w:webHidden/>
          <w:color w:val="000000"/>
        </w:rPr>
        <w:tab/>
      </w:r>
      <w:r>
        <w:rPr>
          <w:noProof/>
          <w:webHidden/>
          <w:color w:val="000000"/>
        </w:rPr>
        <w:fldChar w:fldCharType="begin"/>
      </w:r>
      <w:r>
        <w:rPr>
          <w:noProof/>
          <w:webHidden/>
          <w:color w:val="000000"/>
        </w:rPr>
        <w:instrText xml:space="preserve"> PAGEREF _Toc153727088 \h </w:instrText>
      </w:r>
      <w:r>
        <w:rPr>
          <w:noProof/>
          <w:webHidden/>
          <w:color w:val="000000"/>
        </w:rPr>
        <w:fldChar w:fldCharType="separate"/>
      </w:r>
      <w:r>
        <w:rPr>
          <w:noProof/>
          <w:webHidden/>
          <w:color w:val="000000"/>
        </w:rPr>
        <w:t>4</w:t>
      </w:r>
      <w:r>
        <w:rPr>
          <w:noProof/>
          <w:webHidden/>
          <w:color w:val="000000"/>
        </w:rPr>
        <w:fldChar w:fldCharType="end"/>
      </w:r>
      <w:r>
        <w:rPr/>
        <w:fldChar w:fldCharType="end"/>
      </w:r>
    </w:p>
    <w:p>
      <w:pPr>
        <w:pStyle w:val="style20"/>
        <w:tabs>
          <w:tab w:val="right" w:leader="dot" w:pos="9019"/>
        </w:tabs>
        <w:rPr>
          <w:rFonts w:ascii="Cambria" w:cs="宋体" w:eastAsia="宋体" w:hAnsi="Cambria"/>
          <w:noProof/>
          <w:color w:val="000000"/>
          <w:lang w:val="en-IN" w:eastAsia="en-IN"/>
        </w:rPr>
      </w:pPr>
      <w:r>
        <w:rPr/>
        <w:fldChar w:fldCharType="begin"/>
      </w:r>
      <w:r>
        <w:instrText xml:space="preserve"> HYPERLINK \l "_Toc153727089" </w:instrText>
      </w:r>
      <w:r>
        <w:rPr/>
        <w:fldChar w:fldCharType="separate"/>
      </w:r>
      <w:r>
        <w:rPr>
          <w:rStyle w:val="style85"/>
          <w:noProof/>
          <w:color w:val="000000"/>
        </w:rPr>
        <w:t>Research objectives</w:t>
      </w:r>
      <w:r>
        <w:rPr>
          <w:noProof/>
          <w:webHidden/>
          <w:color w:val="000000"/>
        </w:rPr>
        <w:tab/>
      </w:r>
      <w:r>
        <w:rPr>
          <w:noProof/>
          <w:webHidden/>
          <w:color w:val="000000"/>
        </w:rPr>
        <w:fldChar w:fldCharType="begin"/>
      </w:r>
      <w:r>
        <w:rPr>
          <w:noProof/>
          <w:webHidden/>
          <w:color w:val="000000"/>
        </w:rPr>
        <w:instrText xml:space="preserve"> PAGEREF _Toc153727089 \h </w:instrText>
      </w:r>
      <w:r>
        <w:rPr>
          <w:noProof/>
          <w:webHidden/>
          <w:color w:val="000000"/>
        </w:rPr>
        <w:fldChar w:fldCharType="separate"/>
      </w:r>
      <w:r>
        <w:rPr>
          <w:noProof/>
          <w:webHidden/>
          <w:color w:val="000000"/>
        </w:rPr>
        <w:t>4</w:t>
      </w:r>
      <w:r>
        <w:rPr>
          <w:noProof/>
          <w:webHidden/>
          <w:color w:val="000000"/>
        </w:rPr>
        <w:fldChar w:fldCharType="end"/>
      </w:r>
      <w:r>
        <w:rPr/>
        <w:fldChar w:fldCharType="end"/>
      </w:r>
    </w:p>
    <w:p>
      <w:pPr>
        <w:pStyle w:val="style20"/>
        <w:tabs>
          <w:tab w:val="right" w:leader="dot" w:pos="9019"/>
        </w:tabs>
        <w:rPr>
          <w:rFonts w:ascii="Cambria" w:cs="宋体" w:eastAsia="宋体" w:hAnsi="Cambria"/>
          <w:noProof/>
          <w:color w:val="000000"/>
          <w:lang w:val="en-IN" w:eastAsia="en-IN"/>
        </w:rPr>
      </w:pPr>
      <w:r>
        <w:rPr/>
        <w:fldChar w:fldCharType="begin"/>
      </w:r>
      <w:r>
        <w:instrText xml:space="preserve"> HYPERLINK \l "_Toc153727090" </w:instrText>
      </w:r>
      <w:r>
        <w:rPr/>
        <w:fldChar w:fldCharType="separate"/>
      </w:r>
      <w:r>
        <w:rPr>
          <w:rStyle w:val="style85"/>
          <w:noProof/>
          <w:color w:val="000000"/>
        </w:rPr>
        <w:t>Research questions</w:t>
      </w:r>
      <w:r>
        <w:rPr>
          <w:noProof/>
          <w:webHidden/>
          <w:color w:val="000000"/>
        </w:rPr>
        <w:tab/>
      </w:r>
      <w:r>
        <w:rPr>
          <w:noProof/>
          <w:webHidden/>
          <w:color w:val="000000"/>
        </w:rPr>
        <w:fldChar w:fldCharType="begin"/>
      </w:r>
      <w:r>
        <w:rPr>
          <w:noProof/>
          <w:webHidden/>
          <w:color w:val="000000"/>
        </w:rPr>
        <w:instrText xml:space="preserve"> PAGEREF _Toc153727090 \h </w:instrText>
      </w:r>
      <w:r>
        <w:rPr>
          <w:noProof/>
          <w:webHidden/>
          <w:color w:val="000000"/>
        </w:rPr>
        <w:fldChar w:fldCharType="separate"/>
      </w:r>
      <w:r>
        <w:rPr>
          <w:noProof/>
          <w:webHidden/>
          <w:color w:val="000000"/>
        </w:rPr>
        <w:t>4</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"_Toc153727091" </w:instrText>
      </w:r>
      <w:r>
        <w:rPr/>
        <w:fldChar w:fldCharType="separate"/>
      </w:r>
      <w:r>
        <w:rPr>
          <w:rStyle w:val="style85"/>
          <w:noProof/>
          <w:color w:val="000000"/>
        </w:rPr>
        <w:t>Research rationale</w:t>
      </w:r>
      <w:r>
        <w:rPr>
          <w:noProof/>
          <w:webHidden/>
          <w:color w:val="000000"/>
        </w:rPr>
        <w:tab/>
      </w:r>
      <w:r>
        <w:rPr>
          <w:noProof/>
          <w:webHidden/>
          <w:color w:val="000000"/>
        </w:rPr>
        <w:fldChar w:fldCharType="begin"/>
      </w:r>
      <w:r>
        <w:rPr>
          <w:noProof/>
          <w:webHidden/>
          <w:color w:val="000000"/>
        </w:rPr>
        <w:instrText xml:space="preserve"> PAGEREF _Toc153727091 \h </w:instrText>
      </w:r>
      <w:r>
        <w:rPr>
          <w:noProof/>
          <w:webHidden/>
          <w:color w:val="000000"/>
        </w:rPr>
        <w:fldChar w:fldCharType="separate"/>
      </w:r>
      <w:r>
        <w:rPr>
          <w:noProof/>
          <w:webHidden/>
          <w:color w:val="000000"/>
        </w:rPr>
        <w:t>5</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"_Toc153727092" </w:instrText>
      </w:r>
      <w:r>
        <w:rPr/>
        <w:fldChar w:fldCharType="separate"/>
      </w:r>
      <w:r>
        <w:rPr>
          <w:rStyle w:val="style85"/>
          <w:noProof/>
          <w:color w:val="000000"/>
        </w:rPr>
        <w:t>Research Methodology</w:t>
      </w:r>
      <w:r>
        <w:rPr>
          <w:noProof/>
          <w:webHidden/>
          <w:color w:val="000000"/>
        </w:rPr>
        <w:tab/>
      </w:r>
      <w:r>
        <w:rPr>
          <w:noProof/>
          <w:webHidden/>
          <w:color w:val="000000"/>
        </w:rPr>
        <w:fldChar w:fldCharType="begin"/>
      </w:r>
      <w:r>
        <w:rPr>
          <w:noProof/>
          <w:webHidden/>
          <w:color w:val="000000"/>
        </w:rPr>
        <w:instrText xml:space="preserve"> PAGEREF _Toc153727092 \h </w:instrText>
      </w:r>
      <w:r>
        <w:rPr>
          <w:noProof/>
          <w:webHidden/>
          <w:color w:val="000000"/>
        </w:rPr>
        <w:fldChar w:fldCharType="separate"/>
      </w:r>
      <w:r>
        <w:rPr>
          <w:noProof/>
          <w:webHidden/>
          <w:color w:val="000000"/>
        </w:rPr>
        <w:t>5</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"_Toc153727093" </w:instrText>
      </w:r>
      <w:r>
        <w:rPr/>
        <w:fldChar w:fldCharType="separate"/>
      </w:r>
      <w:r>
        <w:rPr>
          <w:rStyle w:val="style85"/>
          <w:noProof/>
          <w:color w:val="000000"/>
        </w:rPr>
        <w:t>Research design</w:t>
      </w:r>
      <w:r>
        <w:rPr>
          <w:noProof/>
          <w:webHidden/>
          <w:color w:val="000000"/>
        </w:rPr>
        <w:tab/>
      </w:r>
      <w:r>
        <w:rPr>
          <w:noProof/>
          <w:webHidden/>
          <w:color w:val="000000"/>
        </w:rPr>
        <w:fldChar w:fldCharType="begin"/>
      </w:r>
      <w:r>
        <w:rPr>
          <w:noProof/>
          <w:webHidden/>
          <w:color w:val="000000"/>
        </w:rPr>
        <w:instrText xml:space="preserve"> PAGEREF _Toc153727093 \h </w:instrText>
      </w:r>
      <w:r>
        <w:rPr>
          <w:noProof/>
          <w:webHidden/>
          <w:color w:val="000000"/>
        </w:rPr>
        <w:fldChar w:fldCharType="separate"/>
      </w:r>
      <w:r>
        <w:rPr>
          <w:noProof/>
          <w:webHidden/>
          <w:color w:val="000000"/>
        </w:rPr>
        <w:t>6</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"_Toc153727094" </w:instrText>
      </w:r>
      <w:r>
        <w:rPr/>
        <w:fldChar w:fldCharType="separate"/>
      </w:r>
      <w:r>
        <w:rPr>
          <w:rStyle w:val="style85"/>
          <w:noProof/>
          <w:color w:val="000000"/>
        </w:rPr>
        <w:t>Study participants</w:t>
      </w:r>
      <w:r>
        <w:rPr>
          <w:noProof/>
          <w:webHidden/>
          <w:color w:val="000000"/>
        </w:rPr>
        <w:tab/>
      </w:r>
      <w:r>
        <w:rPr>
          <w:noProof/>
          <w:webHidden/>
          <w:color w:val="000000"/>
        </w:rPr>
        <w:fldChar w:fldCharType="begin"/>
      </w:r>
      <w:r>
        <w:rPr>
          <w:noProof/>
          <w:webHidden/>
          <w:color w:val="000000"/>
        </w:rPr>
        <w:instrText xml:space="preserve"> PAGEREF _Toc153727094 \h </w:instrText>
      </w:r>
      <w:r>
        <w:rPr>
          <w:noProof/>
          <w:webHidden/>
          <w:color w:val="000000"/>
        </w:rPr>
        <w:fldChar w:fldCharType="separate"/>
      </w:r>
      <w:r>
        <w:rPr>
          <w:noProof/>
          <w:webHidden/>
          <w:color w:val="000000"/>
        </w:rPr>
        <w:t>7</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"_Toc153727095" </w:instrText>
      </w:r>
      <w:r>
        <w:rPr/>
        <w:fldChar w:fldCharType="separate"/>
      </w:r>
      <w:r>
        <w:rPr>
          <w:rStyle w:val="style85"/>
          <w:noProof/>
          <w:color w:val="000000"/>
        </w:rPr>
        <w:t>Data collection methods</w:t>
      </w:r>
      <w:r>
        <w:rPr>
          <w:noProof/>
          <w:webHidden/>
          <w:color w:val="000000"/>
        </w:rPr>
        <w:tab/>
      </w:r>
      <w:r>
        <w:rPr>
          <w:noProof/>
          <w:webHidden/>
          <w:color w:val="000000"/>
        </w:rPr>
        <w:fldChar w:fldCharType="begin"/>
      </w:r>
      <w:r>
        <w:rPr>
          <w:noProof/>
          <w:webHidden/>
          <w:color w:val="000000"/>
        </w:rPr>
        <w:instrText xml:space="preserve"> PAGEREF _Toc153727095 \h </w:instrText>
      </w:r>
      <w:r>
        <w:rPr>
          <w:noProof/>
          <w:webHidden/>
          <w:color w:val="000000"/>
        </w:rPr>
        <w:fldChar w:fldCharType="separate"/>
      </w:r>
      <w:r>
        <w:rPr>
          <w:noProof/>
          <w:webHidden/>
          <w:color w:val="000000"/>
        </w:rPr>
        <w:t>8</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"_Toc153727096" </w:instrText>
      </w:r>
      <w:r>
        <w:rPr/>
        <w:fldChar w:fldCharType="separate"/>
      </w:r>
      <w:r>
        <w:rPr>
          <w:rStyle w:val="style85"/>
          <w:noProof/>
          <w:color w:val="000000"/>
        </w:rPr>
        <w:t>Data analysis techniques</w:t>
      </w:r>
      <w:r>
        <w:rPr>
          <w:noProof/>
          <w:webHidden/>
          <w:color w:val="000000"/>
        </w:rPr>
        <w:tab/>
      </w:r>
      <w:r>
        <w:rPr>
          <w:noProof/>
          <w:webHidden/>
          <w:color w:val="000000"/>
        </w:rPr>
        <w:fldChar w:fldCharType="begin"/>
      </w:r>
      <w:r>
        <w:rPr>
          <w:noProof/>
          <w:webHidden/>
          <w:color w:val="000000"/>
        </w:rPr>
        <w:instrText xml:space="preserve"> PAGEREF _Toc153727096 \h </w:instrText>
      </w:r>
      <w:r>
        <w:rPr>
          <w:noProof/>
          <w:webHidden/>
          <w:color w:val="000000"/>
        </w:rPr>
        <w:fldChar w:fldCharType="separate"/>
      </w:r>
      <w:r>
        <w:rPr>
          <w:noProof/>
          <w:webHidden/>
          <w:color w:val="000000"/>
        </w:rPr>
        <w:t>9</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"_Toc153727097" </w:instrText>
      </w:r>
      <w:r>
        <w:rPr/>
        <w:fldChar w:fldCharType="separate"/>
      </w:r>
      <w:r>
        <w:rPr>
          <w:rStyle w:val="style85"/>
          <w:noProof/>
          <w:color w:val="000000"/>
        </w:rPr>
        <w:t>Ethical considerations</w:t>
      </w:r>
      <w:r>
        <w:rPr>
          <w:noProof/>
          <w:webHidden/>
          <w:color w:val="000000"/>
        </w:rPr>
        <w:tab/>
      </w:r>
      <w:r>
        <w:rPr>
          <w:noProof/>
          <w:webHidden/>
          <w:color w:val="000000"/>
        </w:rPr>
        <w:fldChar w:fldCharType="begin"/>
      </w:r>
      <w:r>
        <w:rPr>
          <w:noProof/>
          <w:webHidden/>
          <w:color w:val="000000"/>
        </w:rPr>
        <w:instrText xml:space="preserve"> PAGEREF _Toc153727097 \h </w:instrText>
      </w:r>
      <w:r>
        <w:rPr>
          <w:noProof/>
          <w:webHidden/>
          <w:color w:val="000000"/>
        </w:rPr>
        <w:fldChar w:fldCharType="separate"/>
      </w:r>
      <w:r>
        <w:rPr>
          <w:noProof/>
          <w:webHidden/>
          <w:color w:val="000000"/>
        </w:rPr>
        <w:t>9</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"_Toc153727098" </w:instrText>
      </w:r>
      <w:r>
        <w:rPr/>
        <w:fldChar w:fldCharType="separate"/>
      </w:r>
      <w:r>
        <w:rPr>
          <w:rStyle w:val="style85"/>
          <w:noProof/>
          <w:color w:val="000000"/>
        </w:rPr>
        <w:t>Results</w:t>
      </w:r>
      <w:r>
        <w:rPr>
          <w:noProof/>
          <w:webHidden/>
          <w:color w:val="000000"/>
        </w:rPr>
        <w:tab/>
      </w:r>
      <w:r>
        <w:rPr>
          <w:noProof/>
          <w:webHidden/>
          <w:color w:val="000000"/>
        </w:rPr>
        <w:fldChar w:fldCharType="begin"/>
      </w:r>
      <w:r>
        <w:rPr>
          <w:noProof/>
          <w:webHidden/>
          <w:color w:val="000000"/>
        </w:rPr>
        <w:instrText xml:space="preserve"> PAGEREF _Toc153727098 \h </w:instrText>
      </w:r>
      <w:r>
        <w:rPr>
          <w:noProof/>
          <w:webHidden/>
          <w:color w:val="000000"/>
        </w:rPr>
        <w:fldChar w:fldCharType="separate"/>
      </w:r>
      <w:r>
        <w:rPr>
          <w:noProof/>
          <w:webHidden/>
          <w:color w:val="000000"/>
        </w:rPr>
        <w:t>10</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"_Toc153727099" </w:instrText>
      </w:r>
      <w:r>
        <w:rPr/>
        <w:fldChar w:fldCharType="separate"/>
      </w:r>
      <w:r>
        <w:rPr>
          <w:rStyle w:val="style85"/>
          <w:noProof/>
          <w:color w:val="000000"/>
        </w:rPr>
        <w:t>Discussion</w:t>
      </w:r>
      <w:r>
        <w:rPr>
          <w:noProof/>
          <w:webHidden/>
          <w:color w:val="000000"/>
        </w:rPr>
        <w:tab/>
      </w:r>
      <w:r>
        <w:rPr>
          <w:noProof/>
          <w:webHidden/>
          <w:color w:val="000000"/>
        </w:rPr>
        <w:fldChar w:fldCharType="begin"/>
      </w:r>
      <w:r>
        <w:rPr>
          <w:noProof/>
          <w:webHidden/>
          <w:color w:val="000000"/>
        </w:rPr>
        <w:instrText xml:space="preserve"> PAGEREF _Toc153727099 \h </w:instrText>
      </w:r>
      <w:r>
        <w:rPr>
          <w:noProof/>
          <w:webHidden/>
          <w:color w:val="000000"/>
        </w:rPr>
        <w:fldChar w:fldCharType="separate"/>
      </w:r>
      <w:r>
        <w:rPr>
          <w:noProof/>
          <w:webHidden/>
          <w:color w:val="000000"/>
        </w:rPr>
        <w:t>11</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"_Toc153727100" </w:instrText>
      </w:r>
      <w:r>
        <w:rPr/>
        <w:fldChar w:fldCharType="separate"/>
      </w:r>
      <w:r>
        <w:rPr>
          <w:rStyle w:val="style85"/>
          <w:noProof/>
          <w:color w:val="000000"/>
        </w:rPr>
        <w:t>Conclusion</w:t>
      </w:r>
      <w:r>
        <w:rPr>
          <w:noProof/>
          <w:webHidden/>
          <w:color w:val="000000"/>
        </w:rPr>
        <w:tab/>
      </w:r>
      <w:r>
        <w:rPr>
          <w:noProof/>
          <w:webHidden/>
          <w:color w:val="000000"/>
        </w:rPr>
        <w:fldChar w:fldCharType="begin"/>
      </w:r>
      <w:r>
        <w:rPr>
          <w:noProof/>
          <w:webHidden/>
          <w:color w:val="000000"/>
        </w:rPr>
        <w:instrText xml:space="preserve"> PAGEREF _Toc153727100 \h </w:instrText>
      </w:r>
      <w:r>
        <w:rPr>
          <w:noProof/>
          <w:webHidden/>
          <w:color w:val="000000"/>
        </w:rPr>
        <w:fldChar w:fldCharType="separate"/>
      </w:r>
      <w:r>
        <w:rPr>
          <w:noProof/>
          <w:webHidden/>
          <w:color w:val="000000"/>
        </w:rPr>
        <w:t>12</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"_Toc153727101" </w:instrText>
      </w:r>
      <w:r>
        <w:rPr/>
        <w:fldChar w:fldCharType="separate"/>
      </w:r>
      <w:r>
        <w:rPr>
          <w:rStyle w:val="style85"/>
          <w:noProof/>
          <w:color w:val="000000"/>
        </w:rPr>
        <w:t>References</w:t>
      </w:r>
      <w:r>
        <w:rPr>
          <w:noProof/>
          <w:webHidden/>
          <w:color w:val="000000"/>
        </w:rPr>
        <w:tab/>
      </w:r>
      <w:r>
        <w:rPr>
          <w:noProof/>
          <w:webHidden/>
          <w:color w:val="000000"/>
        </w:rPr>
        <w:fldChar w:fldCharType="begin"/>
      </w:r>
      <w:r>
        <w:rPr>
          <w:noProof/>
          <w:webHidden/>
          <w:color w:val="000000"/>
        </w:rPr>
        <w:instrText xml:space="preserve"> PAGEREF _Toc153727101 \h </w:instrText>
      </w:r>
      <w:r>
        <w:rPr>
          <w:noProof/>
          <w:webHidden/>
          <w:color w:val="000000"/>
        </w:rPr>
        <w:fldChar w:fldCharType="separate"/>
      </w:r>
      <w:r>
        <w:rPr>
          <w:noProof/>
          <w:webHidden/>
          <w:color w:val="000000"/>
        </w:rPr>
        <w:t>13</w:t>
      </w:r>
      <w:r>
        <w:rPr>
          <w:noProof/>
          <w:webHidden/>
          <w:color w:val="000000"/>
        </w:rPr>
        <w:fldChar w:fldCharType="end"/>
      </w:r>
      <w:r>
        <w:rPr/>
        <w:fldChar w:fldCharType="end"/>
      </w:r>
    </w:p>
    <w:p>
      <w:pPr>
        <w:pStyle w:val="style19"/>
        <w:tabs>
          <w:tab w:val="right" w:leader="dot" w:pos="9019"/>
        </w:tabs>
        <w:rPr>
          <w:rFonts w:ascii="Cambria" w:cs="宋体" w:eastAsia="宋体" w:hAnsi="Cambria"/>
          <w:noProof/>
          <w:color w:val="000000"/>
          <w:lang w:val="en-IN" w:eastAsia="en-IN"/>
        </w:rPr>
      </w:pPr>
      <w:r>
        <w:rPr/>
        <w:fldChar w:fldCharType="begin"/>
      </w:r>
      <w:r>
        <w:instrText xml:space="preserve"> HYPERLINK \l "_Toc153727102" </w:instrText>
      </w:r>
      <w:r>
        <w:rPr/>
        <w:fldChar w:fldCharType="separate"/>
      </w:r>
      <w:r>
        <w:rPr>
          <w:rStyle w:val="style85"/>
          <w:noProof/>
          <w:color w:val="000000"/>
          <w:lang w:val="en-IN" w:eastAsia="en-IN"/>
        </w:rPr>
        <w:t>Appendices</w:t>
      </w:r>
      <w:r>
        <w:rPr>
          <w:noProof/>
          <w:webHidden/>
          <w:color w:val="000000"/>
        </w:rPr>
        <w:tab/>
      </w:r>
      <w:r>
        <w:rPr>
          <w:noProof/>
          <w:webHidden/>
          <w:color w:val="000000"/>
        </w:rPr>
        <w:fldChar w:fldCharType="begin"/>
      </w:r>
      <w:r>
        <w:rPr>
          <w:noProof/>
          <w:webHidden/>
          <w:color w:val="000000"/>
        </w:rPr>
        <w:instrText xml:space="preserve"> PAGEREF _Toc153727102 \h </w:instrText>
      </w:r>
      <w:r>
        <w:rPr>
          <w:noProof/>
          <w:webHidden/>
          <w:color w:val="000000"/>
        </w:rPr>
        <w:fldChar w:fldCharType="separate"/>
      </w:r>
      <w:r>
        <w:rPr>
          <w:noProof/>
          <w:webHidden/>
          <w:color w:val="000000"/>
        </w:rPr>
        <w:t>16</w:t>
      </w:r>
      <w:r>
        <w:rPr>
          <w:noProof/>
          <w:webHidden/>
          <w:color w:val="000000"/>
        </w:rPr>
        <w:fldChar w:fldCharType="end"/>
      </w:r>
      <w:r>
        <w:rPr/>
        <w:fldChar w:fldCharType="end"/>
      </w:r>
    </w:p>
    <w:p>
      <w:pPr>
        <w:pStyle w:val="style20"/>
        <w:tabs>
          <w:tab w:val="right" w:leader="dot" w:pos="9019"/>
        </w:tabs>
        <w:rPr>
          <w:rFonts w:ascii="Cambria" w:cs="宋体" w:eastAsia="宋体" w:hAnsi="Cambria"/>
          <w:noProof/>
          <w:color w:val="000000"/>
          <w:lang w:val="en-IN" w:eastAsia="en-IN"/>
        </w:rPr>
      </w:pPr>
      <w:r>
        <w:rPr/>
        <w:fldChar w:fldCharType="begin"/>
      </w:r>
      <w:r>
        <w:instrText xml:space="preserve"> HYPERLINK \l "_Toc153727103" </w:instrText>
      </w:r>
      <w:r>
        <w:rPr/>
        <w:fldChar w:fldCharType="separate"/>
      </w:r>
      <w:r>
        <w:rPr>
          <w:rStyle w:val="style85"/>
          <w:bCs/>
          <w:noProof/>
          <w:color w:val="000000"/>
          <w:lang w:val="en-IN" w:eastAsia="en-IN"/>
        </w:rPr>
        <w:t xml:space="preserve">Appendix </w:t>
      </w:r>
      <w:r>
        <w:rPr>
          <w:rStyle w:val="style85"/>
          <w:noProof/>
          <w:color w:val="000000"/>
          <w:lang w:val="en-IN" w:eastAsia="en-IN"/>
        </w:rPr>
        <w:t>1: Questionnaires</w:t>
      </w:r>
      <w:r>
        <w:rPr>
          <w:noProof/>
          <w:webHidden/>
          <w:color w:val="000000"/>
        </w:rPr>
        <w:tab/>
      </w:r>
      <w:r>
        <w:rPr>
          <w:noProof/>
          <w:webHidden/>
          <w:color w:val="000000"/>
        </w:rPr>
        <w:fldChar w:fldCharType="begin"/>
      </w:r>
      <w:r>
        <w:rPr>
          <w:noProof/>
          <w:webHidden/>
          <w:color w:val="000000"/>
        </w:rPr>
        <w:instrText xml:space="preserve"> PAGEREF _Toc153727103 \h </w:instrText>
      </w:r>
      <w:r>
        <w:rPr>
          <w:noProof/>
          <w:webHidden/>
          <w:color w:val="000000"/>
        </w:rPr>
        <w:fldChar w:fldCharType="separate"/>
      </w:r>
      <w:r>
        <w:rPr>
          <w:noProof/>
          <w:webHidden/>
          <w:color w:val="000000"/>
        </w:rPr>
        <w:t>16</w:t>
      </w:r>
      <w:r>
        <w:rPr>
          <w:noProof/>
          <w:webHidden/>
          <w:color w:val="000000"/>
        </w:rPr>
        <w:fldChar w:fldCharType="end"/>
      </w:r>
      <w:r>
        <w:rPr/>
        <w:fldChar w:fldCharType="end"/>
      </w:r>
    </w:p>
    <w:p>
      <w:pPr>
        <w:pStyle w:val="style0"/>
        <w:rPr>
          <w:color w:val="000000"/>
        </w:rPr>
      </w:pPr>
      <w:r>
        <w:rPr>
          <w:b/>
          <w:bCs/>
          <w:noProof/>
          <w:color w:val="000000"/>
        </w:rPr>
        <w:fldChar w:fldCharType="end"/>
      </w:r>
    </w:p>
    <w:p>
      <w:pPr>
        <w:pStyle w:val="style62"/>
        <w:jc w:val="both"/>
        <w:rPr>
          <w:color w:val="000000"/>
          <w:sz w:val="22"/>
          <w:szCs w:val="22"/>
        </w:rPr>
      </w:pPr>
    </w:p>
    <w:bookmarkStart w:id="1" w:name="_jpx2dt2qy5ro" w:colFirst="0" w:colLast="0"/>
    <w:bookmarkEnd w:id="1"/>
    <w:p>
      <w:pPr>
        <w:pStyle w:val="style1"/>
        <w:rPr>
          <w:color w:val="000000"/>
          <w:sz w:val="22"/>
          <w:szCs w:val="22"/>
        </w:rPr>
      </w:pPr>
      <w:r>
        <w:rPr>
          <w:color w:val="000000"/>
          <w:sz w:val="22"/>
          <w:szCs w:val="22"/>
        </w:rPr>
        <w:br w:type="page"/>
      </w:r>
    </w:p>
    <w:bookmarkStart w:id="2" w:name="_sdcdjanoc08s" w:colFirst="0" w:colLast="0"/>
    <w:bookmarkStart w:id="3" w:name="_Toc153727085"/>
    <w:bookmarkEnd w:id="2"/>
    <w:p>
      <w:pPr>
        <w:pStyle w:val="style1"/>
        <w:rPr>
          <w:color w:val="000000"/>
        </w:rPr>
      </w:pPr>
      <w:r>
        <w:rPr>
          <w:color w:val="000000"/>
        </w:rPr>
        <w:t>Introduction</w:t>
      </w:r>
      <w:bookmarkEnd w:id="3"/>
    </w:p>
    <w:p>
      <w:pPr>
        <w:pStyle w:val="style94"/>
        <w:spacing w:before="0" w:beforeAutospacing="false" w:after="0" w:afterAutospacing="false" w:lineRule="auto" w:line="360"/>
        <w:jc w:val="both"/>
        <w:rPr>
          <w:rFonts w:ascii="Arial" w:cs="Arial" w:hAnsi="Arial"/>
          <w:color w:val="000000"/>
          <w:sz w:val="22"/>
          <w:szCs w:val="22"/>
        </w:rPr>
      </w:pPr>
      <w:r>
        <w:rPr>
          <w:rFonts w:ascii="Arial" w:cs="Arial" w:hAnsi="Arial"/>
          <w:color w:val="000000"/>
          <w:sz w:val="22"/>
          <w:szCs w:val="22"/>
        </w:rPr>
        <w:t>This research explores the intricate variables impacting the professional behaviour of Public Health and Social Care (PHSC) postgraduate students at a public institution. Understanding the critical shift from academics to experts, the review efforts to distinguish the perplexing factors influencing their activities. The review perceives that openness to research, occasions, and extracurricular exercises might affect proficient development. With an emphasis on outside factors including modern connections and variety and incorporation, the review plans to give wise data to instructive practices and strategy. By utilizing a focus group conversation style, catching the variety of experiences among postgraduate PHSC students and leading an intensive examination of indistinct aspects is conceivable. The review's questions and objectives align with recognizing communication skills, ethical concerns, trust, and timeliness in proficient conduct to offer a full comprehension of these components. The review's findings need to help the academic world by directing the advancement of professional and ethical behaviour in postgraduate PHSC students.</w:t>
      </w:r>
      <w:bookmarkStart w:id="4" w:name="_l2a0js2sow6w" w:colFirst="0" w:colLast="0"/>
      <w:bookmarkEnd w:id="4"/>
      <w:r>
        <w:rPr>
          <w:rFonts w:ascii="Arial" w:cs="Arial" w:hAnsi="Arial"/>
          <w:color w:val="000000"/>
          <w:sz w:val="22"/>
          <w:szCs w:val="22"/>
        </w:rPr>
        <w:t xml:space="preserve"> </w:t>
      </w:r>
    </w:p>
    <w:bookmarkStart w:id="5" w:name="_Toc153727086"/>
    <w:p>
      <w:pPr>
        <w:pStyle w:val="style1"/>
        <w:rPr>
          <w:color w:val="000000"/>
        </w:rPr>
      </w:pPr>
      <w:r>
        <w:rPr>
          <w:color w:val="000000"/>
        </w:rPr>
        <w:t>Background of the study</w:t>
      </w:r>
      <w:bookmarkEnd w:id="5"/>
    </w:p>
    <w:p>
      <w:pPr>
        <w:pStyle w:val="style0"/>
        <w:rPr>
          <w:color w:val="000000"/>
        </w:rPr>
      </w:pPr>
      <w:r>
        <w:rPr>
          <w:color w:val="000000"/>
        </w:rPr>
        <w:t>Inside the system of a public university, the review intends to investigate the perplexing elements impacting the behaviour of professionals of postgraduate students concentrating on general public health and social care (PHSC). The inspiration for this exploration comes from the acknowledgement that students' development is extraordinarily influenced by the shift from scholarly to proficient conditions, and it is critical to understand the factors influencing their way of behaving during this time. The instructive setting affects how students foster their expert personalities. Impressive skill is incredibly upgraded by relational collaborations with companions and employees that are constrained by the college's set of rules (Sanchez, 2022). The review recognizes the conceivable impact of occasions, extracurricular exercises, and exploration openness on postgraduate PHSC students' general proficiency development. The analysis perceives what inclusivity and diversity mean for how students interface. It looks to explore what a proficient way of behaving is meant by the college's adherence to these qualities. The review recognizes how outside impacts, like modern coordinated efforts and internships, shape postgraduate students' viewpoints on the functioning scene.</w:t>
      </w:r>
    </w:p>
    <w:bookmarkStart w:id="6" w:name="_Toc153727087"/>
    <w:p>
      <w:pPr>
        <w:pStyle w:val="style0"/>
        <w:rPr>
          <w:color w:val="000000"/>
        </w:rPr>
      </w:pPr>
      <w:r>
        <w:rPr>
          <w:color w:val="000000"/>
        </w:rPr>
        <w:t xml:space="preserve">Focus group conversations are utilized in the review's procedure to get a careful comprehension. This subjective technique catches the variety of encounters and perspectives among postgraduate PHSC students in a state-funded college setting and empowers a top-to-bottom examination of the unpretentious viewpoints influencing the proficient way of behaving (Sanchez, 2022). The target of this study is to give critical commitments to the field of the academic community by giving significant bits of knowledge that will impact instructive </w:t>
      </w:r>
      <w:r>
        <w:rPr>
          <w:color w:val="000000"/>
        </w:rPr>
        <w:t>strategies and approaches that help postgraduate students in the PHSC discipline and foster moral and expert ways of behaving.</w:t>
      </w:r>
      <w:bookmarkEnd w:id="6"/>
    </w:p>
    <w:p>
      <w:pPr>
        <w:pStyle w:val="style0"/>
        <w:rPr>
          <w:color w:val="000000"/>
        </w:rPr>
      </w:pPr>
    </w:p>
    <w:bookmarkStart w:id="7" w:name="_lt2lyff5mywm" w:colFirst="0" w:colLast="0"/>
    <w:bookmarkStart w:id="8" w:name="_Toc153727088"/>
    <w:bookmarkEnd w:id="7"/>
    <w:p>
      <w:pPr>
        <w:pStyle w:val="style2"/>
        <w:rPr>
          <w:color w:val="000000"/>
        </w:rPr>
      </w:pPr>
      <w:r>
        <w:rPr>
          <w:color w:val="000000"/>
        </w:rPr>
        <w:t>Research aim</w:t>
      </w:r>
      <w:bookmarkEnd w:id="8"/>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Through a centre gathering conversation, this examination points tries to completely explore and understand the complicated variables impacting the expert way of behaving of postgraduate Public Health and Social Care (PHSC) students in a state-funded college setting. It desires to give rational data that will work on instructive practices and arrangements in the domain. The review expects to give significant experiences on the importance of creating and keeping up with elevated requirements of professionals' ways of behaving using a careful investigation. Eventually, the goal is to advocate to improve every professional's work rehearses and develop an ethically satisfactory working environment, which influences the standing and trust of numerous professional fields.</w:t>
      </w:r>
    </w:p>
    <w:bookmarkStart w:id="9" w:name="_cvt3pxwn972g" w:colFirst="0" w:colLast="0"/>
    <w:bookmarkStart w:id="10" w:name="_Toc153727089"/>
    <w:bookmarkEnd w:id="9"/>
    <w:p>
      <w:pPr>
        <w:pStyle w:val="style2"/>
        <w:rPr>
          <w:color w:val="000000"/>
        </w:rPr>
      </w:pPr>
      <w:r>
        <w:rPr>
          <w:color w:val="000000"/>
        </w:rPr>
        <w:t>Research objectives</w:t>
      </w:r>
      <w:bookmarkEnd w:id="10"/>
    </w:p>
    <w:p>
      <w:pPr>
        <w:pStyle w:val="style0"/>
        <w:numPr>
          <w:ilvl w:val="0"/>
          <w:numId w:val="1"/>
        </w:numPr>
        <w:rPr>
          <w:color w:val="000000"/>
        </w:rPr>
      </w:pPr>
      <w:r>
        <w:rPr>
          <w:color w:val="000000"/>
        </w:rPr>
        <w:t>To assess how professional behaviour is affected by ethical issues.</w:t>
      </w:r>
    </w:p>
    <w:p>
      <w:pPr>
        <w:pStyle w:val="style0"/>
        <w:numPr>
          <w:ilvl w:val="0"/>
          <w:numId w:val="1"/>
        </w:numPr>
        <w:rPr>
          <w:color w:val="000000"/>
        </w:rPr>
      </w:pPr>
      <w:r>
        <w:rPr>
          <w:color w:val="000000"/>
        </w:rPr>
        <w:t>To evaluate the influence of proficient communication abilities on the development of business relationships.</w:t>
      </w:r>
    </w:p>
    <w:p>
      <w:pPr>
        <w:pStyle w:val="style0"/>
        <w:numPr>
          <w:ilvl w:val="0"/>
          <w:numId w:val="1"/>
        </w:numPr>
        <w:rPr>
          <w:color w:val="000000"/>
        </w:rPr>
      </w:pPr>
      <w:r>
        <w:rPr>
          <w:color w:val="000000"/>
        </w:rPr>
        <w:t>To look at the effects of timeliness on personal dependability and the dynamics of the workplace.</w:t>
      </w:r>
    </w:p>
    <w:p>
      <w:pPr>
        <w:pStyle w:val="style0"/>
        <w:numPr>
          <w:ilvl w:val="0"/>
          <w:numId w:val="1"/>
        </w:numPr>
        <w:rPr>
          <w:color w:val="000000"/>
        </w:rPr>
      </w:pPr>
      <w:r>
        <w:rPr>
          <w:color w:val="000000"/>
        </w:rPr>
        <w:t>To evaluate developing trust in professional interactions is correlated with honesty.</w:t>
      </w:r>
    </w:p>
    <w:bookmarkStart w:id="11" w:name="_nme4dg9b4gr5" w:colFirst="0" w:colLast="0"/>
    <w:bookmarkStart w:id="12" w:name="_Toc153727090"/>
    <w:bookmarkEnd w:id="11"/>
    <w:p>
      <w:pPr>
        <w:pStyle w:val="style2"/>
        <w:rPr>
          <w:color w:val="000000"/>
        </w:rPr>
      </w:pPr>
      <w:r>
        <w:rPr>
          <w:color w:val="000000"/>
        </w:rPr>
        <w:t>Research questions</w:t>
      </w:r>
      <w:bookmarkEnd w:id="12"/>
    </w:p>
    <w:p>
      <w:pPr>
        <w:pStyle w:val="style0"/>
        <w:rPr>
          <w:color w:val="000000"/>
        </w:rPr>
      </w:pPr>
      <w:r>
        <w:rPr>
          <w:b/>
          <w:color w:val="000000"/>
        </w:rPr>
        <w:t>RQ1</w:t>
      </w:r>
      <w:r>
        <w:rPr>
          <w:color w:val="000000"/>
        </w:rPr>
        <w:t xml:space="preserve"> In what ways do ethical concerns affect professional conduct in various sectors and occupations?</w:t>
      </w:r>
    </w:p>
    <w:p>
      <w:pPr>
        <w:pStyle w:val="style0"/>
        <w:rPr>
          <w:color w:val="000000"/>
        </w:rPr>
      </w:pPr>
      <w:r>
        <w:rPr>
          <w:b/>
          <w:color w:val="000000"/>
        </w:rPr>
        <w:t>RQ2</w:t>
      </w:r>
      <w:r>
        <w:rPr>
          <w:color w:val="000000"/>
        </w:rPr>
        <w:t xml:space="preserve"> How can the establishment and maintenance of successful business connections benefit from excellent communication skills?</w:t>
      </w:r>
    </w:p>
    <w:p>
      <w:pPr>
        <w:pStyle w:val="style0"/>
        <w:rPr>
          <w:color w:val="000000"/>
        </w:rPr>
      </w:pPr>
      <w:r>
        <w:rPr>
          <w:b/>
          <w:color w:val="000000"/>
        </w:rPr>
        <w:t>RQ3</w:t>
      </w:r>
      <w:r>
        <w:rPr>
          <w:color w:val="000000"/>
        </w:rPr>
        <w:t xml:space="preserve"> How does punctuality affect one's capacity to rely on oneself and how does it affect the dynamics at work?</w:t>
      </w:r>
    </w:p>
    <w:p>
      <w:pPr>
        <w:pStyle w:val="style0"/>
        <w:rPr>
          <w:color w:val="000000"/>
        </w:rPr>
      </w:pPr>
      <w:r>
        <w:rPr>
          <w:b/>
          <w:color w:val="000000"/>
        </w:rPr>
        <w:t>RQ4</w:t>
      </w:r>
      <w:r>
        <w:rPr>
          <w:color w:val="000000"/>
        </w:rPr>
        <w:t xml:space="preserve"> Is there a connection between professional relationships and the growth of trust?</w:t>
      </w:r>
    </w:p>
    <w:bookmarkStart w:id="13" w:name="_bma2v7vlh7og" w:colFirst="0" w:colLast="0"/>
    <w:bookmarkStart w:id="14" w:name="_Toc153727091"/>
    <w:bookmarkEnd w:id="13"/>
    <w:p>
      <w:pPr>
        <w:pStyle w:val="style1"/>
        <w:rPr>
          <w:color w:val="000000"/>
        </w:rPr>
      </w:pPr>
      <w:r>
        <w:rPr>
          <w:color w:val="000000"/>
        </w:rPr>
        <w:t>Research rationale</w:t>
      </w:r>
      <w:bookmarkEnd w:id="14"/>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Postgraduate PHSC students' professional behaviour significantly affects individuals, gatherings, and society all in all, and it fills in as the foundation of a steady learning climate. This conduct incorporates fundamental parts including regard, genuineness, practicality, and proficient communication. These attributes are significant in deciding the overall achievement and remaining of PHSC subject matter experts (Obroh, 2020). Trust is fundamental for helpful </w:t>
      </w:r>
      <w:r>
        <w:rPr>
          <w:rFonts w:ascii="Arial" w:cs="Arial" w:hAnsi="Arial"/>
          <w:color w:val="000000"/>
          <w:sz w:val="22"/>
          <w:szCs w:val="22"/>
        </w:rPr>
        <w:t>efforts in a general public where moral issues are fundamental. Examining moral difficulties in this setting tries to uncover the intricacies of dynamic methodology and components that lead to careless or morally estimable activities. In the present globalized society, successful communication is fundamental for the reasonable exchange of muddled data, similarity, and information on elective perspectives. </w:t>
      </w:r>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Even though it's regularly dismissed, idealness is significant since it shows dependability and care for others' time. The objective of exploring how work environment elements and individual devotion are impacted by idealness is to make work settings that focus on effectiveness, results, and communication. Respectability is analyzed as far as concerns it's in persevering through associations and a solid expert standing (Obroh, 2020). Uprightness and the foundation of trust are unequivocally related. The exploration investigates the comprehension and worth of variety, which is fundamental for making comprehensive societies in various postgraduate settings and gives direction to further developing creativity, teamwork, and by and large organizational achievement.</w:t>
      </w:r>
    </w:p>
    <w:bookmarkStart w:id="15" w:name="_3sz3te3biuj" w:colFirst="0" w:colLast="0"/>
    <w:bookmarkStart w:id="16" w:name="_Toc153727092"/>
    <w:bookmarkEnd w:id="15"/>
    <w:p>
      <w:pPr>
        <w:pStyle w:val="style1"/>
        <w:rPr>
          <w:color w:val="000000"/>
        </w:rPr>
      </w:pPr>
      <w:r>
        <w:rPr>
          <w:color w:val="000000"/>
        </w:rPr>
        <w:t>Research Methodology</w:t>
      </w:r>
      <w:bookmarkEnd w:id="16"/>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This study utilizes a mono-technique research approach, focusing just on subjective examination to investigate the intricacies of a professional's ways of behaving. The primary procedure of information gathering utilized in this study is to bottom meeting. This technique considers the examination of confounded subjects relating to moral worries, correspondence capacities, practicality, trustworthiness, and regard in a professional setting. It likewise gives profound, nuanced information on members' perspectives. The review's example was to incorporate people with shifting proficient foundations to give a wide portrayal of encounters and points of view (Martin et al., 2020). There were </w:t>
      </w:r>
      <w:r>
        <w:rPr>
          <w:rFonts w:ascii="Arial" w:cs="Arial" w:hAnsi="Arial"/>
          <w:color w:val="000000"/>
          <w:sz w:val="22"/>
          <w:szCs w:val="22"/>
        </w:rPr>
        <w:t>6</w:t>
      </w:r>
      <w:r>
        <w:rPr>
          <w:rFonts w:ascii="Arial" w:cs="Arial" w:hAnsi="Arial"/>
          <w:color w:val="000000"/>
          <w:sz w:val="22"/>
          <w:szCs w:val="22"/>
        </w:rPr>
        <w:t xml:space="preserve"> applicants picked, and each interview was somewhere in the range of sixty and an hour and a half. This example size is believed to be sufficient to arrive at information immersion, ensuring a careful examination of the subjects and examples related to a proficient approach. The meetings were semi-organized, allowing members to voice their perspectives inside a foreordained structure for banter. The reason for the genuine inquiries is to create broad answers with the goal that the factors affecting the proficient way of behaving might be completely inspected.The gathered subjective data was revealed to a thematic examination to pinpoint dreary subjects, plans, and differing viewpoints inside the dataset. The review methodology and ethical issues are crucial (Leif et al., 2020). Every part mentioned their informed assent, guaranteeing their purposeful incorporation and security. </w:t>
      </w:r>
    </w:p>
    <w:p>
      <w:pPr>
        <w:pStyle w:val="style0"/>
        <w:jc w:val="center"/>
        <w:rPr>
          <w:color w:val="000000"/>
        </w:rPr>
      </w:pPr>
      <w:r>
        <w:rPr>
          <w:noProof/>
          <w:color w:val="000000"/>
          <w:lang w:val="en-US" w:eastAsia="en-US"/>
        </w:rPr>
        <w:drawing>
          <wp:inline distL="0" distT="0" distB="0" distR="0">
            <wp:extent cx="5486400" cy="3200400"/>
            <wp:effectExtent l="0" t="12700" r="0" b="0"/>
            <wp:docPr id="1027" name="Diagram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pPr>
        <w:pStyle w:val="style0"/>
        <w:jc w:val="center"/>
        <w:rPr>
          <w:b/>
          <w:color w:val="000000"/>
        </w:rPr>
      </w:pPr>
      <w:r>
        <w:rPr>
          <w:b/>
          <w:color w:val="000000"/>
        </w:rPr>
        <w:t>Figure 1: Professional behaviour facts</w:t>
      </w:r>
    </w:p>
    <w:p>
      <w:pPr>
        <w:pStyle w:val="style0"/>
        <w:jc w:val="center"/>
        <w:rPr>
          <w:color w:val="000000"/>
        </w:rPr>
      </w:pPr>
      <w:r>
        <w:rPr>
          <w:color w:val="000000"/>
        </w:rPr>
        <w:t>(Source: self-created in MS word)</w:t>
      </w:r>
    </w:p>
    <w:bookmarkStart w:id="17" w:name="_quqwdfczcwnp" w:colFirst="0" w:colLast="0"/>
    <w:bookmarkStart w:id="18" w:name="_Toc153727093"/>
    <w:bookmarkEnd w:id="17"/>
    <w:p>
      <w:pPr>
        <w:pStyle w:val="style1"/>
        <w:rPr>
          <w:color w:val="000000"/>
        </w:rPr>
      </w:pPr>
      <w:r>
        <w:rPr>
          <w:color w:val="000000"/>
        </w:rPr>
        <w:t>Research design</w:t>
      </w:r>
      <w:bookmarkEnd w:id="18"/>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This study uses a descriptive exploratory approach to give a thorough inside and out evaluation of experts' leads inside a particular setting. The review rotates around different pieces of the expert way of behaving, including communication skills, ethics, timeliness, integrity, and respect.The chosen approach includes a cautious perception of the continuous status of the expert directly through compelling wisdom and documentation, without introducing changes or mediations in the standard setting (Zaikauskaite et al., 2020). Data was gathered through a mix of interviews, and perceptions, guaranteeing a total depiction of individuals' experiences and behaviours. The survey means to consolidate a tremendous and contrasted trial of </w:t>
      </w:r>
      <w:r>
        <w:rPr>
          <w:rFonts w:ascii="Arial" w:cs="Arial" w:hAnsi="Arial"/>
          <w:color w:val="000000"/>
          <w:sz w:val="22"/>
          <w:szCs w:val="22"/>
        </w:rPr>
        <w:t>6</w:t>
      </w:r>
      <w:r>
        <w:rPr>
          <w:rFonts w:ascii="Arial" w:cs="Arial" w:hAnsi="Arial"/>
          <w:color w:val="000000"/>
          <w:sz w:val="22"/>
          <w:szCs w:val="22"/>
        </w:rPr>
        <w:t xml:space="preserve"> individuals to catch a large number of perspectives, adding to the richness and depth of the analysis. </w:t>
      </w:r>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The research design incorporates both quantitative and qualitative data to give a nuanced impression of the factors influencing the proficient way of behaving. This mixed strategy approach works with the evaluation of models and relationships in the information. The accentuation on reasonable assessment considers encounters that can inspire systems for managing a guaranteed technique (Alcock et al., 2020). By focusing on the specific setting without advancing variables, the survey means pushing data on the parts of professional behaviour. The findings should organize future drives or mediations shown toward the extra ability to foster across various master spaces. The interview section will include </w:t>
      </w:r>
      <w:r>
        <w:rPr>
          <w:rFonts w:ascii="Arial" w:cs="Arial" w:hAnsi="Arial"/>
          <w:color w:val="000000"/>
          <w:sz w:val="22"/>
          <w:szCs w:val="22"/>
        </w:rPr>
        <w:t>6</w:t>
      </w:r>
      <w:r>
        <w:rPr>
          <w:rFonts w:ascii="Arial" w:cs="Arial" w:hAnsi="Arial"/>
          <w:color w:val="000000"/>
          <w:sz w:val="22"/>
          <w:szCs w:val="22"/>
        </w:rPr>
        <w:t xml:space="preserve"> members, </w:t>
      </w:r>
      <w:r>
        <w:rPr>
          <w:rFonts w:ascii="Arial" w:cs="Arial" w:hAnsi="Arial"/>
          <w:color w:val="000000"/>
          <w:sz w:val="22"/>
          <w:szCs w:val="22"/>
        </w:rPr>
        <w:t>providing a concentrated qualitative data collection process to complete the quantitative characteristics of the study. </w:t>
      </w:r>
      <w:bookmarkStart w:id="19" w:name="_5canih7a7ji" w:colFirst="0" w:colLast="0"/>
      <w:bookmarkEnd w:id="19"/>
    </w:p>
    <w:p>
      <w:pPr>
        <w:pStyle w:val="style1"/>
        <w:rPr>
          <w:color w:val="000000"/>
        </w:rPr>
      </w:pPr>
      <w:r>
        <w:rPr>
          <w:color w:val="000000"/>
        </w:rPr>
        <w:t xml:space="preserve"> </w:t>
      </w:r>
      <w:bookmarkStart w:id="20" w:name="_Toc153727094"/>
      <w:r>
        <w:rPr>
          <w:color w:val="000000"/>
        </w:rPr>
        <w:t>Study participants</w:t>
      </w:r>
      <w:bookmarkEnd w:id="20"/>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6 </w:t>
      </w:r>
      <w:r>
        <w:rPr>
          <w:rFonts w:ascii="Arial" w:cs="Arial" w:hAnsi="Arial"/>
          <w:color w:val="000000"/>
          <w:sz w:val="22"/>
          <w:szCs w:val="22"/>
        </w:rPr>
        <w:t>participants individual with an extent of expert foundations were considered for this examination of experienced directors to concentrate on their perspectives and gatherings. Many areas, occupations, and status levels were thought about while choosing the partners, which helped with giving thorough information on experienced behaviour in different cases. (Sockhill et al., 2022). A semi-organized approach was utilized for the meetings, considering questions that could go either way to empower members to offer their viewpoints uninhibitedly. Questions like honesty, regard, practicality, relational abilities, and moral contemplations in the work environment were tended to. The members were asked to ponder their own experiences, impediments experienced, and strategies utilized in maintaining raised benchmarks of word-related direct. </w:t>
      </w:r>
    </w:p>
    <w:p>
      <w:pPr>
        <w:pStyle w:val="style94"/>
        <w:spacing w:before="240" w:beforeAutospacing="false" w:after="240" w:afterAutospacing="false" w:lineRule="auto" w:line="360"/>
        <w:jc w:val="both"/>
        <w:rPr>
          <w:rFonts w:ascii="Arial" w:cs="Arial" w:hAnsi="Arial"/>
          <w:color w:val="000000"/>
          <w:sz w:val="22"/>
          <w:szCs w:val="22"/>
        </w:rPr>
      </w:pPr>
    </w:p>
    <w:p>
      <w:pPr>
        <w:pStyle w:val="style0"/>
        <w:jc w:val="center"/>
        <w:rPr>
          <w:color w:val="000000"/>
        </w:rPr>
      </w:pPr>
      <w:r>
        <w:rPr>
          <w:noProof/>
          <w:color w:val="000000"/>
          <w:lang w:val="en-US" w:eastAsia="en-US"/>
        </w:rPr>
        <w:drawing>
          <wp:inline distL="0" distT="0" distB="0" distR="0">
            <wp:extent cx="4991100" cy="4619625"/>
            <wp:effectExtent l="12700" t="0" r="0" b="0"/>
            <wp:docPr id="1028" name="Diagram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pPr>
        <w:pStyle w:val="style0"/>
        <w:jc w:val="center"/>
        <w:rPr>
          <w:b/>
          <w:color w:val="000000"/>
        </w:rPr>
      </w:pPr>
      <w:r>
        <w:rPr>
          <w:b/>
          <w:color w:val="000000"/>
        </w:rPr>
        <w:t>Figure 2: 9 professional behaviours</w:t>
      </w:r>
    </w:p>
    <w:p>
      <w:pPr>
        <w:pStyle w:val="style0"/>
        <w:jc w:val="center"/>
        <w:rPr>
          <w:color w:val="000000"/>
        </w:rPr>
      </w:pPr>
      <w:r>
        <w:rPr>
          <w:color w:val="000000"/>
        </w:rPr>
        <w:t>(Source: self-created in MS Word)</w:t>
      </w:r>
    </w:p>
    <w:bookmarkStart w:id="21" w:name="_z8tp40ptfbf5" w:colFirst="0" w:colLast="0"/>
    <w:bookmarkStart w:id="22" w:name="_Toc153727095"/>
    <w:bookmarkEnd w:id="21"/>
    <w:p>
      <w:pPr>
        <w:pStyle w:val="style1"/>
        <w:rPr>
          <w:color w:val="000000"/>
        </w:rPr>
      </w:pPr>
      <w:r>
        <w:rPr>
          <w:color w:val="000000"/>
        </w:rPr>
        <w:t>Data collection methods</w:t>
      </w:r>
      <w:bookmarkEnd w:id="22"/>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Interviews with </w:t>
      </w:r>
      <w:r>
        <w:rPr>
          <w:rFonts w:ascii="Arial" w:cs="Arial" w:hAnsi="Arial"/>
          <w:color w:val="000000"/>
          <w:sz w:val="22"/>
          <w:szCs w:val="22"/>
        </w:rPr>
        <w:t>6</w:t>
      </w:r>
      <w:r>
        <w:rPr>
          <w:rFonts w:ascii="Arial" w:cs="Arial" w:hAnsi="Arial"/>
          <w:color w:val="000000"/>
          <w:sz w:val="22"/>
          <w:szCs w:val="22"/>
        </w:rPr>
        <w:t xml:space="preserve"> members were directed as a component of the review's data-gathering procedure during a proper class. Individuals from different professional foundations in a class design guaranteed many perspectives regarding the matter of a professional's behaviour. The fundamental points that moulded the meetings were regarded in the work environment, relational abilities, morals, idealness, and trustworthiness (Naik et al., 2021). The inquiries were intentionally built empowering members to talk about their encounters, obstructions, and collaboration approach while maintaining the best expectations of the professional's way of behaving. The meetings' semi-organized design considered adaptability, permitting members to offer their viewpoints openly and assuring that a great many experiences were remembered for the information. During the meetings, the members examined the scope of subjects, remembering the impact of idealness on their work encounters, moral direction, and communication (Abbott and Meerabeau, 2020). A thematic examination of the data assembled from these meetings uncovered repetitive subjects, examples, and changes in the members' responses. Looking at the nuances and complexities of professionals directly, this subjective technique tries to give a more significant cognizance of the factors impacting conduct in different professional settings. This exploration intends to add to the corpus of data on proficient ways of behaving by involving the workshop climate for data collection through interviews.</w:t>
      </w:r>
    </w:p>
    <w:bookmarkStart w:id="23" w:name="_gd7fk8e38inz" w:colFirst="0" w:colLast="0"/>
    <w:bookmarkStart w:id="24" w:name="_Toc153727096"/>
    <w:bookmarkEnd w:id="23"/>
    <w:p>
      <w:pPr>
        <w:pStyle w:val="style1"/>
        <w:rPr>
          <w:color w:val="000000"/>
        </w:rPr>
      </w:pPr>
      <w:r>
        <w:rPr>
          <w:color w:val="000000"/>
        </w:rPr>
        <w:t>Data analysis techniques</w:t>
      </w:r>
      <w:bookmarkEnd w:id="24"/>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The current review uses a subjective methodology, to be a specific theme analysis, to inspect individuals' professional behaviour. A conscious strategy for finding, dissecting, and consolidating designs (themes) in qualitative data uncovering complex and significant ideas taken from member interviews is thematic examination (Onwubiko and Okeke, 2023). The initial step is getting to know the data, examining the interviews, and giving the substance full concentration. The data is then purposefully coded to separate relevant units following the objectives of the review. Both inductive and deductive coding follow laid-out classes including trustworthiness, regard, dependability, moral worries, and correspondence capacities while additionally uncovering surprising topics. From that point forward, codes are organized into intensive examples that, utilizing iterative surveys and improvement, catch significant themes and assurance concurrence with members' viewpoints. The examination takes a gander at the associations between the subjects and how significant they are for giving proficient prompts. </w:t>
      </w:r>
      <w:r>
        <w:rPr>
          <w:rFonts w:ascii="Arial" w:cs="Arial" w:hAnsi="Arial"/>
          <w:color w:val="000000"/>
          <w:sz w:val="22"/>
          <w:szCs w:val="22"/>
        </w:rPr>
        <w:t>For an intensive getting it, many perspectives and special cases are examined, and test statements work on the legitimacy and reliability of the discoveries. The thematic analysis offers a nuanced investigation of expert ways of behaving, cultivating a more profound cognizance and giving keen data to individuals and associations expecting to accomplish elevated degrees of skill in numerous professional circumstances.</w:t>
      </w:r>
    </w:p>
    <w:bookmarkStart w:id="25" w:name="_i6jnsaf5kkf2" w:colFirst="0" w:colLast="0"/>
    <w:bookmarkStart w:id="26" w:name="_Toc153727097"/>
    <w:bookmarkEnd w:id="25"/>
    <w:p>
      <w:pPr>
        <w:pStyle w:val="style1"/>
        <w:rPr>
          <w:color w:val="000000"/>
        </w:rPr>
      </w:pPr>
      <w:r>
        <w:rPr>
          <w:color w:val="000000"/>
        </w:rPr>
        <w:t>Ethical considerations</w:t>
      </w:r>
      <w:bookmarkEnd w:id="26"/>
    </w:p>
    <w:p>
      <w:pPr>
        <w:pStyle w:val="style0"/>
        <w:rPr>
          <w:color w:val="000000"/>
        </w:rPr>
      </w:pPr>
      <w:r>
        <w:rPr>
          <w:b/>
          <w:color w:val="000000"/>
        </w:rPr>
        <w:t>1. Informed Consent:</w:t>
      </w:r>
      <w:r>
        <w:rPr>
          <w:color w:val="000000"/>
        </w:rPr>
        <w:t xml:space="preserve"> Members got extensive data on the objectives, strategies, and potential aftereffects of the exploration before starting the review. They openly agreed to partake and got the opportunity to clarify some pressing issues </w:t>
      </w:r>
      <w:r>
        <w:rPr>
          <w:color w:val="000000"/>
          <w:highlight w:val="white"/>
        </w:rPr>
        <w:t>(Schnelli et al., 2021)</w:t>
      </w:r>
      <w:r>
        <w:rPr>
          <w:color w:val="000000"/>
        </w:rPr>
        <w:t>.</w:t>
      </w:r>
    </w:p>
    <w:p>
      <w:pPr>
        <w:pStyle w:val="style0"/>
        <w:rPr>
          <w:color w:val="000000"/>
        </w:rPr>
      </w:pPr>
      <w:r>
        <w:rPr>
          <w:b/>
          <w:color w:val="000000"/>
        </w:rPr>
        <w:t>2. Confidentiality:</w:t>
      </w:r>
      <w:r>
        <w:rPr>
          <w:color w:val="000000"/>
        </w:rPr>
        <w:t xml:space="preserve"> The answers and personalities of members are taken care of in the strictest certainty. During information handling and announcing, all recognizable data will be made unknown. The reason for secrecy measures is to safeguard members from any adverse consequences emerging from their professional encounters and perspectives.</w:t>
      </w:r>
    </w:p>
    <w:p>
      <w:pPr>
        <w:pStyle w:val="style0"/>
        <w:rPr>
          <w:color w:val="000000"/>
        </w:rPr>
      </w:pPr>
      <w:r>
        <w:rPr>
          <w:b/>
          <w:color w:val="000000"/>
        </w:rPr>
        <w:t>3. Voluntary Participation:</w:t>
      </w:r>
      <w:r>
        <w:rPr>
          <w:color w:val="000000"/>
        </w:rPr>
        <w:t xml:space="preserve"> Members were allowed to leave the exploration whenever without bringing about any punishments since support was deliberate. The absence of any sort of power or strain to draw in was stressed.</w:t>
      </w:r>
    </w:p>
    <w:p>
      <w:pPr>
        <w:pStyle w:val="style0"/>
        <w:rPr>
          <w:color w:val="000000"/>
        </w:rPr>
      </w:pPr>
      <w:r>
        <w:rPr>
          <w:b/>
          <w:color w:val="000000"/>
        </w:rPr>
        <w:t>4. Debriefing:</w:t>
      </w:r>
      <w:r>
        <w:rPr>
          <w:color w:val="000000"/>
        </w:rPr>
        <w:t xml:space="preserve"> The aftereffects of the exploration and the planned utilization of the commitments made by the members were cleared up for them. This ensures receptiveness and answers any unanswered forms of feedback that members might have after their cooperation.</w:t>
      </w:r>
    </w:p>
    <w:p>
      <w:pPr>
        <w:pStyle w:val="style0"/>
        <w:rPr>
          <w:color w:val="000000"/>
        </w:rPr>
      </w:pPr>
      <w:r>
        <w:rPr>
          <w:b/>
          <w:color w:val="000000"/>
        </w:rPr>
        <w:t>5</w:t>
      </w:r>
      <w:r>
        <w:rPr>
          <w:b/>
          <w:color w:val="000000"/>
        </w:rPr>
        <w:t>. Researcher Reflexivity:</w:t>
      </w:r>
      <w:r>
        <w:rPr>
          <w:color w:val="000000"/>
        </w:rPr>
        <w:t xml:space="preserve"> The scientist endeavours to limit any undesirable impact on the review while recognizing their inclinations and perspectives. Ensuring an unprejudiced and adjusted evaluation of current realities, reflexivity is kept up with.</w:t>
      </w:r>
    </w:p>
    <w:p>
      <w:pPr>
        <w:pStyle w:val="style0"/>
        <w:rPr>
          <w:color w:val="000000"/>
        </w:rPr>
      </w:pPr>
      <w:r>
        <w:rPr>
          <w:b/>
          <w:color w:val="000000"/>
        </w:rPr>
        <w:t>6</w:t>
      </w:r>
      <w:r>
        <w:rPr>
          <w:b/>
          <w:color w:val="000000"/>
        </w:rPr>
        <w:t xml:space="preserve">. Approval from Ethics Committee: </w:t>
      </w:r>
      <w:r>
        <w:rPr>
          <w:color w:val="000000"/>
        </w:rPr>
        <w:t>The fitting morals panel inspected and supported the exploration plan and moral worries, ensuring that the review consents to acknowledged moral standards and rules.</w:t>
      </w:r>
    </w:p>
    <w:bookmarkStart w:id="27" w:name="_Toc153727098"/>
    <w:p>
      <w:pPr>
        <w:pStyle w:val="style1"/>
        <w:rPr>
          <w:color w:val="000000"/>
        </w:rPr>
      </w:pPr>
      <w:r>
        <w:rPr>
          <w:color w:val="000000"/>
        </w:rPr>
        <w:t>Results</w:t>
      </w:r>
      <w:bookmarkEnd w:id="27"/>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 xml:space="preserve">The results of the research questionnaires give significant experiences into the elements impacting the professional behaviour of postgraduate Public Health and Social Care (PHSC) students in a public university setting. Respondents showed different opinions, with 20% demonstrating no influence, 22% slight influence, 26% moderate influence, and a huge 32% crediting significant effect. The effect of relational connections fluctuated, with 22% stating negligible impact, 25% minor effect, 24% moderate effect, and a huge 29% recognizing a critical impact (Guin, 2023). A huge 36% tracked down the college's set of conduct highly </w:t>
      </w:r>
      <w:r>
        <w:rPr>
          <w:rFonts w:ascii="Arial" w:cs="Arial" w:hAnsi="Arial"/>
          <w:color w:val="000000"/>
          <w:sz w:val="22"/>
          <w:szCs w:val="22"/>
        </w:rPr>
        <w:t>influential in significantly shaping their professional behaviour, while 26% considered it modestly compelling, and 23% marginally powerful</w:t>
      </w:r>
      <w:r>
        <w:rPr>
          <w:rFonts w:ascii="Arial" w:cs="Arial" w:hAnsi="Arial"/>
          <w:b/>
          <w:bCs/>
          <w:i/>
          <w:iCs/>
          <w:color w:val="000000"/>
          <w:sz w:val="22"/>
          <w:szCs w:val="22"/>
        </w:rPr>
        <w:t xml:space="preserve"> [Referred to Appendix 1]</w:t>
      </w:r>
      <w:r>
        <w:rPr>
          <w:rFonts w:ascii="Arial" w:cs="Arial" w:hAnsi="Arial"/>
          <w:color w:val="000000"/>
          <w:sz w:val="22"/>
          <w:szCs w:val="22"/>
        </w:rPr>
        <w:t>.</w:t>
      </w:r>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The academic curriculum's role in fostering professionalism was perceived differently, with 17% crediting a negligible job, 23% restricted job, 30% significant job, and 30% perceiving a crucial job. Extracurricular exercises displayed a critical impact, as 41% recognized a huge effect, while 24% thought of it as immaterial, 15% minor, and 20% moderate The university's commitment to variety and consideration had shifting effects, with 25% demonstrating restricted influence, 20% some effect, 25% impressive effect, and 30% broad effect (Guin, 2023). Exposure to research and practical applications had a significant effect on 33% of respondents, with 22% detailing inconsequential effects, 12% minor effects, and 33% moderate effects. Workforce direction and mentorship were considered significant, with 27% finding that it is fairly significant, and 23% vital, while 27% considered it irrelevant, and 23% significant. Concerning research strategies, 33% strongly agreed that they add to incredible skill, 19% for the most part agreed, 19% somewhat agreed, and 29% disagreed (Reid, 2022). Outside factors like industry organizations and temporary jobs altogether impacted 40%, extensively affected 29%, limited influence was demonstrated by 17%, and 14% thought that it was immaterial.</w:t>
      </w:r>
    </w:p>
    <w:bookmarkStart w:id="28" w:name="_yuih7w6og60j" w:colFirst="0" w:colLast="0"/>
    <w:bookmarkStart w:id="29" w:name="_Toc153727099"/>
    <w:bookmarkEnd w:id="28"/>
    <w:p>
      <w:pPr>
        <w:pStyle w:val="style1"/>
        <w:rPr>
          <w:color w:val="000000"/>
        </w:rPr>
      </w:pPr>
      <w:r>
        <w:rPr>
          <w:color w:val="000000"/>
        </w:rPr>
        <w:t>Discussion</w:t>
      </w:r>
      <w:bookmarkEnd w:id="29"/>
    </w:p>
    <w:p>
      <w:pPr>
        <w:pStyle w:val="style94"/>
        <w:spacing w:before="0" w:beforeAutospacing="false" w:after="0" w:afterAutospacing="false" w:lineRule="auto" w:line="360"/>
        <w:jc w:val="both"/>
        <w:rPr>
          <w:rFonts w:ascii="Arial" w:cs="Arial" w:hAnsi="Arial"/>
          <w:color w:val="000000"/>
          <w:sz w:val="22"/>
          <w:szCs w:val="22"/>
        </w:rPr>
      </w:pPr>
      <w:r>
        <w:rPr>
          <w:rFonts w:ascii="Arial" w:cs="Arial" w:hAnsi="Arial"/>
          <w:color w:val="000000"/>
          <w:sz w:val="22"/>
          <w:szCs w:val="22"/>
        </w:rPr>
        <w:t>The research results divulge a nuanced understanding of the factors shaping the (PHSC) students in a public university. The variety in reactions shows the diverse ideas of impacts on their expert lead. The significant 32% of respondents crediting critical effect on the academic climate highlights its vital job. Relational connections, noted by 29% as essentially compelling, underline the significance of a strong social setting  (Kelly, 2022). The high impact (36%) of the college's overarching set of rules mirrors its significant job in shaping ethical behaviour.</w:t>
      </w:r>
    </w:p>
    <w:p>
      <w:pPr>
        <w:pStyle w:val="style94"/>
        <w:spacing w:before="0" w:beforeAutospacing="false" w:after="0" w:afterAutospacing="false" w:lineRule="auto" w:line="360"/>
        <w:jc w:val="both"/>
        <w:rPr>
          <w:rFonts w:ascii="Arial" w:cs="Arial" w:hAnsi="Arial"/>
          <w:color w:val="000000"/>
          <w:sz w:val="22"/>
          <w:szCs w:val="22"/>
        </w:rPr>
      </w:pPr>
      <w:r>
        <w:rPr>
          <w:rFonts w:ascii="Arial" w:cs="Arial" w:hAnsi="Arial"/>
          <w:color w:val="000000"/>
          <w:sz w:val="22"/>
          <w:szCs w:val="22"/>
        </w:rPr>
        <w:t>The changing impression of the academic curriculum features its intricate job, with 30% perceiving a significant job, while 17% property an insignificant job, underlining the requirement for a reasonable and important educational plan. The striking 41% recognizing a critical effect of extracurricular exercises highlights their part in holistic professional development. The different effects of variety and consideration drives (25% limited impact, 30% extensive impact) recommend the requirement for continuous endeavours  (Kelly, 2022).  Exposure to research and viable applications, considered significantly effective by 33%, supports the meaning of involved insight.</w:t>
      </w:r>
    </w:p>
    <w:p>
      <w:pPr>
        <w:pStyle w:val="style94"/>
        <w:spacing w:before="0" w:beforeAutospacing="false" w:after="0" w:afterAutospacing="false" w:lineRule="auto" w:line="360"/>
        <w:jc w:val="both"/>
        <w:rPr>
          <w:rFonts w:ascii="Arial" w:cs="Arial" w:hAnsi="Arial"/>
          <w:color w:val="000000"/>
          <w:sz w:val="22"/>
          <w:szCs w:val="22"/>
        </w:rPr>
      </w:pPr>
      <w:r>
        <w:rPr>
          <w:rFonts w:ascii="Arial" w:cs="Arial" w:hAnsi="Arial"/>
          <w:color w:val="000000"/>
          <w:sz w:val="22"/>
          <w:szCs w:val="22"/>
        </w:rPr>
        <w:t xml:space="preserve">The uncertainty toward staff direction (27% somewhat important, 27% unimportant) recommends shifting inclinations and assumptions. Ethical research strategies got blended reactions, demonstrating a requirement for more clear correspondence. The impressive </w:t>
      </w:r>
      <w:r>
        <w:rPr>
          <w:rFonts w:ascii="Arial" w:cs="Arial" w:hAnsi="Arial"/>
          <w:color w:val="000000"/>
          <w:sz w:val="22"/>
          <w:szCs w:val="22"/>
        </w:rPr>
        <w:t>impact of outside factors (40% huge impact) underlines the job of industry partnerships in forming proficient viewpoints.</w:t>
      </w:r>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A high-level understanding of the various viewpoints influencing behaviour in distinct professional settings is shown by the conversation of the review results on the professional way of behaving. A repetitive subject was moral worries, with members underlining the meaning of taking care of troublesome moral problems in their work Areas of strength for life abilities were underscored as fundamental to laying out and keeping up with effective business organizations, focusing on the requirement for clarity and adaptability in data trade. Being on time was recognized as an outward indication of one's unwavering quality and as encouraging a sound work climate. The members' encounters exhibited a reasonable relationship between the improvement of trust and genuineness, highlighting the basic job that respectability plays in proficient cooperation (Spencer-Oatey and Wang, 2020). It was perceived that developing comprehensive work environment conditions and empowering participation and advancement relied upon regard for variety. The subject investigation showed how these parts are interrelated and exhibited the far-reaching character of a professional way of behaving. The outcomes give quick data to individuals and associations hoping to further develop impressive skills, featuring the requirement for a comprehensive methodology that considers moral worries, correspondence capacities, practicality, trustworthiness, and regard (Wilcockson, 2020). </w:t>
      </w:r>
    </w:p>
    <w:bookmarkStart w:id="30" w:name="_dlff9vhv63gk" w:colFirst="0" w:colLast="0"/>
    <w:bookmarkStart w:id="31" w:name="_Toc153727100"/>
    <w:bookmarkEnd w:id="30"/>
    <w:p>
      <w:pPr>
        <w:pStyle w:val="style1"/>
        <w:rPr>
          <w:color w:val="000000"/>
        </w:rPr>
      </w:pPr>
      <w:r>
        <w:rPr>
          <w:color w:val="000000"/>
        </w:rPr>
        <w:t>Conclusion</w:t>
      </w:r>
      <w:bookmarkEnd w:id="31"/>
    </w:p>
    <w:p>
      <w:pPr>
        <w:pStyle w:val="style94"/>
        <w:spacing w:before="240" w:beforeAutospacing="false" w:after="240" w:afterAutospacing="false" w:lineRule="auto" w:line="360"/>
        <w:jc w:val="both"/>
        <w:rPr>
          <w:rFonts w:ascii="Arial" w:cs="Arial" w:hAnsi="Arial"/>
          <w:color w:val="000000"/>
          <w:sz w:val="22"/>
          <w:szCs w:val="22"/>
        </w:rPr>
      </w:pPr>
      <w:r>
        <w:rPr>
          <w:rFonts w:ascii="Arial" w:cs="Arial" w:hAnsi="Arial"/>
          <w:color w:val="000000"/>
          <w:sz w:val="22"/>
          <w:szCs w:val="22"/>
        </w:rPr>
        <w:t>The study sheds light on the complex dynamics that impact postgraduate students studying Public Health and Social Care (PHSC) at a public organization. The variable reactions highlight the elaborateness of these results, with the academic environment, interpersonal connections, and extracurricular activities all playing important parts. The review highlights the importance of a level academic program and the amazing effect that the college's overarching set of rules has on including moral behaviour. Industries advancing variety and incorporation, exposure to research, and external factors all add to the confused background of expert development. These results support the reception of a far-reaching technique in educational methods and techniques, assigning moral behaviour and promoting professionalism in a capacity of professional contexts</w:t>
      </w:r>
    </w:p>
    <w:p>
      <w:pPr>
        <w:pStyle w:val="style0"/>
        <w:rPr>
          <w:color w:val="000000"/>
        </w:rPr>
      </w:pPr>
      <w:r>
        <w:rPr>
          <w:color w:val="000000"/>
        </w:rPr>
        <w:br w:type="page"/>
      </w:r>
    </w:p>
    <w:bookmarkStart w:id="32" w:name="_Toc153727101"/>
    <w:p>
      <w:pPr>
        <w:pStyle w:val="style1"/>
        <w:rPr>
          <w:color w:val="000000"/>
        </w:rPr>
      </w:pPr>
      <w:r>
        <w:rPr>
          <w:color w:val="000000"/>
        </w:rPr>
        <w:t>References</w:t>
      </w:r>
      <w:bookmarkEnd w:id="32"/>
    </w:p>
    <w:p>
      <w:pPr>
        <w:pStyle w:val="style0"/>
        <w:spacing w:before="240" w:after="240"/>
        <w:rPr>
          <w:color w:val="000000"/>
        </w:rPr>
      </w:pPr>
      <w:r>
        <w:rPr>
          <w:color w:val="000000"/>
          <w:highlight w:val="white"/>
        </w:rPr>
        <w:t xml:space="preserve">Abbott, P. and Meerabeau, L., 2020. Professionals, professionalization and the caring professions. In </w:t>
      </w:r>
      <w:r>
        <w:rPr>
          <w:i/>
          <w:color w:val="000000"/>
        </w:rPr>
        <w:t>The sociology of the caring professions</w:t>
      </w:r>
      <w:r>
        <w:rPr>
          <w:color w:val="000000"/>
        </w:rPr>
        <w:t xml:space="preserve"> (pp. 1-19). Routledge.</w:t>
      </w:r>
    </w:p>
    <w:p>
      <w:pPr>
        <w:pStyle w:val="style0"/>
        <w:spacing w:before="240" w:after="240"/>
        <w:rPr>
          <w:color w:val="000000"/>
        </w:rPr>
      </w:pPr>
      <w:r>
        <w:rPr>
          <w:color w:val="000000"/>
          <w:highlight w:val="white"/>
        </w:rPr>
        <w:t xml:space="preserve">Alcock, I., White, M.P., Pahl, S., Duarte-Davidson, R. and Fleming, L.E., 2020. Associations between pro-environmental behaviour and neighbourhood nature, nature visit frequency and nature appreciation: Evidence from a nationally representative survey in England. </w:t>
      </w:r>
      <w:r>
        <w:rPr>
          <w:i/>
          <w:color w:val="000000"/>
        </w:rPr>
        <w:t>Environment international</w:t>
      </w:r>
      <w:r>
        <w:rPr>
          <w:color w:val="000000"/>
        </w:rPr>
        <w:t xml:space="preserve">, </w:t>
      </w:r>
      <w:r>
        <w:rPr>
          <w:i/>
          <w:color w:val="000000"/>
        </w:rPr>
        <w:t>136</w:t>
      </w:r>
      <w:r>
        <w:rPr>
          <w:color w:val="000000"/>
        </w:rPr>
        <w:t>, p.105441.</w:t>
      </w:r>
    </w:p>
    <w:p>
      <w:pPr>
        <w:pStyle w:val="style0"/>
        <w:spacing w:before="240" w:after="240"/>
        <w:rPr>
          <w:color w:val="000000"/>
        </w:rPr>
      </w:pPr>
      <w:r>
        <w:rPr>
          <w:color w:val="000000"/>
          <w:highlight w:val="white"/>
        </w:rPr>
        <w:t xml:space="preserve">Alzubaidi, H., Slade, E.L. and Dwivedi, Y.K., 2021. Examining antecedents of consumers’ pro-environmental behaviours: TPB extended with materialism and innovativeness. </w:t>
      </w:r>
      <w:r>
        <w:rPr>
          <w:i/>
          <w:color w:val="000000"/>
        </w:rPr>
        <w:t>Journal of Business Research</w:t>
      </w:r>
      <w:r>
        <w:rPr>
          <w:color w:val="000000"/>
        </w:rPr>
        <w:t xml:space="preserve">, </w:t>
      </w:r>
      <w:r>
        <w:rPr>
          <w:i/>
          <w:color w:val="000000"/>
        </w:rPr>
        <w:t>122</w:t>
      </w:r>
      <w:r>
        <w:rPr>
          <w:color w:val="000000"/>
        </w:rPr>
        <w:t>, pp.685-699.</w:t>
      </w:r>
    </w:p>
    <w:p>
      <w:pPr>
        <w:pStyle w:val="style0"/>
        <w:spacing w:before="240" w:after="240"/>
        <w:rPr>
          <w:color w:val="000000"/>
        </w:rPr>
      </w:pPr>
      <w:r>
        <w:rPr>
          <w:color w:val="000000"/>
          <w:highlight w:val="white"/>
        </w:rPr>
        <w:t xml:space="preserve">Blythe, J.M., Gray, A. and Collins, E., 2020. Human cyber risk management by security awareness professionals: Carrots or sticks to drive behaviour change?. In </w:t>
      </w:r>
      <w:r>
        <w:rPr>
          <w:i/>
          <w:color w:val="000000"/>
        </w:rPr>
        <w:t>HCI for Cybersecurity, Privacy and Trust: Second International Conference, HCI-CPT 2020, Held as Part of the 22nd HCI International Conference, HCII 2020, Copenhagen, Denmark, July 19–24, 2020, Proceedings 22</w:t>
      </w:r>
      <w:r>
        <w:rPr>
          <w:color w:val="000000"/>
        </w:rPr>
        <w:t xml:space="preserve"> (pp. 76-91). Springer International Publishing.</w:t>
      </w:r>
    </w:p>
    <w:p>
      <w:pPr>
        <w:pStyle w:val="style0"/>
        <w:spacing w:before="240" w:after="240"/>
        <w:rPr>
          <w:color w:val="000000"/>
        </w:rPr>
      </w:pPr>
      <w:r>
        <w:rPr>
          <w:color w:val="000000"/>
          <w:highlight w:val="white"/>
        </w:rPr>
        <w:t xml:space="preserve">Forsetlund, L., O'Brien, M.A., Forsen, L., Mwai, L., Reinar, L.M., Okwen, M.P., Horsley, T. and Rose, C.J., 2021. Continuing education meetings and workshops: effects on professional practice and healthcare outcomes. </w:t>
      </w:r>
      <w:r>
        <w:rPr>
          <w:i/>
          <w:color w:val="000000"/>
        </w:rPr>
        <w:t>Cochrane database of systematic reviews</w:t>
      </w:r>
      <w:r>
        <w:rPr>
          <w:color w:val="000000"/>
        </w:rPr>
        <w:t>, (9).</w:t>
      </w:r>
    </w:p>
    <w:p>
      <w:pPr>
        <w:pStyle w:val="style0"/>
        <w:spacing w:before="240" w:after="240"/>
        <w:rPr>
          <w:color w:val="000000"/>
        </w:rPr>
      </w:pPr>
      <w:r>
        <w:rPr>
          <w:color w:val="000000"/>
          <w:highlight w:val="white"/>
        </w:rPr>
        <w:t xml:space="preserve">Georgescu, M.A. and Herman, E., 2020. Are young people ready to have a pro-environmental sustainable behaviour as tourists? An investigation of towel reuse intention. </w:t>
      </w:r>
      <w:r>
        <w:rPr>
          <w:i/>
          <w:color w:val="000000"/>
        </w:rPr>
        <w:t>Sustainability</w:t>
      </w:r>
      <w:r>
        <w:rPr>
          <w:color w:val="000000"/>
        </w:rPr>
        <w:t xml:space="preserve">, </w:t>
      </w:r>
      <w:r>
        <w:rPr>
          <w:i/>
          <w:color w:val="000000"/>
        </w:rPr>
        <w:t>12</w:t>
      </w:r>
      <w:r>
        <w:rPr>
          <w:color w:val="000000"/>
        </w:rPr>
        <w:t>(22), p.9469.</w:t>
      </w:r>
    </w:p>
    <w:p>
      <w:pPr>
        <w:pStyle w:val="style0"/>
        <w:spacing w:before="240" w:after="240"/>
        <w:rPr>
          <w:rFonts w:eastAsia="Times New Roman"/>
          <w:color w:val="000000"/>
          <w:lang w:val="en-IN" w:eastAsia="en-IN"/>
        </w:rPr>
      </w:pPr>
      <w:r>
        <w:rPr>
          <w:rFonts w:eastAsia="Times New Roman"/>
          <w:color w:val="000000"/>
          <w:shd w:val="clear" w:color="auto" w:fill="ffffff"/>
          <w:lang w:val="en-IN" w:eastAsia="en-IN"/>
        </w:rPr>
        <w:t>Guin, A.J., 2023. Exploring Lived Experiences of Suicide Surviving Spouses: An Interpretive Phenomenological Qualitative Study.</w:t>
      </w:r>
    </w:p>
    <w:p>
      <w:pPr>
        <w:pStyle w:val="style0"/>
        <w:spacing w:before="240" w:after="240"/>
        <w:rPr>
          <w:rFonts w:eastAsia="Times New Roman"/>
          <w:color w:val="000000"/>
          <w:lang w:val="en-IN" w:eastAsia="en-IN"/>
        </w:rPr>
      </w:pPr>
      <w:r>
        <w:rPr>
          <w:rFonts w:eastAsia="Times New Roman"/>
          <w:color w:val="000000"/>
          <w:shd w:val="clear" w:color="auto" w:fill="ffffff"/>
          <w:lang w:val="en-IN" w:eastAsia="en-IN"/>
        </w:rPr>
        <w:t xml:space="preserve">Kelly, K., 2022. </w:t>
      </w:r>
      <w:r>
        <w:rPr>
          <w:rFonts w:eastAsia="Times New Roman"/>
          <w:i/>
          <w:iCs/>
          <w:color w:val="000000"/>
          <w:shd w:val="clear" w:color="auto" w:fill="ffffff"/>
          <w:lang w:val="en-IN" w:eastAsia="en-IN"/>
        </w:rPr>
        <w:t>Single-Sex Versus Coeducation: The influence school type has on males attitudes towards gay people and perceived homophobic school climate</w:t>
      </w:r>
      <w:r>
        <w:rPr>
          <w:rFonts w:eastAsia="Times New Roman"/>
          <w:color w:val="000000"/>
          <w:shd w:val="clear" w:color="auto" w:fill="ffffff"/>
          <w:lang w:val="en-IN" w:eastAsia="en-IN"/>
        </w:rPr>
        <w:t xml:space="preserve"> (Doctoral dissertation, Dublin, National College of Ireland).</w:t>
      </w:r>
    </w:p>
    <w:p>
      <w:pPr>
        <w:pStyle w:val="style0"/>
        <w:spacing w:before="240" w:after="240"/>
        <w:rPr>
          <w:color w:val="000000"/>
        </w:rPr>
      </w:pPr>
      <w:r>
        <w:rPr>
          <w:color w:val="000000"/>
          <w:highlight w:val="white"/>
        </w:rPr>
        <w:t xml:space="preserve">Leif, E., Jennings, H., Furlonger, B. and Fox, R., 2020. A survey of applied behaviour analysis practitioners in Australia: Education, training, and barriers to professional practice. </w:t>
      </w:r>
      <w:r>
        <w:rPr>
          <w:i/>
          <w:color w:val="000000"/>
        </w:rPr>
        <w:t>Societies</w:t>
      </w:r>
      <w:r>
        <w:rPr>
          <w:color w:val="000000"/>
        </w:rPr>
        <w:t xml:space="preserve">, </w:t>
      </w:r>
      <w:r>
        <w:rPr>
          <w:i/>
          <w:color w:val="000000"/>
        </w:rPr>
        <w:t>10</w:t>
      </w:r>
      <w:r>
        <w:rPr>
          <w:color w:val="000000"/>
        </w:rPr>
        <w:t>(4), p.99.</w:t>
      </w:r>
    </w:p>
    <w:p>
      <w:pPr>
        <w:pStyle w:val="style0"/>
        <w:spacing w:before="240" w:after="240"/>
        <w:rPr>
          <w:color w:val="000000"/>
        </w:rPr>
      </w:pPr>
      <w:r>
        <w:rPr>
          <w:color w:val="000000"/>
          <w:highlight w:val="white"/>
        </w:rPr>
        <w:t xml:space="preserve">Maki, A., Carrico, A.R., Raimi, K.T., Truelove, H.B., Araujo, B. and Yeung, K.L., 2019. Meta-analysis of pro-environmental behaviour spillover. </w:t>
      </w:r>
      <w:r>
        <w:rPr>
          <w:i/>
          <w:color w:val="000000"/>
        </w:rPr>
        <w:t>Nature Sustainability</w:t>
      </w:r>
      <w:r>
        <w:rPr>
          <w:color w:val="000000"/>
        </w:rPr>
        <w:t xml:space="preserve">, </w:t>
      </w:r>
      <w:r>
        <w:rPr>
          <w:i/>
          <w:color w:val="000000"/>
        </w:rPr>
        <w:t>2</w:t>
      </w:r>
      <w:r>
        <w:rPr>
          <w:color w:val="000000"/>
        </w:rPr>
        <w:t>(4), pp.307-315.</w:t>
      </w:r>
    </w:p>
    <w:p>
      <w:pPr>
        <w:pStyle w:val="style0"/>
        <w:spacing w:before="240" w:after="240"/>
        <w:rPr>
          <w:color w:val="000000"/>
        </w:rPr>
      </w:pPr>
      <w:r>
        <w:rPr>
          <w:color w:val="000000"/>
          <w:highlight w:val="white"/>
        </w:rPr>
        <w:t xml:space="preserve">Martin, L., White, M.P., Hunt, A., Richardson, M., Pahl, S. and Burt, J., 2020. Nature contact, nature connectedness and associations with health, wellbeing and pro-environmental behaviours. </w:t>
      </w:r>
      <w:r>
        <w:rPr>
          <w:i/>
          <w:color w:val="000000"/>
        </w:rPr>
        <w:t>Journal of environmental psychology</w:t>
      </w:r>
      <w:r>
        <w:rPr>
          <w:color w:val="000000"/>
        </w:rPr>
        <w:t xml:space="preserve">, </w:t>
      </w:r>
      <w:r>
        <w:rPr>
          <w:i/>
          <w:color w:val="000000"/>
        </w:rPr>
        <w:t>68</w:t>
      </w:r>
      <w:r>
        <w:rPr>
          <w:color w:val="000000"/>
        </w:rPr>
        <w:t>, p.101389.</w:t>
      </w:r>
    </w:p>
    <w:p>
      <w:pPr>
        <w:pStyle w:val="style0"/>
        <w:spacing w:before="240" w:after="240"/>
        <w:rPr>
          <w:color w:val="000000"/>
        </w:rPr>
      </w:pPr>
      <w:r>
        <w:rPr>
          <w:color w:val="000000"/>
          <w:highlight w:val="white"/>
        </w:rPr>
        <w:t xml:space="preserve">Naik, B.N., Biswas, B., Singh, C., Pandey, S., Nirala, S.K. and Chaudhary, N., 2021. Tobacco use pattern and quitting behaviour among healthcare professionals during the COVID-19 pandemic: Insights from a pan India online survey. </w:t>
      </w:r>
      <w:r>
        <w:rPr>
          <w:i/>
          <w:color w:val="000000"/>
        </w:rPr>
        <w:t>Clinical Epidemiology and Global Health</w:t>
      </w:r>
      <w:r>
        <w:rPr>
          <w:color w:val="000000"/>
        </w:rPr>
        <w:t xml:space="preserve">, </w:t>
      </w:r>
      <w:r>
        <w:rPr>
          <w:i/>
          <w:color w:val="000000"/>
        </w:rPr>
        <w:t>12</w:t>
      </w:r>
      <w:r>
        <w:rPr>
          <w:color w:val="000000"/>
        </w:rPr>
        <w:t>, p.</w:t>
      </w:r>
      <w:r>
        <w:rPr>
          <w:color w:val="000000"/>
        </w:rPr>
        <w:t>6</w:t>
      </w:r>
      <w:r>
        <w:rPr>
          <w:color w:val="000000"/>
        </w:rPr>
        <w:t>838.</w:t>
      </w:r>
    </w:p>
    <w:p>
      <w:pPr>
        <w:pStyle w:val="style0"/>
        <w:spacing w:before="240" w:after="240"/>
        <w:rPr>
          <w:rFonts w:eastAsia="Times New Roman"/>
          <w:color w:val="000000"/>
          <w:lang w:val="en-IN" w:eastAsia="en-IN"/>
        </w:rPr>
      </w:pPr>
      <w:r>
        <w:rPr>
          <w:rFonts w:eastAsia="Times New Roman"/>
          <w:color w:val="000000"/>
          <w:shd w:val="clear" w:color="auto" w:fill="ffffff"/>
          <w:lang w:val="en-IN" w:eastAsia="en-IN"/>
        </w:rPr>
        <w:t xml:space="preserve">Obroh, O., 2020. </w:t>
      </w:r>
      <w:r>
        <w:rPr>
          <w:rFonts w:eastAsia="Times New Roman"/>
          <w:i/>
          <w:iCs/>
          <w:color w:val="000000"/>
          <w:shd w:val="clear" w:color="auto" w:fill="ffffff"/>
          <w:lang w:val="en-IN" w:eastAsia="en-IN"/>
        </w:rPr>
        <w:t>Lincoln University curriculum and the Sustainable Development Goals: A dissertation submitted in partial fulfilment of the requirements for the Degree of Masters in Environmental Policy and Management at Lincoln University</w:t>
      </w:r>
      <w:r>
        <w:rPr>
          <w:rFonts w:eastAsia="Times New Roman"/>
          <w:color w:val="000000"/>
          <w:shd w:val="clear" w:color="auto" w:fill="ffffff"/>
          <w:lang w:val="en-IN" w:eastAsia="en-IN"/>
        </w:rPr>
        <w:t xml:space="preserve"> (Doctoral dissertation, Lincoln University).</w:t>
      </w:r>
    </w:p>
    <w:p>
      <w:pPr>
        <w:pStyle w:val="style0"/>
        <w:spacing w:before="240" w:after="240"/>
        <w:rPr>
          <w:rFonts w:eastAsia="Times New Roman"/>
          <w:color w:val="000000"/>
          <w:lang w:val="en-IN" w:eastAsia="en-IN"/>
        </w:rPr>
      </w:pPr>
      <w:r>
        <w:rPr>
          <w:rFonts w:eastAsia="Times New Roman"/>
          <w:color w:val="000000"/>
          <w:shd w:val="clear" w:color="auto" w:fill="ffffff"/>
          <w:lang w:val="en-IN" w:eastAsia="en-IN"/>
        </w:rPr>
        <w:t xml:space="preserve">Onwubiko, E.C. and Okeke, I.E., 2023. Citation Analysis of serials in Postgraduate Research Theses and Dissertations of Library and Information Science of Public universities in Southeast, Nigeria. </w:t>
      </w:r>
      <w:r>
        <w:rPr>
          <w:rFonts w:eastAsia="Times New Roman"/>
          <w:i/>
          <w:iCs/>
          <w:color w:val="000000"/>
          <w:shd w:val="clear" w:color="auto" w:fill="ffffff"/>
          <w:lang w:val="en-IN" w:eastAsia="en-IN"/>
        </w:rPr>
        <w:t>International Journal of Library and Information Science Studies</w:t>
      </w:r>
      <w:r>
        <w:rPr>
          <w:rFonts w:eastAsia="Times New Roman"/>
          <w:color w:val="000000"/>
          <w:shd w:val="clear" w:color="auto" w:fill="ffffff"/>
          <w:lang w:val="en-IN" w:eastAsia="en-IN"/>
        </w:rPr>
        <w:t xml:space="preserve">, </w:t>
      </w:r>
      <w:r>
        <w:rPr>
          <w:rFonts w:eastAsia="Times New Roman"/>
          <w:i/>
          <w:iCs/>
          <w:color w:val="000000"/>
          <w:shd w:val="clear" w:color="auto" w:fill="ffffff"/>
          <w:lang w:val="en-IN" w:eastAsia="en-IN"/>
        </w:rPr>
        <w:t>9</w:t>
      </w:r>
      <w:r>
        <w:rPr>
          <w:rFonts w:eastAsia="Times New Roman"/>
          <w:color w:val="000000"/>
          <w:shd w:val="clear" w:color="auto" w:fill="ffffff"/>
          <w:lang w:val="en-IN" w:eastAsia="en-IN"/>
        </w:rPr>
        <w:t>(4), pp.13-44.</w:t>
      </w:r>
    </w:p>
    <w:p>
      <w:pPr>
        <w:pStyle w:val="style0"/>
        <w:spacing w:before="240" w:after="240"/>
        <w:rPr>
          <w:color w:val="000000"/>
        </w:rPr>
      </w:pPr>
      <w:r>
        <w:rPr>
          <w:color w:val="000000"/>
          <w:highlight w:val="white"/>
        </w:rPr>
        <w:t xml:space="preserve">Presseau, J., McCleary, N., Lorencatto, F., Patey, A.M., Grimshaw, J.M. and Francis, J.J., 2019. Action, actor, context, target, time (AACTT): a framework for specifying behaviour. </w:t>
      </w:r>
      <w:r>
        <w:rPr>
          <w:i/>
          <w:color w:val="000000"/>
        </w:rPr>
        <w:t>Implementation Science</w:t>
      </w:r>
      <w:r>
        <w:rPr>
          <w:color w:val="000000"/>
        </w:rPr>
        <w:t xml:space="preserve">, </w:t>
      </w:r>
      <w:r>
        <w:rPr>
          <w:i/>
          <w:color w:val="000000"/>
        </w:rPr>
        <w:t>14</w:t>
      </w:r>
      <w:r>
        <w:rPr>
          <w:color w:val="000000"/>
        </w:rPr>
        <w:t>, pp.1-13.</w:t>
      </w:r>
    </w:p>
    <w:p>
      <w:pPr>
        <w:pStyle w:val="style0"/>
        <w:spacing w:before="240" w:after="240"/>
        <w:rPr>
          <w:rFonts w:eastAsia="Times New Roman"/>
          <w:color w:val="000000"/>
          <w:lang w:val="en-IN" w:eastAsia="en-IN"/>
        </w:rPr>
      </w:pPr>
      <w:r>
        <w:rPr>
          <w:rFonts w:eastAsia="Times New Roman"/>
          <w:color w:val="000000"/>
          <w:shd w:val="clear" w:color="auto" w:fill="ffffff"/>
          <w:lang w:val="en-IN" w:eastAsia="en-IN"/>
        </w:rPr>
        <w:t xml:space="preserve">Reid, L.C., 2022. “It’s Not About Us”: Exploring White-Public Heritage Space, Community, and Commemoration on Jamestown Island, Virginia. </w:t>
      </w:r>
      <w:r>
        <w:rPr>
          <w:rFonts w:eastAsia="Times New Roman"/>
          <w:i/>
          <w:iCs/>
          <w:color w:val="000000"/>
          <w:shd w:val="clear" w:color="auto" w:fill="ffffff"/>
          <w:lang w:val="en-IN" w:eastAsia="en-IN"/>
        </w:rPr>
        <w:t>International journal of historical archaeology</w:t>
      </w:r>
      <w:r>
        <w:rPr>
          <w:rFonts w:eastAsia="Times New Roman"/>
          <w:color w:val="000000"/>
          <w:shd w:val="clear" w:color="auto" w:fill="ffffff"/>
          <w:lang w:val="en-IN" w:eastAsia="en-IN"/>
        </w:rPr>
        <w:t xml:space="preserve">, </w:t>
      </w:r>
      <w:r>
        <w:rPr>
          <w:rFonts w:eastAsia="Times New Roman"/>
          <w:i/>
          <w:iCs/>
          <w:color w:val="000000"/>
          <w:shd w:val="clear" w:color="auto" w:fill="ffffff"/>
          <w:lang w:val="en-IN" w:eastAsia="en-IN"/>
        </w:rPr>
        <w:t>26</w:t>
      </w:r>
      <w:r>
        <w:rPr>
          <w:rFonts w:eastAsia="Times New Roman"/>
          <w:color w:val="000000"/>
          <w:shd w:val="clear" w:color="auto" w:fill="ffffff"/>
          <w:lang w:val="en-IN" w:eastAsia="en-IN"/>
        </w:rPr>
        <w:t>(1), pp.22-52.</w:t>
      </w:r>
    </w:p>
    <w:p>
      <w:pPr>
        <w:pStyle w:val="style0"/>
        <w:spacing w:before="240" w:after="240"/>
        <w:rPr>
          <w:rFonts w:eastAsia="Times New Roman"/>
          <w:color w:val="000000"/>
          <w:lang w:val="en-IN" w:eastAsia="en-IN"/>
        </w:rPr>
      </w:pPr>
      <w:r>
        <w:rPr>
          <w:rFonts w:eastAsia="Times New Roman"/>
          <w:color w:val="000000"/>
          <w:shd w:val="clear" w:color="auto" w:fill="ffffff"/>
          <w:lang w:val="en-IN" w:eastAsia="en-IN"/>
        </w:rPr>
        <w:t>Sanchez, R., 2022. Experiences of College Professors with Students with Identified Disabilities and ADA Compliance in Face-to-Face Courses at a State College in Florida: A Case Study.</w:t>
      </w:r>
    </w:p>
    <w:p>
      <w:pPr>
        <w:pStyle w:val="style0"/>
        <w:spacing w:before="240" w:after="240"/>
        <w:rPr>
          <w:color w:val="000000"/>
        </w:rPr>
      </w:pPr>
      <w:r>
        <w:rPr>
          <w:color w:val="000000"/>
          <w:highlight w:val="white"/>
        </w:rPr>
        <w:t xml:space="preserve">Schnelli, A., Mayer, H., Ott, S. and Zeller, A., 2021. Experience of aggressive behaviour of health professionals in home care services and the role of persons with dementia. </w:t>
      </w:r>
      <w:r>
        <w:rPr>
          <w:i/>
          <w:color w:val="000000"/>
        </w:rPr>
        <w:t>Nursing open</w:t>
      </w:r>
      <w:r>
        <w:rPr>
          <w:color w:val="000000"/>
        </w:rPr>
        <w:t xml:space="preserve">, </w:t>
      </w:r>
      <w:r>
        <w:rPr>
          <w:i/>
          <w:color w:val="000000"/>
        </w:rPr>
        <w:t>8</w:t>
      </w:r>
      <w:r>
        <w:rPr>
          <w:color w:val="000000"/>
        </w:rPr>
        <w:t>(2), pp.833-843.’</w:t>
      </w:r>
    </w:p>
    <w:p>
      <w:pPr>
        <w:pStyle w:val="style0"/>
        <w:spacing w:before="240" w:after="240"/>
        <w:rPr>
          <w:color w:val="000000"/>
        </w:rPr>
      </w:pPr>
      <w:r>
        <w:rPr>
          <w:color w:val="000000"/>
          <w:highlight w:val="white"/>
        </w:rPr>
        <w:t>Sockhill, N.J., Dean, A.J., Oh, R.R. and Fuller, R.A., 2022. Beyond the ecocentric: Diverse values and attitudes influence engagement in pro</w:t>
      </w:r>
      <w:r>
        <w:rPr>
          <w:rFonts w:ascii="Times New Roman" w:eastAsia="Times New Roman" w:hAnsi="Times New Roman"/>
          <w:color w:val="000000"/>
          <w:highlight w:val="white"/>
        </w:rPr>
        <w:t>‐</w:t>
      </w:r>
      <w:r>
        <w:rPr>
          <w:color w:val="000000"/>
          <w:highlight w:val="white"/>
        </w:rPr>
        <w:t xml:space="preserve">environmental behaviours. </w:t>
      </w:r>
      <w:r>
        <w:rPr>
          <w:i/>
          <w:color w:val="000000"/>
        </w:rPr>
        <w:t>People and Nature</w:t>
      </w:r>
      <w:r>
        <w:rPr>
          <w:color w:val="000000"/>
        </w:rPr>
        <w:t xml:space="preserve">, </w:t>
      </w:r>
      <w:r>
        <w:rPr>
          <w:i/>
          <w:color w:val="000000"/>
        </w:rPr>
        <w:t>4</w:t>
      </w:r>
      <w:r>
        <w:rPr>
          <w:color w:val="000000"/>
        </w:rPr>
        <w:t>(6), pp.1500-1512.</w:t>
      </w:r>
    </w:p>
    <w:p>
      <w:pPr>
        <w:pStyle w:val="style0"/>
        <w:spacing w:before="240" w:after="240"/>
        <w:rPr>
          <w:color w:val="000000"/>
        </w:rPr>
      </w:pPr>
      <w:r>
        <w:rPr>
          <w:color w:val="000000"/>
          <w:highlight w:val="white"/>
        </w:rPr>
        <w:t xml:space="preserve">Spencer-Oatey, H. and Wang, J., 2020. Establishing professional intercultural relations: Chinese perceptions of behavioural success in a Sino-American exchange visit. </w:t>
      </w:r>
      <w:r>
        <w:rPr>
          <w:i/>
          <w:color w:val="000000"/>
        </w:rPr>
        <w:t>Journal of Intercultural Communication Research</w:t>
      </w:r>
      <w:r>
        <w:rPr>
          <w:color w:val="000000"/>
        </w:rPr>
        <w:t xml:space="preserve">, </w:t>
      </w:r>
      <w:r>
        <w:rPr>
          <w:i/>
          <w:color w:val="000000"/>
        </w:rPr>
        <w:t>49</w:t>
      </w:r>
      <w:r>
        <w:rPr>
          <w:color w:val="000000"/>
        </w:rPr>
        <w:t>(6), pp.499-519.</w:t>
      </w:r>
    </w:p>
    <w:p>
      <w:pPr>
        <w:pStyle w:val="style0"/>
        <w:spacing w:before="240" w:after="240"/>
        <w:rPr>
          <w:color w:val="000000"/>
        </w:rPr>
      </w:pPr>
      <w:r>
        <w:rPr>
          <w:color w:val="000000"/>
          <w:highlight w:val="white"/>
        </w:rPr>
        <w:t>Wee, S.C., Choong, W.W. and Low, S.T., 2021. Can “nudging” play a role to promote pro-environmental behaviour?.</w:t>
      </w:r>
      <w:r>
        <w:rPr>
          <w:i/>
          <w:color w:val="000000"/>
        </w:rPr>
        <w:t>Environmental Challenges</w:t>
      </w:r>
      <w:r>
        <w:rPr>
          <w:color w:val="000000"/>
        </w:rPr>
        <w:t xml:space="preserve">, </w:t>
      </w:r>
      <w:r>
        <w:rPr>
          <w:i/>
          <w:color w:val="000000"/>
        </w:rPr>
        <w:t>5</w:t>
      </w:r>
      <w:r>
        <w:rPr>
          <w:color w:val="000000"/>
        </w:rPr>
        <w:t>, p.</w:t>
      </w:r>
      <w:r>
        <w:rPr>
          <w:color w:val="000000"/>
        </w:rPr>
        <w:t>6</w:t>
      </w:r>
      <w:r>
        <w:rPr>
          <w:color w:val="000000"/>
        </w:rPr>
        <w:t>364.</w:t>
      </w:r>
    </w:p>
    <w:p>
      <w:pPr>
        <w:pStyle w:val="style0"/>
        <w:spacing w:before="240" w:after="240"/>
        <w:rPr>
          <w:color w:val="000000"/>
        </w:rPr>
      </w:pPr>
      <w:r>
        <w:rPr>
          <w:color w:val="000000"/>
          <w:highlight w:val="white"/>
        </w:rPr>
        <w:t xml:space="preserve">Wilcockson, M.D., 2020. Transition to cognitive behavioural therapy from different core professional backgrounds: three grounded theory studies. </w:t>
      </w:r>
      <w:r>
        <w:rPr>
          <w:i/>
          <w:color w:val="000000"/>
        </w:rPr>
        <w:t>The Cognitive Behaviour Therapist</w:t>
      </w:r>
      <w:r>
        <w:rPr>
          <w:color w:val="000000"/>
        </w:rPr>
        <w:t xml:space="preserve">, </w:t>
      </w:r>
      <w:r>
        <w:rPr>
          <w:i/>
          <w:color w:val="000000"/>
        </w:rPr>
        <w:t>13</w:t>
      </w:r>
      <w:r>
        <w:rPr>
          <w:color w:val="000000"/>
        </w:rPr>
        <w:t>, p.e35.</w:t>
      </w:r>
    </w:p>
    <w:p>
      <w:pPr>
        <w:pStyle w:val="style0"/>
        <w:spacing w:before="240" w:after="240"/>
        <w:rPr>
          <w:color w:val="000000"/>
        </w:rPr>
      </w:pPr>
      <w:r>
        <w:rPr>
          <w:color w:val="000000"/>
          <w:highlight w:val="white"/>
        </w:rPr>
        <w:t xml:space="preserve">Wynes, S., Donner, S.D., Tannason, S. and Nabors, N., 2019. Academic air travel has a limited influence on professional success. </w:t>
      </w:r>
      <w:r>
        <w:rPr>
          <w:i/>
          <w:color w:val="000000"/>
        </w:rPr>
        <w:t>Journal of cleaner production</w:t>
      </w:r>
      <w:r>
        <w:rPr>
          <w:color w:val="000000"/>
        </w:rPr>
        <w:t xml:space="preserve">, </w:t>
      </w:r>
      <w:r>
        <w:rPr>
          <w:i/>
          <w:color w:val="000000"/>
        </w:rPr>
        <w:t>226</w:t>
      </w:r>
      <w:r>
        <w:rPr>
          <w:color w:val="000000"/>
        </w:rPr>
        <w:t>, pp.959-967.</w:t>
      </w:r>
    </w:p>
    <w:p>
      <w:pPr>
        <w:pStyle w:val="style0"/>
        <w:spacing w:before="240" w:after="240"/>
        <w:rPr>
          <w:color w:val="000000"/>
        </w:rPr>
      </w:pPr>
      <w:r>
        <w:rPr>
          <w:color w:val="000000"/>
          <w:highlight w:val="white"/>
        </w:rPr>
        <w:t xml:space="preserve">Zaikauskaite, L., Chen, X. and Tsivrikos, D., 2020. The effects of idealism and relativism on the moral judgement of social vs. environmental issues, and their relation to self-reported pro-environmental behaviours. </w:t>
      </w:r>
      <w:r>
        <w:rPr>
          <w:i/>
          <w:color w:val="000000"/>
        </w:rPr>
        <w:t>Plos one</w:t>
      </w:r>
      <w:r>
        <w:rPr>
          <w:color w:val="000000"/>
        </w:rPr>
        <w:t xml:space="preserve">, </w:t>
      </w:r>
      <w:r>
        <w:rPr>
          <w:i/>
          <w:color w:val="000000"/>
        </w:rPr>
        <w:t>15</w:t>
      </w:r>
      <w:r>
        <w:rPr>
          <w:color w:val="000000"/>
        </w:rPr>
        <w:t>(10), p.e0239707.</w:t>
      </w:r>
    </w:p>
    <w:p>
      <w:pPr>
        <w:pStyle w:val="style0"/>
        <w:jc w:val="left"/>
        <w:rPr>
          <w:rFonts w:eastAsia="Times New Roman"/>
          <w:color w:val="000000"/>
          <w:lang w:val="en-IN" w:eastAsia="en-IN"/>
        </w:rPr>
      </w:pPr>
    </w:p>
    <w:p>
      <w:pPr>
        <w:pStyle w:val="style0"/>
        <w:jc w:val="left"/>
        <w:rPr>
          <w:rFonts w:eastAsia="Times New Roman"/>
          <w:color w:val="000000"/>
          <w:lang w:val="en-IN" w:eastAsia="en-IN"/>
        </w:rPr>
      </w:pPr>
    </w:p>
    <w:p>
      <w:pPr>
        <w:pStyle w:val="style0"/>
        <w:rPr>
          <w:rFonts w:eastAsia="Times New Roman"/>
          <w:color w:val="000000"/>
          <w:lang w:val="en-IN" w:eastAsia="en-IN"/>
        </w:rPr>
      </w:pPr>
      <w:r>
        <w:rPr>
          <w:rFonts w:eastAsia="Times New Roman"/>
          <w:color w:val="000000"/>
          <w:lang w:val="en-IN" w:eastAsia="en-IN"/>
        </w:rPr>
        <w:br w:type="page"/>
      </w:r>
    </w:p>
    <w:bookmarkStart w:id="33" w:name="_Toc153727102"/>
    <w:p>
      <w:pPr>
        <w:pStyle w:val="style1"/>
        <w:rPr>
          <w:color w:val="000000"/>
          <w:lang w:val="en-IN" w:eastAsia="en-IN"/>
        </w:rPr>
      </w:pPr>
      <w:r>
        <w:rPr>
          <w:color w:val="000000"/>
          <w:lang w:val="en-IN" w:eastAsia="en-IN"/>
        </w:rPr>
        <w:t>Appendices</w:t>
      </w:r>
      <w:bookmarkEnd w:id="33"/>
    </w:p>
    <w:bookmarkStart w:id="34" w:name="_Toc153727103"/>
    <w:p>
      <w:pPr>
        <w:pStyle w:val="style2"/>
        <w:rPr>
          <w:color w:val="000000"/>
          <w:lang w:val="en-IN" w:eastAsia="en-IN"/>
        </w:rPr>
      </w:pPr>
      <w:r>
        <w:rPr>
          <w:bCs/>
          <w:color w:val="000000"/>
          <w:lang w:val="en-IN" w:eastAsia="en-IN"/>
        </w:rPr>
        <w:t xml:space="preserve">Appendix </w:t>
      </w:r>
      <w:r>
        <w:rPr>
          <w:color w:val="000000"/>
          <w:lang w:val="en-IN" w:eastAsia="en-IN"/>
        </w:rPr>
        <w:t xml:space="preserve">1: </w:t>
      </w:r>
      <w:r>
        <w:rPr>
          <w:color w:val="000000"/>
          <w:lang w:val="en-IN" w:eastAsia="en-IN"/>
        </w:rPr>
        <w:t>Questionnaires</w:t>
      </w:r>
      <w:bookmarkEnd w:id="34"/>
    </w:p>
    <w:p>
      <w:pPr>
        <w:pStyle w:val="style0"/>
        <w:shd w:val="clear" w:color="auto" w:fill="ffffff"/>
        <w:spacing w:after="240"/>
        <w:jc w:val="left"/>
        <w:rPr>
          <w:rFonts w:eastAsia="Times New Roman"/>
          <w:color w:val="000000"/>
          <w:lang w:val="en-IN" w:eastAsia="en-IN"/>
        </w:rPr>
      </w:pPr>
      <w:r>
        <w:rPr>
          <w:rFonts w:eastAsia="Times New Roman"/>
          <w:color w:val="000000"/>
          <w:lang w:val="en-IN" w:eastAsia="en-IN"/>
        </w:rPr>
        <w:t>1  To what extent do you believe the academic environment influences your professional behaviour as a postgraduate PHSC student? </w:t>
      </w:r>
    </w:p>
    <w:p>
      <w:pPr>
        <w:pStyle w:val="style179"/>
        <w:numPr>
          <w:ilvl w:val="0"/>
          <w:numId w:val="3"/>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3"/>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3"/>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3"/>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2    How do interpersonal relationships with peers and faculty members impact your professional conduct within the university setting? </w:t>
      </w:r>
    </w:p>
    <w:p>
      <w:pPr>
        <w:pStyle w:val="style179"/>
        <w:numPr>
          <w:ilvl w:val="0"/>
          <w:numId w:val="4"/>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4"/>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4"/>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4"/>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 xml:space="preserve"> 3 In your opinion, how does the university's code of conduct contribute to shaping your professional behaviour as a postgraduate student? </w:t>
      </w:r>
    </w:p>
    <w:p>
      <w:pPr>
        <w:pStyle w:val="style179"/>
        <w:numPr>
          <w:ilvl w:val="0"/>
          <w:numId w:val="5"/>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5"/>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5"/>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5"/>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4  What role does the academic curriculum play in fostering a sense of professionalism among postgraduate PHSC students?</w:t>
      </w:r>
    </w:p>
    <w:p>
      <w:pPr>
        <w:pStyle w:val="style179"/>
        <w:numPr>
          <w:ilvl w:val="0"/>
          <w:numId w:val="6"/>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6"/>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6"/>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6"/>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jc w:val="left"/>
        <w:rPr>
          <w:rFonts w:eastAsia="Times New Roman"/>
          <w:color w:val="000000"/>
          <w:lang w:val="en-IN" w:eastAsia="en-IN"/>
        </w:rPr>
      </w:pPr>
      <w:r>
        <w:rPr>
          <w:rFonts w:eastAsia="Times New Roman"/>
          <w:color w:val="000000"/>
          <w:lang w:val="en-IN" w:eastAsia="en-IN"/>
        </w:rPr>
        <w:t>5 How do extracurricular activities and events influence your professional development within the university community? </w:t>
      </w:r>
    </w:p>
    <w:p>
      <w:pPr>
        <w:pStyle w:val="style179"/>
        <w:numPr>
          <w:ilvl w:val="0"/>
          <w:numId w:val="7"/>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7"/>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7"/>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7"/>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6  To what extent does the university's commitment to diversity and inclusion affect your professional interactions with fellow students?</w:t>
      </w:r>
    </w:p>
    <w:p>
      <w:pPr>
        <w:pStyle w:val="style179"/>
        <w:numPr>
          <w:ilvl w:val="0"/>
          <w:numId w:val="8"/>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8"/>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8"/>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8"/>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7  In your experience, how does exposure to research and practical applications impact your professional behaviour as a PHSC student?</w:t>
      </w:r>
    </w:p>
    <w:p>
      <w:pPr>
        <w:pStyle w:val="style179"/>
        <w:numPr>
          <w:ilvl w:val="0"/>
          <w:numId w:val="9"/>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9"/>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9"/>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9"/>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8  How important are faculty guidance and mentorship in shaping your professional conduct during your postgraduate studies? </w:t>
      </w:r>
    </w:p>
    <w:p>
      <w:pPr>
        <w:pStyle w:val="style179"/>
        <w:numPr>
          <w:ilvl w:val="0"/>
          <w:numId w:val="10"/>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10"/>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10"/>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10"/>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rPr>
          <w:rFonts w:eastAsia="Times New Roman"/>
          <w:color w:val="000000"/>
          <w:lang w:val="en-IN" w:eastAsia="en-IN"/>
        </w:rPr>
      </w:pPr>
      <w:r>
        <w:rPr>
          <w:rFonts w:eastAsia="Times New Roman"/>
          <w:color w:val="000000"/>
          <w:lang w:val="en-IN" w:eastAsia="en-IN"/>
        </w:rPr>
        <w:t>9  Do you believe that the university's policies on ethical research and academic integrity contribute to your professionalism as a student? </w:t>
      </w:r>
    </w:p>
    <w:p>
      <w:pPr>
        <w:pStyle w:val="style179"/>
        <w:numPr>
          <w:ilvl w:val="0"/>
          <w:numId w:val="11"/>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11"/>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11"/>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11"/>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r>
        <w:rPr>
          <w:rFonts w:eastAsia="Times New Roman"/>
          <w:color w:val="000000"/>
          <w:lang w:val="en-IN" w:eastAsia="en-IN"/>
        </w:rPr>
        <w:t>10   How do external factors, such as industry partnerships and internships, influence your professional behaviour and outlook as a postgraduate PHSC student? </w:t>
      </w:r>
    </w:p>
    <w:p>
      <w:pPr>
        <w:pStyle w:val="style179"/>
        <w:numPr>
          <w:ilvl w:val="0"/>
          <w:numId w:val="12"/>
        </w:numPr>
        <w:shd w:val="clear" w:color="auto" w:fill="ffffff"/>
        <w:spacing w:after="240"/>
        <w:jc w:val="left"/>
        <w:rPr>
          <w:rFonts w:eastAsia="Times New Roman"/>
          <w:color w:val="000000"/>
          <w:lang w:val="en-IN" w:eastAsia="en-IN"/>
        </w:rPr>
      </w:pPr>
      <w:r>
        <w:rPr>
          <w:rFonts w:eastAsia="Times New Roman"/>
          <w:color w:val="000000"/>
          <w:lang w:val="en-IN" w:eastAsia="en-IN"/>
        </w:rPr>
        <w:t>Not at all</w:t>
      </w:r>
    </w:p>
    <w:p>
      <w:pPr>
        <w:pStyle w:val="style179"/>
        <w:numPr>
          <w:ilvl w:val="0"/>
          <w:numId w:val="12"/>
        </w:numPr>
        <w:shd w:val="clear" w:color="auto" w:fill="ffffff"/>
        <w:spacing w:after="240"/>
        <w:jc w:val="left"/>
        <w:rPr>
          <w:rFonts w:eastAsia="Times New Roman"/>
          <w:color w:val="000000"/>
          <w:lang w:val="en-IN" w:eastAsia="en-IN"/>
        </w:rPr>
      </w:pPr>
      <w:r>
        <w:rPr>
          <w:rFonts w:eastAsia="Times New Roman"/>
          <w:color w:val="000000"/>
          <w:lang w:val="en-IN" w:eastAsia="en-IN"/>
        </w:rPr>
        <w:t>Slightly</w:t>
      </w:r>
    </w:p>
    <w:p>
      <w:pPr>
        <w:pStyle w:val="style179"/>
        <w:numPr>
          <w:ilvl w:val="0"/>
          <w:numId w:val="12"/>
        </w:numPr>
        <w:shd w:val="clear" w:color="auto" w:fill="ffffff"/>
        <w:spacing w:after="240"/>
        <w:jc w:val="left"/>
        <w:rPr>
          <w:rFonts w:eastAsia="Times New Roman"/>
          <w:color w:val="000000"/>
          <w:lang w:val="en-IN" w:eastAsia="en-IN"/>
        </w:rPr>
      </w:pPr>
      <w:r>
        <w:rPr>
          <w:rFonts w:eastAsia="Times New Roman"/>
          <w:color w:val="000000"/>
          <w:lang w:val="en-IN" w:eastAsia="en-IN"/>
        </w:rPr>
        <w:t>Moderately</w:t>
      </w:r>
    </w:p>
    <w:p>
      <w:pPr>
        <w:pStyle w:val="style179"/>
        <w:numPr>
          <w:ilvl w:val="0"/>
          <w:numId w:val="12"/>
        </w:numPr>
        <w:shd w:val="clear" w:color="auto" w:fill="ffffff"/>
        <w:spacing w:after="240"/>
        <w:jc w:val="left"/>
        <w:rPr>
          <w:rFonts w:eastAsia="Times New Roman"/>
          <w:color w:val="000000"/>
          <w:lang w:val="en-IN" w:eastAsia="en-IN"/>
        </w:rPr>
      </w:pPr>
      <w:r>
        <w:rPr>
          <w:rFonts w:eastAsia="Times New Roman"/>
          <w:color w:val="000000"/>
          <w:lang w:val="en-IN" w:eastAsia="en-IN"/>
        </w:rPr>
        <w:t xml:space="preserve">Significantly </w:t>
      </w:r>
    </w:p>
    <w:p>
      <w:pPr>
        <w:pStyle w:val="style0"/>
        <w:shd w:val="clear" w:color="auto" w:fill="ffffff"/>
        <w:spacing w:before="240" w:after="240"/>
        <w:jc w:val="left"/>
        <w:rPr>
          <w:rFonts w:eastAsia="Times New Roman"/>
          <w:color w:val="000000"/>
          <w:lang w:val="en-IN" w:eastAsia="en-IN"/>
        </w:rPr>
      </w:pPr>
    </w:p>
    <w:p>
      <w:pPr>
        <w:pStyle w:val="style0"/>
        <w:shd w:val="clear" w:color="auto" w:fill="ffffff"/>
        <w:spacing w:before="240"/>
        <w:jc w:val="left"/>
        <w:rPr>
          <w:rFonts w:eastAsia="Times New Roman"/>
          <w:color w:val="000000"/>
          <w:lang w:val="en-IN" w:eastAsia="en-IN"/>
        </w:rPr>
      </w:pPr>
    </w:p>
    <w:p>
      <w:pPr>
        <w:pStyle w:val="style0"/>
        <w:spacing w:before="240" w:after="240"/>
        <w:rPr>
          <w:color w:val="000000"/>
        </w:rPr>
      </w:pPr>
    </w:p>
    <w:sectPr>
      <w:footerReference w:type="default" r:id="rId14"/>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12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00000001"/>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00000002"/>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00000003"/>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00000004"/>
    <w:multiLevelType w:val="hybridMultilevel"/>
    <w:tmpl w:val="CA6C0E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0000005"/>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00000006"/>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nsid w:val="00000007"/>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nsid w:val="00000008"/>
    <w:multiLevelType w:val="multilevel"/>
    <w:tmpl w:val="7DE8A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hybridMultilevel"/>
    <w:tmpl w:val="9ADA35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0000000A"/>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nsid w:val="0000000B"/>
    <w:multiLevelType w:val="hybridMultilevel"/>
    <w:tmpl w:val="9ADA355C"/>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8"/>
  </w:num>
  <w:num w:numId="2">
    <w:abstractNumId w:val="4"/>
  </w:num>
  <w:num w:numId="3">
    <w:abstractNumId w:val="9"/>
  </w:num>
  <w:num w:numId="4">
    <w:abstractNumId w:val="5"/>
  </w:num>
  <w:num w:numId="5">
    <w:abstractNumId w:val="6"/>
  </w:num>
  <w:num w:numId="6">
    <w:abstractNumId w:val="3"/>
  </w:num>
  <w:num w:numId="7">
    <w:abstractNumId w:val="11"/>
  </w:num>
  <w:num w:numId="8">
    <w:abstractNumId w:val="1"/>
  </w:num>
  <w:num w:numId="9">
    <w:abstractNumId w:val="0"/>
  </w:num>
  <w:num w:numId="10">
    <w:abstractNumId w:val="2"/>
  </w:num>
  <w:num w:numId="11">
    <w:abstractNumId w:val="10"/>
  </w:num>
  <w:num w:numId="12">
    <w:abstractNumId w:val="7"/>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3"/>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GB"/>
      </w:rPr>
    </w:rPrDefault>
    <w:pPrDefault>
      <w:pPr>
        <w:spacing w:lineRule="auto" w:line="360"/>
        <w:jc w:val="both"/>
      </w:pPr>
    </w:pPrDefault>
  </w:docDefaults>
  <w:style w:type="paragraph" w:default="1" w:styleId="style0">
    <w:name w:val="Normal"/>
    <w:next w:val="style0"/>
    <w:pPr/>
  </w:style>
  <w:style w:type="paragraph" w:styleId="style1">
    <w:name w:val="heading 1"/>
    <w:basedOn w:val="style0"/>
    <w:next w:val="style0"/>
    <w:pPr>
      <w:keepNext/>
      <w:keepLines/>
      <w:outlineLvl w:val="0"/>
    </w:pPr>
    <w:rPr>
      <w:b/>
      <w:sz w:val="28"/>
      <w:szCs w:val="26"/>
    </w:rPr>
  </w:style>
  <w:style w:type="paragraph" w:styleId="style2">
    <w:name w:val="heading 2"/>
    <w:basedOn w:val="style0"/>
    <w:next w:val="style0"/>
    <w:pPr>
      <w:keepNext/>
      <w:keepLines/>
      <w:outlineLvl w:val="1"/>
    </w:pPr>
    <w:rPr>
      <w:b/>
      <w:sz w:val="26"/>
      <w:szCs w:val="24"/>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pPr>
      <w:keepNext/>
      <w:keepLines/>
      <w:jc w:val="center"/>
    </w:pPr>
    <w:rPr>
      <w:b/>
      <w:sz w:val="32"/>
      <w:szCs w:val="32"/>
    </w:rPr>
  </w:style>
  <w:style w:type="paragraph" w:styleId="style74">
    <w:name w:val="Subtitle"/>
    <w:basedOn w:val="style0"/>
    <w:next w:val="style0"/>
    <w:pPr>
      <w:keepNext/>
      <w:keepLines/>
      <w:spacing w:after="320"/>
    </w:pPr>
    <w:rPr>
      <w:color w:val="666666"/>
      <w:sz w:val="30"/>
      <w:szCs w:val="30"/>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524caeef-c969-452a-aa2e-6a2883dc5466"/>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efa092b3-d870-4b23-a637-e4b94abe20f9"/>
    <w:basedOn w:val="style65"/>
    <w:next w:val="style4098"/>
    <w:link w:val="style32"/>
    <w:uiPriority w:val="99"/>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9"/>
    <w:uiPriority w:val="99"/>
    <w:pPr>
      <w:spacing w:lineRule="auto" w:line="240"/>
    </w:pPr>
    <w:rPr>
      <w:rFonts w:ascii="Tahoma" w:cs="Tahoma" w:hAnsi="Tahoma"/>
      <w:sz w:val="16"/>
      <w:szCs w:val="16"/>
    </w:rPr>
  </w:style>
  <w:style w:type="character" w:customStyle="1" w:styleId="style4099">
    <w:name w:val="Balloon Text Char"/>
    <w:basedOn w:val="style65"/>
    <w:next w:val="style4099"/>
    <w:link w:val="style153"/>
    <w:uiPriority w:val="99"/>
    <w:rPr>
      <w:rFonts w:ascii="Tahoma" w:cs="Tahoma" w:hAnsi="Tahoma"/>
      <w:sz w:val="16"/>
      <w:szCs w:val="16"/>
    </w:rPr>
  </w:style>
  <w:style w:type="paragraph" w:styleId="style94">
    <w:name w:val="Normal (Web)"/>
    <w:basedOn w:val="style0"/>
    <w:next w:val="style94"/>
    <w:uiPriority w:val="99"/>
    <w:pPr>
      <w:spacing w:before="100" w:beforeAutospacing="true" w:after="100" w:afterAutospacing="true" w:lineRule="auto" w:line="240"/>
      <w:jc w:val="left"/>
    </w:pPr>
    <w:rPr>
      <w:rFonts w:ascii="Times New Roman" w:cs="Times New Roman" w:eastAsia="Times New Roman" w:hAnsi="Times New Roman"/>
      <w:sz w:val="24"/>
      <w:szCs w:val="24"/>
      <w:lang w:val="en-IN" w:eastAsia="en-IN"/>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20" Type="http://schemas.openxmlformats.org/officeDocument/2006/relationships/customXml" Target="../customXml/item1.xml"/><Relationship Id="rId11" Type="http://schemas.openxmlformats.org/officeDocument/2006/relationships/diagramQuickStyle" Target="diagrams/quickStyle2.xml"/><Relationship Id="rId10" Type="http://schemas.openxmlformats.org/officeDocument/2006/relationships/diagramLayout" Target="diagrams/layout2.xml"/><Relationship Id="rId13" Type="http://schemas.microsoft.com/office/2007/relationships/diagramDrawing" Target="diagrams/drawing1.xml"/><Relationship Id="rId12" Type="http://schemas.openxmlformats.org/officeDocument/2006/relationships/diagramColors" Target="diagrams/colors2.xml"/><Relationship Id="rId1" Type="http://schemas.openxmlformats.org/officeDocument/2006/relationships/numbering" Target="numbering.xml"/><Relationship Id="rId2" Type="http://schemas.openxmlformats.org/officeDocument/2006/relationships/image" Target="media/image1.png"/><Relationship Id="rId4" Type="http://schemas.openxmlformats.org/officeDocument/2006/relationships/diagramData" Target="diagrams/data1.xml"/><Relationship Id="rId9" Type="http://schemas.openxmlformats.org/officeDocument/2006/relationships/diagramData" Target="diagrams/data2.xml"/><Relationship Id="rId15" Type="http://schemas.openxmlformats.org/officeDocument/2006/relationships/styles" Target="styles.xml"/><Relationship Id="rId14" Type="http://schemas.openxmlformats.org/officeDocument/2006/relationships/footer" Target="footer1.xml"/><Relationship Id="rId17" Type="http://schemas.openxmlformats.org/officeDocument/2006/relationships/settings" Target="settings.xml"/><Relationship Id="rId16" Type="http://schemas.openxmlformats.org/officeDocument/2006/relationships/fontTable" Target="fontTable.xml"/><Relationship Id="rId5" Type="http://schemas.openxmlformats.org/officeDocument/2006/relationships/diagramLayout" Target="diagrams/layout1.xml"/><Relationship Id="rId19" Type="http://schemas.openxmlformats.org/officeDocument/2006/relationships/theme" Target="theme/theme1.xml"/><Relationship Id="rId6" Type="http://schemas.openxmlformats.org/officeDocument/2006/relationships/diagramQuickStyle" Target="diagrams/quickStyle1.xml"/><Relationship Id="rId18" Type="http://schemas.microsoft.com/office/2007/relationships/diagramDrawing" Target="diagrams/drawing2.xml"/><Relationship Id="rId7"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EB7791-129D-4DC6-90ED-BDEF2F9ECAC4}" type="doc">
      <dgm:prSet loTypeId="urn:microsoft.com/office/officeart/2011/layout/HexagonRadial" loCatId="cycle" qsTypeId="urn:microsoft.com/office/officeart/2005/8/quickstyle/simple1" qsCatId="simple" csTypeId="urn:microsoft.com/office/officeart/2005/8/colors/accent0_3" csCatId="mainScheme" phldr="1"/>
      <dgm:spPr/>
      <dgm:t>
        <a:bodyPr/>
        <a:lstStyle/>
        <a:p>
          <a:endParaRPr lang="en-US"/>
        </a:p>
      </dgm:t>
    </dgm:pt>
    <dgm:pt modelId="{3F1E57F2-3D68-4547-99C0-94D93C3D0C30}">
      <dgm:prSet phldrT="[Text]"/>
      <dgm:spPr/>
      <dgm:t>
        <a:bodyPr/>
        <a:lstStyle/>
        <a:p>
          <a:r>
            <a:rPr lang="en-US"/>
            <a:t>Professional behaviour</a:t>
          </a:r>
        </a:p>
      </dgm:t>
    </dgm:pt>
    <dgm:pt modelId="{5052C0CB-F67A-470C-98D9-337EDF624F75}" type="parTrans" cxnId="{37844782-2F26-4E68-821D-D71948B20311}">
      <dgm:prSet/>
      <dgm:spPr/>
      <dgm:t>
        <a:bodyPr/>
        <a:lstStyle/>
        <a:p>
          <a:endParaRPr lang="en-US"/>
        </a:p>
      </dgm:t>
    </dgm:pt>
    <dgm:pt modelId="{5A4058D9-19CA-47C7-8B55-97AF583E393D}" type="sibTrans" cxnId="{37844782-2F26-4E68-821D-D71948B20311}">
      <dgm:prSet/>
      <dgm:spPr/>
      <dgm:t>
        <a:bodyPr/>
        <a:lstStyle/>
        <a:p>
          <a:endParaRPr lang="en-US"/>
        </a:p>
      </dgm:t>
    </dgm:pt>
    <dgm:pt modelId="{641A900D-1FAA-4B11-B4C7-872C39AF23BF}">
      <dgm:prSet phldrT="[Text]"/>
      <dgm:spPr/>
      <dgm:t>
        <a:bodyPr/>
        <a:lstStyle/>
        <a:p>
          <a:r>
            <a:rPr lang="en-US"/>
            <a:t>Courtesy</a:t>
          </a:r>
        </a:p>
      </dgm:t>
    </dgm:pt>
    <dgm:pt modelId="{9A371D8E-2289-4E99-BEB5-C0429C8D82E5}" type="parTrans" cxnId="{F0143823-ADC5-43F4-BD5B-BEA11443E8FE}">
      <dgm:prSet/>
      <dgm:spPr/>
      <dgm:t>
        <a:bodyPr/>
        <a:lstStyle/>
        <a:p>
          <a:endParaRPr lang="en-US"/>
        </a:p>
      </dgm:t>
    </dgm:pt>
    <dgm:pt modelId="{4B3511CE-949B-4023-8F11-448F7CCF1D53}" type="sibTrans" cxnId="{F0143823-ADC5-43F4-BD5B-BEA11443E8FE}">
      <dgm:prSet/>
      <dgm:spPr/>
      <dgm:t>
        <a:bodyPr/>
        <a:lstStyle/>
        <a:p>
          <a:endParaRPr lang="en-US"/>
        </a:p>
      </dgm:t>
    </dgm:pt>
    <dgm:pt modelId="{61DB00D2-8F18-46E8-9EA0-D876B4D84565}">
      <dgm:prSet phldrT="[Text]"/>
      <dgm:spPr/>
      <dgm:t>
        <a:bodyPr/>
        <a:lstStyle/>
        <a:p>
          <a:r>
            <a:rPr lang="en-US"/>
            <a:t>Respext</a:t>
          </a:r>
        </a:p>
      </dgm:t>
    </dgm:pt>
    <dgm:pt modelId="{116AD0D9-5721-4DFD-9CDA-504A8017175C}" type="parTrans" cxnId="{7B3E49C4-D4F4-4803-B527-0C490C70AEDB}">
      <dgm:prSet/>
      <dgm:spPr/>
      <dgm:t>
        <a:bodyPr/>
        <a:lstStyle/>
        <a:p>
          <a:endParaRPr lang="en-US"/>
        </a:p>
      </dgm:t>
    </dgm:pt>
    <dgm:pt modelId="{5DF98D57-6F40-4D41-9094-44BA380A1EB4}" type="sibTrans" cxnId="{7B3E49C4-D4F4-4803-B527-0C490C70AEDB}">
      <dgm:prSet/>
      <dgm:spPr/>
      <dgm:t>
        <a:bodyPr/>
        <a:lstStyle/>
        <a:p>
          <a:endParaRPr lang="en-US"/>
        </a:p>
      </dgm:t>
    </dgm:pt>
    <dgm:pt modelId="{A5FA8BEF-1414-400D-907C-10BEBE37107B}">
      <dgm:prSet phldrT="[Text]"/>
      <dgm:spPr/>
      <dgm:t>
        <a:bodyPr/>
        <a:lstStyle/>
        <a:p>
          <a:r>
            <a:rPr lang="en-US"/>
            <a:t>Appeal</a:t>
          </a:r>
        </a:p>
      </dgm:t>
    </dgm:pt>
    <dgm:pt modelId="{198C689E-1B55-4B62-87F5-227A2E2D3594}" type="parTrans" cxnId="{C30E2692-E6A1-4842-874A-F123F13C5657}">
      <dgm:prSet/>
      <dgm:spPr/>
      <dgm:t>
        <a:bodyPr/>
        <a:lstStyle/>
        <a:p>
          <a:endParaRPr lang="en-US"/>
        </a:p>
      </dgm:t>
    </dgm:pt>
    <dgm:pt modelId="{3EE7A272-0F60-4214-AB98-19EC64D276B5}" type="sibTrans" cxnId="{C30E2692-E6A1-4842-874A-F123F13C5657}">
      <dgm:prSet/>
      <dgm:spPr/>
      <dgm:t>
        <a:bodyPr/>
        <a:lstStyle/>
        <a:p>
          <a:endParaRPr lang="en-US"/>
        </a:p>
      </dgm:t>
    </dgm:pt>
    <dgm:pt modelId="{7AAC63AE-6AF5-464C-8D95-1AC8FAE6846B}">
      <dgm:prSet phldrT="[Text]"/>
      <dgm:spPr/>
      <dgm:t>
        <a:bodyPr/>
        <a:lstStyle/>
        <a:p>
          <a:r>
            <a:rPr lang="en-US"/>
            <a:t>Tollerance</a:t>
          </a:r>
        </a:p>
      </dgm:t>
    </dgm:pt>
    <dgm:pt modelId="{F44CA855-B279-4386-B746-C1440C2FACAE}" type="parTrans" cxnId="{F7B3998E-A4C3-4449-A93E-05CC9A2EBEE9}">
      <dgm:prSet/>
      <dgm:spPr/>
      <dgm:t>
        <a:bodyPr/>
        <a:lstStyle/>
        <a:p>
          <a:endParaRPr lang="en-US"/>
        </a:p>
      </dgm:t>
    </dgm:pt>
    <dgm:pt modelId="{7DDB909B-F83F-4F46-ADC2-F949BF909EEE}" type="sibTrans" cxnId="{F7B3998E-A4C3-4449-A93E-05CC9A2EBEE9}">
      <dgm:prSet/>
      <dgm:spPr/>
      <dgm:t>
        <a:bodyPr/>
        <a:lstStyle/>
        <a:p>
          <a:endParaRPr lang="en-US"/>
        </a:p>
      </dgm:t>
    </dgm:pt>
    <dgm:pt modelId="{8B432DB9-C43A-443F-9CB6-1F38C14245AC}">
      <dgm:prSet phldrT="[Text]"/>
      <dgm:spPr/>
      <dgm:t>
        <a:bodyPr/>
        <a:lstStyle/>
        <a:p>
          <a:r>
            <a:rPr lang="en-US"/>
            <a:t>Tact</a:t>
          </a:r>
        </a:p>
      </dgm:t>
    </dgm:pt>
    <dgm:pt modelId="{80023366-E5AD-4B69-AD9C-72F10C015C20}" type="parTrans" cxnId="{B4A5CB5A-A253-4921-97CA-F66193800177}">
      <dgm:prSet/>
      <dgm:spPr/>
      <dgm:t>
        <a:bodyPr/>
        <a:lstStyle/>
        <a:p>
          <a:endParaRPr lang="en-US"/>
        </a:p>
      </dgm:t>
    </dgm:pt>
    <dgm:pt modelId="{7D163652-216A-4E83-A4E0-58B7C54ACA0B}" type="sibTrans" cxnId="{B4A5CB5A-A253-4921-97CA-F66193800177}">
      <dgm:prSet/>
      <dgm:spPr/>
      <dgm:t>
        <a:bodyPr/>
        <a:lstStyle/>
        <a:p>
          <a:endParaRPr lang="en-US"/>
        </a:p>
      </dgm:t>
    </dgm:pt>
    <dgm:pt modelId="{B91298F8-A7C8-4FFD-9E1D-353C300D7B70}">
      <dgm:prSet phldrT="[Text]"/>
      <dgm:spPr/>
      <dgm:t>
        <a:bodyPr/>
        <a:lstStyle/>
        <a:p>
          <a:r>
            <a:rPr lang="en-US"/>
            <a:t>Honesty</a:t>
          </a:r>
        </a:p>
      </dgm:t>
    </dgm:pt>
    <dgm:pt modelId="{ADCD828D-69DA-40CB-814F-A20B7CBDFA68}" type="parTrans" cxnId="{502B74D6-5D16-4D69-A7DB-97F78CAA4A95}">
      <dgm:prSet/>
      <dgm:spPr/>
      <dgm:t>
        <a:bodyPr/>
        <a:lstStyle/>
        <a:p>
          <a:endParaRPr lang="en-US"/>
        </a:p>
      </dgm:t>
    </dgm:pt>
    <dgm:pt modelId="{983B30C8-2B9D-491F-AC4D-592CF556EBB1}" type="sibTrans" cxnId="{502B74D6-5D16-4D69-A7DB-97F78CAA4A95}">
      <dgm:prSet/>
      <dgm:spPr/>
      <dgm:t>
        <a:bodyPr/>
        <a:lstStyle/>
        <a:p>
          <a:endParaRPr lang="en-US"/>
        </a:p>
      </dgm:t>
    </dgm:pt>
    <dgm:pt modelId="{45419BD8-D5CF-4C5D-86C7-6299C1115EFA}">
      <dgm:prSet phldrT="[Text]"/>
      <dgm:spPr/>
      <dgm:t>
        <a:bodyPr/>
        <a:lstStyle/>
        <a:p>
          <a:endParaRPr lang="en-US"/>
        </a:p>
      </dgm:t>
    </dgm:pt>
    <dgm:pt modelId="{A3638B0E-A013-4BD3-B5D7-9CF03BD80F4E}" type="parTrans" cxnId="{34F50978-7C59-472F-985E-6202DB11F06D}">
      <dgm:prSet/>
      <dgm:spPr/>
    </dgm:pt>
    <dgm:pt modelId="{92D0881C-B2E3-4B08-8AD5-9175A2104EF6}" type="sibTrans" cxnId="{34F50978-7C59-472F-985E-6202DB11F06D}">
      <dgm:prSet/>
      <dgm:spPr/>
    </dgm:pt>
    <dgm:pt modelId="{FBF55043-6515-4914-88B6-BA70CD2AA200}" type="pres">
      <dgm:prSet presAssocID="{05EB7791-129D-4DC6-90ED-BDEF2F9ECAC4}" presName="Name0" presStyleCnt="0">
        <dgm:presLayoutVars>
          <dgm:chMax val="1"/>
          <dgm:chPref val="1"/>
          <dgm:dir/>
          <dgm:animOne val="branch"/>
          <dgm:animLvl val="lvl"/>
        </dgm:presLayoutVars>
      </dgm:prSet>
      <dgm:spPr/>
    </dgm:pt>
    <dgm:pt modelId="{823DEF03-9E83-4BEC-AF4A-410CDA4F27D1}" type="pres">
      <dgm:prSet presAssocID="{3F1E57F2-3D68-4547-99C0-94D93C3D0C30}" presName="Parent" presStyleLbl="node0" presStyleIdx="0" presStyleCnt="1">
        <dgm:presLayoutVars>
          <dgm:chMax val="6"/>
          <dgm:chPref val="6"/>
        </dgm:presLayoutVars>
      </dgm:prSet>
      <dgm:spPr/>
    </dgm:pt>
    <dgm:pt modelId="{A3DFFB83-4863-4DCC-AADD-F412E0CADC3B}" type="pres">
      <dgm:prSet presAssocID="{641A900D-1FAA-4B11-B4C7-872C39AF23BF}" presName="Accent1" presStyleCnt="0"/>
      <dgm:spPr/>
    </dgm:pt>
    <dgm:pt modelId="{F4B82BDB-0BD3-4604-AD9F-2258B6417FCD}" type="pres">
      <dgm:prSet presAssocID="{641A900D-1FAA-4B11-B4C7-872C39AF23BF}" presName="Accent" presStyleLbl="bgShp" presStyleIdx="0" presStyleCnt="6"/>
      <dgm:spPr/>
    </dgm:pt>
    <dgm:pt modelId="{98E9F4E5-AD5B-40C1-816C-13AEBD45BEF9}" type="pres">
      <dgm:prSet presAssocID="{641A900D-1FAA-4B11-B4C7-872C39AF23BF}" presName="Child1" presStyleLbl="node1" presStyleIdx="0" presStyleCnt="6">
        <dgm:presLayoutVars>
          <dgm:chMax val="0"/>
          <dgm:chPref val="0"/>
          <dgm:bulletEnabled val="1"/>
        </dgm:presLayoutVars>
      </dgm:prSet>
      <dgm:spPr/>
    </dgm:pt>
    <dgm:pt modelId="{305C14D8-017C-40BD-B018-DAE0780CAEE1}" type="pres">
      <dgm:prSet presAssocID="{61DB00D2-8F18-46E8-9EA0-D876B4D84565}" presName="Accent2" presStyleCnt="0"/>
      <dgm:spPr/>
    </dgm:pt>
    <dgm:pt modelId="{3D565B11-D245-423C-A967-619BF01A6223}" type="pres">
      <dgm:prSet presAssocID="{61DB00D2-8F18-46E8-9EA0-D876B4D84565}" presName="Accent" presStyleLbl="bgShp" presStyleIdx="1" presStyleCnt="6"/>
      <dgm:spPr/>
    </dgm:pt>
    <dgm:pt modelId="{E48A95CD-18B0-4F09-A67C-2B17C2A0A005}" type="pres">
      <dgm:prSet presAssocID="{61DB00D2-8F18-46E8-9EA0-D876B4D84565}" presName="Child2" presStyleLbl="node1" presStyleIdx="1" presStyleCnt="6">
        <dgm:presLayoutVars>
          <dgm:chMax val="0"/>
          <dgm:chPref val="0"/>
          <dgm:bulletEnabled val="1"/>
        </dgm:presLayoutVars>
      </dgm:prSet>
      <dgm:spPr/>
    </dgm:pt>
    <dgm:pt modelId="{17CE572B-E6EE-465E-ABA5-808099963AD3}" type="pres">
      <dgm:prSet presAssocID="{A5FA8BEF-1414-400D-907C-10BEBE37107B}" presName="Accent3" presStyleCnt="0"/>
      <dgm:spPr/>
    </dgm:pt>
    <dgm:pt modelId="{899ECFA1-D649-443D-A3FC-92DF689CB0EE}" type="pres">
      <dgm:prSet presAssocID="{A5FA8BEF-1414-400D-907C-10BEBE37107B}" presName="Accent" presStyleLbl="bgShp" presStyleIdx="2" presStyleCnt="6"/>
      <dgm:spPr/>
    </dgm:pt>
    <dgm:pt modelId="{07A6AF28-734F-494B-805F-F5765C6C6C94}" type="pres">
      <dgm:prSet presAssocID="{A5FA8BEF-1414-400D-907C-10BEBE37107B}" presName="Child3" presStyleLbl="node1" presStyleIdx="2" presStyleCnt="6">
        <dgm:presLayoutVars>
          <dgm:chMax val="0"/>
          <dgm:chPref val="0"/>
          <dgm:bulletEnabled val="1"/>
        </dgm:presLayoutVars>
      </dgm:prSet>
      <dgm:spPr/>
    </dgm:pt>
    <dgm:pt modelId="{5941D3CE-1DE4-43DF-88C8-E04B66D839A3}" type="pres">
      <dgm:prSet presAssocID="{7AAC63AE-6AF5-464C-8D95-1AC8FAE6846B}" presName="Accent4" presStyleCnt="0"/>
      <dgm:spPr/>
    </dgm:pt>
    <dgm:pt modelId="{5B1A0C1F-C4AC-4E15-B4DD-86AAB38376A6}" type="pres">
      <dgm:prSet presAssocID="{7AAC63AE-6AF5-464C-8D95-1AC8FAE6846B}" presName="Accent" presStyleLbl="bgShp" presStyleIdx="3" presStyleCnt="6"/>
      <dgm:spPr/>
    </dgm:pt>
    <dgm:pt modelId="{60627EE4-F461-45CB-A4BF-10B43870DE4F}" type="pres">
      <dgm:prSet presAssocID="{7AAC63AE-6AF5-464C-8D95-1AC8FAE6846B}" presName="Child4" presStyleLbl="node1" presStyleIdx="3" presStyleCnt="6">
        <dgm:presLayoutVars>
          <dgm:chMax val="0"/>
          <dgm:chPref val="0"/>
          <dgm:bulletEnabled val="1"/>
        </dgm:presLayoutVars>
      </dgm:prSet>
      <dgm:spPr/>
    </dgm:pt>
    <dgm:pt modelId="{057D88A4-D236-4FA2-BEB8-7AA49A276A13}" type="pres">
      <dgm:prSet presAssocID="{8B432DB9-C43A-443F-9CB6-1F38C14245AC}" presName="Accent5" presStyleCnt="0"/>
      <dgm:spPr/>
    </dgm:pt>
    <dgm:pt modelId="{F4A4A3FD-7157-470A-B508-F80651E6B9D7}" type="pres">
      <dgm:prSet presAssocID="{8B432DB9-C43A-443F-9CB6-1F38C14245AC}" presName="Accent" presStyleLbl="bgShp" presStyleIdx="4" presStyleCnt="6"/>
      <dgm:spPr/>
    </dgm:pt>
    <dgm:pt modelId="{75BFE92A-7730-45E1-B12D-59A43CAFDF1F}" type="pres">
      <dgm:prSet presAssocID="{8B432DB9-C43A-443F-9CB6-1F38C14245AC}" presName="Child5" presStyleLbl="node1" presStyleIdx="4" presStyleCnt="6">
        <dgm:presLayoutVars>
          <dgm:chMax val="0"/>
          <dgm:chPref val="0"/>
          <dgm:bulletEnabled val="1"/>
        </dgm:presLayoutVars>
      </dgm:prSet>
      <dgm:spPr/>
    </dgm:pt>
    <dgm:pt modelId="{CFC5C8D9-1CF4-45EB-B040-FF061DBEA430}" type="pres">
      <dgm:prSet presAssocID="{B91298F8-A7C8-4FFD-9E1D-353C300D7B70}" presName="Accent6" presStyleCnt="0"/>
      <dgm:spPr/>
    </dgm:pt>
    <dgm:pt modelId="{52A1F08A-F964-46D8-957E-DB05060BFD6A}" type="pres">
      <dgm:prSet presAssocID="{B91298F8-A7C8-4FFD-9E1D-353C300D7B70}" presName="Accent" presStyleLbl="bgShp" presStyleIdx="5" presStyleCnt="6"/>
      <dgm:spPr/>
    </dgm:pt>
    <dgm:pt modelId="{2BCA6FDB-6914-4BBC-A94B-C0088BB0C251}" type="pres">
      <dgm:prSet presAssocID="{B91298F8-A7C8-4FFD-9E1D-353C300D7B70}" presName="Child6" presStyleLbl="node1" presStyleIdx="5" presStyleCnt="6">
        <dgm:presLayoutVars>
          <dgm:chMax val="0"/>
          <dgm:chPref val="0"/>
          <dgm:bulletEnabled val="1"/>
        </dgm:presLayoutVars>
      </dgm:prSet>
      <dgm:spPr/>
    </dgm:pt>
  </dgm:ptLst>
  <dgm:cxnLst>
    <dgm:cxn modelId="{DCB0B318-2FEC-4BAE-B35E-20B39B48AF9A}" type="presOf" srcId="{641A900D-1FAA-4B11-B4C7-872C39AF23BF}" destId="{98E9F4E5-AD5B-40C1-816C-13AEBD45BEF9}" srcOrd="0" destOrd="0" presId="urn:microsoft.com/office/officeart/2011/layout/HexagonRadial"/>
    <dgm:cxn modelId="{2D926919-798A-41B7-A95A-D51039C011A5}" type="presOf" srcId="{3F1E57F2-3D68-4547-99C0-94D93C3D0C30}" destId="{823DEF03-9E83-4BEC-AF4A-410CDA4F27D1}" srcOrd="0" destOrd="0" presId="urn:microsoft.com/office/officeart/2011/layout/HexagonRadial"/>
    <dgm:cxn modelId="{F0143823-ADC5-43F4-BD5B-BEA11443E8FE}" srcId="{3F1E57F2-3D68-4547-99C0-94D93C3D0C30}" destId="{641A900D-1FAA-4B11-B4C7-872C39AF23BF}" srcOrd="0" destOrd="0" parTransId="{9A371D8E-2289-4E99-BEB5-C0429C8D82E5}" sibTransId="{4B3511CE-949B-4023-8F11-448F7CCF1D53}"/>
    <dgm:cxn modelId="{FE7BC83D-7CC2-485B-96EC-FB37F0190BFE}" type="presOf" srcId="{A5FA8BEF-1414-400D-907C-10BEBE37107B}" destId="{07A6AF28-734F-494B-805F-F5765C6C6C94}" srcOrd="0" destOrd="0" presId="urn:microsoft.com/office/officeart/2011/layout/HexagonRadial"/>
    <dgm:cxn modelId="{1C5FEA3D-902F-4E2D-8C8B-FD9DED6E9633}" type="presOf" srcId="{05EB7791-129D-4DC6-90ED-BDEF2F9ECAC4}" destId="{FBF55043-6515-4914-88B6-BA70CD2AA200}" srcOrd="0" destOrd="0" presId="urn:microsoft.com/office/officeart/2011/layout/HexagonRadial"/>
    <dgm:cxn modelId="{B4A5CB5A-A253-4921-97CA-F66193800177}" srcId="{3F1E57F2-3D68-4547-99C0-94D93C3D0C30}" destId="{8B432DB9-C43A-443F-9CB6-1F38C14245AC}" srcOrd="4" destOrd="0" parTransId="{80023366-E5AD-4B69-AD9C-72F10C015C20}" sibTransId="{7D163652-216A-4E83-A4E0-58B7C54ACA0B}"/>
    <dgm:cxn modelId="{BB6A3866-594C-4C11-A03D-FCC99EE0A02C}" type="presOf" srcId="{7AAC63AE-6AF5-464C-8D95-1AC8FAE6846B}" destId="{60627EE4-F461-45CB-A4BF-10B43870DE4F}" srcOrd="0" destOrd="0" presId="urn:microsoft.com/office/officeart/2011/layout/HexagonRadial"/>
    <dgm:cxn modelId="{34F50978-7C59-472F-985E-6202DB11F06D}" srcId="{3F1E57F2-3D68-4547-99C0-94D93C3D0C30}" destId="{45419BD8-D5CF-4C5D-86C7-6299C1115EFA}" srcOrd="6" destOrd="0" parTransId="{A3638B0E-A013-4BD3-B5D7-9CF03BD80F4E}" sibTransId="{92D0881C-B2E3-4B08-8AD5-9175A2104EF6}"/>
    <dgm:cxn modelId="{37844782-2F26-4E68-821D-D71948B20311}" srcId="{05EB7791-129D-4DC6-90ED-BDEF2F9ECAC4}" destId="{3F1E57F2-3D68-4547-99C0-94D93C3D0C30}" srcOrd="0" destOrd="0" parTransId="{5052C0CB-F67A-470C-98D9-337EDF624F75}" sibTransId="{5A4058D9-19CA-47C7-8B55-97AF583E393D}"/>
    <dgm:cxn modelId="{E5123585-7ECB-4273-A2CC-4FF85550CF03}" type="presOf" srcId="{8B432DB9-C43A-443F-9CB6-1F38C14245AC}" destId="{75BFE92A-7730-45E1-B12D-59A43CAFDF1F}" srcOrd="0" destOrd="0" presId="urn:microsoft.com/office/officeart/2011/layout/HexagonRadial"/>
    <dgm:cxn modelId="{F7B3998E-A4C3-4449-A93E-05CC9A2EBEE9}" srcId="{3F1E57F2-3D68-4547-99C0-94D93C3D0C30}" destId="{7AAC63AE-6AF5-464C-8D95-1AC8FAE6846B}" srcOrd="3" destOrd="0" parTransId="{F44CA855-B279-4386-B746-C1440C2FACAE}" sibTransId="{7DDB909B-F83F-4F46-ADC2-F949BF909EEE}"/>
    <dgm:cxn modelId="{C30E2692-E6A1-4842-874A-F123F13C5657}" srcId="{3F1E57F2-3D68-4547-99C0-94D93C3D0C30}" destId="{A5FA8BEF-1414-400D-907C-10BEBE37107B}" srcOrd="2" destOrd="0" parTransId="{198C689E-1B55-4B62-87F5-227A2E2D3594}" sibTransId="{3EE7A272-0F60-4214-AB98-19EC64D276B5}"/>
    <dgm:cxn modelId="{E0C49FBA-DF3F-4143-90FC-0839812FF4AA}" type="presOf" srcId="{61DB00D2-8F18-46E8-9EA0-D876B4D84565}" destId="{E48A95CD-18B0-4F09-A67C-2B17C2A0A005}" srcOrd="0" destOrd="0" presId="urn:microsoft.com/office/officeart/2011/layout/HexagonRadial"/>
    <dgm:cxn modelId="{7B3E49C4-D4F4-4803-B527-0C490C70AEDB}" srcId="{3F1E57F2-3D68-4547-99C0-94D93C3D0C30}" destId="{61DB00D2-8F18-46E8-9EA0-D876B4D84565}" srcOrd="1" destOrd="0" parTransId="{116AD0D9-5721-4DFD-9CDA-504A8017175C}" sibTransId="{5DF98D57-6F40-4D41-9094-44BA380A1EB4}"/>
    <dgm:cxn modelId="{3F99F3C9-14B8-4401-92A4-21F71720BD0A}" type="presOf" srcId="{B91298F8-A7C8-4FFD-9E1D-353C300D7B70}" destId="{2BCA6FDB-6914-4BBC-A94B-C0088BB0C251}" srcOrd="0" destOrd="0" presId="urn:microsoft.com/office/officeart/2011/layout/HexagonRadial"/>
    <dgm:cxn modelId="{502B74D6-5D16-4D69-A7DB-97F78CAA4A95}" srcId="{3F1E57F2-3D68-4547-99C0-94D93C3D0C30}" destId="{B91298F8-A7C8-4FFD-9E1D-353C300D7B70}" srcOrd="5" destOrd="0" parTransId="{ADCD828D-69DA-40CB-814F-A20B7CBDFA68}" sibTransId="{983B30C8-2B9D-491F-AC4D-592CF556EBB1}"/>
    <dgm:cxn modelId="{EAAEC1BB-9C8B-43F8-BA84-52331C4691CD}" type="presParOf" srcId="{FBF55043-6515-4914-88B6-BA70CD2AA200}" destId="{823DEF03-9E83-4BEC-AF4A-410CDA4F27D1}" srcOrd="0" destOrd="0" presId="urn:microsoft.com/office/officeart/2011/layout/HexagonRadial"/>
    <dgm:cxn modelId="{412B25FC-80B3-4FAC-81E7-2565792129F3}" type="presParOf" srcId="{FBF55043-6515-4914-88B6-BA70CD2AA200}" destId="{A3DFFB83-4863-4DCC-AADD-F412E0CADC3B}" srcOrd="1" destOrd="0" presId="urn:microsoft.com/office/officeart/2011/layout/HexagonRadial"/>
    <dgm:cxn modelId="{E09C3014-91BD-4C05-97A3-4F717CE5B979}" type="presParOf" srcId="{A3DFFB83-4863-4DCC-AADD-F412E0CADC3B}" destId="{F4B82BDB-0BD3-4604-AD9F-2258B6417FCD}" srcOrd="0" destOrd="0" presId="urn:microsoft.com/office/officeart/2011/layout/HexagonRadial"/>
    <dgm:cxn modelId="{EB82137D-601D-4A39-ADF3-19363B1329C4}" type="presParOf" srcId="{FBF55043-6515-4914-88B6-BA70CD2AA200}" destId="{98E9F4E5-AD5B-40C1-816C-13AEBD45BEF9}" srcOrd="2" destOrd="0" presId="urn:microsoft.com/office/officeart/2011/layout/HexagonRadial"/>
    <dgm:cxn modelId="{CBF2487B-D720-4AB5-9D95-03EFC2F15113}" type="presParOf" srcId="{FBF55043-6515-4914-88B6-BA70CD2AA200}" destId="{305C14D8-017C-40BD-B018-DAE0780CAEE1}" srcOrd="3" destOrd="0" presId="urn:microsoft.com/office/officeart/2011/layout/HexagonRadial"/>
    <dgm:cxn modelId="{0928AF2E-951E-4B89-BF01-0F6F7C660601}" type="presParOf" srcId="{305C14D8-017C-40BD-B018-DAE0780CAEE1}" destId="{3D565B11-D245-423C-A967-619BF01A6223}" srcOrd="0" destOrd="0" presId="urn:microsoft.com/office/officeart/2011/layout/HexagonRadial"/>
    <dgm:cxn modelId="{DB930C17-27FE-4AB7-AA6B-EB7499C8CAC5}" type="presParOf" srcId="{FBF55043-6515-4914-88B6-BA70CD2AA200}" destId="{E48A95CD-18B0-4F09-A67C-2B17C2A0A005}" srcOrd="4" destOrd="0" presId="urn:microsoft.com/office/officeart/2011/layout/HexagonRadial"/>
    <dgm:cxn modelId="{F2ED935A-0AC9-4230-B929-0A2C81122FC8}" type="presParOf" srcId="{FBF55043-6515-4914-88B6-BA70CD2AA200}" destId="{17CE572B-E6EE-465E-ABA5-808099963AD3}" srcOrd="5" destOrd="0" presId="urn:microsoft.com/office/officeart/2011/layout/HexagonRadial"/>
    <dgm:cxn modelId="{C8110291-0CFA-46B6-B90E-7EC9734F0C92}" type="presParOf" srcId="{17CE572B-E6EE-465E-ABA5-808099963AD3}" destId="{899ECFA1-D649-443D-A3FC-92DF689CB0EE}" srcOrd="0" destOrd="0" presId="urn:microsoft.com/office/officeart/2011/layout/HexagonRadial"/>
    <dgm:cxn modelId="{F1743A6F-F294-4DCB-BB56-CE003FB55B8E}" type="presParOf" srcId="{FBF55043-6515-4914-88B6-BA70CD2AA200}" destId="{07A6AF28-734F-494B-805F-F5765C6C6C94}" srcOrd="6" destOrd="0" presId="urn:microsoft.com/office/officeart/2011/layout/HexagonRadial"/>
    <dgm:cxn modelId="{1DC5EA46-6F26-46A0-BB15-0C2302CDB97E}" type="presParOf" srcId="{FBF55043-6515-4914-88B6-BA70CD2AA200}" destId="{5941D3CE-1DE4-43DF-88C8-E04B66D839A3}" srcOrd="7" destOrd="0" presId="urn:microsoft.com/office/officeart/2011/layout/HexagonRadial"/>
    <dgm:cxn modelId="{1A329F69-3C63-485A-B519-195B5EA47DBC}" type="presParOf" srcId="{5941D3CE-1DE4-43DF-88C8-E04B66D839A3}" destId="{5B1A0C1F-C4AC-4E15-B4DD-86AAB38376A6}" srcOrd="0" destOrd="0" presId="urn:microsoft.com/office/officeart/2011/layout/HexagonRadial"/>
    <dgm:cxn modelId="{3056C3BD-5306-4D3B-BB5E-474989D14017}" type="presParOf" srcId="{FBF55043-6515-4914-88B6-BA70CD2AA200}" destId="{60627EE4-F461-45CB-A4BF-10B43870DE4F}" srcOrd="8" destOrd="0" presId="urn:microsoft.com/office/officeart/2011/layout/HexagonRadial"/>
    <dgm:cxn modelId="{5E15540D-E9F1-447C-90A8-747675C18DFF}" type="presParOf" srcId="{FBF55043-6515-4914-88B6-BA70CD2AA200}" destId="{057D88A4-D236-4FA2-BEB8-7AA49A276A13}" srcOrd="9" destOrd="0" presId="urn:microsoft.com/office/officeart/2011/layout/HexagonRadial"/>
    <dgm:cxn modelId="{550EDC79-4C6E-4444-9A67-8DCDA8FC3947}" type="presParOf" srcId="{057D88A4-D236-4FA2-BEB8-7AA49A276A13}" destId="{F4A4A3FD-7157-470A-B508-F80651E6B9D7}" srcOrd="0" destOrd="0" presId="urn:microsoft.com/office/officeart/2011/layout/HexagonRadial"/>
    <dgm:cxn modelId="{1382BA6E-2667-4C79-9756-74E8C472824D}" type="presParOf" srcId="{FBF55043-6515-4914-88B6-BA70CD2AA200}" destId="{75BFE92A-7730-45E1-B12D-59A43CAFDF1F}" srcOrd="10" destOrd="0" presId="urn:microsoft.com/office/officeart/2011/layout/HexagonRadial"/>
    <dgm:cxn modelId="{F004632B-533E-4B0A-9811-B3965B4B61C4}" type="presParOf" srcId="{FBF55043-6515-4914-88B6-BA70CD2AA200}" destId="{CFC5C8D9-1CF4-45EB-B040-FF061DBEA430}" srcOrd="11" destOrd="0" presId="urn:microsoft.com/office/officeart/2011/layout/HexagonRadial"/>
    <dgm:cxn modelId="{3C9D7E32-6624-4488-8CA6-774FF0E89A43}" type="presParOf" srcId="{CFC5C8D9-1CF4-45EB-B040-FF061DBEA430}" destId="{52A1F08A-F964-46D8-957E-DB05060BFD6A}" srcOrd="0" destOrd="0" presId="urn:microsoft.com/office/officeart/2011/layout/HexagonRadial"/>
    <dgm:cxn modelId="{85966D1D-3AD2-4199-85A3-760015A3C8B1}" type="presParOf" srcId="{FBF55043-6515-4914-88B6-BA70CD2AA200}" destId="{2BCA6FDB-6914-4BBC-A94B-C0088BB0C251}"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73D703B-AD4D-45A2-ABBF-923B2118E6C2}" type="doc">
      <dgm:prSet loTypeId="urn:microsoft.com/office/officeart/2005/8/layout/StepDownProcess" loCatId="process" qsTypeId="urn:microsoft.com/office/officeart/2005/8/quickstyle/simple1" qsCatId="simple" csTypeId="urn:microsoft.com/office/officeart/2005/8/colors/accent0_2" csCatId="mainScheme" phldr="1"/>
      <dgm:spPr/>
      <dgm:t>
        <a:bodyPr/>
        <a:lstStyle/>
        <a:p>
          <a:endParaRPr lang="en-US"/>
        </a:p>
      </dgm:t>
    </dgm:pt>
    <dgm:pt modelId="{34A15FD6-BD0F-41F7-AB38-EAFF5EB64011}">
      <dgm:prSet phldrT="[Text]"/>
      <dgm:spPr/>
      <dgm:t>
        <a:bodyPr/>
        <a:lstStyle/>
        <a:p>
          <a:r>
            <a:rPr lang="en-US"/>
            <a:t>Professional Behaviour</a:t>
          </a:r>
        </a:p>
      </dgm:t>
    </dgm:pt>
    <dgm:pt modelId="{9C98C003-7837-4026-81BC-1BCAAE80379D}" type="parTrans" cxnId="{D4F442B4-3483-4F2D-A2E7-5604C7D4494B}">
      <dgm:prSet/>
      <dgm:spPr/>
      <dgm:t>
        <a:bodyPr/>
        <a:lstStyle/>
        <a:p>
          <a:endParaRPr lang="en-US"/>
        </a:p>
      </dgm:t>
    </dgm:pt>
    <dgm:pt modelId="{1EFC747D-8A00-41F3-B0ED-D2A27016B8D6}" type="sibTrans" cxnId="{D4F442B4-3483-4F2D-A2E7-5604C7D4494B}">
      <dgm:prSet/>
      <dgm:spPr/>
      <dgm:t>
        <a:bodyPr/>
        <a:lstStyle/>
        <a:p>
          <a:endParaRPr lang="en-US"/>
        </a:p>
      </dgm:t>
    </dgm:pt>
    <dgm:pt modelId="{3DD58571-A53C-4CDF-8A56-44AE5A804C17}">
      <dgm:prSet phldrT="[Text]"/>
      <dgm:spPr/>
      <dgm:t>
        <a:bodyPr/>
        <a:lstStyle/>
        <a:p>
          <a:r>
            <a:rPr lang="en-US"/>
            <a:t>Managing self and personal skills</a:t>
          </a:r>
        </a:p>
      </dgm:t>
    </dgm:pt>
    <dgm:pt modelId="{9031006A-B375-4FB2-ADF0-75832552528D}" type="parTrans" cxnId="{96EA4BDD-D336-4A07-B1F9-E56E91CF3EFA}">
      <dgm:prSet/>
      <dgm:spPr/>
      <dgm:t>
        <a:bodyPr/>
        <a:lstStyle/>
        <a:p>
          <a:endParaRPr lang="en-US"/>
        </a:p>
      </dgm:t>
    </dgm:pt>
    <dgm:pt modelId="{D379D6B5-C5A6-4F91-A338-ACDE5136D01A}" type="sibTrans" cxnId="{96EA4BDD-D336-4A07-B1F9-E56E91CF3EFA}">
      <dgm:prSet/>
      <dgm:spPr/>
      <dgm:t>
        <a:bodyPr/>
        <a:lstStyle/>
        <a:p>
          <a:endParaRPr lang="en-US"/>
        </a:p>
      </dgm:t>
    </dgm:pt>
    <dgm:pt modelId="{8F65FF83-F133-427F-A2AD-F9ABFA0E8DA2}">
      <dgm:prSet phldrT="[Text]"/>
      <dgm:spPr/>
      <dgm:t>
        <a:bodyPr/>
        <a:lstStyle/>
        <a:p>
          <a:r>
            <a:rPr lang="en-US"/>
            <a:t>Delivering excellent service</a:t>
          </a:r>
        </a:p>
      </dgm:t>
    </dgm:pt>
    <dgm:pt modelId="{AE5AB944-CFC8-4D39-B56D-1990016DEF1D}" type="parTrans" cxnId="{21A8928C-280E-4CCB-BDC9-9C74B4738AB0}">
      <dgm:prSet/>
      <dgm:spPr/>
      <dgm:t>
        <a:bodyPr/>
        <a:lstStyle/>
        <a:p>
          <a:endParaRPr lang="en-US"/>
        </a:p>
      </dgm:t>
    </dgm:pt>
    <dgm:pt modelId="{FC018071-FE12-414A-B739-6C0FAA9D798E}" type="sibTrans" cxnId="{21A8928C-280E-4CCB-BDC9-9C74B4738AB0}">
      <dgm:prSet/>
      <dgm:spPr/>
      <dgm:t>
        <a:bodyPr/>
        <a:lstStyle/>
        <a:p>
          <a:endParaRPr lang="en-US"/>
        </a:p>
      </dgm:t>
    </dgm:pt>
    <dgm:pt modelId="{70430EEF-C55A-49A6-AE89-D283C03446F4}">
      <dgm:prSet phldrT="[Text]"/>
      <dgm:spPr/>
      <dgm:t>
        <a:bodyPr/>
        <a:lstStyle/>
        <a:p>
          <a:r>
            <a:rPr lang="en-US"/>
            <a:t>Achieving results</a:t>
          </a:r>
        </a:p>
      </dgm:t>
    </dgm:pt>
    <dgm:pt modelId="{58812A6C-9845-4D3A-AA19-10724E1C0C10}" type="parTrans" cxnId="{10A9C93E-8379-4F8E-84E5-21412DA01937}">
      <dgm:prSet/>
      <dgm:spPr/>
      <dgm:t>
        <a:bodyPr/>
        <a:lstStyle/>
        <a:p>
          <a:endParaRPr lang="en-US"/>
        </a:p>
      </dgm:t>
    </dgm:pt>
    <dgm:pt modelId="{F6B16CEC-7DEF-45AF-AAF7-2E11AD7FF40A}" type="sibTrans" cxnId="{10A9C93E-8379-4F8E-84E5-21412DA01937}">
      <dgm:prSet/>
      <dgm:spPr/>
      <dgm:t>
        <a:bodyPr/>
        <a:lstStyle/>
        <a:p>
          <a:endParaRPr lang="en-US"/>
        </a:p>
      </dgm:t>
    </dgm:pt>
    <dgm:pt modelId="{B0D184BB-FF7D-4FA5-B583-5E0792A09F5D}">
      <dgm:prSet phldrT="[Text]"/>
      <dgm:spPr/>
      <dgm:t>
        <a:bodyPr/>
        <a:lstStyle/>
        <a:p>
          <a:r>
            <a:rPr lang="en-US"/>
            <a:t>Embracing change</a:t>
          </a:r>
        </a:p>
      </dgm:t>
    </dgm:pt>
    <dgm:pt modelId="{82AEA29D-28C4-4CF6-B0B3-42BBE6F79D5B}" type="parTrans" cxnId="{9D7D301A-2608-46BD-9428-4F2EF29630E4}">
      <dgm:prSet/>
      <dgm:spPr/>
      <dgm:t>
        <a:bodyPr/>
        <a:lstStyle/>
        <a:p>
          <a:endParaRPr lang="en-US"/>
        </a:p>
      </dgm:t>
    </dgm:pt>
    <dgm:pt modelId="{E53F7418-7277-4C77-A269-641B862A3AA0}" type="sibTrans" cxnId="{9D7D301A-2608-46BD-9428-4F2EF29630E4}">
      <dgm:prSet/>
      <dgm:spPr/>
      <dgm:t>
        <a:bodyPr/>
        <a:lstStyle/>
        <a:p>
          <a:endParaRPr lang="en-US"/>
        </a:p>
      </dgm:t>
    </dgm:pt>
    <dgm:pt modelId="{34ED4C3A-417A-4807-99AB-BC506623EDD4}">
      <dgm:prSet phldrT="[Text]"/>
      <dgm:spPr/>
      <dgm:t>
        <a:bodyPr/>
        <a:lstStyle/>
        <a:p>
          <a:r>
            <a:rPr lang="en-US"/>
            <a:t>Using resource</a:t>
          </a:r>
        </a:p>
      </dgm:t>
    </dgm:pt>
    <dgm:pt modelId="{534C9499-DFF6-4294-A800-D5EAB1DE6E3F}" type="parTrans" cxnId="{0C12210B-4B3B-40E5-BEC6-A7E2E34CC36C}">
      <dgm:prSet/>
      <dgm:spPr/>
      <dgm:t>
        <a:bodyPr/>
        <a:lstStyle/>
        <a:p>
          <a:endParaRPr lang="en-US"/>
        </a:p>
      </dgm:t>
    </dgm:pt>
    <dgm:pt modelId="{0AFE5A10-D5B0-4474-A922-4D6ED922AB49}" type="sibTrans" cxnId="{0C12210B-4B3B-40E5-BEC6-A7E2E34CC36C}">
      <dgm:prSet/>
      <dgm:spPr/>
      <dgm:t>
        <a:bodyPr/>
        <a:lstStyle/>
        <a:p>
          <a:endParaRPr lang="en-US"/>
        </a:p>
      </dgm:t>
    </dgm:pt>
    <dgm:pt modelId="{0836A857-C631-4DEE-93E9-FEBEFD8713B6}">
      <dgm:prSet phldrT="[Text]"/>
      <dgm:spPr/>
      <dgm:t>
        <a:bodyPr/>
        <a:lstStyle/>
        <a:p>
          <a:r>
            <a:rPr lang="en-US"/>
            <a:t>Providing direction</a:t>
          </a:r>
        </a:p>
      </dgm:t>
    </dgm:pt>
    <dgm:pt modelId="{EAC54522-523B-45A0-8614-11A60103D0E3}" type="parTrans" cxnId="{52BEC0E9-F5BE-4B56-822F-32929113345C}">
      <dgm:prSet/>
      <dgm:spPr/>
      <dgm:t>
        <a:bodyPr/>
        <a:lstStyle/>
        <a:p>
          <a:endParaRPr lang="en-US"/>
        </a:p>
      </dgm:t>
    </dgm:pt>
    <dgm:pt modelId="{2D7A1563-AF14-4A0A-B80C-05307090160D}" type="sibTrans" cxnId="{52BEC0E9-F5BE-4B56-822F-32929113345C}">
      <dgm:prSet/>
      <dgm:spPr/>
      <dgm:t>
        <a:bodyPr/>
        <a:lstStyle/>
        <a:p>
          <a:endParaRPr lang="en-US"/>
        </a:p>
      </dgm:t>
    </dgm:pt>
    <dgm:pt modelId="{BA12964F-ECA7-4701-89D9-A57359E485E9}">
      <dgm:prSet phldrT="[Text]"/>
      <dgm:spPr/>
      <dgm:t>
        <a:bodyPr/>
        <a:lstStyle/>
        <a:p>
          <a:r>
            <a:rPr lang="en-US"/>
            <a:t>Working with people</a:t>
          </a:r>
        </a:p>
      </dgm:t>
    </dgm:pt>
    <dgm:pt modelId="{58CCF675-3C48-4D4B-9A07-0D864451E773}" type="parTrans" cxnId="{3C7D70C1-8087-449C-9D8E-724B4D0FF9B1}">
      <dgm:prSet/>
      <dgm:spPr/>
      <dgm:t>
        <a:bodyPr/>
        <a:lstStyle/>
        <a:p>
          <a:endParaRPr lang="en-US"/>
        </a:p>
      </dgm:t>
    </dgm:pt>
    <dgm:pt modelId="{7243C00C-19D6-4817-85AC-3981446694E3}" type="sibTrans" cxnId="{3C7D70C1-8087-449C-9D8E-724B4D0FF9B1}">
      <dgm:prSet/>
      <dgm:spPr/>
      <dgm:t>
        <a:bodyPr/>
        <a:lstStyle/>
        <a:p>
          <a:endParaRPr lang="en-US"/>
        </a:p>
      </dgm:t>
    </dgm:pt>
    <dgm:pt modelId="{3A88012D-82FA-4A0E-A95C-A7BD29AB0F33}">
      <dgm:prSet phldrT="[Text]"/>
      <dgm:spPr/>
      <dgm:t>
        <a:bodyPr/>
        <a:lstStyle/>
        <a:p>
          <a:r>
            <a:rPr lang="en-US"/>
            <a:t>Developing self and others</a:t>
          </a:r>
        </a:p>
      </dgm:t>
    </dgm:pt>
    <dgm:pt modelId="{B3F88DAB-868E-4EB0-833A-5F064613410A}" type="parTrans" cxnId="{15405526-F605-463B-AC22-B1DC3E03F7CA}">
      <dgm:prSet/>
      <dgm:spPr/>
      <dgm:t>
        <a:bodyPr/>
        <a:lstStyle/>
        <a:p>
          <a:endParaRPr lang="en-US"/>
        </a:p>
      </dgm:t>
    </dgm:pt>
    <dgm:pt modelId="{C924686D-CD88-488B-8470-CB8733E6E57B}" type="sibTrans" cxnId="{15405526-F605-463B-AC22-B1DC3E03F7CA}">
      <dgm:prSet/>
      <dgm:spPr/>
      <dgm:t>
        <a:bodyPr/>
        <a:lstStyle/>
        <a:p>
          <a:endParaRPr lang="en-US"/>
        </a:p>
      </dgm:t>
    </dgm:pt>
    <dgm:pt modelId="{24FC4738-0B27-420D-9000-46491D2882D0}">
      <dgm:prSet phldrT="[Text]"/>
      <dgm:spPr/>
      <dgm:t>
        <a:bodyPr/>
        <a:lstStyle/>
        <a:p>
          <a:r>
            <a:rPr lang="en-US"/>
            <a:t>Finding innovative solutions</a:t>
          </a:r>
        </a:p>
      </dgm:t>
    </dgm:pt>
    <dgm:pt modelId="{232320C3-93B6-46CD-B009-242CEB9B42F0}" type="parTrans" cxnId="{F4C394A8-0FF8-45A4-A253-0277AC29DE5F}">
      <dgm:prSet/>
      <dgm:spPr/>
      <dgm:t>
        <a:bodyPr/>
        <a:lstStyle/>
        <a:p>
          <a:endParaRPr lang="en-US"/>
        </a:p>
      </dgm:t>
    </dgm:pt>
    <dgm:pt modelId="{6F036F87-E9DF-4F13-88B1-A8ED71CD04B7}" type="sibTrans" cxnId="{F4C394A8-0FF8-45A4-A253-0277AC29DE5F}">
      <dgm:prSet/>
      <dgm:spPr/>
      <dgm:t>
        <a:bodyPr/>
        <a:lstStyle/>
        <a:p>
          <a:endParaRPr lang="en-US"/>
        </a:p>
      </dgm:t>
    </dgm:pt>
    <dgm:pt modelId="{01D0670D-DB88-477C-94F8-810714341D23}" type="pres">
      <dgm:prSet presAssocID="{E73D703B-AD4D-45A2-ABBF-923B2118E6C2}" presName="rootnode" presStyleCnt="0">
        <dgm:presLayoutVars>
          <dgm:chMax/>
          <dgm:chPref/>
          <dgm:dir/>
          <dgm:animLvl val="lvl"/>
        </dgm:presLayoutVars>
      </dgm:prSet>
      <dgm:spPr/>
    </dgm:pt>
    <dgm:pt modelId="{A422BB3D-9FC0-4A54-AE32-8F71743EF6A7}" type="pres">
      <dgm:prSet presAssocID="{34A15FD6-BD0F-41F7-AB38-EAFF5EB64011}" presName="composite" presStyleCnt="0"/>
      <dgm:spPr/>
    </dgm:pt>
    <dgm:pt modelId="{E2032ECA-DC80-44A2-A5BE-8C576B17545F}" type="pres">
      <dgm:prSet presAssocID="{34A15FD6-BD0F-41F7-AB38-EAFF5EB64011}" presName="bentUpArrow1" presStyleLbl="alignImgPlace1" presStyleIdx="0" presStyleCnt="9"/>
      <dgm:spPr/>
    </dgm:pt>
    <dgm:pt modelId="{B5CCD012-2725-4900-B3D2-362371175940}" type="pres">
      <dgm:prSet presAssocID="{34A15FD6-BD0F-41F7-AB38-EAFF5EB64011}" presName="ParentText" presStyleLbl="node1" presStyleIdx="0" presStyleCnt="10">
        <dgm:presLayoutVars>
          <dgm:chMax val="1"/>
          <dgm:chPref val="1"/>
          <dgm:bulletEnabled val="1"/>
        </dgm:presLayoutVars>
      </dgm:prSet>
      <dgm:spPr/>
    </dgm:pt>
    <dgm:pt modelId="{D2A1E57D-B91E-467B-A8B3-368AA4C5740A}" type="pres">
      <dgm:prSet presAssocID="{34A15FD6-BD0F-41F7-AB38-EAFF5EB64011}" presName="ChildText" presStyleLbl="revTx" presStyleIdx="0" presStyleCnt="9">
        <dgm:presLayoutVars>
          <dgm:chMax val="0"/>
          <dgm:chPref val="0"/>
          <dgm:bulletEnabled val="1"/>
        </dgm:presLayoutVars>
      </dgm:prSet>
      <dgm:spPr/>
    </dgm:pt>
    <dgm:pt modelId="{5ACA98B6-5C84-45A1-9EF2-C41A341D4F21}" type="pres">
      <dgm:prSet presAssocID="{1EFC747D-8A00-41F3-B0ED-D2A27016B8D6}" presName="sibTrans" presStyleCnt="0"/>
      <dgm:spPr/>
    </dgm:pt>
    <dgm:pt modelId="{B8F09040-A8AC-44C0-818A-1E4B73739DF0}" type="pres">
      <dgm:prSet presAssocID="{3DD58571-A53C-4CDF-8A56-44AE5A804C17}" presName="composite" presStyleCnt="0"/>
      <dgm:spPr/>
    </dgm:pt>
    <dgm:pt modelId="{780AB05E-20AF-4318-BE23-447E4F92DFBF}" type="pres">
      <dgm:prSet presAssocID="{3DD58571-A53C-4CDF-8A56-44AE5A804C17}" presName="bentUpArrow1" presStyleLbl="alignImgPlace1" presStyleIdx="1" presStyleCnt="9"/>
      <dgm:spPr/>
    </dgm:pt>
    <dgm:pt modelId="{8FE3B4FF-58B2-433A-B120-0BD94EC0D071}" type="pres">
      <dgm:prSet presAssocID="{3DD58571-A53C-4CDF-8A56-44AE5A804C17}" presName="ParentText" presStyleLbl="node1" presStyleIdx="1" presStyleCnt="10">
        <dgm:presLayoutVars>
          <dgm:chMax val="1"/>
          <dgm:chPref val="1"/>
          <dgm:bulletEnabled val="1"/>
        </dgm:presLayoutVars>
      </dgm:prSet>
      <dgm:spPr/>
    </dgm:pt>
    <dgm:pt modelId="{EF3AE4B7-64F4-4DEA-B6F1-1E41F4BBE5DA}" type="pres">
      <dgm:prSet presAssocID="{3DD58571-A53C-4CDF-8A56-44AE5A804C17}" presName="ChildText" presStyleLbl="revTx" presStyleIdx="1" presStyleCnt="9">
        <dgm:presLayoutVars>
          <dgm:chMax val="0"/>
          <dgm:chPref val="0"/>
          <dgm:bulletEnabled val="1"/>
        </dgm:presLayoutVars>
      </dgm:prSet>
      <dgm:spPr/>
    </dgm:pt>
    <dgm:pt modelId="{3F6CA567-FC69-458D-A4F5-40CFA52E3E53}" type="pres">
      <dgm:prSet presAssocID="{D379D6B5-C5A6-4F91-A338-ACDE5136D01A}" presName="sibTrans" presStyleCnt="0"/>
      <dgm:spPr/>
    </dgm:pt>
    <dgm:pt modelId="{2A6051C0-D116-471D-BBC3-2AC1649A0080}" type="pres">
      <dgm:prSet presAssocID="{8F65FF83-F133-427F-A2AD-F9ABFA0E8DA2}" presName="composite" presStyleCnt="0"/>
      <dgm:spPr/>
    </dgm:pt>
    <dgm:pt modelId="{5A20FD08-185A-4E09-BB78-FB92F99DAAB9}" type="pres">
      <dgm:prSet presAssocID="{8F65FF83-F133-427F-A2AD-F9ABFA0E8DA2}" presName="bentUpArrow1" presStyleLbl="alignImgPlace1" presStyleIdx="2" presStyleCnt="9"/>
      <dgm:spPr/>
    </dgm:pt>
    <dgm:pt modelId="{8567BF41-7671-4CDA-8B54-C831ED68AAEF}" type="pres">
      <dgm:prSet presAssocID="{8F65FF83-F133-427F-A2AD-F9ABFA0E8DA2}" presName="ParentText" presStyleLbl="node1" presStyleIdx="2" presStyleCnt="10">
        <dgm:presLayoutVars>
          <dgm:chMax val="1"/>
          <dgm:chPref val="1"/>
          <dgm:bulletEnabled val="1"/>
        </dgm:presLayoutVars>
      </dgm:prSet>
      <dgm:spPr/>
    </dgm:pt>
    <dgm:pt modelId="{BCE08723-F1AE-4BC6-8F5B-51C12C0AD47F}" type="pres">
      <dgm:prSet presAssocID="{8F65FF83-F133-427F-A2AD-F9ABFA0E8DA2}" presName="ChildText" presStyleLbl="revTx" presStyleIdx="2" presStyleCnt="9">
        <dgm:presLayoutVars>
          <dgm:chMax val="0"/>
          <dgm:chPref val="0"/>
          <dgm:bulletEnabled val="1"/>
        </dgm:presLayoutVars>
      </dgm:prSet>
      <dgm:spPr/>
    </dgm:pt>
    <dgm:pt modelId="{A7B64041-4575-4D74-AEC7-4DF5583D4B73}" type="pres">
      <dgm:prSet presAssocID="{FC018071-FE12-414A-B739-6C0FAA9D798E}" presName="sibTrans" presStyleCnt="0"/>
      <dgm:spPr/>
    </dgm:pt>
    <dgm:pt modelId="{8D9F56FB-974B-43CE-9CA2-3E680ADA7233}" type="pres">
      <dgm:prSet presAssocID="{70430EEF-C55A-49A6-AE89-D283C03446F4}" presName="composite" presStyleCnt="0"/>
      <dgm:spPr/>
    </dgm:pt>
    <dgm:pt modelId="{BF5D0D0A-09E8-49F1-954A-1C020A7A1EB1}" type="pres">
      <dgm:prSet presAssocID="{70430EEF-C55A-49A6-AE89-D283C03446F4}" presName="bentUpArrow1" presStyleLbl="alignImgPlace1" presStyleIdx="3" presStyleCnt="9"/>
      <dgm:spPr/>
    </dgm:pt>
    <dgm:pt modelId="{9E2ED37C-FD72-4238-809C-495549AD3A25}" type="pres">
      <dgm:prSet presAssocID="{70430EEF-C55A-49A6-AE89-D283C03446F4}" presName="ParentText" presStyleLbl="node1" presStyleIdx="3" presStyleCnt="10">
        <dgm:presLayoutVars>
          <dgm:chMax val="1"/>
          <dgm:chPref val="1"/>
          <dgm:bulletEnabled val="1"/>
        </dgm:presLayoutVars>
      </dgm:prSet>
      <dgm:spPr/>
    </dgm:pt>
    <dgm:pt modelId="{17064D5E-9DA5-416C-8027-B08DD7511515}" type="pres">
      <dgm:prSet presAssocID="{70430EEF-C55A-49A6-AE89-D283C03446F4}" presName="ChildText" presStyleLbl="revTx" presStyleIdx="3" presStyleCnt="9">
        <dgm:presLayoutVars>
          <dgm:chMax val="0"/>
          <dgm:chPref val="0"/>
          <dgm:bulletEnabled val="1"/>
        </dgm:presLayoutVars>
      </dgm:prSet>
      <dgm:spPr/>
    </dgm:pt>
    <dgm:pt modelId="{5FC14B56-8B73-43CF-AA1D-27BF217E9446}" type="pres">
      <dgm:prSet presAssocID="{F6B16CEC-7DEF-45AF-AAF7-2E11AD7FF40A}" presName="sibTrans" presStyleCnt="0"/>
      <dgm:spPr/>
    </dgm:pt>
    <dgm:pt modelId="{FFAD6C04-8901-46C6-BC4B-2F68AC3AC30A}" type="pres">
      <dgm:prSet presAssocID="{B0D184BB-FF7D-4FA5-B583-5E0792A09F5D}" presName="composite" presStyleCnt="0"/>
      <dgm:spPr/>
    </dgm:pt>
    <dgm:pt modelId="{353B5818-A0A7-409D-8241-EFCB788EC7C3}" type="pres">
      <dgm:prSet presAssocID="{B0D184BB-FF7D-4FA5-B583-5E0792A09F5D}" presName="bentUpArrow1" presStyleLbl="alignImgPlace1" presStyleIdx="4" presStyleCnt="9"/>
      <dgm:spPr/>
    </dgm:pt>
    <dgm:pt modelId="{BD7FED66-099F-4306-9628-F62A5CB6865C}" type="pres">
      <dgm:prSet presAssocID="{B0D184BB-FF7D-4FA5-B583-5E0792A09F5D}" presName="ParentText" presStyleLbl="node1" presStyleIdx="4" presStyleCnt="10">
        <dgm:presLayoutVars>
          <dgm:chMax val="1"/>
          <dgm:chPref val="1"/>
          <dgm:bulletEnabled val="1"/>
        </dgm:presLayoutVars>
      </dgm:prSet>
      <dgm:spPr/>
    </dgm:pt>
    <dgm:pt modelId="{E002655D-B9A4-44A4-8A9F-54648B5634A1}" type="pres">
      <dgm:prSet presAssocID="{B0D184BB-FF7D-4FA5-B583-5E0792A09F5D}" presName="ChildText" presStyleLbl="revTx" presStyleIdx="4" presStyleCnt="9">
        <dgm:presLayoutVars>
          <dgm:chMax val="0"/>
          <dgm:chPref val="0"/>
          <dgm:bulletEnabled val="1"/>
        </dgm:presLayoutVars>
      </dgm:prSet>
      <dgm:spPr/>
    </dgm:pt>
    <dgm:pt modelId="{B80CDD82-0919-446D-BA9C-8193B2D8BF77}" type="pres">
      <dgm:prSet presAssocID="{E53F7418-7277-4C77-A269-641B862A3AA0}" presName="sibTrans" presStyleCnt="0"/>
      <dgm:spPr/>
    </dgm:pt>
    <dgm:pt modelId="{05487155-90E9-4273-A5D7-5B2F90091CD9}" type="pres">
      <dgm:prSet presAssocID="{34ED4C3A-417A-4807-99AB-BC506623EDD4}" presName="composite" presStyleCnt="0"/>
      <dgm:spPr/>
    </dgm:pt>
    <dgm:pt modelId="{318D6C9D-6373-4F4F-A2BB-2F2E83D1ABC9}" type="pres">
      <dgm:prSet presAssocID="{34ED4C3A-417A-4807-99AB-BC506623EDD4}" presName="bentUpArrow1" presStyleLbl="alignImgPlace1" presStyleIdx="5" presStyleCnt="9"/>
      <dgm:spPr/>
    </dgm:pt>
    <dgm:pt modelId="{5A552567-B58D-4E16-977B-87E06E4D3E73}" type="pres">
      <dgm:prSet presAssocID="{34ED4C3A-417A-4807-99AB-BC506623EDD4}" presName="ParentText" presStyleLbl="node1" presStyleIdx="5" presStyleCnt="10">
        <dgm:presLayoutVars>
          <dgm:chMax val="1"/>
          <dgm:chPref val="1"/>
          <dgm:bulletEnabled val="1"/>
        </dgm:presLayoutVars>
      </dgm:prSet>
      <dgm:spPr/>
    </dgm:pt>
    <dgm:pt modelId="{2FC21ECC-8E47-4132-9F7B-4962EDA1F37C}" type="pres">
      <dgm:prSet presAssocID="{34ED4C3A-417A-4807-99AB-BC506623EDD4}" presName="ChildText" presStyleLbl="revTx" presStyleIdx="5" presStyleCnt="9">
        <dgm:presLayoutVars>
          <dgm:chMax val="0"/>
          <dgm:chPref val="0"/>
          <dgm:bulletEnabled val="1"/>
        </dgm:presLayoutVars>
      </dgm:prSet>
      <dgm:spPr/>
    </dgm:pt>
    <dgm:pt modelId="{F2B6E6F2-2D38-4C10-B8FF-CDB47258B23A}" type="pres">
      <dgm:prSet presAssocID="{0AFE5A10-D5B0-4474-A922-4D6ED922AB49}" presName="sibTrans" presStyleCnt="0"/>
      <dgm:spPr/>
    </dgm:pt>
    <dgm:pt modelId="{41971699-9C48-4AB0-8F4E-D4727F82A4EB}" type="pres">
      <dgm:prSet presAssocID="{0836A857-C631-4DEE-93E9-FEBEFD8713B6}" presName="composite" presStyleCnt="0"/>
      <dgm:spPr/>
    </dgm:pt>
    <dgm:pt modelId="{85009A0C-EBD1-4C4F-940B-04A17808BEC0}" type="pres">
      <dgm:prSet presAssocID="{0836A857-C631-4DEE-93E9-FEBEFD8713B6}" presName="bentUpArrow1" presStyleLbl="alignImgPlace1" presStyleIdx="6" presStyleCnt="9"/>
      <dgm:spPr/>
    </dgm:pt>
    <dgm:pt modelId="{1FCA9C32-944C-4541-911F-4697BE91404B}" type="pres">
      <dgm:prSet presAssocID="{0836A857-C631-4DEE-93E9-FEBEFD8713B6}" presName="ParentText" presStyleLbl="node1" presStyleIdx="6" presStyleCnt="10">
        <dgm:presLayoutVars>
          <dgm:chMax val="1"/>
          <dgm:chPref val="1"/>
          <dgm:bulletEnabled val="1"/>
        </dgm:presLayoutVars>
      </dgm:prSet>
      <dgm:spPr/>
    </dgm:pt>
    <dgm:pt modelId="{5E18368C-C018-4CF7-910D-1315D29B3429}" type="pres">
      <dgm:prSet presAssocID="{0836A857-C631-4DEE-93E9-FEBEFD8713B6}" presName="ChildText" presStyleLbl="revTx" presStyleIdx="6" presStyleCnt="9">
        <dgm:presLayoutVars>
          <dgm:chMax val="0"/>
          <dgm:chPref val="0"/>
          <dgm:bulletEnabled val="1"/>
        </dgm:presLayoutVars>
      </dgm:prSet>
      <dgm:spPr/>
    </dgm:pt>
    <dgm:pt modelId="{21284BC5-7E86-4BD3-9CF5-4F456BC52856}" type="pres">
      <dgm:prSet presAssocID="{2D7A1563-AF14-4A0A-B80C-05307090160D}" presName="sibTrans" presStyleCnt="0"/>
      <dgm:spPr/>
    </dgm:pt>
    <dgm:pt modelId="{BE09AB7B-4758-47C6-90B4-04AAAD84A494}" type="pres">
      <dgm:prSet presAssocID="{BA12964F-ECA7-4701-89D9-A57359E485E9}" presName="composite" presStyleCnt="0"/>
      <dgm:spPr/>
    </dgm:pt>
    <dgm:pt modelId="{29F08FC0-08C6-48E8-85BC-349F5E299650}" type="pres">
      <dgm:prSet presAssocID="{BA12964F-ECA7-4701-89D9-A57359E485E9}" presName="bentUpArrow1" presStyleLbl="alignImgPlace1" presStyleIdx="7" presStyleCnt="9"/>
      <dgm:spPr/>
    </dgm:pt>
    <dgm:pt modelId="{324180A9-DF50-4825-BD1F-28313D72C11D}" type="pres">
      <dgm:prSet presAssocID="{BA12964F-ECA7-4701-89D9-A57359E485E9}" presName="ParentText" presStyleLbl="node1" presStyleIdx="7" presStyleCnt="10">
        <dgm:presLayoutVars>
          <dgm:chMax val="1"/>
          <dgm:chPref val="1"/>
          <dgm:bulletEnabled val="1"/>
        </dgm:presLayoutVars>
      </dgm:prSet>
      <dgm:spPr/>
    </dgm:pt>
    <dgm:pt modelId="{224978CA-8AF3-4B41-94BA-1A63C94DF61A}" type="pres">
      <dgm:prSet presAssocID="{BA12964F-ECA7-4701-89D9-A57359E485E9}" presName="ChildText" presStyleLbl="revTx" presStyleIdx="7" presStyleCnt="9">
        <dgm:presLayoutVars>
          <dgm:chMax val="0"/>
          <dgm:chPref val="0"/>
          <dgm:bulletEnabled val="1"/>
        </dgm:presLayoutVars>
      </dgm:prSet>
      <dgm:spPr/>
    </dgm:pt>
    <dgm:pt modelId="{17AA6564-5945-4D8B-A471-679370EB6566}" type="pres">
      <dgm:prSet presAssocID="{7243C00C-19D6-4817-85AC-3981446694E3}" presName="sibTrans" presStyleCnt="0"/>
      <dgm:spPr/>
    </dgm:pt>
    <dgm:pt modelId="{38A1EC48-05C2-4BF6-932E-A7EEAD646675}" type="pres">
      <dgm:prSet presAssocID="{3A88012D-82FA-4A0E-A95C-A7BD29AB0F33}" presName="composite" presStyleCnt="0"/>
      <dgm:spPr/>
    </dgm:pt>
    <dgm:pt modelId="{D69CCF63-148D-4DFD-B318-D5FA5627084D}" type="pres">
      <dgm:prSet presAssocID="{3A88012D-82FA-4A0E-A95C-A7BD29AB0F33}" presName="bentUpArrow1" presStyleLbl="alignImgPlace1" presStyleIdx="8" presStyleCnt="9"/>
      <dgm:spPr/>
    </dgm:pt>
    <dgm:pt modelId="{97623932-8E7F-4095-80EA-A63A5D20E481}" type="pres">
      <dgm:prSet presAssocID="{3A88012D-82FA-4A0E-A95C-A7BD29AB0F33}" presName="ParentText" presStyleLbl="node1" presStyleIdx="8" presStyleCnt="10">
        <dgm:presLayoutVars>
          <dgm:chMax val="1"/>
          <dgm:chPref val="1"/>
          <dgm:bulletEnabled val="1"/>
        </dgm:presLayoutVars>
      </dgm:prSet>
      <dgm:spPr/>
    </dgm:pt>
    <dgm:pt modelId="{9E463007-2B9D-4C05-A567-E4B12655ACDE}" type="pres">
      <dgm:prSet presAssocID="{3A88012D-82FA-4A0E-A95C-A7BD29AB0F33}" presName="ChildText" presStyleLbl="revTx" presStyleIdx="8" presStyleCnt="9">
        <dgm:presLayoutVars>
          <dgm:chMax val="0"/>
          <dgm:chPref val="0"/>
          <dgm:bulletEnabled val="1"/>
        </dgm:presLayoutVars>
      </dgm:prSet>
      <dgm:spPr/>
    </dgm:pt>
    <dgm:pt modelId="{63FA4F63-8622-4B6B-880F-A33C79C352FA}" type="pres">
      <dgm:prSet presAssocID="{C924686D-CD88-488B-8470-CB8733E6E57B}" presName="sibTrans" presStyleCnt="0"/>
      <dgm:spPr/>
    </dgm:pt>
    <dgm:pt modelId="{3EB69363-AAAC-4FAB-9766-B62530E86E77}" type="pres">
      <dgm:prSet presAssocID="{24FC4738-0B27-420D-9000-46491D2882D0}" presName="composite" presStyleCnt="0"/>
      <dgm:spPr/>
    </dgm:pt>
    <dgm:pt modelId="{5A472404-EA70-4F44-BC35-811D2D4B81AA}" type="pres">
      <dgm:prSet presAssocID="{24FC4738-0B27-420D-9000-46491D2882D0}" presName="ParentText" presStyleLbl="node1" presStyleIdx="9" presStyleCnt="10">
        <dgm:presLayoutVars>
          <dgm:chMax val="1"/>
          <dgm:chPref val="1"/>
          <dgm:bulletEnabled val="1"/>
        </dgm:presLayoutVars>
      </dgm:prSet>
      <dgm:spPr/>
    </dgm:pt>
  </dgm:ptLst>
  <dgm:cxnLst>
    <dgm:cxn modelId="{AA681507-01E2-4075-BA80-65BA9228DC9B}" type="presOf" srcId="{B0D184BB-FF7D-4FA5-B583-5E0792A09F5D}" destId="{BD7FED66-099F-4306-9628-F62A5CB6865C}" srcOrd="0" destOrd="0" presId="urn:microsoft.com/office/officeart/2005/8/layout/StepDownProcess"/>
    <dgm:cxn modelId="{0C12210B-4B3B-40E5-BEC6-A7E2E34CC36C}" srcId="{E73D703B-AD4D-45A2-ABBF-923B2118E6C2}" destId="{34ED4C3A-417A-4807-99AB-BC506623EDD4}" srcOrd="5" destOrd="0" parTransId="{534C9499-DFF6-4294-A800-D5EAB1DE6E3F}" sibTransId="{0AFE5A10-D5B0-4474-A922-4D6ED922AB49}"/>
    <dgm:cxn modelId="{9D7D301A-2608-46BD-9428-4F2EF29630E4}" srcId="{E73D703B-AD4D-45A2-ABBF-923B2118E6C2}" destId="{B0D184BB-FF7D-4FA5-B583-5E0792A09F5D}" srcOrd="4" destOrd="0" parTransId="{82AEA29D-28C4-4CF6-B0B3-42BBE6F79D5B}" sibTransId="{E53F7418-7277-4C77-A269-641B862A3AA0}"/>
    <dgm:cxn modelId="{C6F4DB1A-0D71-4EE9-BEEA-6E88565E2D25}" type="presOf" srcId="{70430EEF-C55A-49A6-AE89-D283C03446F4}" destId="{9E2ED37C-FD72-4238-809C-495549AD3A25}" srcOrd="0" destOrd="0" presId="urn:microsoft.com/office/officeart/2005/8/layout/StepDownProcess"/>
    <dgm:cxn modelId="{15405526-F605-463B-AC22-B1DC3E03F7CA}" srcId="{E73D703B-AD4D-45A2-ABBF-923B2118E6C2}" destId="{3A88012D-82FA-4A0E-A95C-A7BD29AB0F33}" srcOrd="8" destOrd="0" parTransId="{B3F88DAB-868E-4EB0-833A-5F064613410A}" sibTransId="{C924686D-CD88-488B-8470-CB8733E6E57B}"/>
    <dgm:cxn modelId="{95CDE026-9018-4BF5-83A5-CAB7BCFD4C77}" type="presOf" srcId="{8F65FF83-F133-427F-A2AD-F9ABFA0E8DA2}" destId="{8567BF41-7671-4CDA-8B54-C831ED68AAEF}" srcOrd="0" destOrd="0" presId="urn:microsoft.com/office/officeart/2005/8/layout/StepDownProcess"/>
    <dgm:cxn modelId="{10A9C93E-8379-4F8E-84E5-21412DA01937}" srcId="{E73D703B-AD4D-45A2-ABBF-923B2118E6C2}" destId="{70430EEF-C55A-49A6-AE89-D283C03446F4}" srcOrd="3" destOrd="0" parTransId="{58812A6C-9845-4D3A-AA19-10724E1C0C10}" sibTransId="{F6B16CEC-7DEF-45AF-AAF7-2E11AD7FF40A}"/>
    <dgm:cxn modelId="{C6F67D7D-1CFC-4193-8128-30F0CAA5CBFB}" type="presOf" srcId="{34A15FD6-BD0F-41F7-AB38-EAFF5EB64011}" destId="{B5CCD012-2725-4900-B3D2-362371175940}" srcOrd="0" destOrd="0" presId="urn:microsoft.com/office/officeart/2005/8/layout/StepDownProcess"/>
    <dgm:cxn modelId="{21A8928C-280E-4CCB-BDC9-9C74B4738AB0}" srcId="{E73D703B-AD4D-45A2-ABBF-923B2118E6C2}" destId="{8F65FF83-F133-427F-A2AD-F9ABFA0E8DA2}" srcOrd="2" destOrd="0" parTransId="{AE5AB944-CFC8-4D39-B56D-1990016DEF1D}" sibTransId="{FC018071-FE12-414A-B739-6C0FAA9D798E}"/>
    <dgm:cxn modelId="{38E32BA1-0BB2-4ECC-94D1-3D5541F49C5B}" type="presOf" srcId="{0836A857-C631-4DEE-93E9-FEBEFD8713B6}" destId="{1FCA9C32-944C-4541-911F-4697BE91404B}" srcOrd="0" destOrd="0" presId="urn:microsoft.com/office/officeart/2005/8/layout/StepDownProcess"/>
    <dgm:cxn modelId="{F4C394A8-0FF8-45A4-A253-0277AC29DE5F}" srcId="{E73D703B-AD4D-45A2-ABBF-923B2118E6C2}" destId="{24FC4738-0B27-420D-9000-46491D2882D0}" srcOrd="9" destOrd="0" parTransId="{232320C3-93B6-46CD-B009-242CEB9B42F0}" sibTransId="{6F036F87-E9DF-4F13-88B1-A8ED71CD04B7}"/>
    <dgm:cxn modelId="{D4F442B4-3483-4F2D-A2E7-5604C7D4494B}" srcId="{E73D703B-AD4D-45A2-ABBF-923B2118E6C2}" destId="{34A15FD6-BD0F-41F7-AB38-EAFF5EB64011}" srcOrd="0" destOrd="0" parTransId="{9C98C003-7837-4026-81BC-1BCAAE80379D}" sibTransId="{1EFC747D-8A00-41F3-B0ED-D2A27016B8D6}"/>
    <dgm:cxn modelId="{3C7D70C1-8087-449C-9D8E-724B4D0FF9B1}" srcId="{E73D703B-AD4D-45A2-ABBF-923B2118E6C2}" destId="{BA12964F-ECA7-4701-89D9-A57359E485E9}" srcOrd="7" destOrd="0" parTransId="{58CCF675-3C48-4D4B-9A07-0D864451E773}" sibTransId="{7243C00C-19D6-4817-85AC-3981446694E3}"/>
    <dgm:cxn modelId="{CB1AEEC2-3E7F-4862-8FE7-BE1F7A8CE7BE}" type="presOf" srcId="{BA12964F-ECA7-4701-89D9-A57359E485E9}" destId="{324180A9-DF50-4825-BD1F-28313D72C11D}" srcOrd="0" destOrd="0" presId="urn:microsoft.com/office/officeart/2005/8/layout/StepDownProcess"/>
    <dgm:cxn modelId="{96EA4BDD-D336-4A07-B1F9-E56E91CF3EFA}" srcId="{E73D703B-AD4D-45A2-ABBF-923B2118E6C2}" destId="{3DD58571-A53C-4CDF-8A56-44AE5A804C17}" srcOrd="1" destOrd="0" parTransId="{9031006A-B375-4FB2-ADF0-75832552528D}" sibTransId="{D379D6B5-C5A6-4F91-A338-ACDE5136D01A}"/>
    <dgm:cxn modelId="{47927FE0-5F34-4D69-BDE6-D6E76EC24EC2}" type="presOf" srcId="{34ED4C3A-417A-4807-99AB-BC506623EDD4}" destId="{5A552567-B58D-4E16-977B-87E06E4D3E73}" srcOrd="0" destOrd="0" presId="urn:microsoft.com/office/officeart/2005/8/layout/StepDownProcess"/>
    <dgm:cxn modelId="{52BEC0E9-F5BE-4B56-822F-32929113345C}" srcId="{E73D703B-AD4D-45A2-ABBF-923B2118E6C2}" destId="{0836A857-C631-4DEE-93E9-FEBEFD8713B6}" srcOrd="6" destOrd="0" parTransId="{EAC54522-523B-45A0-8614-11A60103D0E3}" sibTransId="{2D7A1563-AF14-4A0A-B80C-05307090160D}"/>
    <dgm:cxn modelId="{9E734AEB-F691-43F0-84BB-E6B28D499EF3}" type="presOf" srcId="{3DD58571-A53C-4CDF-8A56-44AE5A804C17}" destId="{8FE3B4FF-58B2-433A-B120-0BD94EC0D071}" srcOrd="0" destOrd="0" presId="urn:microsoft.com/office/officeart/2005/8/layout/StepDownProcess"/>
    <dgm:cxn modelId="{5D4AAEF0-3F17-4ADB-8E1A-0D590EC2E59B}" type="presOf" srcId="{24FC4738-0B27-420D-9000-46491D2882D0}" destId="{5A472404-EA70-4F44-BC35-811D2D4B81AA}" srcOrd="0" destOrd="0" presId="urn:microsoft.com/office/officeart/2005/8/layout/StepDownProcess"/>
    <dgm:cxn modelId="{67D51DF3-1ADC-47A2-AA1D-8A02FDA55A2B}" type="presOf" srcId="{3A88012D-82FA-4A0E-A95C-A7BD29AB0F33}" destId="{97623932-8E7F-4095-80EA-A63A5D20E481}" srcOrd="0" destOrd="0" presId="urn:microsoft.com/office/officeart/2005/8/layout/StepDownProcess"/>
    <dgm:cxn modelId="{9242CCFC-8939-4E87-A658-0DA8446E98BF}" type="presOf" srcId="{E73D703B-AD4D-45A2-ABBF-923B2118E6C2}" destId="{01D0670D-DB88-477C-94F8-810714341D23}" srcOrd="0" destOrd="0" presId="urn:microsoft.com/office/officeart/2005/8/layout/StepDownProcess"/>
    <dgm:cxn modelId="{FD768880-328A-427B-A0B8-74000961FF20}" type="presParOf" srcId="{01D0670D-DB88-477C-94F8-810714341D23}" destId="{A422BB3D-9FC0-4A54-AE32-8F71743EF6A7}" srcOrd="0" destOrd="0" presId="urn:microsoft.com/office/officeart/2005/8/layout/StepDownProcess"/>
    <dgm:cxn modelId="{092945E0-E4E2-4FCE-9677-19F24F7EF6D0}" type="presParOf" srcId="{A422BB3D-9FC0-4A54-AE32-8F71743EF6A7}" destId="{E2032ECA-DC80-44A2-A5BE-8C576B17545F}" srcOrd="0" destOrd="0" presId="urn:microsoft.com/office/officeart/2005/8/layout/StepDownProcess"/>
    <dgm:cxn modelId="{940236C2-7ABF-47ED-829E-74136B3A86BD}" type="presParOf" srcId="{A422BB3D-9FC0-4A54-AE32-8F71743EF6A7}" destId="{B5CCD012-2725-4900-B3D2-362371175940}" srcOrd="1" destOrd="0" presId="urn:microsoft.com/office/officeart/2005/8/layout/StepDownProcess"/>
    <dgm:cxn modelId="{C2A9A631-F99B-46F0-9F18-8E24B2EF57DC}" type="presParOf" srcId="{A422BB3D-9FC0-4A54-AE32-8F71743EF6A7}" destId="{D2A1E57D-B91E-467B-A8B3-368AA4C5740A}" srcOrd="2" destOrd="0" presId="urn:microsoft.com/office/officeart/2005/8/layout/StepDownProcess"/>
    <dgm:cxn modelId="{DD2B9697-1503-41C9-AAD6-2DFE81995840}" type="presParOf" srcId="{01D0670D-DB88-477C-94F8-810714341D23}" destId="{5ACA98B6-5C84-45A1-9EF2-C41A341D4F21}" srcOrd="1" destOrd="0" presId="urn:microsoft.com/office/officeart/2005/8/layout/StepDownProcess"/>
    <dgm:cxn modelId="{B08706B1-E690-4571-B657-2FF2A3DD9792}" type="presParOf" srcId="{01D0670D-DB88-477C-94F8-810714341D23}" destId="{B8F09040-A8AC-44C0-818A-1E4B73739DF0}" srcOrd="2" destOrd="0" presId="urn:microsoft.com/office/officeart/2005/8/layout/StepDownProcess"/>
    <dgm:cxn modelId="{277961FE-BFA7-4865-A2F5-F4ACF78D1E25}" type="presParOf" srcId="{B8F09040-A8AC-44C0-818A-1E4B73739DF0}" destId="{780AB05E-20AF-4318-BE23-447E4F92DFBF}" srcOrd="0" destOrd="0" presId="urn:microsoft.com/office/officeart/2005/8/layout/StepDownProcess"/>
    <dgm:cxn modelId="{87C502B4-538F-4B6E-9113-8F14C99DF9A3}" type="presParOf" srcId="{B8F09040-A8AC-44C0-818A-1E4B73739DF0}" destId="{8FE3B4FF-58B2-433A-B120-0BD94EC0D071}" srcOrd="1" destOrd="0" presId="urn:microsoft.com/office/officeart/2005/8/layout/StepDownProcess"/>
    <dgm:cxn modelId="{0C11D39A-910A-4BB3-A00D-8480F28D5C55}" type="presParOf" srcId="{B8F09040-A8AC-44C0-818A-1E4B73739DF0}" destId="{EF3AE4B7-64F4-4DEA-B6F1-1E41F4BBE5DA}" srcOrd="2" destOrd="0" presId="urn:microsoft.com/office/officeart/2005/8/layout/StepDownProcess"/>
    <dgm:cxn modelId="{7D8FA269-8A54-47E6-ADBF-79A51AF2DB4A}" type="presParOf" srcId="{01D0670D-DB88-477C-94F8-810714341D23}" destId="{3F6CA567-FC69-458D-A4F5-40CFA52E3E53}" srcOrd="3" destOrd="0" presId="urn:microsoft.com/office/officeart/2005/8/layout/StepDownProcess"/>
    <dgm:cxn modelId="{C8A3E76E-0C48-4558-BCDB-3BBA0A2E80B1}" type="presParOf" srcId="{01D0670D-DB88-477C-94F8-810714341D23}" destId="{2A6051C0-D116-471D-BBC3-2AC1649A0080}" srcOrd="4" destOrd="0" presId="urn:microsoft.com/office/officeart/2005/8/layout/StepDownProcess"/>
    <dgm:cxn modelId="{0C2801A0-2361-4733-8753-8569698916A8}" type="presParOf" srcId="{2A6051C0-D116-471D-BBC3-2AC1649A0080}" destId="{5A20FD08-185A-4E09-BB78-FB92F99DAAB9}" srcOrd="0" destOrd="0" presId="urn:microsoft.com/office/officeart/2005/8/layout/StepDownProcess"/>
    <dgm:cxn modelId="{88FC8EC9-FD0D-437C-A8E1-C5E5A00A5D46}" type="presParOf" srcId="{2A6051C0-D116-471D-BBC3-2AC1649A0080}" destId="{8567BF41-7671-4CDA-8B54-C831ED68AAEF}" srcOrd="1" destOrd="0" presId="urn:microsoft.com/office/officeart/2005/8/layout/StepDownProcess"/>
    <dgm:cxn modelId="{F4EFE8E4-A118-4C21-A10F-8FADC2E07C42}" type="presParOf" srcId="{2A6051C0-D116-471D-BBC3-2AC1649A0080}" destId="{BCE08723-F1AE-4BC6-8F5B-51C12C0AD47F}" srcOrd="2" destOrd="0" presId="urn:microsoft.com/office/officeart/2005/8/layout/StepDownProcess"/>
    <dgm:cxn modelId="{D622E39B-CFBB-4A8E-863C-DE9D41063F5F}" type="presParOf" srcId="{01D0670D-DB88-477C-94F8-810714341D23}" destId="{A7B64041-4575-4D74-AEC7-4DF5583D4B73}" srcOrd="5" destOrd="0" presId="urn:microsoft.com/office/officeart/2005/8/layout/StepDownProcess"/>
    <dgm:cxn modelId="{076517CC-C1C9-4153-80F0-AC7B9AF839FE}" type="presParOf" srcId="{01D0670D-DB88-477C-94F8-810714341D23}" destId="{8D9F56FB-974B-43CE-9CA2-3E680ADA7233}" srcOrd="6" destOrd="0" presId="urn:microsoft.com/office/officeart/2005/8/layout/StepDownProcess"/>
    <dgm:cxn modelId="{396B93FE-6A87-48F6-931B-32E1CB7581D7}" type="presParOf" srcId="{8D9F56FB-974B-43CE-9CA2-3E680ADA7233}" destId="{BF5D0D0A-09E8-49F1-954A-1C020A7A1EB1}" srcOrd="0" destOrd="0" presId="urn:microsoft.com/office/officeart/2005/8/layout/StepDownProcess"/>
    <dgm:cxn modelId="{52D03F6B-5DC8-458C-8C24-433544D30903}" type="presParOf" srcId="{8D9F56FB-974B-43CE-9CA2-3E680ADA7233}" destId="{9E2ED37C-FD72-4238-809C-495549AD3A25}" srcOrd="1" destOrd="0" presId="urn:microsoft.com/office/officeart/2005/8/layout/StepDownProcess"/>
    <dgm:cxn modelId="{14A5B516-9B1D-4D5C-AD13-2C8691C4127E}" type="presParOf" srcId="{8D9F56FB-974B-43CE-9CA2-3E680ADA7233}" destId="{17064D5E-9DA5-416C-8027-B08DD7511515}" srcOrd="2" destOrd="0" presId="urn:microsoft.com/office/officeart/2005/8/layout/StepDownProcess"/>
    <dgm:cxn modelId="{E904253C-E005-4E58-B24D-37E51D7768E5}" type="presParOf" srcId="{01D0670D-DB88-477C-94F8-810714341D23}" destId="{5FC14B56-8B73-43CF-AA1D-27BF217E9446}" srcOrd="7" destOrd="0" presId="urn:microsoft.com/office/officeart/2005/8/layout/StepDownProcess"/>
    <dgm:cxn modelId="{83EC8956-AEDE-486D-8589-8DBBE40E1FC7}" type="presParOf" srcId="{01D0670D-DB88-477C-94F8-810714341D23}" destId="{FFAD6C04-8901-46C6-BC4B-2F68AC3AC30A}" srcOrd="8" destOrd="0" presId="urn:microsoft.com/office/officeart/2005/8/layout/StepDownProcess"/>
    <dgm:cxn modelId="{FB7301F3-D6E1-4A77-BE3B-A77AA4088BE8}" type="presParOf" srcId="{FFAD6C04-8901-46C6-BC4B-2F68AC3AC30A}" destId="{353B5818-A0A7-409D-8241-EFCB788EC7C3}" srcOrd="0" destOrd="0" presId="urn:microsoft.com/office/officeart/2005/8/layout/StepDownProcess"/>
    <dgm:cxn modelId="{BE07A1A4-4497-46FE-B4DD-BB24FD3ECBF8}" type="presParOf" srcId="{FFAD6C04-8901-46C6-BC4B-2F68AC3AC30A}" destId="{BD7FED66-099F-4306-9628-F62A5CB6865C}" srcOrd="1" destOrd="0" presId="urn:microsoft.com/office/officeart/2005/8/layout/StepDownProcess"/>
    <dgm:cxn modelId="{A7EB0689-EEE3-4FB8-9F28-4E043505B929}" type="presParOf" srcId="{FFAD6C04-8901-46C6-BC4B-2F68AC3AC30A}" destId="{E002655D-B9A4-44A4-8A9F-54648B5634A1}" srcOrd="2" destOrd="0" presId="urn:microsoft.com/office/officeart/2005/8/layout/StepDownProcess"/>
    <dgm:cxn modelId="{41778873-66AC-48B5-AE71-2AF4EA57B6EC}" type="presParOf" srcId="{01D0670D-DB88-477C-94F8-810714341D23}" destId="{B80CDD82-0919-446D-BA9C-8193B2D8BF77}" srcOrd="9" destOrd="0" presId="urn:microsoft.com/office/officeart/2005/8/layout/StepDownProcess"/>
    <dgm:cxn modelId="{AF8E246A-44B2-46CB-8938-263696770406}" type="presParOf" srcId="{01D0670D-DB88-477C-94F8-810714341D23}" destId="{05487155-90E9-4273-A5D7-5B2F90091CD9}" srcOrd="10" destOrd="0" presId="urn:microsoft.com/office/officeart/2005/8/layout/StepDownProcess"/>
    <dgm:cxn modelId="{8CA97B90-C7ED-4A5D-8D06-E9489337CEC4}" type="presParOf" srcId="{05487155-90E9-4273-A5D7-5B2F90091CD9}" destId="{318D6C9D-6373-4F4F-A2BB-2F2E83D1ABC9}" srcOrd="0" destOrd="0" presId="urn:microsoft.com/office/officeart/2005/8/layout/StepDownProcess"/>
    <dgm:cxn modelId="{4D76CA4C-856D-4D54-9668-EEFC3BADD871}" type="presParOf" srcId="{05487155-90E9-4273-A5D7-5B2F90091CD9}" destId="{5A552567-B58D-4E16-977B-87E06E4D3E73}" srcOrd="1" destOrd="0" presId="urn:microsoft.com/office/officeart/2005/8/layout/StepDownProcess"/>
    <dgm:cxn modelId="{AF8DFD5E-2E93-48E6-9871-2CFAE5181E70}" type="presParOf" srcId="{05487155-90E9-4273-A5D7-5B2F90091CD9}" destId="{2FC21ECC-8E47-4132-9F7B-4962EDA1F37C}" srcOrd="2" destOrd="0" presId="urn:microsoft.com/office/officeart/2005/8/layout/StepDownProcess"/>
    <dgm:cxn modelId="{2C928C57-4A77-4566-9414-FA75224E43F4}" type="presParOf" srcId="{01D0670D-DB88-477C-94F8-810714341D23}" destId="{F2B6E6F2-2D38-4C10-B8FF-CDB47258B23A}" srcOrd="11" destOrd="0" presId="urn:microsoft.com/office/officeart/2005/8/layout/StepDownProcess"/>
    <dgm:cxn modelId="{8A0EA62E-3C87-457A-8EC0-9DD2BF1DF02D}" type="presParOf" srcId="{01D0670D-DB88-477C-94F8-810714341D23}" destId="{41971699-9C48-4AB0-8F4E-D4727F82A4EB}" srcOrd="12" destOrd="0" presId="urn:microsoft.com/office/officeart/2005/8/layout/StepDownProcess"/>
    <dgm:cxn modelId="{814D6E6F-C757-4DF1-93A8-580DDA9001F4}" type="presParOf" srcId="{41971699-9C48-4AB0-8F4E-D4727F82A4EB}" destId="{85009A0C-EBD1-4C4F-940B-04A17808BEC0}" srcOrd="0" destOrd="0" presId="urn:microsoft.com/office/officeart/2005/8/layout/StepDownProcess"/>
    <dgm:cxn modelId="{3D164FD8-C9DF-49AD-9A52-3DC7E986F7DE}" type="presParOf" srcId="{41971699-9C48-4AB0-8F4E-D4727F82A4EB}" destId="{1FCA9C32-944C-4541-911F-4697BE91404B}" srcOrd="1" destOrd="0" presId="urn:microsoft.com/office/officeart/2005/8/layout/StepDownProcess"/>
    <dgm:cxn modelId="{D91478E7-691B-4464-B317-F60D7A03179C}" type="presParOf" srcId="{41971699-9C48-4AB0-8F4E-D4727F82A4EB}" destId="{5E18368C-C018-4CF7-910D-1315D29B3429}" srcOrd="2" destOrd="0" presId="urn:microsoft.com/office/officeart/2005/8/layout/StepDownProcess"/>
    <dgm:cxn modelId="{AB2BDDAD-CE07-45AB-9E10-4B430AFCFBA5}" type="presParOf" srcId="{01D0670D-DB88-477C-94F8-810714341D23}" destId="{21284BC5-7E86-4BD3-9CF5-4F456BC52856}" srcOrd="13" destOrd="0" presId="urn:microsoft.com/office/officeart/2005/8/layout/StepDownProcess"/>
    <dgm:cxn modelId="{0FC766E2-0797-4492-B568-68291B3E4212}" type="presParOf" srcId="{01D0670D-DB88-477C-94F8-810714341D23}" destId="{BE09AB7B-4758-47C6-90B4-04AAAD84A494}" srcOrd="14" destOrd="0" presId="urn:microsoft.com/office/officeart/2005/8/layout/StepDownProcess"/>
    <dgm:cxn modelId="{774F7385-5008-467D-A8E0-2696C708E8F2}" type="presParOf" srcId="{BE09AB7B-4758-47C6-90B4-04AAAD84A494}" destId="{29F08FC0-08C6-48E8-85BC-349F5E299650}" srcOrd="0" destOrd="0" presId="urn:microsoft.com/office/officeart/2005/8/layout/StepDownProcess"/>
    <dgm:cxn modelId="{1087DE0A-2074-41FC-B00C-6ED068BA9F2F}" type="presParOf" srcId="{BE09AB7B-4758-47C6-90B4-04AAAD84A494}" destId="{324180A9-DF50-4825-BD1F-28313D72C11D}" srcOrd="1" destOrd="0" presId="urn:microsoft.com/office/officeart/2005/8/layout/StepDownProcess"/>
    <dgm:cxn modelId="{A03BA61F-DFF9-472A-A52E-27F1ADF67138}" type="presParOf" srcId="{BE09AB7B-4758-47C6-90B4-04AAAD84A494}" destId="{224978CA-8AF3-4B41-94BA-1A63C94DF61A}" srcOrd="2" destOrd="0" presId="urn:microsoft.com/office/officeart/2005/8/layout/StepDownProcess"/>
    <dgm:cxn modelId="{3F600272-2DDD-45F3-9CC8-0BB2E6E8BA71}" type="presParOf" srcId="{01D0670D-DB88-477C-94F8-810714341D23}" destId="{17AA6564-5945-4D8B-A471-679370EB6566}" srcOrd="15" destOrd="0" presId="urn:microsoft.com/office/officeart/2005/8/layout/StepDownProcess"/>
    <dgm:cxn modelId="{51CF7A2B-B4AA-433B-A6FA-C5F69944E275}" type="presParOf" srcId="{01D0670D-DB88-477C-94F8-810714341D23}" destId="{38A1EC48-05C2-4BF6-932E-A7EEAD646675}" srcOrd="16" destOrd="0" presId="urn:microsoft.com/office/officeart/2005/8/layout/StepDownProcess"/>
    <dgm:cxn modelId="{1CFF2B7F-1F92-440D-9765-0506C55F5AAC}" type="presParOf" srcId="{38A1EC48-05C2-4BF6-932E-A7EEAD646675}" destId="{D69CCF63-148D-4DFD-B318-D5FA5627084D}" srcOrd="0" destOrd="0" presId="urn:microsoft.com/office/officeart/2005/8/layout/StepDownProcess"/>
    <dgm:cxn modelId="{C97D3C64-04FF-4D7B-B098-CD3CB81DA9C8}" type="presParOf" srcId="{38A1EC48-05C2-4BF6-932E-A7EEAD646675}" destId="{97623932-8E7F-4095-80EA-A63A5D20E481}" srcOrd="1" destOrd="0" presId="urn:microsoft.com/office/officeart/2005/8/layout/StepDownProcess"/>
    <dgm:cxn modelId="{3E9BFB76-E110-45F9-B721-05CD6AC63FB8}" type="presParOf" srcId="{38A1EC48-05C2-4BF6-932E-A7EEAD646675}" destId="{9E463007-2B9D-4C05-A567-E4B12655ACDE}" srcOrd="2" destOrd="0" presId="urn:microsoft.com/office/officeart/2005/8/layout/StepDownProcess"/>
    <dgm:cxn modelId="{F897E271-6875-43B8-9355-E4985D548D8C}" type="presParOf" srcId="{01D0670D-DB88-477C-94F8-810714341D23}" destId="{63FA4F63-8622-4B6B-880F-A33C79C352FA}" srcOrd="17" destOrd="0" presId="urn:microsoft.com/office/officeart/2005/8/layout/StepDownProcess"/>
    <dgm:cxn modelId="{23A8AF62-F25A-437E-8DE2-0052301D0347}" type="presParOf" srcId="{01D0670D-DB88-477C-94F8-810714341D23}" destId="{3EB69363-AAAC-4FAB-9766-B62530E86E77}" srcOrd="18" destOrd="0" presId="urn:microsoft.com/office/officeart/2005/8/layout/StepDownProcess"/>
    <dgm:cxn modelId="{FE94DC73-3C18-4872-83C5-B5304A8D6E2B}" type="presParOf" srcId="{3EB69363-AAAC-4FAB-9766-B62530E86E77}" destId="{5A472404-EA70-4F44-BC35-811D2D4B81AA}" srcOrd="0" destOrd="0" presId="urn:microsoft.com/office/officeart/2005/8/layout/StepDown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3DEF03-9E83-4BEC-AF4A-410CDA4F27D1}">
      <dsp:nvSpPr>
        <dsp:cNvPr id="0" name=""/>
        <dsp:cNvSpPr/>
      </dsp:nvSpPr>
      <dsp:spPr>
        <a:xfrm>
          <a:off x="2086903" y="1032449"/>
          <a:ext cx="1312287" cy="1135181"/>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Professional behaviour</a:t>
          </a:r>
        </a:p>
      </dsp:txBody>
      <dsp:txXfrm>
        <a:off x="2304367" y="1220564"/>
        <a:ext cx="877359" cy="758951"/>
      </dsp:txXfrm>
    </dsp:sp>
    <dsp:sp modelId="{3D565B11-D245-423C-A967-619BF01A6223}">
      <dsp:nvSpPr>
        <dsp:cNvPr id="0" name=""/>
        <dsp:cNvSpPr/>
      </dsp:nvSpPr>
      <dsp:spPr>
        <a:xfrm>
          <a:off x="2908647" y="489341"/>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E9F4E5-AD5B-40C1-816C-13AEBD45BEF9}">
      <dsp:nvSpPr>
        <dsp:cNvPr id="0" name=""/>
        <dsp:cNvSpPr/>
      </dsp:nvSpPr>
      <dsp:spPr>
        <a:xfrm>
          <a:off x="2207784" y="0"/>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Courtesy</a:t>
          </a:r>
        </a:p>
      </dsp:txBody>
      <dsp:txXfrm>
        <a:off x="2386002" y="154180"/>
        <a:ext cx="718974" cy="621996"/>
      </dsp:txXfrm>
    </dsp:sp>
    <dsp:sp modelId="{899ECFA1-D649-443D-A3FC-92DF689CB0EE}">
      <dsp:nvSpPr>
        <dsp:cNvPr id="0" name=""/>
        <dsp:cNvSpPr/>
      </dsp:nvSpPr>
      <dsp:spPr>
        <a:xfrm>
          <a:off x="3486493" y="1286880"/>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48A95CD-18B0-4F09-A67C-2B17C2A0A005}">
      <dsp:nvSpPr>
        <dsp:cNvPr id="0" name=""/>
        <dsp:cNvSpPr/>
      </dsp:nvSpPr>
      <dsp:spPr>
        <a:xfrm>
          <a:off x="3194060" y="572231"/>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Respext</a:t>
          </a:r>
        </a:p>
      </dsp:txBody>
      <dsp:txXfrm>
        <a:off x="3372278" y="726411"/>
        <a:ext cx="718974" cy="621996"/>
      </dsp:txXfrm>
    </dsp:sp>
    <dsp:sp modelId="{5B1A0C1F-C4AC-4E15-B4DD-86AAB38376A6}">
      <dsp:nvSpPr>
        <dsp:cNvPr id="0" name=""/>
        <dsp:cNvSpPr/>
      </dsp:nvSpPr>
      <dsp:spPr>
        <a:xfrm>
          <a:off x="3085084" y="2187153"/>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7A6AF28-734F-494B-805F-F5765C6C6C94}">
      <dsp:nvSpPr>
        <dsp:cNvPr id="0" name=""/>
        <dsp:cNvSpPr/>
      </dsp:nvSpPr>
      <dsp:spPr>
        <a:xfrm>
          <a:off x="3194060" y="1697172"/>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Appeal</a:t>
          </a:r>
        </a:p>
      </dsp:txBody>
      <dsp:txXfrm>
        <a:off x="3372278" y="1851352"/>
        <a:ext cx="718974" cy="621996"/>
      </dsp:txXfrm>
    </dsp:sp>
    <dsp:sp modelId="{F4A4A3FD-7157-470A-B508-F80651E6B9D7}">
      <dsp:nvSpPr>
        <dsp:cNvPr id="0" name=""/>
        <dsp:cNvSpPr/>
      </dsp:nvSpPr>
      <dsp:spPr>
        <a:xfrm>
          <a:off x="2089345" y="2280605"/>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27EE4-F461-45CB-A4BF-10B43870DE4F}">
      <dsp:nvSpPr>
        <dsp:cNvPr id="0" name=""/>
        <dsp:cNvSpPr/>
      </dsp:nvSpPr>
      <dsp:spPr>
        <a:xfrm>
          <a:off x="2207784" y="2270043"/>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Tollerance</a:t>
          </a:r>
        </a:p>
      </dsp:txBody>
      <dsp:txXfrm>
        <a:off x="2386002" y="2424223"/>
        <a:ext cx="718974" cy="621996"/>
      </dsp:txXfrm>
    </dsp:sp>
    <dsp:sp modelId="{52A1F08A-F964-46D8-957E-DB05060BFD6A}">
      <dsp:nvSpPr>
        <dsp:cNvPr id="0" name=""/>
        <dsp:cNvSpPr/>
      </dsp:nvSpPr>
      <dsp:spPr>
        <a:xfrm>
          <a:off x="1502036" y="1483385"/>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5BFE92A-7730-45E1-B12D-59A43CAFDF1F}">
      <dsp:nvSpPr>
        <dsp:cNvPr id="0" name=""/>
        <dsp:cNvSpPr/>
      </dsp:nvSpPr>
      <dsp:spPr>
        <a:xfrm>
          <a:off x="1216929" y="1697812"/>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Tact</a:t>
          </a:r>
        </a:p>
      </dsp:txBody>
      <dsp:txXfrm>
        <a:off x="1395147" y="1851992"/>
        <a:ext cx="718974" cy="621996"/>
      </dsp:txXfrm>
    </dsp:sp>
    <dsp:sp modelId="{2BCA6FDB-6914-4BBC-A94B-C0088BB0C251}">
      <dsp:nvSpPr>
        <dsp:cNvPr id="0" name=""/>
        <dsp:cNvSpPr/>
      </dsp:nvSpPr>
      <dsp:spPr>
        <a:xfrm>
          <a:off x="1216929" y="570951"/>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Honesty</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032ECA-DC80-44A2-A5BE-8C576B17545F}">
      <dsp:nvSpPr>
        <dsp:cNvPr id="0" name=""/>
        <dsp:cNvSpPr/>
      </dsp:nvSpPr>
      <dsp:spPr>
        <a:xfrm rot="5400000">
          <a:off x="94518" y="406117"/>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5CCD012-2725-4900-B3D2-362371175940}">
      <dsp:nvSpPr>
        <dsp:cNvPr id="0" name=""/>
        <dsp:cNvSpPr/>
      </dsp:nvSpPr>
      <dsp:spPr>
        <a:xfrm>
          <a:off x="1755" y="17991"/>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Professional Behaviour</a:t>
          </a:r>
        </a:p>
      </dsp:txBody>
      <dsp:txXfrm>
        <a:off x="21899" y="38135"/>
        <a:ext cx="549125" cy="372282"/>
      </dsp:txXfrm>
    </dsp:sp>
    <dsp:sp modelId="{D2A1E57D-B91E-467B-A8B3-368AA4C5740A}">
      <dsp:nvSpPr>
        <dsp:cNvPr id="0" name=""/>
        <dsp:cNvSpPr/>
      </dsp:nvSpPr>
      <dsp:spPr>
        <a:xfrm>
          <a:off x="591168" y="57339"/>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780AB05E-20AF-4318-BE23-447E4F92DFBF}">
      <dsp:nvSpPr>
        <dsp:cNvPr id="0" name=""/>
        <dsp:cNvSpPr/>
      </dsp:nvSpPr>
      <dsp:spPr>
        <a:xfrm rot="5400000">
          <a:off x="583204" y="869570"/>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FE3B4FF-58B2-433A-B120-0BD94EC0D071}">
      <dsp:nvSpPr>
        <dsp:cNvPr id="0" name=""/>
        <dsp:cNvSpPr/>
      </dsp:nvSpPr>
      <dsp:spPr>
        <a:xfrm>
          <a:off x="490441" y="481443"/>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Managing self and personal skills</a:t>
          </a:r>
        </a:p>
      </dsp:txBody>
      <dsp:txXfrm>
        <a:off x="510585" y="501587"/>
        <a:ext cx="549125" cy="372282"/>
      </dsp:txXfrm>
    </dsp:sp>
    <dsp:sp modelId="{EF3AE4B7-64F4-4DEA-B6F1-1E41F4BBE5DA}">
      <dsp:nvSpPr>
        <dsp:cNvPr id="0" name=""/>
        <dsp:cNvSpPr/>
      </dsp:nvSpPr>
      <dsp:spPr>
        <a:xfrm>
          <a:off x="1079854" y="520791"/>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5A20FD08-185A-4E09-BB78-FB92F99DAAB9}">
      <dsp:nvSpPr>
        <dsp:cNvPr id="0" name=""/>
        <dsp:cNvSpPr/>
      </dsp:nvSpPr>
      <dsp:spPr>
        <a:xfrm rot="5400000">
          <a:off x="1071890" y="1333022"/>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567BF41-7671-4CDA-8B54-C831ED68AAEF}">
      <dsp:nvSpPr>
        <dsp:cNvPr id="0" name=""/>
        <dsp:cNvSpPr/>
      </dsp:nvSpPr>
      <dsp:spPr>
        <a:xfrm>
          <a:off x="979127" y="944896"/>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Delivering excellent service</a:t>
          </a:r>
        </a:p>
      </dsp:txBody>
      <dsp:txXfrm>
        <a:off x="999271" y="965040"/>
        <a:ext cx="549125" cy="372282"/>
      </dsp:txXfrm>
    </dsp:sp>
    <dsp:sp modelId="{BCE08723-F1AE-4BC6-8F5B-51C12C0AD47F}">
      <dsp:nvSpPr>
        <dsp:cNvPr id="0" name=""/>
        <dsp:cNvSpPr/>
      </dsp:nvSpPr>
      <dsp:spPr>
        <a:xfrm>
          <a:off x="1568540" y="984244"/>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BF5D0D0A-09E8-49F1-954A-1C020A7A1EB1}">
      <dsp:nvSpPr>
        <dsp:cNvPr id="0" name=""/>
        <dsp:cNvSpPr/>
      </dsp:nvSpPr>
      <dsp:spPr>
        <a:xfrm rot="5400000">
          <a:off x="1560577" y="1796475"/>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E2ED37C-FD72-4238-809C-495549AD3A25}">
      <dsp:nvSpPr>
        <dsp:cNvPr id="0" name=""/>
        <dsp:cNvSpPr/>
      </dsp:nvSpPr>
      <dsp:spPr>
        <a:xfrm>
          <a:off x="1467813" y="1408348"/>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Achieving results</a:t>
          </a:r>
        </a:p>
      </dsp:txBody>
      <dsp:txXfrm>
        <a:off x="1487957" y="1428492"/>
        <a:ext cx="549125" cy="372282"/>
      </dsp:txXfrm>
    </dsp:sp>
    <dsp:sp modelId="{17064D5E-9DA5-416C-8027-B08DD7511515}">
      <dsp:nvSpPr>
        <dsp:cNvPr id="0" name=""/>
        <dsp:cNvSpPr/>
      </dsp:nvSpPr>
      <dsp:spPr>
        <a:xfrm>
          <a:off x="2057227" y="1447696"/>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353B5818-A0A7-409D-8241-EFCB788EC7C3}">
      <dsp:nvSpPr>
        <dsp:cNvPr id="0" name=""/>
        <dsp:cNvSpPr/>
      </dsp:nvSpPr>
      <dsp:spPr>
        <a:xfrm rot="5400000">
          <a:off x="2049263" y="2259927"/>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D7FED66-099F-4306-9628-F62A5CB6865C}">
      <dsp:nvSpPr>
        <dsp:cNvPr id="0" name=""/>
        <dsp:cNvSpPr/>
      </dsp:nvSpPr>
      <dsp:spPr>
        <a:xfrm>
          <a:off x="1956500" y="1871801"/>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Embracing change</a:t>
          </a:r>
        </a:p>
      </dsp:txBody>
      <dsp:txXfrm>
        <a:off x="1976644" y="1891945"/>
        <a:ext cx="549125" cy="372282"/>
      </dsp:txXfrm>
    </dsp:sp>
    <dsp:sp modelId="{E002655D-B9A4-44A4-8A9F-54648B5634A1}">
      <dsp:nvSpPr>
        <dsp:cNvPr id="0" name=""/>
        <dsp:cNvSpPr/>
      </dsp:nvSpPr>
      <dsp:spPr>
        <a:xfrm>
          <a:off x="2545913" y="1911149"/>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318D6C9D-6373-4F4F-A2BB-2F2E83D1ABC9}">
      <dsp:nvSpPr>
        <dsp:cNvPr id="0" name=""/>
        <dsp:cNvSpPr/>
      </dsp:nvSpPr>
      <dsp:spPr>
        <a:xfrm rot="5400000">
          <a:off x="2537949" y="2723380"/>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A552567-B58D-4E16-977B-87E06E4D3E73}">
      <dsp:nvSpPr>
        <dsp:cNvPr id="0" name=""/>
        <dsp:cNvSpPr/>
      </dsp:nvSpPr>
      <dsp:spPr>
        <a:xfrm>
          <a:off x="2445186" y="2335253"/>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Using resource</a:t>
          </a:r>
        </a:p>
      </dsp:txBody>
      <dsp:txXfrm>
        <a:off x="2465330" y="2355397"/>
        <a:ext cx="549125" cy="372282"/>
      </dsp:txXfrm>
    </dsp:sp>
    <dsp:sp modelId="{2FC21ECC-8E47-4132-9F7B-4962EDA1F37C}">
      <dsp:nvSpPr>
        <dsp:cNvPr id="0" name=""/>
        <dsp:cNvSpPr/>
      </dsp:nvSpPr>
      <dsp:spPr>
        <a:xfrm>
          <a:off x="3034599" y="2374601"/>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85009A0C-EBD1-4C4F-940B-04A17808BEC0}">
      <dsp:nvSpPr>
        <dsp:cNvPr id="0" name=""/>
        <dsp:cNvSpPr/>
      </dsp:nvSpPr>
      <dsp:spPr>
        <a:xfrm rot="5400000">
          <a:off x="3026636" y="3186832"/>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FCA9C32-944C-4541-911F-4697BE91404B}">
      <dsp:nvSpPr>
        <dsp:cNvPr id="0" name=""/>
        <dsp:cNvSpPr/>
      </dsp:nvSpPr>
      <dsp:spPr>
        <a:xfrm>
          <a:off x="2933872" y="2798706"/>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Providing direction</a:t>
          </a:r>
        </a:p>
      </dsp:txBody>
      <dsp:txXfrm>
        <a:off x="2954016" y="2818850"/>
        <a:ext cx="549125" cy="372282"/>
      </dsp:txXfrm>
    </dsp:sp>
    <dsp:sp modelId="{5E18368C-C018-4CF7-910D-1315D29B3429}">
      <dsp:nvSpPr>
        <dsp:cNvPr id="0" name=""/>
        <dsp:cNvSpPr/>
      </dsp:nvSpPr>
      <dsp:spPr>
        <a:xfrm>
          <a:off x="3523286" y="2838054"/>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29F08FC0-08C6-48E8-85BC-349F5E299650}">
      <dsp:nvSpPr>
        <dsp:cNvPr id="0" name=""/>
        <dsp:cNvSpPr/>
      </dsp:nvSpPr>
      <dsp:spPr>
        <a:xfrm rot="5400000">
          <a:off x="3515322" y="3650285"/>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24180A9-DF50-4825-BD1F-28313D72C11D}">
      <dsp:nvSpPr>
        <dsp:cNvPr id="0" name=""/>
        <dsp:cNvSpPr/>
      </dsp:nvSpPr>
      <dsp:spPr>
        <a:xfrm>
          <a:off x="3422559" y="3262158"/>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Working with people</a:t>
          </a:r>
        </a:p>
      </dsp:txBody>
      <dsp:txXfrm>
        <a:off x="3442703" y="3282302"/>
        <a:ext cx="549125" cy="372282"/>
      </dsp:txXfrm>
    </dsp:sp>
    <dsp:sp modelId="{224978CA-8AF3-4B41-94BA-1A63C94DF61A}">
      <dsp:nvSpPr>
        <dsp:cNvPr id="0" name=""/>
        <dsp:cNvSpPr/>
      </dsp:nvSpPr>
      <dsp:spPr>
        <a:xfrm>
          <a:off x="4011972" y="3301506"/>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D69CCF63-148D-4DFD-B318-D5FA5627084D}">
      <dsp:nvSpPr>
        <dsp:cNvPr id="0" name=""/>
        <dsp:cNvSpPr/>
      </dsp:nvSpPr>
      <dsp:spPr>
        <a:xfrm rot="5400000">
          <a:off x="4004008" y="4113737"/>
          <a:ext cx="350130" cy="398610"/>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7623932-8E7F-4095-80EA-A63A5D20E481}">
      <dsp:nvSpPr>
        <dsp:cNvPr id="0" name=""/>
        <dsp:cNvSpPr/>
      </dsp:nvSpPr>
      <dsp:spPr>
        <a:xfrm>
          <a:off x="3911245" y="3725611"/>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Developing self and others</a:t>
          </a:r>
        </a:p>
      </dsp:txBody>
      <dsp:txXfrm>
        <a:off x="3931389" y="3745755"/>
        <a:ext cx="549125" cy="372282"/>
      </dsp:txXfrm>
    </dsp:sp>
    <dsp:sp modelId="{9E463007-2B9D-4C05-A567-E4B12655ACDE}">
      <dsp:nvSpPr>
        <dsp:cNvPr id="0" name=""/>
        <dsp:cNvSpPr/>
      </dsp:nvSpPr>
      <dsp:spPr>
        <a:xfrm>
          <a:off x="4500658" y="3764959"/>
          <a:ext cx="428683" cy="333457"/>
        </a:xfrm>
        <a:prstGeom prst="rect">
          <a:avLst/>
        </a:prstGeom>
        <a:noFill/>
        <a:ln>
          <a:noFill/>
        </a:ln>
        <a:effectLst/>
      </dsp:spPr>
      <dsp:style>
        <a:lnRef idx="0">
          <a:scrgbClr r="0" g="0" b="0"/>
        </a:lnRef>
        <a:fillRef idx="0">
          <a:scrgbClr r="0" g="0" b="0"/>
        </a:fillRef>
        <a:effectRef idx="0">
          <a:scrgbClr r="0" g="0" b="0"/>
        </a:effectRef>
        <a:fontRef idx="minor"/>
      </dsp:style>
    </dsp:sp>
    <dsp:sp modelId="{5A472404-EA70-4F44-BC35-811D2D4B81AA}">
      <dsp:nvSpPr>
        <dsp:cNvPr id="0" name=""/>
        <dsp:cNvSpPr/>
      </dsp:nvSpPr>
      <dsp:spPr>
        <a:xfrm>
          <a:off x="4399931" y="4189063"/>
          <a:ext cx="589413" cy="41257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Finding innovative solutions</a:t>
          </a:r>
        </a:p>
      </dsp:txBody>
      <dsp:txXfrm>
        <a:off x="4420075" y="4209207"/>
        <a:ext cx="549125" cy="37228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D62FB-3669-49BC-875D-74B63D683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4049</Words>
  <Pages>17</Pages>
  <Characters>25258</Characters>
  <Application>WPS Office</Application>
  <DocSecurity>0</DocSecurity>
  <Paragraphs>188</Paragraphs>
  <ScaleCrop>false</ScaleCrop>
  <LinksUpToDate>false</LinksUpToDate>
  <CharactersWithSpaces>29191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2023-12-18T13:09:24Z</dcterms:created>
  <dc:creator>User</dc:creator>
  <lastModifiedBy>TECNO LG7n</lastModifiedBy>
  <dcterms:modified xsi:type="dcterms:W3CDTF">2023-12-18T13:09:24Z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d495057c3eac4e20b0d05b8041188118</vt:lpwstr>
  </property>
</Properties>
</file>