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C638A6" w:rsidRDefault="32ADAAF6" w:rsidP="00C638A6">
      <w:pPr>
        <w:spacing w:line="360" w:lineRule="auto"/>
        <w:jc w:val="center"/>
        <w:rPr>
          <w:rFonts w:ascii="Arial" w:hAnsi="Arial" w:cs="Arial"/>
          <w:sz w:val="22"/>
          <w:szCs w:val="22"/>
        </w:rPr>
      </w:pPr>
      <w:r w:rsidRPr="00C638A6">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C638A6" w:rsidRDefault="021F216E" w:rsidP="00C638A6">
      <w:pPr>
        <w:spacing w:line="360" w:lineRule="auto"/>
        <w:jc w:val="center"/>
        <w:rPr>
          <w:rFonts w:ascii="Arial" w:eastAsia="Arial Nova" w:hAnsi="Arial" w:cs="Arial"/>
          <w:sz w:val="22"/>
          <w:szCs w:val="22"/>
        </w:rPr>
      </w:pPr>
    </w:p>
    <w:p w14:paraId="3CC99A4D" w14:textId="7074DB94" w:rsidR="32ADAAF6" w:rsidRPr="00C638A6" w:rsidRDefault="32ADAAF6"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Cover Page</w:t>
      </w:r>
    </w:p>
    <w:p w14:paraId="4E381DD0" w14:textId="235ABDB1" w:rsidR="00C5009B" w:rsidRPr="00C638A6" w:rsidRDefault="00C5009B" w:rsidP="00C638A6">
      <w:pPr>
        <w:spacing w:line="360" w:lineRule="auto"/>
        <w:jc w:val="center"/>
        <w:rPr>
          <w:rFonts w:ascii="Arial" w:eastAsia="Arial Nova" w:hAnsi="Arial" w:cs="Arial"/>
          <w:sz w:val="22"/>
          <w:szCs w:val="22"/>
        </w:rPr>
      </w:pPr>
    </w:p>
    <w:p w14:paraId="7F4120B7" w14:textId="77777777" w:rsidR="00C5009B" w:rsidRPr="00C638A6"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BSc Health and Social Care</w:t>
      </w:r>
    </w:p>
    <w:p w14:paraId="5433AED7" w14:textId="24E7D7E2" w:rsidR="00C5009B" w:rsidRPr="00C638A6"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 xml:space="preserve">Module: </w:t>
      </w:r>
      <w:r w:rsidR="00DF1FB6" w:rsidRPr="00C638A6">
        <w:rPr>
          <w:rFonts w:ascii="Arial" w:eastAsia="Arial Nova" w:hAnsi="Arial" w:cs="Arial"/>
          <w:sz w:val="22"/>
          <w:szCs w:val="22"/>
        </w:rPr>
        <w:t>Protecting and Supporting Families in Health and Social Care</w:t>
      </w:r>
    </w:p>
    <w:p w14:paraId="1A5DF4AE" w14:textId="485895F5" w:rsidR="00C5009B" w:rsidRPr="00C638A6"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Module code: BMHP50</w:t>
      </w:r>
      <w:r w:rsidR="00DF1FB6" w:rsidRPr="00C638A6">
        <w:rPr>
          <w:rFonts w:ascii="Arial" w:eastAsia="Arial Nova" w:hAnsi="Arial" w:cs="Arial"/>
          <w:sz w:val="22"/>
          <w:szCs w:val="22"/>
        </w:rPr>
        <w:t>21</w:t>
      </w:r>
    </w:p>
    <w:p w14:paraId="2180745B" w14:textId="14ADADBC" w:rsidR="00C5009B" w:rsidRPr="00C638A6" w:rsidRDefault="00EF3E0E" w:rsidP="00C638A6">
      <w:pPr>
        <w:spacing w:line="360" w:lineRule="auto"/>
        <w:jc w:val="center"/>
        <w:rPr>
          <w:rFonts w:ascii="Arial" w:eastAsia="Arial Nova" w:hAnsi="Arial" w:cs="Arial"/>
          <w:b/>
          <w:bCs/>
          <w:sz w:val="22"/>
          <w:szCs w:val="22"/>
        </w:rPr>
      </w:pPr>
      <w:r w:rsidRPr="00C638A6">
        <w:rPr>
          <w:rFonts w:ascii="Arial" w:eastAsia="Arial Nova" w:hAnsi="Arial" w:cs="Arial"/>
          <w:b/>
          <w:bCs/>
          <w:sz w:val="22"/>
          <w:szCs w:val="22"/>
        </w:rPr>
        <w:t>Student:</w:t>
      </w:r>
      <w:r w:rsidR="00C5009B" w:rsidRPr="00C638A6">
        <w:rPr>
          <w:rFonts w:ascii="Arial" w:eastAsia="Arial Nova" w:hAnsi="Arial" w:cs="Arial"/>
          <w:b/>
          <w:bCs/>
          <w:sz w:val="22"/>
          <w:szCs w:val="22"/>
        </w:rPr>
        <w:t xml:space="preserve"> Arlette Kanga</w:t>
      </w:r>
    </w:p>
    <w:p w14:paraId="4A2F8645" w14:textId="77777777" w:rsidR="00EF3E0E" w:rsidRPr="00C638A6" w:rsidRDefault="00EF3E0E" w:rsidP="00C638A6">
      <w:pPr>
        <w:pStyle w:val="p1"/>
        <w:spacing w:line="360" w:lineRule="auto"/>
        <w:jc w:val="center"/>
        <w:rPr>
          <w:rFonts w:ascii="Arial" w:hAnsi="Arial" w:cs="Arial"/>
          <w:b/>
          <w:bCs/>
          <w:sz w:val="22"/>
          <w:szCs w:val="22"/>
        </w:rPr>
      </w:pPr>
      <w:r w:rsidRPr="00C638A6">
        <w:rPr>
          <w:rFonts w:ascii="Arial" w:hAnsi="Arial" w:cs="Arial"/>
          <w:b/>
          <w:bCs/>
          <w:sz w:val="22"/>
          <w:szCs w:val="22"/>
        </w:rPr>
        <w:t>Student Number: 2420910</w:t>
      </w:r>
    </w:p>
    <w:p w14:paraId="0D379CF6" w14:textId="4FF9DD4B" w:rsidR="00C5009B" w:rsidRPr="00C638A6"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Lecturer:</w:t>
      </w:r>
    </w:p>
    <w:p w14:paraId="298D3B32" w14:textId="77777777" w:rsidR="00C5009B" w:rsidRPr="00C638A6"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Internal Verifier:</w:t>
      </w:r>
    </w:p>
    <w:p w14:paraId="7AF1475B" w14:textId="719E7AF5" w:rsidR="00C5009B" w:rsidRPr="00C638A6" w:rsidRDefault="00DF1FB6"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Chloe Harries</w:t>
      </w:r>
    </w:p>
    <w:p w14:paraId="154B60ED" w14:textId="77777777" w:rsidR="00C5009B" w:rsidRPr="00C638A6"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Assignment Title:</w:t>
      </w:r>
    </w:p>
    <w:p w14:paraId="07D2291C" w14:textId="40EDEED2" w:rsidR="00C5009B" w:rsidRPr="00C638A6"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 xml:space="preserve">Component </w:t>
      </w:r>
      <w:r w:rsidR="00DF1FB6" w:rsidRPr="00C638A6">
        <w:rPr>
          <w:rFonts w:ascii="Arial" w:eastAsia="Arial Nova" w:hAnsi="Arial" w:cs="Arial"/>
          <w:sz w:val="22"/>
          <w:szCs w:val="22"/>
        </w:rPr>
        <w:t>2</w:t>
      </w:r>
      <w:r w:rsidRPr="00C638A6">
        <w:rPr>
          <w:rFonts w:ascii="Arial" w:eastAsia="Arial Nova" w:hAnsi="Arial" w:cs="Arial"/>
          <w:sz w:val="22"/>
          <w:szCs w:val="22"/>
        </w:rPr>
        <w:t xml:space="preserve">: </w:t>
      </w:r>
      <w:r w:rsidR="00DF1FB6" w:rsidRPr="00C638A6">
        <w:rPr>
          <w:rFonts w:ascii="Arial" w:eastAsia="Arial Nova" w:hAnsi="Arial" w:cs="Arial"/>
          <w:sz w:val="22"/>
          <w:szCs w:val="22"/>
        </w:rPr>
        <w:t>Written Report</w:t>
      </w:r>
    </w:p>
    <w:p w14:paraId="0274A2ED" w14:textId="77777777" w:rsidR="00C5009B" w:rsidRPr="00C638A6"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 xml:space="preserve">Word equivalent): count for 2,000 words (+/-10%) </w:t>
      </w:r>
    </w:p>
    <w:p w14:paraId="328CF35D" w14:textId="404022E7" w:rsidR="00C5009B" w:rsidRPr="00C638A6"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t xml:space="preserve">Submission deadline: Monday </w:t>
      </w:r>
      <w:r w:rsidR="00DF1FB6" w:rsidRPr="00C638A6">
        <w:rPr>
          <w:rFonts w:ascii="Arial" w:eastAsia="Arial Nova" w:hAnsi="Arial" w:cs="Arial"/>
          <w:sz w:val="22"/>
          <w:szCs w:val="22"/>
        </w:rPr>
        <w:t>20</w:t>
      </w:r>
      <w:r w:rsidR="00DF1FB6" w:rsidRPr="00C638A6">
        <w:rPr>
          <w:rFonts w:ascii="Arial" w:eastAsia="Arial Nova" w:hAnsi="Arial" w:cs="Arial"/>
          <w:sz w:val="22"/>
          <w:szCs w:val="22"/>
          <w:vertAlign w:val="superscript"/>
        </w:rPr>
        <w:t>th</w:t>
      </w:r>
      <w:r w:rsidRPr="00C638A6">
        <w:rPr>
          <w:rFonts w:ascii="Arial" w:eastAsia="Arial Nova" w:hAnsi="Arial" w:cs="Arial"/>
          <w:sz w:val="22"/>
          <w:szCs w:val="22"/>
        </w:rPr>
        <w:t xml:space="preserve"> July 2026 </w:t>
      </w:r>
    </w:p>
    <w:p w14:paraId="50D42934" w14:textId="77777777" w:rsidR="004368B8" w:rsidRDefault="00C5009B" w:rsidP="00C638A6">
      <w:pPr>
        <w:spacing w:line="360" w:lineRule="auto"/>
        <w:jc w:val="center"/>
        <w:rPr>
          <w:rFonts w:ascii="Arial" w:eastAsia="Arial Nova" w:hAnsi="Arial" w:cs="Arial"/>
          <w:sz w:val="22"/>
          <w:szCs w:val="22"/>
        </w:rPr>
      </w:pPr>
      <w:r w:rsidRPr="00C638A6">
        <w:rPr>
          <w:rFonts w:ascii="Arial" w:eastAsia="Arial Nova" w:hAnsi="Arial" w:cs="Arial"/>
          <w:sz w:val="22"/>
          <w:szCs w:val="22"/>
        </w:rPr>
        <w:br w:type="page"/>
      </w:r>
    </w:p>
    <w:p w14:paraId="33AE2787" w14:textId="77777777" w:rsidR="004368B8" w:rsidRDefault="004368B8" w:rsidP="00C638A6">
      <w:pPr>
        <w:spacing w:line="360" w:lineRule="auto"/>
        <w:jc w:val="center"/>
        <w:rPr>
          <w:rFonts w:ascii="Arial" w:eastAsia="Arial Nova" w:hAnsi="Arial" w:cs="Arial"/>
          <w:sz w:val="22"/>
          <w:szCs w:val="22"/>
        </w:rPr>
      </w:pPr>
    </w:p>
    <w:p w14:paraId="4694BB1A" w14:textId="763D95F1" w:rsidR="002E5B0F" w:rsidRPr="00C638A6" w:rsidRDefault="002E5B0F" w:rsidP="00C638A6">
      <w:pPr>
        <w:spacing w:line="360" w:lineRule="auto"/>
        <w:jc w:val="center"/>
        <w:rPr>
          <w:rFonts w:ascii="Arial" w:eastAsia="Arial Nova" w:hAnsi="Arial" w:cs="Arial"/>
          <w:b/>
          <w:bCs/>
          <w:sz w:val="22"/>
          <w:szCs w:val="22"/>
        </w:rPr>
      </w:pPr>
      <w:r w:rsidRPr="00C638A6">
        <w:rPr>
          <w:rFonts w:ascii="Arial" w:eastAsia="Arial Nova" w:hAnsi="Arial" w:cs="Arial"/>
          <w:b/>
          <w:bCs/>
        </w:rPr>
        <w:t>An Examination and Analysis of How the ‘Early Help’ System Is Signposted to UK Families by Local Authority Websites</w:t>
      </w:r>
    </w:p>
    <w:p w14:paraId="1D7AD1BF" w14:textId="77777777" w:rsidR="00C473B4" w:rsidRPr="00C638A6" w:rsidRDefault="00C473B4" w:rsidP="00C638A6">
      <w:pPr>
        <w:spacing w:line="360" w:lineRule="auto"/>
        <w:jc w:val="both"/>
        <w:rPr>
          <w:rFonts w:ascii="Arial" w:eastAsia="Arial Nova" w:hAnsi="Arial" w:cs="Arial"/>
          <w:sz w:val="22"/>
          <w:szCs w:val="22"/>
        </w:rPr>
      </w:pPr>
    </w:p>
    <w:p w14:paraId="3F200C93" w14:textId="77777777" w:rsidR="004368B8" w:rsidRDefault="004368B8" w:rsidP="00C638A6">
      <w:pPr>
        <w:spacing w:line="360" w:lineRule="auto"/>
        <w:jc w:val="both"/>
        <w:rPr>
          <w:rFonts w:ascii="Arial" w:eastAsia="Arial Nova" w:hAnsi="Arial" w:cs="Arial"/>
          <w:sz w:val="22"/>
          <w:szCs w:val="22"/>
        </w:rPr>
      </w:pPr>
    </w:p>
    <w:p w14:paraId="52DAC12A" w14:textId="5B2F42BC"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1. Introduction</w:t>
      </w:r>
    </w:p>
    <w:p w14:paraId="1F74E30F" w14:textId="044D3131" w:rsidR="00C638A6" w:rsidRDefault="00C638A6"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This report examines how three English local authorities communicate Early Help and preventative family support services through their public-facing websites: Norfolk County Council, Leeds City Council, and Tower Hamlets Council. Rather than focusing purely on aesthetic web design, the analysis evaluates whether digital signposting effectively enables families and practitioners to identify needs early, comprehend local thresholds, and access support without avoidable delay. In modern public service delivery, digital information functions as the primary gateway to early intervention. However, access to these online spaces is inherently mediated by language barriers, digital literacy, and socioeconomic inequality. This report therefore treats local authority websites as active components of the wider safeguarding ecology rather than neutral administrative directories. By comparing their digital pathways, the report identifies structural strengths and weaknesses, offering strategic recommendations to ensure a more accessible, integrated, and family-centered "no wrong door" digital front door.</w:t>
      </w:r>
    </w:p>
    <w:p w14:paraId="325A29C7" w14:textId="77777777" w:rsidR="00C638A6" w:rsidRDefault="00C638A6" w:rsidP="00C638A6">
      <w:pPr>
        <w:spacing w:line="360" w:lineRule="auto"/>
        <w:rPr>
          <w:rFonts w:ascii="Arial" w:eastAsia="Arial Nova" w:hAnsi="Arial" w:cs="Arial"/>
          <w:sz w:val="22"/>
          <w:szCs w:val="22"/>
        </w:rPr>
      </w:pPr>
    </w:p>
    <w:p w14:paraId="72F0A15E" w14:textId="3B01374C" w:rsidR="00C473B4" w:rsidRPr="00C638A6" w:rsidRDefault="002E5B0F" w:rsidP="00C638A6">
      <w:pPr>
        <w:spacing w:line="360" w:lineRule="auto"/>
        <w:rPr>
          <w:rFonts w:ascii="Arial" w:eastAsia="Arial Nova" w:hAnsi="Arial" w:cs="Arial"/>
          <w:sz w:val="22"/>
          <w:szCs w:val="22"/>
        </w:rPr>
      </w:pPr>
      <w:r w:rsidRPr="00C638A6">
        <w:rPr>
          <w:rFonts w:ascii="Arial" w:eastAsia="Arial Nova" w:hAnsi="Arial" w:cs="Arial"/>
          <w:sz w:val="22"/>
          <w:szCs w:val="22"/>
        </w:rPr>
        <w:t>2. Explanation of the Early Help System</w:t>
      </w:r>
    </w:p>
    <w:p w14:paraId="55727478" w14:textId="77777777" w:rsidR="0049133E" w:rsidRPr="0049133E" w:rsidRDefault="0049133E" w:rsidP="0049133E">
      <w:pPr>
        <w:spacing w:line="360" w:lineRule="auto"/>
        <w:jc w:val="both"/>
        <w:rPr>
          <w:rFonts w:ascii="Arial" w:eastAsia="Arial Nova" w:hAnsi="Arial" w:cs="Arial"/>
          <w:sz w:val="22"/>
          <w:szCs w:val="22"/>
        </w:rPr>
      </w:pPr>
      <w:r w:rsidRPr="0049133E">
        <w:rPr>
          <w:rFonts w:ascii="Arial" w:eastAsia="Arial Nova" w:hAnsi="Arial" w:cs="Arial"/>
          <w:sz w:val="22"/>
          <w:szCs w:val="22"/>
        </w:rPr>
        <w:t xml:space="preserve">Early Help is best understood as a preventative, relational and system-wide response to emerging family </w:t>
      </w:r>
      <w:proofErr w:type="gramStart"/>
      <w:r w:rsidRPr="0049133E">
        <w:rPr>
          <w:rFonts w:ascii="Arial" w:eastAsia="Arial Nova" w:hAnsi="Arial" w:cs="Arial"/>
          <w:sz w:val="22"/>
          <w:szCs w:val="22"/>
        </w:rPr>
        <w:t>need</w:t>
      </w:r>
      <w:proofErr w:type="gramEnd"/>
      <w:r w:rsidRPr="0049133E">
        <w:rPr>
          <w:rFonts w:ascii="Arial" w:eastAsia="Arial Nova" w:hAnsi="Arial" w:cs="Arial"/>
          <w:sz w:val="22"/>
          <w:szCs w:val="22"/>
        </w:rPr>
        <w:t xml:space="preserve"> rather than a discrete service. The Early Help System Guide defines it as “the total support that improves a family’s resilience and outcomes or reduces the chance of a problem getting worse”, while also stressing that it is “not a single service” but a network of services, processes and interactions spanning universal, community and targeted provision (Department for Levelling Up, Housing and Communities, 2022). Working Together to Safeguard Children 2023 similarly places Early Help within the statutory expectation that agencies identify children and families who would benefit from support and provide timely assistance before harm intensifies (Department for Education, 2023).</w:t>
      </w:r>
    </w:p>
    <w:p w14:paraId="22EB0174" w14:textId="77777777" w:rsidR="0049133E" w:rsidRPr="0049133E" w:rsidRDefault="0049133E" w:rsidP="0049133E">
      <w:pPr>
        <w:spacing w:line="360" w:lineRule="auto"/>
        <w:jc w:val="both"/>
        <w:rPr>
          <w:rFonts w:ascii="Arial" w:eastAsia="Arial Nova" w:hAnsi="Arial" w:cs="Arial"/>
          <w:sz w:val="22"/>
          <w:szCs w:val="22"/>
        </w:rPr>
      </w:pPr>
      <w:r w:rsidRPr="0049133E">
        <w:rPr>
          <w:rFonts w:ascii="Arial" w:eastAsia="Arial Nova" w:hAnsi="Arial" w:cs="Arial"/>
          <w:sz w:val="22"/>
          <w:szCs w:val="22"/>
        </w:rPr>
        <w:t xml:space="preserve">In practice, Early Help usually occupies Levels 2 and 3 of local threshold models: concerns are more complex than can be managed by universal provision alone, but do not yet require statutory intervention under section 17 or section 47 of the Children Act 1989 (Department for Education, 2023). Literature on </w:t>
      </w:r>
      <w:r w:rsidRPr="0049133E">
        <w:rPr>
          <w:rFonts w:ascii="Arial" w:eastAsia="Arial Nova" w:hAnsi="Arial" w:cs="Arial"/>
          <w:sz w:val="22"/>
          <w:szCs w:val="22"/>
        </w:rPr>
        <w:lastRenderedPageBreak/>
        <w:t xml:space="preserve">early intervention consistently suggests that timely, relationship-based support can reduce escalation, improve parental capacity and generate better long-term outcomes than late crisis responses, although the evidence base is uneven when </w:t>
      </w:r>
      <w:proofErr w:type="spellStart"/>
      <w:r w:rsidRPr="0049133E">
        <w:rPr>
          <w:rFonts w:ascii="Arial" w:eastAsia="Arial Nova" w:hAnsi="Arial" w:cs="Arial"/>
          <w:sz w:val="22"/>
          <w:szCs w:val="22"/>
        </w:rPr>
        <w:t>programmes</w:t>
      </w:r>
      <w:proofErr w:type="spellEnd"/>
      <w:r w:rsidRPr="0049133E">
        <w:rPr>
          <w:rFonts w:ascii="Arial" w:eastAsia="Arial Nova" w:hAnsi="Arial" w:cs="Arial"/>
          <w:sz w:val="22"/>
          <w:szCs w:val="22"/>
        </w:rPr>
        <w:t xml:space="preserve"> become overly managerial or under-resourced (Axford and Morpeth, 2013; Cattan et al., 2022).</w:t>
      </w:r>
    </w:p>
    <w:p w14:paraId="2CA37B29" w14:textId="77777777" w:rsidR="0049133E" w:rsidRPr="0049133E" w:rsidRDefault="0049133E" w:rsidP="0049133E">
      <w:pPr>
        <w:spacing w:line="360" w:lineRule="auto"/>
        <w:jc w:val="both"/>
        <w:rPr>
          <w:rFonts w:ascii="Arial" w:eastAsia="Arial Nova" w:hAnsi="Arial" w:cs="Arial"/>
          <w:sz w:val="22"/>
          <w:szCs w:val="22"/>
        </w:rPr>
      </w:pPr>
      <w:r w:rsidRPr="0049133E">
        <w:rPr>
          <w:rFonts w:ascii="Arial" w:eastAsia="Arial Nova" w:hAnsi="Arial" w:cs="Arial"/>
          <w:sz w:val="22"/>
          <w:szCs w:val="22"/>
        </w:rPr>
        <w:t>The Early Help System Guide advances a mature-system model in which families know how to get help, tell their story once, encounter one lead practitioner where necessary, and are supported by one plan and one team around the family (Department for Levelling Up, Housing and Communities, 2022). When families must navigate multiple disconnected systems, early problems can become entrenched through repetition, stigma and service fatigue. Conversely, when local systems provide accessible pathways and clear signposting, they can reduce friction at the crucial pre-statutory stage (Munro, 2011).</w:t>
      </w:r>
    </w:p>
    <w:p w14:paraId="79BF4661" w14:textId="16B89A54" w:rsidR="00C473B4" w:rsidRDefault="0049133E" w:rsidP="0049133E">
      <w:pPr>
        <w:spacing w:line="360" w:lineRule="auto"/>
        <w:jc w:val="both"/>
        <w:rPr>
          <w:rFonts w:ascii="Arial" w:eastAsia="Arial Nova" w:hAnsi="Arial" w:cs="Arial"/>
          <w:sz w:val="22"/>
          <w:szCs w:val="22"/>
        </w:rPr>
      </w:pPr>
      <w:r w:rsidRPr="0049133E">
        <w:rPr>
          <w:rFonts w:ascii="Arial" w:eastAsia="Arial Nova" w:hAnsi="Arial" w:cs="Arial"/>
          <w:sz w:val="22"/>
          <w:szCs w:val="22"/>
        </w:rPr>
        <w:t xml:space="preserve">However, the preventative ideal should not be </w:t>
      </w:r>
      <w:proofErr w:type="spellStart"/>
      <w:r w:rsidRPr="0049133E">
        <w:rPr>
          <w:rFonts w:ascii="Arial" w:eastAsia="Arial Nova" w:hAnsi="Arial" w:cs="Arial"/>
          <w:sz w:val="22"/>
          <w:szCs w:val="22"/>
        </w:rPr>
        <w:t>romanticised</w:t>
      </w:r>
      <w:proofErr w:type="spellEnd"/>
      <w:r w:rsidRPr="0049133E">
        <w:rPr>
          <w:rFonts w:ascii="Arial" w:eastAsia="Arial Nova" w:hAnsi="Arial" w:cs="Arial"/>
          <w:sz w:val="22"/>
          <w:szCs w:val="22"/>
        </w:rPr>
        <w:t xml:space="preserve">. Critical scholarship has shown that Early Help can slide into surveillance, </w:t>
      </w:r>
      <w:proofErr w:type="spellStart"/>
      <w:r w:rsidRPr="0049133E">
        <w:rPr>
          <w:rFonts w:ascii="Arial" w:eastAsia="Arial Nova" w:hAnsi="Arial" w:cs="Arial"/>
          <w:sz w:val="22"/>
          <w:szCs w:val="22"/>
        </w:rPr>
        <w:t>responsibilisation</w:t>
      </w:r>
      <w:proofErr w:type="spellEnd"/>
      <w:r w:rsidRPr="0049133E">
        <w:rPr>
          <w:rFonts w:ascii="Arial" w:eastAsia="Arial Nova" w:hAnsi="Arial" w:cs="Arial"/>
          <w:sz w:val="22"/>
          <w:szCs w:val="22"/>
        </w:rPr>
        <w:t xml:space="preserve"> or threshold management, particularly where austerity narrows access to substantive services (Featherstone et al., 2018; Morris et al., 2018). For that reason, website analysis is not peripheral: if digital signposting obscures eligibility, relies on professional jargon or fails to explain routes to support, the preventative promise of Early Help is weakened at the point of first contact.</w:t>
      </w:r>
    </w:p>
    <w:p w14:paraId="3F1F9FCD" w14:textId="77777777" w:rsidR="0049133E" w:rsidRPr="00C638A6" w:rsidRDefault="0049133E" w:rsidP="0049133E">
      <w:pPr>
        <w:spacing w:line="360" w:lineRule="auto"/>
        <w:jc w:val="both"/>
        <w:rPr>
          <w:rFonts w:ascii="Arial" w:eastAsia="Arial Nova" w:hAnsi="Arial" w:cs="Arial"/>
          <w:sz w:val="22"/>
          <w:szCs w:val="22"/>
        </w:rPr>
      </w:pPr>
    </w:p>
    <w:p w14:paraId="0AE78644" w14:textId="230D92AE" w:rsidR="00AD2E0A" w:rsidRPr="00AD2E0A" w:rsidRDefault="002E5B0F" w:rsidP="00AD2E0A">
      <w:pPr>
        <w:spacing w:line="360" w:lineRule="auto"/>
        <w:jc w:val="both"/>
        <w:rPr>
          <w:rFonts w:ascii="Arial" w:eastAsia="Arial Nova" w:hAnsi="Arial" w:cs="Arial"/>
          <w:sz w:val="22"/>
          <w:szCs w:val="22"/>
        </w:rPr>
      </w:pPr>
      <w:r w:rsidRPr="00C638A6">
        <w:rPr>
          <w:rFonts w:ascii="Arial" w:eastAsia="Arial Nova" w:hAnsi="Arial" w:cs="Arial"/>
          <w:sz w:val="22"/>
          <w:szCs w:val="22"/>
        </w:rPr>
        <w:t>3. Explanation of Multi-Agency Working</w:t>
      </w:r>
    </w:p>
    <w:p w14:paraId="6F16A249" w14:textId="77777777" w:rsidR="00AD2E0A" w:rsidRPr="00AD2E0A" w:rsidRDefault="00AD2E0A" w:rsidP="00AD2E0A">
      <w:pPr>
        <w:spacing w:line="360" w:lineRule="auto"/>
        <w:jc w:val="both"/>
        <w:rPr>
          <w:rFonts w:ascii="Arial" w:eastAsia="Arial Nova" w:hAnsi="Arial" w:cs="Arial"/>
          <w:sz w:val="22"/>
          <w:szCs w:val="22"/>
        </w:rPr>
      </w:pPr>
      <w:r w:rsidRPr="00AD2E0A">
        <w:rPr>
          <w:rFonts w:ascii="Arial" w:eastAsia="Arial Nova" w:hAnsi="Arial" w:cs="Arial"/>
          <w:sz w:val="22"/>
          <w:szCs w:val="22"/>
        </w:rPr>
        <w:t xml:space="preserve">Multi-agency </w:t>
      </w:r>
      <w:proofErr w:type="gramStart"/>
      <w:r w:rsidRPr="00AD2E0A">
        <w:rPr>
          <w:rFonts w:ascii="Arial" w:eastAsia="Arial Nova" w:hAnsi="Arial" w:cs="Arial"/>
          <w:sz w:val="22"/>
          <w:szCs w:val="22"/>
        </w:rPr>
        <w:t>working</w:t>
      </w:r>
      <w:proofErr w:type="gramEnd"/>
      <w:r w:rsidRPr="00AD2E0A">
        <w:rPr>
          <w:rFonts w:ascii="Arial" w:eastAsia="Arial Nova" w:hAnsi="Arial" w:cs="Arial"/>
          <w:sz w:val="22"/>
          <w:szCs w:val="22"/>
        </w:rPr>
        <w:t xml:space="preserve"> is central to Early Help because family difficulties rarely align with a single professional boundary. The Early Help System Guide describes a mature system in which public services, community </w:t>
      </w:r>
      <w:proofErr w:type="spellStart"/>
      <w:r w:rsidRPr="00AD2E0A">
        <w:rPr>
          <w:rFonts w:ascii="Arial" w:eastAsia="Arial Nova" w:hAnsi="Arial" w:cs="Arial"/>
          <w:sz w:val="22"/>
          <w:szCs w:val="22"/>
        </w:rPr>
        <w:t>organisations</w:t>
      </w:r>
      <w:proofErr w:type="spellEnd"/>
      <w:r w:rsidRPr="00AD2E0A">
        <w:rPr>
          <w:rFonts w:ascii="Arial" w:eastAsia="Arial Nova" w:hAnsi="Arial" w:cs="Arial"/>
          <w:sz w:val="22"/>
          <w:szCs w:val="22"/>
        </w:rPr>
        <w:t xml:space="preserve"> and specialist provision operate as one, often through hub-based arrangements, shared practice frameworks, lead practitioner coordination and teams around the family (Department for Levelling Up, Housing and Communities, 2022). Working Together to Safeguard Children 2023 likewise reinforces the principle that safeguarding and family support depend on coordinated action across agencies, with clear expectations regarding information sharing, assessment and joint responsibility for children’s welfare (Department for Education, 2023).</w:t>
      </w:r>
    </w:p>
    <w:p w14:paraId="525CC494" w14:textId="77777777" w:rsidR="00AD2E0A" w:rsidRPr="00AD2E0A" w:rsidRDefault="00AD2E0A" w:rsidP="00AD2E0A">
      <w:pPr>
        <w:spacing w:line="360" w:lineRule="auto"/>
        <w:jc w:val="both"/>
        <w:rPr>
          <w:rFonts w:ascii="Arial" w:eastAsia="Arial Nova" w:hAnsi="Arial" w:cs="Arial"/>
          <w:sz w:val="22"/>
          <w:szCs w:val="22"/>
        </w:rPr>
      </w:pPr>
      <w:r w:rsidRPr="00AD2E0A">
        <w:rPr>
          <w:rFonts w:ascii="Arial" w:eastAsia="Arial Nova" w:hAnsi="Arial" w:cs="Arial"/>
          <w:sz w:val="22"/>
          <w:szCs w:val="22"/>
        </w:rPr>
        <w:t xml:space="preserve">In operational terms, this may include Family Hubs, Multi-Agency Safeguarding Hubs, front-door teams, school-based pastoral systems, health visiting, housing, youth provision and voluntary-sector services. Where these arrangements function well, families experience continuity rather than duplication. The “team around the family” model is especially important because it moves beyond simple referral chains </w:t>
      </w:r>
      <w:r w:rsidRPr="00AD2E0A">
        <w:rPr>
          <w:rFonts w:ascii="Arial" w:eastAsia="Arial Nova" w:hAnsi="Arial" w:cs="Arial"/>
          <w:sz w:val="22"/>
          <w:szCs w:val="22"/>
        </w:rPr>
        <w:lastRenderedPageBreak/>
        <w:t>towards collaborative planning, ideally reducing the burden on families to repeat traumatic narratives (Cameron and Lart, 2003).</w:t>
      </w:r>
    </w:p>
    <w:p w14:paraId="4BEE378F" w14:textId="77777777" w:rsidR="00AD2E0A" w:rsidRPr="00AD2E0A" w:rsidRDefault="00AD2E0A" w:rsidP="00AD2E0A">
      <w:pPr>
        <w:spacing w:line="360" w:lineRule="auto"/>
        <w:jc w:val="both"/>
        <w:rPr>
          <w:rFonts w:ascii="Arial" w:eastAsia="Arial Nova" w:hAnsi="Arial" w:cs="Arial"/>
          <w:sz w:val="22"/>
          <w:szCs w:val="22"/>
        </w:rPr>
      </w:pPr>
      <w:r w:rsidRPr="00AD2E0A">
        <w:rPr>
          <w:rFonts w:ascii="Arial" w:eastAsia="Arial Nova" w:hAnsi="Arial" w:cs="Arial"/>
          <w:sz w:val="22"/>
          <w:szCs w:val="22"/>
        </w:rPr>
        <w:t>Yet the literature on interprofessional practice is clear that collaboration is often more aspirational than seamless. Persistent barriers include incompatible IT systems, uncertainty about lawful information sharing, differing professional cultures, contested thresholds, budget pressures and divergent understandings of risk (Atkinson et al., 2007; Mason, 2021). Consequently, threshold disputes can delay intervention precisely when timely help matters most.</w:t>
      </w:r>
    </w:p>
    <w:p w14:paraId="3E888822" w14:textId="0CD641F8" w:rsidR="00AD2E0A" w:rsidRPr="00C638A6" w:rsidRDefault="00AD2E0A" w:rsidP="00AD2E0A">
      <w:pPr>
        <w:spacing w:line="360" w:lineRule="auto"/>
        <w:jc w:val="both"/>
        <w:rPr>
          <w:rFonts w:ascii="Arial" w:eastAsia="Arial Nova" w:hAnsi="Arial" w:cs="Arial"/>
          <w:sz w:val="22"/>
          <w:szCs w:val="22"/>
        </w:rPr>
      </w:pPr>
      <w:r w:rsidRPr="00AD2E0A">
        <w:rPr>
          <w:rFonts w:ascii="Arial" w:eastAsia="Arial Nova" w:hAnsi="Arial" w:cs="Arial"/>
          <w:sz w:val="22"/>
          <w:szCs w:val="22"/>
        </w:rPr>
        <w:t xml:space="preserve">These frictions have direct implications for website communication. A local authority website that presents a fragmented set of disconnected services may mirror and reinforce </w:t>
      </w:r>
      <w:proofErr w:type="spellStart"/>
      <w:r w:rsidRPr="00AD2E0A">
        <w:rPr>
          <w:rFonts w:ascii="Arial" w:eastAsia="Arial Nova" w:hAnsi="Arial" w:cs="Arial"/>
          <w:sz w:val="22"/>
          <w:szCs w:val="22"/>
        </w:rPr>
        <w:t>organisational</w:t>
      </w:r>
      <w:proofErr w:type="spellEnd"/>
      <w:r w:rsidRPr="00AD2E0A">
        <w:rPr>
          <w:rFonts w:ascii="Arial" w:eastAsia="Arial Nova" w:hAnsi="Arial" w:cs="Arial"/>
          <w:sz w:val="22"/>
          <w:szCs w:val="22"/>
        </w:rPr>
        <w:t xml:space="preserve"> silos. By contrast, a site that clearly explains </w:t>
      </w:r>
      <w:proofErr w:type="gramStart"/>
      <w:r w:rsidRPr="00AD2E0A">
        <w:rPr>
          <w:rFonts w:ascii="Arial" w:eastAsia="Arial Nova" w:hAnsi="Arial" w:cs="Arial"/>
          <w:sz w:val="22"/>
          <w:szCs w:val="22"/>
        </w:rPr>
        <w:t>who does what</w:t>
      </w:r>
      <w:proofErr w:type="gramEnd"/>
      <w:r w:rsidRPr="00AD2E0A">
        <w:rPr>
          <w:rFonts w:ascii="Arial" w:eastAsia="Arial Nova" w:hAnsi="Arial" w:cs="Arial"/>
          <w:sz w:val="22"/>
          <w:szCs w:val="22"/>
        </w:rPr>
        <w:t xml:space="preserve"> communicates a more coherent partnership culture. The Early Help System Guide explicitly identifies accessible digital solutions as markers of system maturity, </w:t>
      </w:r>
      <w:proofErr w:type="spellStart"/>
      <w:r w:rsidRPr="00AD2E0A">
        <w:rPr>
          <w:rFonts w:ascii="Arial" w:eastAsia="Arial Nova" w:hAnsi="Arial" w:cs="Arial"/>
          <w:sz w:val="22"/>
          <w:szCs w:val="22"/>
        </w:rPr>
        <w:t>emphasising</w:t>
      </w:r>
      <w:proofErr w:type="spellEnd"/>
      <w:r w:rsidRPr="00AD2E0A">
        <w:rPr>
          <w:rFonts w:ascii="Arial" w:eastAsia="Arial Nova" w:hAnsi="Arial" w:cs="Arial"/>
          <w:sz w:val="22"/>
          <w:szCs w:val="22"/>
        </w:rPr>
        <w:t xml:space="preserve"> that families should experience “no wrong door” access to support (Department for Levelling Up, Housing and Communities, 2022).</w:t>
      </w:r>
    </w:p>
    <w:p w14:paraId="737D3D90" w14:textId="77777777" w:rsidR="00C473B4" w:rsidRPr="00C638A6" w:rsidRDefault="00C473B4" w:rsidP="00C638A6">
      <w:pPr>
        <w:spacing w:line="360" w:lineRule="auto"/>
        <w:jc w:val="both"/>
        <w:rPr>
          <w:rFonts w:ascii="Arial" w:eastAsia="Arial Nova" w:hAnsi="Arial" w:cs="Arial"/>
          <w:sz w:val="22"/>
          <w:szCs w:val="22"/>
        </w:rPr>
      </w:pPr>
    </w:p>
    <w:p w14:paraId="03F9765E"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4. Evaluation of the Three Local Authority Websites</w:t>
      </w:r>
    </w:p>
    <w:p w14:paraId="143EB809" w14:textId="77777777" w:rsidR="002E5B0F" w:rsidRPr="004368B8" w:rsidRDefault="002E5B0F" w:rsidP="00C638A6">
      <w:pPr>
        <w:spacing w:line="360" w:lineRule="auto"/>
        <w:jc w:val="both"/>
        <w:rPr>
          <w:rFonts w:ascii="Arial" w:eastAsia="Arial Nova" w:hAnsi="Arial" w:cs="Arial"/>
          <w:b/>
          <w:bCs/>
          <w:sz w:val="22"/>
          <w:szCs w:val="22"/>
          <w:u w:val="single"/>
        </w:rPr>
      </w:pPr>
      <w:r w:rsidRPr="004368B8">
        <w:rPr>
          <w:rFonts w:ascii="Arial" w:eastAsia="Arial Nova" w:hAnsi="Arial" w:cs="Arial"/>
          <w:b/>
          <w:bCs/>
          <w:sz w:val="22"/>
          <w:szCs w:val="22"/>
          <w:u w:val="single"/>
        </w:rPr>
        <w:t>Norfolk County Council</w:t>
      </w:r>
    </w:p>
    <w:p w14:paraId="4526FA79"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Norfolk’s Early Help page is comparatively strong in family-facing clarity. It explicitly states that Early Help is available when difficulties begin, </w:t>
      </w:r>
      <w:proofErr w:type="spellStart"/>
      <w:r w:rsidRPr="00C638A6">
        <w:rPr>
          <w:rFonts w:ascii="Arial" w:eastAsia="Arial Nova" w:hAnsi="Arial" w:cs="Arial"/>
          <w:sz w:val="22"/>
          <w:szCs w:val="22"/>
        </w:rPr>
        <w:t>emphasises</w:t>
      </w:r>
      <w:proofErr w:type="spellEnd"/>
      <w:r w:rsidRPr="00C638A6">
        <w:rPr>
          <w:rFonts w:ascii="Arial" w:eastAsia="Arial Nova" w:hAnsi="Arial" w:cs="Arial"/>
          <w:sz w:val="22"/>
          <w:szCs w:val="22"/>
        </w:rPr>
        <w:t xml:space="preserve"> prevention, and explains that support can be offered to any family with a child up to 18, or 25 where a young person has special educational needs and/or disabilities (Norfolk County Council, 2025a). This breadth is useful because it reduces stigma and avoids implying that only highly acute cases merit assistance. The page also adopts supportive, non-punitive language and links Early Help to wider family concerns such as finances and adult mental health, reflecting a whole-family framing consistent with the Early Help System Guide (Department for Levelling Up, Housing and Communities, 2022; Norfolk County Council, 2025a).</w:t>
      </w:r>
    </w:p>
    <w:p w14:paraId="0363DF8F"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Norfolk also benefits from a Family Hubs model and provides more granular contact information through associated pages, including local hub telephone numbers, Early Help advisers and differentiation between public contact routes and professional safeguarding routes via CADS (Norfolk County Council, 2025b). This helps clarify thresholds and pathways. However, the family journey remains somewhat dispersed across multiple pages, and the professional architecture is clearer than the simple self-referral narrative. For a stressed parent with low confidence or limited digital literacy, the need to move between hub, advice and duty content may still create friction.</w:t>
      </w:r>
    </w:p>
    <w:p w14:paraId="3D48B6AC" w14:textId="77777777" w:rsidR="00C473B4" w:rsidRPr="00C638A6" w:rsidRDefault="00C473B4" w:rsidP="00C638A6">
      <w:pPr>
        <w:spacing w:line="360" w:lineRule="auto"/>
        <w:jc w:val="both"/>
        <w:rPr>
          <w:rFonts w:ascii="Arial" w:eastAsia="Arial Nova" w:hAnsi="Arial" w:cs="Arial"/>
          <w:sz w:val="22"/>
          <w:szCs w:val="22"/>
        </w:rPr>
      </w:pPr>
    </w:p>
    <w:p w14:paraId="29841E22" w14:textId="26AFB1E7" w:rsidR="002E5B0F" w:rsidRPr="004368B8" w:rsidRDefault="002E5B0F" w:rsidP="00C638A6">
      <w:pPr>
        <w:spacing w:line="360" w:lineRule="auto"/>
        <w:jc w:val="both"/>
        <w:rPr>
          <w:rFonts w:ascii="Arial" w:eastAsia="Arial Nova" w:hAnsi="Arial" w:cs="Arial"/>
          <w:b/>
          <w:bCs/>
          <w:sz w:val="22"/>
          <w:szCs w:val="22"/>
          <w:u w:val="single"/>
        </w:rPr>
      </w:pPr>
      <w:r w:rsidRPr="004368B8">
        <w:rPr>
          <w:rFonts w:ascii="Arial" w:eastAsia="Arial Nova" w:hAnsi="Arial" w:cs="Arial"/>
          <w:b/>
          <w:bCs/>
          <w:sz w:val="22"/>
          <w:szCs w:val="22"/>
          <w:u w:val="single"/>
        </w:rPr>
        <w:t>Leeds City Council</w:t>
      </w:r>
    </w:p>
    <w:p w14:paraId="4C84C622"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Leeds offers a substantial Early Help philosophy, but its family-facing signposting is less direct. The public children-and-families pages foreground Family Hubs and general family support, while more detailed explanation of the Early Help front door sits within a “one minute guide” and safeguarding partnership material that appears more practitioner-oriented (Leeds City Council, 2025a; Leeds City Council, 2025b). The city’s emphasis on conversation rather than a formal public referral form may support relational practice, yet it also creates ambiguity for users who want an immediate, clearly signposted route into help. In digital accessibility terms, a family may struggle to distinguish between general information, Family Hubs, Best Start services and formal Early Help access points.</w:t>
      </w:r>
    </w:p>
    <w:p w14:paraId="1CB1E0A5"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Leeds is nevertheless strong in articulating multi-agency intent. Its materials describe Family Hubs as multi-disciplinary and portray Early Help as a collaborative approach designed to secure the right conversation with the right person at the right time (Leeds City Council, 2025a; Leeds Safeguarding Children Partnership, 2021). This aligns well with statutory thinking. The weakness lies less in strategic coherence than in public translation: the partnership language is sophisticated, but for some users the website risks privileging </w:t>
      </w:r>
      <w:proofErr w:type="spellStart"/>
      <w:r w:rsidRPr="00C638A6">
        <w:rPr>
          <w:rFonts w:ascii="Arial" w:eastAsia="Arial Nova" w:hAnsi="Arial" w:cs="Arial"/>
          <w:sz w:val="22"/>
          <w:szCs w:val="22"/>
        </w:rPr>
        <w:t>organisational</w:t>
      </w:r>
      <w:proofErr w:type="spellEnd"/>
      <w:r w:rsidRPr="00C638A6">
        <w:rPr>
          <w:rFonts w:ascii="Arial" w:eastAsia="Arial Nova" w:hAnsi="Arial" w:cs="Arial"/>
          <w:sz w:val="22"/>
          <w:szCs w:val="22"/>
        </w:rPr>
        <w:t xml:space="preserve"> narrative over immediate navigability.</w:t>
      </w:r>
    </w:p>
    <w:p w14:paraId="48427FC0" w14:textId="77777777" w:rsidR="00C473B4" w:rsidRPr="004368B8" w:rsidRDefault="00C473B4" w:rsidP="00C638A6">
      <w:pPr>
        <w:spacing w:line="360" w:lineRule="auto"/>
        <w:jc w:val="both"/>
        <w:rPr>
          <w:rFonts w:ascii="Arial" w:eastAsia="Arial Nova" w:hAnsi="Arial" w:cs="Arial"/>
          <w:b/>
          <w:bCs/>
          <w:sz w:val="22"/>
          <w:szCs w:val="22"/>
          <w:u w:val="single"/>
        </w:rPr>
      </w:pPr>
    </w:p>
    <w:p w14:paraId="6F03C8B2" w14:textId="2994B077" w:rsidR="002E5B0F" w:rsidRPr="004368B8" w:rsidRDefault="002E5B0F" w:rsidP="00C638A6">
      <w:pPr>
        <w:spacing w:line="360" w:lineRule="auto"/>
        <w:jc w:val="both"/>
        <w:rPr>
          <w:rFonts w:ascii="Arial" w:eastAsia="Arial Nova" w:hAnsi="Arial" w:cs="Arial"/>
          <w:b/>
          <w:bCs/>
          <w:sz w:val="22"/>
          <w:szCs w:val="22"/>
          <w:u w:val="single"/>
        </w:rPr>
      </w:pPr>
      <w:r w:rsidRPr="004368B8">
        <w:rPr>
          <w:rFonts w:ascii="Arial" w:eastAsia="Arial Nova" w:hAnsi="Arial" w:cs="Arial"/>
          <w:b/>
          <w:bCs/>
          <w:sz w:val="22"/>
          <w:szCs w:val="22"/>
          <w:u w:val="single"/>
        </w:rPr>
        <w:t>Tower Hamlets Council</w:t>
      </w:r>
    </w:p>
    <w:p w14:paraId="7F373BB0"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Tower Hamlets provides the clearest articulation of a single front door. Its Early Help pages explain who the service is for, state that support is available from pregnancy to age 19, or 25 for those with SEND, and identify the Multi-Agency Support Team as the single point of contact for both Early Help requests and safeguarding concerns (Tower Hamlets Council, 2025a). The explicit naming of contact options, the presence of a request-for-support form, and the integration of Early Help, MAST and Family Hubs create a relatively transparent pathway. This is especially valuable in threshold terms because families and practitioners can see how targeted help and safeguarding concerns connect.</w:t>
      </w:r>
    </w:p>
    <w:p w14:paraId="04F9C5DA"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However, Tower Hamlets also uses a denser service vocabulary. Acronyms such as MAST and references to targeted services and assessments may be less intuitive to some parents than Norfolk’s plainer style (Tower Hamlets Council, 2025a; Tower Hamlets Council, 2025b). While the borough’s family-facing offer is broad and structurally coherent, the language sometimes feels closer to professional systems mapping than emotionally accessible signposting. In a borough marked by linguistic diversity </w:t>
      </w:r>
      <w:r w:rsidRPr="00C638A6">
        <w:rPr>
          <w:rFonts w:ascii="Arial" w:eastAsia="Arial Nova" w:hAnsi="Arial" w:cs="Arial"/>
          <w:sz w:val="22"/>
          <w:szCs w:val="22"/>
        </w:rPr>
        <w:lastRenderedPageBreak/>
        <w:t>and socio-economic inequality, that matters: a clear pathway is only fully accessible if the wording is equally inclusive.</w:t>
      </w:r>
    </w:p>
    <w:p w14:paraId="3B08D5B6" w14:textId="77777777" w:rsidR="00C473B4" w:rsidRPr="00C638A6" w:rsidRDefault="00C473B4" w:rsidP="00C638A6">
      <w:pPr>
        <w:spacing w:line="360" w:lineRule="auto"/>
        <w:jc w:val="both"/>
        <w:rPr>
          <w:rFonts w:ascii="Arial" w:eastAsia="Arial Nova" w:hAnsi="Arial" w:cs="Arial"/>
          <w:sz w:val="22"/>
          <w:szCs w:val="22"/>
        </w:rPr>
      </w:pPr>
    </w:p>
    <w:p w14:paraId="7D27F9DC" w14:textId="3A2BBD45"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5. Comparative Analysis</w:t>
      </w:r>
    </w:p>
    <w:p w14:paraId="3B5E1B03" w14:textId="77777777" w:rsidR="004368B8"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Across the three councils, the key differences lie in navigability, threshold transparency and how successfully professional systems are translated into family-facing language. Norfolk performs well on emotional accessibility. Its wording is supportive, plain and explicitly preventative, making Early Help appear normal and approachable rather than specialist or </w:t>
      </w:r>
      <w:proofErr w:type="spellStart"/>
      <w:r w:rsidRPr="00C638A6">
        <w:rPr>
          <w:rFonts w:ascii="Arial" w:eastAsia="Arial Nova" w:hAnsi="Arial" w:cs="Arial"/>
          <w:sz w:val="22"/>
          <w:szCs w:val="22"/>
        </w:rPr>
        <w:t>stigmatising</w:t>
      </w:r>
      <w:proofErr w:type="spellEnd"/>
      <w:r w:rsidRPr="00C638A6">
        <w:rPr>
          <w:rFonts w:ascii="Arial" w:eastAsia="Arial Nova" w:hAnsi="Arial" w:cs="Arial"/>
          <w:sz w:val="22"/>
          <w:szCs w:val="22"/>
        </w:rPr>
        <w:t xml:space="preserve"> (Norfolk County Council, 2025a). Yet its pathway is somewhat distributed, meaning the user may need to assemble the system from several pages. </w:t>
      </w:r>
    </w:p>
    <w:p w14:paraId="01A95992" w14:textId="2731C4F8"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Leeds, by contrast, demonstrates strong strategic thinking and an embedded multi-agency ethos, but the digital route into support is less immediately obvious for families because detailed Early Help information is not always surfaced through the most intuitive public pages (Leeds City Council, 2025a; Leeds City Council, 2025b).</w:t>
      </w:r>
    </w:p>
    <w:p w14:paraId="58DDF833"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Tower Hamlets is strongest </w:t>
      </w:r>
      <w:proofErr w:type="gramStart"/>
      <w:r w:rsidRPr="00C638A6">
        <w:rPr>
          <w:rFonts w:ascii="Arial" w:eastAsia="Arial Nova" w:hAnsi="Arial" w:cs="Arial"/>
          <w:sz w:val="22"/>
          <w:szCs w:val="22"/>
        </w:rPr>
        <w:t>on</w:t>
      </w:r>
      <w:proofErr w:type="gramEnd"/>
      <w:r w:rsidRPr="00C638A6">
        <w:rPr>
          <w:rFonts w:ascii="Arial" w:eastAsia="Arial Nova" w:hAnsi="Arial" w:cs="Arial"/>
          <w:sz w:val="22"/>
          <w:szCs w:val="22"/>
        </w:rPr>
        <w:t xml:space="preserve"> referral architecture. The integration of MAST, Early Help and Family Hubs provides unusually clear threshold logic: users can see where to go, what the team covers and how Early Help relates to safeguarding concerns (Tower Hamlets Council, 2025a). This reduces administrative ambiguity and reflects the “no wrong door” principle promoted in the Early Help System Guide (Department for Levelling Up, Housing and Communities, 2022). Nevertheless, Tower Hamlets is less consistently plain in tone, and the use of acronyms may exclude users with lower literacy, lower confidence or limited familiarity with statutory services.</w:t>
      </w:r>
    </w:p>
    <w:p w14:paraId="6FA31CFF" w14:textId="5E05DF04" w:rsidR="004368B8"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In terms of digital inclusion, all three councils reveal the broader structural issue identified in critical literature: online signposting often assumes a baseline of literacy, language fluency and persistence that some families do not possess (van Dijk, 2020). Norfolk partially mitigates this through empathetic wording. Tower Hamlets mitigates it through pathway clarity. Leeds, despite evident service richness, places a heavier interpretive burden on the user. None of the sites fully resolves the digital divide through obvious multilingual access, simplified visual pathways or strong low-literacy design cues in the material reviewed.</w:t>
      </w:r>
    </w:p>
    <w:p w14:paraId="2CDC778D" w14:textId="223F40BB"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Tower Hamlets and Leeds most visibly communicate multi-agency working, with explicit reference to integrated teams, hub-based provision and partnership arrangements (Leeds City Council, 2025a; Tower Hamlets Council, 2025a). Norfolk communicates whole-family support effectively, but the integrated professional machinery is less foregrounded on the main family-facing page (Norfolk County Council, </w:t>
      </w:r>
      <w:r w:rsidRPr="00C638A6">
        <w:rPr>
          <w:rFonts w:ascii="Arial" w:eastAsia="Arial Nova" w:hAnsi="Arial" w:cs="Arial"/>
          <w:sz w:val="22"/>
          <w:szCs w:val="22"/>
        </w:rPr>
        <w:lastRenderedPageBreak/>
        <w:t>2025a). Regarding LO2, Norfolk excels in presenting support as approachable and relevant to everyday family stressors, while Tower Hamlets is strongest in showing how protective services are accessed and escalated when needed (Norfolk County Council, 2025a; Tower Hamlets Council, 2025a). On balance, the most effective website is the one that best combines relational accessibility with system clarity. Tower Hamlets comes closest overall because its single-front-door model reduces uncertainty, though Norfolk remains the most immediately reassuring for families at the point of first reading.</w:t>
      </w:r>
    </w:p>
    <w:p w14:paraId="31E56E07" w14:textId="77777777" w:rsidR="00C473B4" w:rsidRPr="00C638A6" w:rsidRDefault="00C473B4" w:rsidP="00C638A6">
      <w:pPr>
        <w:spacing w:line="360" w:lineRule="auto"/>
        <w:jc w:val="both"/>
        <w:rPr>
          <w:rFonts w:ascii="Arial" w:eastAsia="Arial Nova" w:hAnsi="Arial" w:cs="Arial"/>
          <w:sz w:val="22"/>
          <w:szCs w:val="22"/>
        </w:rPr>
      </w:pPr>
    </w:p>
    <w:p w14:paraId="0DEA5F75" w14:textId="77777777" w:rsidR="004368B8" w:rsidRDefault="004368B8">
      <w:pPr>
        <w:rPr>
          <w:rFonts w:ascii="Arial" w:eastAsia="Arial Nova" w:hAnsi="Arial" w:cs="Arial"/>
          <w:sz w:val="22"/>
          <w:szCs w:val="22"/>
        </w:rPr>
      </w:pPr>
      <w:r>
        <w:rPr>
          <w:rFonts w:ascii="Arial" w:eastAsia="Arial Nova" w:hAnsi="Arial" w:cs="Arial"/>
          <w:sz w:val="22"/>
          <w:szCs w:val="22"/>
        </w:rPr>
        <w:br w:type="page"/>
      </w:r>
    </w:p>
    <w:p w14:paraId="20E31F23" w14:textId="5F9C6563"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lastRenderedPageBreak/>
        <w:t>6. Conclusion and Strategic Recommendations</w:t>
      </w:r>
    </w:p>
    <w:p w14:paraId="442E3D0F"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This report concludes that Tower Hamlets provides the most effective overall digital signposting for Early Help because it offers the clearest integrated pathway between family support, targeted intervention and safeguarding referral. Its use of a single front door through MAST and its linkage with Family Hubs communicate threshold logic more transparently than the other sites (Tower Hamlets Council, 2025a). Norfolk ranks closely behind, distinguished by highly supportive and comprehensible family-facing language, while Leeds demonstrates strong multi-agency philosophy but weaker immediacy in public navigation (Leeds City Council, 2025a; Norfolk County Council, 2025a).</w:t>
      </w:r>
    </w:p>
    <w:p w14:paraId="3CE93CE5"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Three strategic improvements follow. First, Leeds should surface one plainly labelled family-facing Early Help access page that consolidates eligibility, self-referral steps and escalation routes, reducing the need to interpret practitioner-oriented material. Secondly, Norfolk should strengthen pathway transparency by integrating clearer front-door and referral information directly into its main page, including visual flowcharts and simplified threshold explanations. Thirdly, Tower Hamlets should retain its strong referral architecture but reduce jargon through plain-English rewriting, multilingual translation and co-designed low-literacy content. Across all three councils, user testing with parents experiencing poverty, language barriers or digital exclusion would align more closely with the Early Help System Guide emphasis on family voice, accessible digital solutions and a genuinely “no wrong door” system (Department for Levelling Up, Housing and Communities, 2022).</w:t>
      </w:r>
    </w:p>
    <w:p w14:paraId="7ACBFD0E"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br w:type="page"/>
      </w:r>
    </w:p>
    <w:p w14:paraId="5AD1EBDD" w14:textId="735CD2D5" w:rsidR="002E5B0F" w:rsidRPr="004368B8" w:rsidRDefault="002E5B0F" w:rsidP="00C638A6">
      <w:pPr>
        <w:spacing w:line="360" w:lineRule="auto"/>
        <w:jc w:val="both"/>
        <w:rPr>
          <w:rFonts w:ascii="Arial" w:eastAsia="Arial Nova" w:hAnsi="Arial" w:cs="Arial"/>
          <w:b/>
          <w:bCs/>
          <w:sz w:val="32"/>
          <w:szCs w:val="32"/>
        </w:rPr>
      </w:pPr>
      <w:r w:rsidRPr="004368B8">
        <w:rPr>
          <w:rFonts w:ascii="Arial" w:eastAsia="Arial Nova" w:hAnsi="Arial" w:cs="Arial"/>
          <w:b/>
          <w:bCs/>
          <w:sz w:val="32"/>
          <w:szCs w:val="32"/>
        </w:rPr>
        <w:lastRenderedPageBreak/>
        <w:t xml:space="preserve">Reference </w:t>
      </w:r>
    </w:p>
    <w:p w14:paraId="425272D9"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Atkinson, M., Jones, M. and Lamont, E. (2007) Multi-agency working and its implications for practice. London: Department for Education and Skills.</w:t>
      </w:r>
    </w:p>
    <w:p w14:paraId="700CC872"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Axford, N. and Morpeth, L. (2013) ‘Effective prevention and early intervention for children, young people and their families: what does the evidence tell us?’, Children and Youth Services Review, 35(3), pp. 1–9.</w:t>
      </w:r>
    </w:p>
    <w:p w14:paraId="3572A08C"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Cameron, A. and Lart, R. (2003) ‘Factors promoting and obstacles hindering joint working: a systematic review of the research evidence’, Journal of Integrated Care, 11(2), pp. 9–17.</w:t>
      </w:r>
    </w:p>
    <w:p w14:paraId="0985DA54"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Cattan, S., Conti, G., Farquharson, C. and Ginja, R. (2022) ‘The effects of early childhood intervention on children and parents: evidence from the UK’, The Economic Journal, 132(640), pp. 1059–1088.</w:t>
      </w:r>
    </w:p>
    <w:p w14:paraId="6F157638" w14:textId="6AFD4302"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Department for Education (2023) Working together to safeguard children 2023: statutory guidance. London: DfE.</w:t>
      </w:r>
      <w:r w:rsidR="004368B8">
        <w:rPr>
          <w:rFonts w:ascii="Arial" w:eastAsia="Arial Nova" w:hAnsi="Arial" w:cs="Arial"/>
          <w:sz w:val="22"/>
          <w:szCs w:val="22"/>
        </w:rPr>
        <w:t xml:space="preserve"> Available at</w:t>
      </w:r>
      <w:r w:rsidR="0058716B">
        <w:rPr>
          <w:rFonts w:ascii="Arial" w:eastAsia="Arial Nova" w:hAnsi="Arial" w:cs="Arial"/>
          <w:sz w:val="22"/>
          <w:szCs w:val="22"/>
        </w:rPr>
        <w:t xml:space="preserve">: </w:t>
      </w:r>
      <w:hyperlink r:id="rId8" w:history="1">
        <w:r w:rsidR="0058716B" w:rsidRPr="007B7EDB">
          <w:rPr>
            <w:rStyle w:val="Hyperlink"/>
            <w:rFonts w:ascii="Arial" w:eastAsia="Arial Nova" w:hAnsi="Arial" w:cs="Arial"/>
            <w:sz w:val="22"/>
            <w:szCs w:val="22"/>
          </w:rPr>
          <w:t>https://www.gov.uk/government/publications/working-together-to-safeguard-children--2</w:t>
        </w:r>
      </w:hyperlink>
      <w:r w:rsidR="0058716B">
        <w:rPr>
          <w:rFonts w:ascii="Arial" w:eastAsia="Arial Nova" w:hAnsi="Arial" w:cs="Arial"/>
          <w:sz w:val="22"/>
          <w:szCs w:val="22"/>
        </w:rPr>
        <w:t xml:space="preserve"> </w:t>
      </w:r>
      <w:r w:rsidR="0058716B">
        <w:rPr>
          <w:rFonts w:ascii="Arial" w:eastAsia="Arial Nova" w:hAnsi="Arial" w:cs="Arial"/>
          <w:sz w:val="22"/>
          <w:szCs w:val="22"/>
        </w:rPr>
        <w:t>(Accessed: 10 July 2026)</w:t>
      </w:r>
    </w:p>
    <w:p w14:paraId="25653AE8" w14:textId="0BD973F8"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Department for Levelling Up, Housing and Communities (2022) Early Help System Guide. London: DLUHC.</w:t>
      </w:r>
      <w:r w:rsidR="0058716B">
        <w:rPr>
          <w:rFonts w:ascii="Arial" w:eastAsia="Arial Nova" w:hAnsi="Arial" w:cs="Arial"/>
          <w:sz w:val="22"/>
          <w:szCs w:val="22"/>
        </w:rPr>
        <w:t xml:space="preserve"> available at: </w:t>
      </w:r>
      <w:hyperlink r:id="rId9" w:tgtFrame="_new" w:history="1">
        <w:r w:rsidR="0058716B" w:rsidRPr="0058716B">
          <w:rPr>
            <w:rStyle w:val="Hyperlink"/>
            <w:rFonts w:ascii="Arial" w:eastAsia="Arial Nova" w:hAnsi="Arial" w:cs="Arial"/>
            <w:sz w:val="22"/>
            <w:szCs w:val="22"/>
          </w:rPr>
          <w:t>https://www.gov.uk/government/publications/supporting-families-early-help-system-guide</w:t>
        </w:r>
      </w:hyperlink>
      <w:r w:rsidR="0058716B">
        <w:rPr>
          <w:rFonts w:ascii="Arial" w:eastAsia="Arial Nova" w:hAnsi="Arial" w:cs="Arial"/>
          <w:sz w:val="22"/>
          <w:szCs w:val="22"/>
        </w:rPr>
        <w:t xml:space="preserve"> (Accessed: 10 July 2026)</w:t>
      </w:r>
    </w:p>
    <w:p w14:paraId="379193CC"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Featherstone, B., Gupta, A., Morris, K. and White, S. (2018) Protecting children: a social model. Bristol: Policy Press.</w:t>
      </w:r>
    </w:p>
    <w:p w14:paraId="66DFD7D1" w14:textId="4412B045"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Leeds City Council (2025a) ‘Family Hubs and the Early Help Front Door team’, available at: </w:t>
      </w:r>
      <w:hyperlink r:id="rId10" w:history="1">
        <w:r w:rsidR="004368B8" w:rsidRPr="007B7EDB">
          <w:rPr>
            <w:rStyle w:val="Hyperlink"/>
            <w:rFonts w:ascii="Arial" w:eastAsia="Arial Nova" w:hAnsi="Arial" w:cs="Arial"/>
            <w:sz w:val="22"/>
            <w:szCs w:val="22"/>
          </w:rPr>
          <w:t>https://www.leeds.gov.uk/one-minute-guides/family-hubs-and-early-help-front-door-team</w:t>
        </w:r>
      </w:hyperlink>
      <w:r w:rsidR="004368B8">
        <w:rPr>
          <w:rFonts w:ascii="Arial" w:eastAsia="Arial Nova" w:hAnsi="Arial" w:cs="Arial"/>
          <w:sz w:val="22"/>
          <w:szCs w:val="22"/>
        </w:rPr>
        <w:t xml:space="preserve"> </w:t>
      </w:r>
      <w:r w:rsidRPr="00C638A6">
        <w:rPr>
          <w:rFonts w:ascii="Arial" w:eastAsia="Arial Nova" w:hAnsi="Arial" w:cs="Arial"/>
          <w:sz w:val="22"/>
          <w:szCs w:val="22"/>
        </w:rPr>
        <w:t>(Accessed: 1</w:t>
      </w:r>
      <w:r w:rsidR="0058716B">
        <w:rPr>
          <w:rFonts w:ascii="Arial" w:eastAsia="Arial Nova" w:hAnsi="Arial" w:cs="Arial"/>
          <w:sz w:val="22"/>
          <w:szCs w:val="22"/>
        </w:rPr>
        <w:t>1</w:t>
      </w:r>
      <w:r w:rsidRPr="00C638A6">
        <w:rPr>
          <w:rFonts w:ascii="Arial" w:eastAsia="Arial Nova" w:hAnsi="Arial" w:cs="Arial"/>
          <w:sz w:val="22"/>
          <w:szCs w:val="22"/>
        </w:rPr>
        <w:t xml:space="preserve"> July 2026).</w:t>
      </w:r>
    </w:p>
    <w:p w14:paraId="34675D8B" w14:textId="3A53735F"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Leeds City Council (2025b) ‘Children and families’, available at: </w:t>
      </w:r>
      <w:hyperlink r:id="rId11" w:history="1">
        <w:r w:rsidR="0058716B" w:rsidRPr="007B7EDB">
          <w:rPr>
            <w:rStyle w:val="Hyperlink"/>
            <w:rFonts w:ascii="Arial" w:eastAsia="Arial Nova" w:hAnsi="Arial" w:cs="Arial"/>
            <w:sz w:val="22"/>
            <w:szCs w:val="22"/>
          </w:rPr>
          <w:t>https://www.leeds.gov.uk/children-and-families</w:t>
        </w:r>
      </w:hyperlink>
      <w:r w:rsidR="0058716B">
        <w:rPr>
          <w:rFonts w:ascii="Arial" w:eastAsia="Arial Nova" w:hAnsi="Arial" w:cs="Arial"/>
          <w:sz w:val="22"/>
          <w:szCs w:val="22"/>
        </w:rPr>
        <w:t xml:space="preserve"> </w:t>
      </w:r>
      <w:r w:rsidRPr="00C638A6">
        <w:rPr>
          <w:rFonts w:ascii="Arial" w:eastAsia="Arial Nova" w:hAnsi="Arial" w:cs="Arial"/>
          <w:sz w:val="22"/>
          <w:szCs w:val="22"/>
        </w:rPr>
        <w:t>(Accessed: 18 July 2026).</w:t>
      </w:r>
    </w:p>
    <w:p w14:paraId="7C7C778E" w14:textId="712A6388"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Leeds Safeguarding Children Partnership (2021) ‘Early Help’, available at: </w:t>
      </w:r>
      <w:hyperlink r:id="rId12" w:history="1">
        <w:r w:rsidR="004368B8" w:rsidRPr="007B7EDB">
          <w:rPr>
            <w:rStyle w:val="Hyperlink"/>
            <w:rFonts w:ascii="Arial" w:eastAsia="Arial Nova" w:hAnsi="Arial" w:cs="Arial"/>
            <w:sz w:val="22"/>
            <w:szCs w:val="22"/>
          </w:rPr>
          <w:t>https://www.leedsscp.org.uk/practitioners/working-with-families/early-help</w:t>
        </w:r>
      </w:hyperlink>
      <w:r w:rsidR="004368B8">
        <w:rPr>
          <w:rFonts w:ascii="Arial" w:eastAsia="Arial Nova" w:hAnsi="Arial" w:cs="Arial"/>
          <w:sz w:val="22"/>
          <w:szCs w:val="22"/>
        </w:rPr>
        <w:t xml:space="preserve"> </w:t>
      </w:r>
      <w:r w:rsidRPr="00C638A6">
        <w:rPr>
          <w:rFonts w:ascii="Arial" w:eastAsia="Arial Nova" w:hAnsi="Arial" w:cs="Arial"/>
          <w:sz w:val="22"/>
          <w:szCs w:val="22"/>
        </w:rPr>
        <w:t>(Accessed: 1</w:t>
      </w:r>
      <w:r w:rsidR="0058716B">
        <w:rPr>
          <w:rFonts w:ascii="Arial" w:eastAsia="Arial Nova" w:hAnsi="Arial" w:cs="Arial"/>
          <w:sz w:val="22"/>
          <w:szCs w:val="22"/>
        </w:rPr>
        <w:t>1</w:t>
      </w:r>
      <w:r w:rsidRPr="00C638A6">
        <w:rPr>
          <w:rFonts w:ascii="Arial" w:eastAsia="Arial Nova" w:hAnsi="Arial" w:cs="Arial"/>
          <w:sz w:val="22"/>
          <w:szCs w:val="22"/>
        </w:rPr>
        <w:t xml:space="preserve"> July 2026).</w:t>
      </w:r>
    </w:p>
    <w:p w14:paraId="4E038F87"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Mason, P. (2021) ‘Thresholds, discretion and professional judgement in child protection and early help’, Child &amp; Family Social Work, 26(4), pp. 1–10.</w:t>
      </w:r>
    </w:p>
    <w:p w14:paraId="79A5FB24"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Morris, K., Featherstone, B., White, S. and Gupta, A. (2018) ‘The politics of early intervention and the making of families in welfare states’, British Journal of Social Work, 48(2), pp. 1–18.</w:t>
      </w:r>
    </w:p>
    <w:p w14:paraId="6FA090C2" w14:textId="7777777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lastRenderedPageBreak/>
        <w:t>Munro, E. (2011) The Munro review of child protection: final report, a child-</w:t>
      </w:r>
      <w:proofErr w:type="spellStart"/>
      <w:r w:rsidRPr="00C638A6">
        <w:rPr>
          <w:rFonts w:ascii="Arial" w:eastAsia="Arial Nova" w:hAnsi="Arial" w:cs="Arial"/>
          <w:sz w:val="22"/>
          <w:szCs w:val="22"/>
        </w:rPr>
        <w:t>centred</w:t>
      </w:r>
      <w:proofErr w:type="spellEnd"/>
      <w:r w:rsidRPr="00C638A6">
        <w:rPr>
          <w:rFonts w:ascii="Arial" w:eastAsia="Arial Nova" w:hAnsi="Arial" w:cs="Arial"/>
          <w:sz w:val="22"/>
          <w:szCs w:val="22"/>
        </w:rPr>
        <w:t xml:space="preserve"> system. London: Department </w:t>
      </w:r>
      <w:proofErr w:type="gramStart"/>
      <w:r w:rsidRPr="00C638A6">
        <w:rPr>
          <w:rFonts w:ascii="Arial" w:eastAsia="Arial Nova" w:hAnsi="Arial" w:cs="Arial"/>
          <w:sz w:val="22"/>
          <w:szCs w:val="22"/>
        </w:rPr>
        <w:t>for</w:t>
      </w:r>
      <w:proofErr w:type="gramEnd"/>
      <w:r w:rsidRPr="00C638A6">
        <w:rPr>
          <w:rFonts w:ascii="Arial" w:eastAsia="Arial Nova" w:hAnsi="Arial" w:cs="Arial"/>
          <w:sz w:val="22"/>
          <w:szCs w:val="22"/>
        </w:rPr>
        <w:t xml:space="preserve"> Education.</w:t>
      </w:r>
    </w:p>
    <w:p w14:paraId="7DDE45E7" w14:textId="103287F3"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Norfolk County Council (2025a) ‘Early help for children and families’, available at: </w:t>
      </w:r>
      <w:hyperlink r:id="rId13" w:history="1">
        <w:r w:rsidR="004368B8" w:rsidRPr="007B7EDB">
          <w:rPr>
            <w:rStyle w:val="Hyperlink"/>
            <w:rFonts w:ascii="Arial" w:eastAsia="Arial Nova" w:hAnsi="Arial" w:cs="Arial"/>
            <w:sz w:val="22"/>
            <w:szCs w:val="22"/>
          </w:rPr>
          <w:t>https://www.norfolk.gov.uk/article/40407/Early-help-for-children-and-families</w:t>
        </w:r>
      </w:hyperlink>
      <w:r w:rsidR="004368B8">
        <w:rPr>
          <w:rFonts w:ascii="Arial" w:eastAsia="Arial Nova" w:hAnsi="Arial" w:cs="Arial"/>
          <w:sz w:val="22"/>
          <w:szCs w:val="22"/>
        </w:rPr>
        <w:t xml:space="preserve"> </w:t>
      </w:r>
      <w:r w:rsidRPr="00C638A6">
        <w:rPr>
          <w:rFonts w:ascii="Arial" w:eastAsia="Arial Nova" w:hAnsi="Arial" w:cs="Arial"/>
          <w:sz w:val="22"/>
          <w:szCs w:val="22"/>
        </w:rPr>
        <w:t xml:space="preserve">(Accessed: </w:t>
      </w:r>
      <w:r w:rsidR="0058716B">
        <w:rPr>
          <w:rFonts w:ascii="Arial" w:eastAsia="Arial Nova" w:hAnsi="Arial" w:cs="Arial"/>
          <w:sz w:val="22"/>
          <w:szCs w:val="22"/>
        </w:rPr>
        <w:t>09</w:t>
      </w:r>
      <w:r w:rsidRPr="00C638A6">
        <w:rPr>
          <w:rFonts w:ascii="Arial" w:eastAsia="Arial Nova" w:hAnsi="Arial" w:cs="Arial"/>
          <w:sz w:val="22"/>
          <w:szCs w:val="22"/>
        </w:rPr>
        <w:t xml:space="preserve"> July 2026).</w:t>
      </w:r>
    </w:p>
    <w:p w14:paraId="532CB09E" w14:textId="68D33AD7"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Norfolk County Council (2025b) ‘Children’s Advice and Duty Service (CADS)’, available at: </w:t>
      </w:r>
      <w:hyperlink r:id="rId14" w:history="1">
        <w:r w:rsidR="004368B8" w:rsidRPr="007B7EDB">
          <w:rPr>
            <w:rStyle w:val="Hyperlink"/>
            <w:rFonts w:ascii="Arial" w:eastAsia="Arial Nova" w:hAnsi="Arial" w:cs="Arial"/>
            <w:sz w:val="22"/>
            <w:szCs w:val="22"/>
          </w:rPr>
          <w:t>https://www.schools.norfolk.gov.uk/article/66862/Childrens-Advice-and-Duty-Service-CADS</w:t>
        </w:r>
      </w:hyperlink>
      <w:r w:rsidR="004368B8">
        <w:rPr>
          <w:rFonts w:ascii="Arial" w:eastAsia="Arial Nova" w:hAnsi="Arial" w:cs="Arial"/>
          <w:sz w:val="22"/>
          <w:szCs w:val="22"/>
        </w:rPr>
        <w:t xml:space="preserve"> </w:t>
      </w:r>
      <w:r w:rsidRPr="00C638A6">
        <w:rPr>
          <w:rFonts w:ascii="Arial" w:eastAsia="Arial Nova" w:hAnsi="Arial" w:cs="Arial"/>
          <w:sz w:val="22"/>
          <w:szCs w:val="22"/>
        </w:rPr>
        <w:t>(Accessed: 1</w:t>
      </w:r>
      <w:r w:rsidR="0058716B">
        <w:rPr>
          <w:rFonts w:ascii="Arial" w:eastAsia="Arial Nova" w:hAnsi="Arial" w:cs="Arial"/>
          <w:sz w:val="22"/>
          <w:szCs w:val="22"/>
        </w:rPr>
        <w:t>0</w:t>
      </w:r>
      <w:r w:rsidRPr="00C638A6">
        <w:rPr>
          <w:rFonts w:ascii="Arial" w:eastAsia="Arial Nova" w:hAnsi="Arial" w:cs="Arial"/>
          <w:sz w:val="22"/>
          <w:szCs w:val="22"/>
        </w:rPr>
        <w:t xml:space="preserve"> July 2026).</w:t>
      </w:r>
    </w:p>
    <w:p w14:paraId="7480876B" w14:textId="635921FC"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Tower Hamlets Council (2025a) ‘About Early Help’, available at: </w:t>
      </w:r>
      <w:hyperlink r:id="rId15" w:history="1">
        <w:r w:rsidR="004368B8" w:rsidRPr="007B7EDB">
          <w:rPr>
            <w:rStyle w:val="Hyperlink"/>
            <w:rFonts w:ascii="Arial" w:eastAsia="Arial Nova" w:hAnsi="Arial" w:cs="Arial"/>
            <w:sz w:val="22"/>
            <w:szCs w:val="22"/>
          </w:rPr>
          <w:t>https://www.towerhamlets.gov.uk/lgnl/health__social_care/children_and_family_care/Early_Help/About_Early_Help.aspx</w:t>
        </w:r>
      </w:hyperlink>
      <w:r w:rsidR="004368B8">
        <w:rPr>
          <w:rFonts w:ascii="Arial" w:eastAsia="Arial Nova" w:hAnsi="Arial" w:cs="Arial"/>
          <w:sz w:val="22"/>
          <w:szCs w:val="22"/>
        </w:rPr>
        <w:t xml:space="preserve"> </w:t>
      </w:r>
      <w:r w:rsidRPr="00C638A6">
        <w:rPr>
          <w:rFonts w:ascii="Arial" w:eastAsia="Arial Nova" w:hAnsi="Arial" w:cs="Arial"/>
          <w:sz w:val="22"/>
          <w:szCs w:val="22"/>
        </w:rPr>
        <w:t xml:space="preserve">(Accessed: </w:t>
      </w:r>
      <w:r w:rsidR="0058716B">
        <w:rPr>
          <w:rFonts w:ascii="Arial" w:eastAsia="Arial Nova" w:hAnsi="Arial" w:cs="Arial"/>
          <w:sz w:val="22"/>
          <w:szCs w:val="22"/>
        </w:rPr>
        <w:t>09</w:t>
      </w:r>
      <w:r w:rsidRPr="00C638A6">
        <w:rPr>
          <w:rFonts w:ascii="Arial" w:eastAsia="Arial Nova" w:hAnsi="Arial" w:cs="Arial"/>
          <w:sz w:val="22"/>
          <w:szCs w:val="22"/>
        </w:rPr>
        <w:t xml:space="preserve"> July 2026).</w:t>
      </w:r>
    </w:p>
    <w:p w14:paraId="01D814E7" w14:textId="6D4A7F63" w:rsidR="002E5B0F"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 xml:space="preserve">Tower Hamlets Council (2025b) ‘Early Help at the front door (MAST)’, available at: </w:t>
      </w:r>
      <w:hyperlink r:id="rId16" w:history="1">
        <w:r w:rsidR="0058716B" w:rsidRPr="007B7EDB">
          <w:rPr>
            <w:rStyle w:val="Hyperlink"/>
            <w:rFonts w:ascii="Arial" w:eastAsia="Arial Nova" w:hAnsi="Arial" w:cs="Arial"/>
            <w:sz w:val="22"/>
            <w:szCs w:val="22"/>
          </w:rPr>
          <w:t>https://www.towerhamlets.gov.uk/lgnl/health__social_care/children_and_family_care/Early_Help/Early_Help_Hub.aspx</w:t>
        </w:r>
      </w:hyperlink>
      <w:r w:rsidR="0058716B">
        <w:rPr>
          <w:rFonts w:ascii="Arial" w:eastAsia="Arial Nova" w:hAnsi="Arial" w:cs="Arial"/>
          <w:sz w:val="22"/>
          <w:szCs w:val="22"/>
        </w:rPr>
        <w:t xml:space="preserve"> </w:t>
      </w:r>
      <w:r w:rsidRPr="00C638A6">
        <w:rPr>
          <w:rFonts w:ascii="Arial" w:eastAsia="Arial Nova" w:hAnsi="Arial" w:cs="Arial"/>
          <w:sz w:val="22"/>
          <w:szCs w:val="22"/>
        </w:rPr>
        <w:t xml:space="preserve">(Accessed: </w:t>
      </w:r>
      <w:r w:rsidR="0058716B">
        <w:rPr>
          <w:rFonts w:ascii="Arial" w:eastAsia="Arial Nova" w:hAnsi="Arial" w:cs="Arial"/>
          <w:sz w:val="22"/>
          <w:szCs w:val="22"/>
        </w:rPr>
        <w:t>09</w:t>
      </w:r>
      <w:r w:rsidRPr="00C638A6">
        <w:rPr>
          <w:rFonts w:ascii="Arial" w:eastAsia="Arial Nova" w:hAnsi="Arial" w:cs="Arial"/>
          <w:sz w:val="22"/>
          <w:szCs w:val="22"/>
        </w:rPr>
        <w:t xml:space="preserve"> July 2026).</w:t>
      </w:r>
    </w:p>
    <w:p w14:paraId="0A4654E8" w14:textId="59A68D4D" w:rsidR="021F216E" w:rsidRPr="00C638A6" w:rsidRDefault="002E5B0F" w:rsidP="00C638A6">
      <w:pPr>
        <w:spacing w:line="360" w:lineRule="auto"/>
        <w:jc w:val="both"/>
        <w:rPr>
          <w:rFonts w:ascii="Arial" w:eastAsia="Arial Nova" w:hAnsi="Arial" w:cs="Arial"/>
          <w:sz w:val="22"/>
          <w:szCs w:val="22"/>
        </w:rPr>
      </w:pPr>
      <w:r w:rsidRPr="00C638A6">
        <w:rPr>
          <w:rFonts w:ascii="Arial" w:eastAsia="Arial Nova" w:hAnsi="Arial" w:cs="Arial"/>
          <w:sz w:val="22"/>
          <w:szCs w:val="22"/>
        </w:rPr>
        <w:t>van Dijk, J. (2020) The digital divide. Cambridge: Polity Press.</w:t>
      </w:r>
    </w:p>
    <w:sectPr w:rsidR="021F216E" w:rsidRPr="00C638A6" w:rsidSect="00C638A6">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78DE3" w14:textId="77777777" w:rsidR="00CE2B9B" w:rsidRDefault="00CE2B9B" w:rsidP="00255A0D">
      <w:pPr>
        <w:spacing w:after="0" w:line="240" w:lineRule="auto"/>
      </w:pPr>
      <w:r>
        <w:separator/>
      </w:r>
    </w:p>
  </w:endnote>
  <w:endnote w:type="continuationSeparator" w:id="0">
    <w:p w14:paraId="60A84CEA" w14:textId="77777777" w:rsidR="00CE2B9B" w:rsidRDefault="00CE2B9B"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CAF06" w14:textId="77777777" w:rsidR="00CE2B9B" w:rsidRDefault="00CE2B9B" w:rsidP="00255A0D">
      <w:pPr>
        <w:spacing w:after="0" w:line="240" w:lineRule="auto"/>
      </w:pPr>
      <w:r>
        <w:separator/>
      </w:r>
    </w:p>
  </w:footnote>
  <w:footnote w:type="continuationSeparator" w:id="0">
    <w:p w14:paraId="25B9ED33" w14:textId="77777777" w:rsidR="00CE2B9B" w:rsidRDefault="00CE2B9B"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F13DA"/>
    <w:multiLevelType w:val="hybridMultilevel"/>
    <w:tmpl w:val="7354C572"/>
    <w:lvl w:ilvl="0" w:tplc="23B0A278">
      <w:start w:val="1"/>
      <w:numFmt w:val="bullet"/>
      <w:lvlText w:val="•"/>
      <w:lvlJc w:val="left"/>
      <w:pPr>
        <w:tabs>
          <w:tab w:val="num" w:pos="720"/>
        </w:tabs>
        <w:ind w:left="720" w:hanging="360"/>
      </w:pPr>
      <w:rPr>
        <w:rFonts w:ascii="Arial" w:hAnsi="Arial" w:hint="default"/>
      </w:rPr>
    </w:lvl>
    <w:lvl w:ilvl="1" w:tplc="5850485A" w:tentative="1">
      <w:start w:val="1"/>
      <w:numFmt w:val="bullet"/>
      <w:lvlText w:val="•"/>
      <w:lvlJc w:val="left"/>
      <w:pPr>
        <w:tabs>
          <w:tab w:val="num" w:pos="1440"/>
        </w:tabs>
        <w:ind w:left="1440" w:hanging="360"/>
      </w:pPr>
      <w:rPr>
        <w:rFonts w:ascii="Arial" w:hAnsi="Arial" w:hint="default"/>
      </w:rPr>
    </w:lvl>
    <w:lvl w:ilvl="2" w:tplc="2724F26E" w:tentative="1">
      <w:start w:val="1"/>
      <w:numFmt w:val="bullet"/>
      <w:lvlText w:val="•"/>
      <w:lvlJc w:val="left"/>
      <w:pPr>
        <w:tabs>
          <w:tab w:val="num" w:pos="2160"/>
        </w:tabs>
        <w:ind w:left="2160" w:hanging="360"/>
      </w:pPr>
      <w:rPr>
        <w:rFonts w:ascii="Arial" w:hAnsi="Arial" w:hint="default"/>
      </w:rPr>
    </w:lvl>
    <w:lvl w:ilvl="3" w:tplc="27646C16" w:tentative="1">
      <w:start w:val="1"/>
      <w:numFmt w:val="bullet"/>
      <w:lvlText w:val="•"/>
      <w:lvlJc w:val="left"/>
      <w:pPr>
        <w:tabs>
          <w:tab w:val="num" w:pos="2880"/>
        </w:tabs>
        <w:ind w:left="2880" w:hanging="360"/>
      </w:pPr>
      <w:rPr>
        <w:rFonts w:ascii="Arial" w:hAnsi="Arial" w:hint="default"/>
      </w:rPr>
    </w:lvl>
    <w:lvl w:ilvl="4" w:tplc="1E9247F6" w:tentative="1">
      <w:start w:val="1"/>
      <w:numFmt w:val="bullet"/>
      <w:lvlText w:val="•"/>
      <w:lvlJc w:val="left"/>
      <w:pPr>
        <w:tabs>
          <w:tab w:val="num" w:pos="3600"/>
        </w:tabs>
        <w:ind w:left="3600" w:hanging="360"/>
      </w:pPr>
      <w:rPr>
        <w:rFonts w:ascii="Arial" w:hAnsi="Arial" w:hint="default"/>
      </w:rPr>
    </w:lvl>
    <w:lvl w:ilvl="5" w:tplc="172094D0" w:tentative="1">
      <w:start w:val="1"/>
      <w:numFmt w:val="bullet"/>
      <w:lvlText w:val="•"/>
      <w:lvlJc w:val="left"/>
      <w:pPr>
        <w:tabs>
          <w:tab w:val="num" w:pos="4320"/>
        </w:tabs>
        <w:ind w:left="4320" w:hanging="360"/>
      </w:pPr>
      <w:rPr>
        <w:rFonts w:ascii="Arial" w:hAnsi="Arial" w:hint="default"/>
      </w:rPr>
    </w:lvl>
    <w:lvl w:ilvl="6" w:tplc="8A0212EE" w:tentative="1">
      <w:start w:val="1"/>
      <w:numFmt w:val="bullet"/>
      <w:lvlText w:val="•"/>
      <w:lvlJc w:val="left"/>
      <w:pPr>
        <w:tabs>
          <w:tab w:val="num" w:pos="5040"/>
        </w:tabs>
        <w:ind w:left="5040" w:hanging="360"/>
      </w:pPr>
      <w:rPr>
        <w:rFonts w:ascii="Arial" w:hAnsi="Arial" w:hint="default"/>
      </w:rPr>
    </w:lvl>
    <w:lvl w:ilvl="7" w:tplc="707CB6CC" w:tentative="1">
      <w:start w:val="1"/>
      <w:numFmt w:val="bullet"/>
      <w:lvlText w:val="•"/>
      <w:lvlJc w:val="left"/>
      <w:pPr>
        <w:tabs>
          <w:tab w:val="num" w:pos="5760"/>
        </w:tabs>
        <w:ind w:left="5760" w:hanging="360"/>
      </w:pPr>
      <w:rPr>
        <w:rFonts w:ascii="Arial" w:hAnsi="Arial" w:hint="default"/>
      </w:rPr>
    </w:lvl>
    <w:lvl w:ilvl="8" w:tplc="4D2039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0C1545"/>
    <w:multiLevelType w:val="hybridMultilevel"/>
    <w:tmpl w:val="3CFE5CE6"/>
    <w:lvl w:ilvl="0" w:tplc="65607B16">
      <w:start w:val="1"/>
      <w:numFmt w:val="bullet"/>
      <w:lvlText w:val="•"/>
      <w:lvlJc w:val="left"/>
      <w:pPr>
        <w:tabs>
          <w:tab w:val="num" w:pos="720"/>
        </w:tabs>
        <w:ind w:left="720" w:hanging="360"/>
      </w:pPr>
      <w:rPr>
        <w:rFonts w:ascii="Arial" w:hAnsi="Arial" w:hint="default"/>
      </w:rPr>
    </w:lvl>
    <w:lvl w:ilvl="1" w:tplc="6D6C69AC" w:tentative="1">
      <w:start w:val="1"/>
      <w:numFmt w:val="bullet"/>
      <w:lvlText w:val="•"/>
      <w:lvlJc w:val="left"/>
      <w:pPr>
        <w:tabs>
          <w:tab w:val="num" w:pos="1440"/>
        </w:tabs>
        <w:ind w:left="1440" w:hanging="360"/>
      </w:pPr>
      <w:rPr>
        <w:rFonts w:ascii="Arial" w:hAnsi="Arial" w:hint="default"/>
      </w:rPr>
    </w:lvl>
    <w:lvl w:ilvl="2" w:tplc="432437DC" w:tentative="1">
      <w:start w:val="1"/>
      <w:numFmt w:val="bullet"/>
      <w:lvlText w:val="•"/>
      <w:lvlJc w:val="left"/>
      <w:pPr>
        <w:tabs>
          <w:tab w:val="num" w:pos="2160"/>
        </w:tabs>
        <w:ind w:left="2160" w:hanging="360"/>
      </w:pPr>
      <w:rPr>
        <w:rFonts w:ascii="Arial" w:hAnsi="Arial" w:hint="default"/>
      </w:rPr>
    </w:lvl>
    <w:lvl w:ilvl="3" w:tplc="774E6A48" w:tentative="1">
      <w:start w:val="1"/>
      <w:numFmt w:val="bullet"/>
      <w:lvlText w:val="•"/>
      <w:lvlJc w:val="left"/>
      <w:pPr>
        <w:tabs>
          <w:tab w:val="num" w:pos="2880"/>
        </w:tabs>
        <w:ind w:left="2880" w:hanging="360"/>
      </w:pPr>
      <w:rPr>
        <w:rFonts w:ascii="Arial" w:hAnsi="Arial" w:hint="default"/>
      </w:rPr>
    </w:lvl>
    <w:lvl w:ilvl="4" w:tplc="EBD25E8A" w:tentative="1">
      <w:start w:val="1"/>
      <w:numFmt w:val="bullet"/>
      <w:lvlText w:val="•"/>
      <w:lvlJc w:val="left"/>
      <w:pPr>
        <w:tabs>
          <w:tab w:val="num" w:pos="3600"/>
        </w:tabs>
        <w:ind w:left="3600" w:hanging="360"/>
      </w:pPr>
      <w:rPr>
        <w:rFonts w:ascii="Arial" w:hAnsi="Arial" w:hint="default"/>
      </w:rPr>
    </w:lvl>
    <w:lvl w:ilvl="5" w:tplc="44D06C80" w:tentative="1">
      <w:start w:val="1"/>
      <w:numFmt w:val="bullet"/>
      <w:lvlText w:val="•"/>
      <w:lvlJc w:val="left"/>
      <w:pPr>
        <w:tabs>
          <w:tab w:val="num" w:pos="4320"/>
        </w:tabs>
        <w:ind w:left="4320" w:hanging="360"/>
      </w:pPr>
      <w:rPr>
        <w:rFonts w:ascii="Arial" w:hAnsi="Arial" w:hint="default"/>
      </w:rPr>
    </w:lvl>
    <w:lvl w:ilvl="6" w:tplc="0BBC927C" w:tentative="1">
      <w:start w:val="1"/>
      <w:numFmt w:val="bullet"/>
      <w:lvlText w:val="•"/>
      <w:lvlJc w:val="left"/>
      <w:pPr>
        <w:tabs>
          <w:tab w:val="num" w:pos="5040"/>
        </w:tabs>
        <w:ind w:left="5040" w:hanging="360"/>
      </w:pPr>
      <w:rPr>
        <w:rFonts w:ascii="Arial" w:hAnsi="Arial" w:hint="default"/>
      </w:rPr>
    </w:lvl>
    <w:lvl w:ilvl="7" w:tplc="1CDEB5C6" w:tentative="1">
      <w:start w:val="1"/>
      <w:numFmt w:val="bullet"/>
      <w:lvlText w:val="•"/>
      <w:lvlJc w:val="left"/>
      <w:pPr>
        <w:tabs>
          <w:tab w:val="num" w:pos="5760"/>
        </w:tabs>
        <w:ind w:left="5760" w:hanging="360"/>
      </w:pPr>
      <w:rPr>
        <w:rFonts w:ascii="Arial" w:hAnsi="Arial" w:hint="default"/>
      </w:rPr>
    </w:lvl>
    <w:lvl w:ilvl="8" w:tplc="0D8044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3" w15:restartNumberingAfterBreak="0">
    <w:nsid w:val="307A0447"/>
    <w:multiLevelType w:val="hybridMultilevel"/>
    <w:tmpl w:val="72B63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E53994"/>
    <w:multiLevelType w:val="hybridMultilevel"/>
    <w:tmpl w:val="30F8E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F25DAE"/>
    <w:multiLevelType w:val="hybridMultilevel"/>
    <w:tmpl w:val="328E02AC"/>
    <w:lvl w:ilvl="0" w:tplc="014C1C5C">
      <w:start w:val="1"/>
      <w:numFmt w:val="bullet"/>
      <w:lvlText w:val="•"/>
      <w:lvlJc w:val="left"/>
      <w:pPr>
        <w:tabs>
          <w:tab w:val="num" w:pos="720"/>
        </w:tabs>
        <w:ind w:left="720" w:hanging="360"/>
      </w:pPr>
      <w:rPr>
        <w:rFonts w:ascii="Arial" w:hAnsi="Arial" w:hint="default"/>
      </w:rPr>
    </w:lvl>
    <w:lvl w:ilvl="1" w:tplc="3AB0F460" w:tentative="1">
      <w:start w:val="1"/>
      <w:numFmt w:val="bullet"/>
      <w:lvlText w:val="•"/>
      <w:lvlJc w:val="left"/>
      <w:pPr>
        <w:tabs>
          <w:tab w:val="num" w:pos="1440"/>
        </w:tabs>
        <w:ind w:left="1440" w:hanging="360"/>
      </w:pPr>
      <w:rPr>
        <w:rFonts w:ascii="Arial" w:hAnsi="Arial" w:hint="default"/>
      </w:rPr>
    </w:lvl>
    <w:lvl w:ilvl="2" w:tplc="C9D8F42E" w:tentative="1">
      <w:start w:val="1"/>
      <w:numFmt w:val="bullet"/>
      <w:lvlText w:val="•"/>
      <w:lvlJc w:val="left"/>
      <w:pPr>
        <w:tabs>
          <w:tab w:val="num" w:pos="2160"/>
        </w:tabs>
        <w:ind w:left="2160" w:hanging="360"/>
      </w:pPr>
      <w:rPr>
        <w:rFonts w:ascii="Arial" w:hAnsi="Arial" w:hint="default"/>
      </w:rPr>
    </w:lvl>
    <w:lvl w:ilvl="3" w:tplc="2F44C5B4" w:tentative="1">
      <w:start w:val="1"/>
      <w:numFmt w:val="bullet"/>
      <w:lvlText w:val="•"/>
      <w:lvlJc w:val="left"/>
      <w:pPr>
        <w:tabs>
          <w:tab w:val="num" w:pos="2880"/>
        </w:tabs>
        <w:ind w:left="2880" w:hanging="360"/>
      </w:pPr>
      <w:rPr>
        <w:rFonts w:ascii="Arial" w:hAnsi="Arial" w:hint="default"/>
      </w:rPr>
    </w:lvl>
    <w:lvl w:ilvl="4" w:tplc="37BEC7B6" w:tentative="1">
      <w:start w:val="1"/>
      <w:numFmt w:val="bullet"/>
      <w:lvlText w:val="•"/>
      <w:lvlJc w:val="left"/>
      <w:pPr>
        <w:tabs>
          <w:tab w:val="num" w:pos="3600"/>
        </w:tabs>
        <w:ind w:left="3600" w:hanging="360"/>
      </w:pPr>
      <w:rPr>
        <w:rFonts w:ascii="Arial" w:hAnsi="Arial" w:hint="default"/>
      </w:rPr>
    </w:lvl>
    <w:lvl w:ilvl="5" w:tplc="38BC046E" w:tentative="1">
      <w:start w:val="1"/>
      <w:numFmt w:val="bullet"/>
      <w:lvlText w:val="•"/>
      <w:lvlJc w:val="left"/>
      <w:pPr>
        <w:tabs>
          <w:tab w:val="num" w:pos="4320"/>
        </w:tabs>
        <w:ind w:left="4320" w:hanging="360"/>
      </w:pPr>
      <w:rPr>
        <w:rFonts w:ascii="Arial" w:hAnsi="Arial" w:hint="default"/>
      </w:rPr>
    </w:lvl>
    <w:lvl w:ilvl="6" w:tplc="2E8ADE8C" w:tentative="1">
      <w:start w:val="1"/>
      <w:numFmt w:val="bullet"/>
      <w:lvlText w:val="•"/>
      <w:lvlJc w:val="left"/>
      <w:pPr>
        <w:tabs>
          <w:tab w:val="num" w:pos="5040"/>
        </w:tabs>
        <w:ind w:left="5040" w:hanging="360"/>
      </w:pPr>
      <w:rPr>
        <w:rFonts w:ascii="Arial" w:hAnsi="Arial" w:hint="default"/>
      </w:rPr>
    </w:lvl>
    <w:lvl w:ilvl="7" w:tplc="2362CD12" w:tentative="1">
      <w:start w:val="1"/>
      <w:numFmt w:val="bullet"/>
      <w:lvlText w:val="•"/>
      <w:lvlJc w:val="left"/>
      <w:pPr>
        <w:tabs>
          <w:tab w:val="num" w:pos="5760"/>
        </w:tabs>
        <w:ind w:left="5760" w:hanging="360"/>
      </w:pPr>
      <w:rPr>
        <w:rFonts w:ascii="Arial" w:hAnsi="Arial" w:hint="default"/>
      </w:rPr>
    </w:lvl>
    <w:lvl w:ilvl="8" w:tplc="A1FE12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21C16C4"/>
    <w:multiLevelType w:val="hybridMultilevel"/>
    <w:tmpl w:val="40324920"/>
    <w:lvl w:ilvl="0" w:tplc="D766F34A">
      <w:start w:val="1"/>
      <w:numFmt w:val="bullet"/>
      <w:lvlText w:val="•"/>
      <w:lvlJc w:val="left"/>
      <w:pPr>
        <w:tabs>
          <w:tab w:val="num" w:pos="720"/>
        </w:tabs>
        <w:ind w:left="720" w:hanging="360"/>
      </w:pPr>
      <w:rPr>
        <w:rFonts w:ascii="Arial" w:hAnsi="Arial" w:hint="default"/>
      </w:rPr>
    </w:lvl>
    <w:lvl w:ilvl="1" w:tplc="F258C1F4" w:tentative="1">
      <w:start w:val="1"/>
      <w:numFmt w:val="bullet"/>
      <w:lvlText w:val="•"/>
      <w:lvlJc w:val="left"/>
      <w:pPr>
        <w:tabs>
          <w:tab w:val="num" w:pos="1440"/>
        </w:tabs>
        <w:ind w:left="1440" w:hanging="360"/>
      </w:pPr>
      <w:rPr>
        <w:rFonts w:ascii="Arial" w:hAnsi="Arial" w:hint="default"/>
      </w:rPr>
    </w:lvl>
    <w:lvl w:ilvl="2" w:tplc="55447F78" w:tentative="1">
      <w:start w:val="1"/>
      <w:numFmt w:val="bullet"/>
      <w:lvlText w:val="•"/>
      <w:lvlJc w:val="left"/>
      <w:pPr>
        <w:tabs>
          <w:tab w:val="num" w:pos="2160"/>
        </w:tabs>
        <w:ind w:left="2160" w:hanging="360"/>
      </w:pPr>
      <w:rPr>
        <w:rFonts w:ascii="Arial" w:hAnsi="Arial" w:hint="default"/>
      </w:rPr>
    </w:lvl>
    <w:lvl w:ilvl="3" w:tplc="9B7A14B0" w:tentative="1">
      <w:start w:val="1"/>
      <w:numFmt w:val="bullet"/>
      <w:lvlText w:val="•"/>
      <w:lvlJc w:val="left"/>
      <w:pPr>
        <w:tabs>
          <w:tab w:val="num" w:pos="2880"/>
        </w:tabs>
        <w:ind w:left="2880" w:hanging="360"/>
      </w:pPr>
      <w:rPr>
        <w:rFonts w:ascii="Arial" w:hAnsi="Arial" w:hint="default"/>
      </w:rPr>
    </w:lvl>
    <w:lvl w:ilvl="4" w:tplc="EC9CA29C" w:tentative="1">
      <w:start w:val="1"/>
      <w:numFmt w:val="bullet"/>
      <w:lvlText w:val="•"/>
      <w:lvlJc w:val="left"/>
      <w:pPr>
        <w:tabs>
          <w:tab w:val="num" w:pos="3600"/>
        </w:tabs>
        <w:ind w:left="3600" w:hanging="360"/>
      </w:pPr>
      <w:rPr>
        <w:rFonts w:ascii="Arial" w:hAnsi="Arial" w:hint="default"/>
      </w:rPr>
    </w:lvl>
    <w:lvl w:ilvl="5" w:tplc="ED8215FE" w:tentative="1">
      <w:start w:val="1"/>
      <w:numFmt w:val="bullet"/>
      <w:lvlText w:val="•"/>
      <w:lvlJc w:val="left"/>
      <w:pPr>
        <w:tabs>
          <w:tab w:val="num" w:pos="4320"/>
        </w:tabs>
        <w:ind w:left="4320" w:hanging="360"/>
      </w:pPr>
      <w:rPr>
        <w:rFonts w:ascii="Arial" w:hAnsi="Arial" w:hint="default"/>
      </w:rPr>
    </w:lvl>
    <w:lvl w:ilvl="6" w:tplc="1ABC132E" w:tentative="1">
      <w:start w:val="1"/>
      <w:numFmt w:val="bullet"/>
      <w:lvlText w:val="•"/>
      <w:lvlJc w:val="left"/>
      <w:pPr>
        <w:tabs>
          <w:tab w:val="num" w:pos="5040"/>
        </w:tabs>
        <w:ind w:left="5040" w:hanging="360"/>
      </w:pPr>
      <w:rPr>
        <w:rFonts w:ascii="Arial" w:hAnsi="Arial" w:hint="default"/>
      </w:rPr>
    </w:lvl>
    <w:lvl w:ilvl="7" w:tplc="4F167A3A" w:tentative="1">
      <w:start w:val="1"/>
      <w:numFmt w:val="bullet"/>
      <w:lvlText w:val="•"/>
      <w:lvlJc w:val="left"/>
      <w:pPr>
        <w:tabs>
          <w:tab w:val="num" w:pos="5760"/>
        </w:tabs>
        <w:ind w:left="5760" w:hanging="360"/>
      </w:pPr>
      <w:rPr>
        <w:rFonts w:ascii="Arial" w:hAnsi="Arial" w:hint="default"/>
      </w:rPr>
    </w:lvl>
    <w:lvl w:ilvl="8" w:tplc="5E9AD4CA" w:tentative="1">
      <w:start w:val="1"/>
      <w:numFmt w:val="bullet"/>
      <w:lvlText w:val="•"/>
      <w:lvlJc w:val="left"/>
      <w:pPr>
        <w:tabs>
          <w:tab w:val="num" w:pos="6480"/>
        </w:tabs>
        <w:ind w:left="6480" w:hanging="360"/>
      </w:pPr>
      <w:rPr>
        <w:rFonts w:ascii="Arial" w:hAnsi="Arial" w:hint="default"/>
      </w:rPr>
    </w:lvl>
  </w:abstractNum>
  <w:num w:numId="1" w16cid:durableId="1339774998">
    <w:abstractNumId w:val="2"/>
  </w:num>
  <w:num w:numId="2" w16cid:durableId="1329791814">
    <w:abstractNumId w:val="0"/>
  </w:num>
  <w:num w:numId="3" w16cid:durableId="1779181500">
    <w:abstractNumId w:val="6"/>
  </w:num>
  <w:num w:numId="4" w16cid:durableId="1329098541">
    <w:abstractNumId w:val="1"/>
  </w:num>
  <w:num w:numId="5" w16cid:durableId="1337659660">
    <w:abstractNumId w:val="5"/>
  </w:num>
  <w:num w:numId="6" w16cid:durableId="1650281558">
    <w:abstractNumId w:val="4"/>
  </w:num>
  <w:num w:numId="7" w16cid:durableId="16571029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34CD1"/>
    <w:rsid w:val="0006287A"/>
    <w:rsid w:val="00094EFD"/>
    <w:rsid w:val="00096FCC"/>
    <w:rsid w:val="001A0E8E"/>
    <w:rsid w:val="001B7628"/>
    <w:rsid w:val="001C40BE"/>
    <w:rsid w:val="002300D2"/>
    <w:rsid w:val="00255A0D"/>
    <w:rsid w:val="002E5B0F"/>
    <w:rsid w:val="00337274"/>
    <w:rsid w:val="00352BC6"/>
    <w:rsid w:val="003F00CA"/>
    <w:rsid w:val="004368B8"/>
    <w:rsid w:val="00456C61"/>
    <w:rsid w:val="00485D1F"/>
    <w:rsid w:val="0049133E"/>
    <w:rsid w:val="00550C2C"/>
    <w:rsid w:val="0055108E"/>
    <w:rsid w:val="00563EB8"/>
    <w:rsid w:val="00577423"/>
    <w:rsid w:val="0058716B"/>
    <w:rsid w:val="005B4BD5"/>
    <w:rsid w:val="00642733"/>
    <w:rsid w:val="00671374"/>
    <w:rsid w:val="00675FB1"/>
    <w:rsid w:val="007F0718"/>
    <w:rsid w:val="00834165"/>
    <w:rsid w:val="008F2FE9"/>
    <w:rsid w:val="00912D9D"/>
    <w:rsid w:val="009C5459"/>
    <w:rsid w:val="00A507D8"/>
    <w:rsid w:val="00AD2E0A"/>
    <w:rsid w:val="00BF66C0"/>
    <w:rsid w:val="00C473B4"/>
    <w:rsid w:val="00C5009B"/>
    <w:rsid w:val="00C638A6"/>
    <w:rsid w:val="00CA384C"/>
    <w:rsid w:val="00CA74EF"/>
    <w:rsid w:val="00CE2B9B"/>
    <w:rsid w:val="00DC2ECF"/>
    <w:rsid w:val="00DF1FB6"/>
    <w:rsid w:val="00E27A2D"/>
    <w:rsid w:val="00E740DA"/>
    <w:rsid w:val="00EB12BE"/>
    <w:rsid w:val="00EF3E0E"/>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642733"/>
    <w:rPr>
      <w:color w:val="605E5C"/>
      <w:shd w:val="clear" w:color="auto" w:fill="E1DFDD"/>
    </w:rPr>
  </w:style>
  <w:style w:type="paragraph" w:customStyle="1" w:styleId="p1">
    <w:name w:val="p1"/>
    <w:basedOn w:val="Normal"/>
    <w:rsid w:val="00EF3E0E"/>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 TargetMode="External"/><Relationship Id="rId13" Type="http://schemas.openxmlformats.org/officeDocument/2006/relationships/hyperlink" Target="https://www.norfolk.gov.uk/article/40407/Early-help-for-children-and-famili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edsscp.org.uk/practitioners/working-with-families/early-hel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owerhamlets.gov.uk/lgnl/health__social_care/children_and_family_care/Early_Help/Early_Help_Hub.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eds.gov.uk/children-and-families" TargetMode="External"/><Relationship Id="rId5" Type="http://schemas.openxmlformats.org/officeDocument/2006/relationships/footnotes" Target="footnotes.xml"/><Relationship Id="rId15" Type="http://schemas.openxmlformats.org/officeDocument/2006/relationships/hyperlink" Target="https://www.towerhamlets.gov.uk/lgnl/health__social_care/children_and_family_care/Early_Help/About_Early_Help.aspx" TargetMode="External"/><Relationship Id="rId10" Type="http://schemas.openxmlformats.org/officeDocument/2006/relationships/hyperlink" Target="https://www.leeds.gov.uk/one-minute-guides/family-hubs-and-early-help-front-door-team" TargetMode="External"/><Relationship Id="rId4" Type="http://schemas.openxmlformats.org/officeDocument/2006/relationships/webSettings" Target="webSettings.xml"/><Relationship Id="rId9" Type="http://schemas.openxmlformats.org/officeDocument/2006/relationships/hyperlink" Target="https://www.gov.uk/government/publications/supporting-families-early-help-system-guide" TargetMode="External"/><Relationship Id="rId14" Type="http://schemas.openxmlformats.org/officeDocument/2006/relationships/hyperlink" Target="https://www.schools.norfolk.gov.uk/article/66862/Childrens-Advice-and-Duty-Service-CA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10</Pages>
  <Words>2965</Words>
  <Characters>16907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Jobz Workz</cp:lastModifiedBy>
  <cp:revision>3</cp:revision>
  <dcterms:created xsi:type="dcterms:W3CDTF">2026-07-18T08:21:00Z</dcterms:created>
  <dcterms:modified xsi:type="dcterms:W3CDTF">2026-07-18T22:56:00Z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3d050ad4-31e0-4be7-882a-a954fd1e2d0d</vt:lpwstr>
  </property>
</Properties>
</file>