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0C2B" w:rsidRPr="00CC2CA6" w:rsidRDefault="00E158D4" w:rsidP="00930C2B">
      <w:pPr>
        <w:rPr>
          <w:rFonts w:ascii="Myriad Pro" w:hAnsi="Myriad Pro"/>
          <w:b/>
          <w:color w:val="1F497D"/>
          <w:sz w:val="32"/>
          <w:lang w:val="en-US"/>
        </w:rPr>
      </w:pPr>
      <w:r>
        <w:rPr>
          <w:rFonts w:ascii="Myriad Pro" w:hAnsi="Myriad Pro"/>
          <w:b/>
          <w:color w:val="1F497D"/>
          <w:sz w:val="32"/>
          <w:lang w:val="en-US"/>
        </w:rPr>
        <w:t>Lecture</w:t>
      </w:r>
      <w:bookmarkStart w:id="0" w:name="_GoBack"/>
      <w:bookmarkEnd w:id="0"/>
      <w:r w:rsidR="00930C2B" w:rsidRPr="00CC2CA6">
        <w:rPr>
          <w:rFonts w:ascii="Myriad Pro" w:hAnsi="Myriad Pro"/>
          <w:b/>
          <w:color w:val="1F497D"/>
          <w:sz w:val="32"/>
          <w:lang w:val="en-US"/>
        </w:rPr>
        <w:t xml:space="preserve"> 2</w:t>
      </w:r>
      <w:r w:rsidR="00930C2B">
        <w:rPr>
          <w:rFonts w:ascii="Myriad Pro" w:hAnsi="Myriad Pro"/>
          <w:b/>
          <w:color w:val="1F497D"/>
          <w:sz w:val="32"/>
          <w:lang w:val="en-US"/>
        </w:rPr>
        <w:t>:</w:t>
      </w:r>
      <w:r w:rsidR="00930C2B" w:rsidRPr="00CC2CA6">
        <w:rPr>
          <w:rFonts w:ascii="Myriad Pro" w:hAnsi="Myriad Pro"/>
          <w:b/>
          <w:color w:val="1F497D"/>
          <w:sz w:val="32"/>
          <w:lang w:val="en-US"/>
        </w:rPr>
        <w:t xml:space="preserve"> Globalization</w:t>
      </w:r>
    </w:p>
    <w:p w:rsidR="00930C2B" w:rsidRDefault="00930C2B" w:rsidP="00930C2B">
      <w:pPr>
        <w:rPr>
          <w:rFonts w:ascii="Calibri" w:hAnsi="Calibri"/>
          <w:lang w:val="en-US"/>
        </w:rPr>
      </w:pPr>
      <w:r>
        <w:rPr>
          <w:rFonts w:ascii="Calibri" w:hAnsi="Calibri"/>
          <w:lang w:val="en-US"/>
        </w:rPr>
        <w:t xml:space="preserve"> </w:t>
      </w:r>
    </w:p>
    <w:p w:rsidR="00930C2B" w:rsidRPr="00EF07B0" w:rsidRDefault="00930C2B" w:rsidP="00930C2B">
      <w:pPr>
        <w:rPr>
          <w:rFonts w:ascii="Calibri" w:hAnsi="Calibri"/>
          <w:lang w:val="en-US"/>
        </w:rPr>
      </w:pPr>
    </w:p>
    <w:p w:rsidR="00930C2B" w:rsidRPr="0062220C" w:rsidRDefault="00930C2B" w:rsidP="00930C2B">
      <w:pPr>
        <w:shd w:val="clear" w:color="auto" w:fill="1F497D" w:themeFill="text2"/>
        <w:rPr>
          <w:rFonts w:ascii="Calibri" w:hAnsi="Calibri"/>
          <w:b/>
          <w:color w:val="FFFFFF"/>
          <w:sz w:val="28"/>
          <w:lang w:val="en-US"/>
        </w:rPr>
      </w:pPr>
      <w:r w:rsidRPr="00332322">
        <w:rPr>
          <w:rFonts w:ascii="Calibri" w:hAnsi="Calibri"/>
          <w:b/>
          <w:color w:val="FFFFFF"/>
          <w:sz w:val="28"/>
          <w:lang w:val="en-US"/>
        </w:rPr>
        <w:t>Tata’s prospects and those of India’s economy go hand in hand</w:t>
      </w:r>
    </w:p>
    <w:p w:rsidR="00930C2B" w:rsidRDefault="00930C2B" w:rsidP="00930C2B">
      <w:pPr>
        <w:rPr>
          <w:rFonts w:ascii="Calibri" w:hAnsi="Calibri"/>
          <w:lang w:val="en-US"/>
        </w:rPr>
        <w:sectPr w:rsidR="00930C2B" w:rsidSect="00930C2B">
          <w:headerReference w:type="default" r:id="rId8"/>
          <w:footerReference w:type="default" r:id="rId9"/>
          <w:pgSz w:w="11906" w:h="16838"/>
          <w:pgMar w:top="851" w:right="1701" w:bottom="1417" w:left="1701" w:header="708" w:footer="708" w:gutter="0"/>
          <w:cols w:space="708"/>
          <w:docGrid w:linePitch="360"/>
        </w:sectPr>
      </w:pPr>
    </w:p>
    <w:p w:rsidR="00930C2B" w:rsidRPr="00EF07B0" w:rsidRDefault="00930C2B" w:rsidP="00930C2B">
      <w:pPr>
        <w:rPr>
          <w:rFonts w:ascii="Calibri" w:hAnsi="Calibri"/>
          <w:lang w:val="en-US"/>
        </w:rPr>
      </w:pPr>
      <w:r w:rsidRPr="00EF07B0">
        <w:rPr>
          <w:rFonts w:ascii="Calibri" w:hAnsi="Calibri"/>
          <w:lang w:val="en-US"/>
        </w:rPr>
        <w:lastRenderedPageBreak/>
        <w:t>Tata is India’s largest corporate conglomerate, spanning diverse business sectors, from chemicals to hotels to steel. Founded by the Tata family d</w:t>
      </w:r>
      <w:r>
        <w:rPr>
          <w:rFonts w:ascii="Calibri" w:hAnsi="Calibri"/>
          <w:lang w:val="en-US"/>
        </w:rPr>
        <w:t>uring British rule, its history</w:t>
      </w:r>
      <w:r w:rsidRPr="00EF07B0">
        <w:rPr>
          <w:rFonts w:ascii="Calibri" w:hAnsi="Calibri"/>
          <w:lang w:val="en-US"/>
        </w:rPr>
        <w:t xml:space="preserve"> has unfolded with the upheavals of India itself. It continued to expand in India’s post-colonial period, beginning in </w:t>
      </w:r>
      <w:r>
        <w:rPr>
          <w:rFonts w:ascii="Calibri" w:hAnsi="Calibri"/>
          <w:lang w:val="en-US"/>
        </w:rPr>
        <w:t xml:space="preserve">the </w:t>
      </w:r>
      <w:r w:rsidRPr="00EF07B0">
        <w:rPr>
          <w:rFonts w:ascii="Calibri" w:hAnsi="Calibri"/>
          <w:lang w:val="en-US"/>
        </w:rPr>
        <w:t>1950s, when the country was officially a socialist republic. This period was characterized by a closed economy, with heavy regulation, protection</w:t>
      </w:r>
      <w:r>
        <w:rPr>
          <w:rFonts w:ascii="Calibri" w:hAnsi="Calibri"/>
          <w:lang w:val="en-US"/>
        </w:rPr>
        <w:t>ist policies, and an emphasis on</w:t>
      </w:r>
      <w:r w:rsidRPr="00EF07B0">
        <w:rPr>
          <w:rFonts w:ascii="Calibri" w:hAnsi="Calibri"/>
          <w:lang w:val="en-US"/>
        </w:rPr>
        <w:t xml:space="preserve"> self-sufficiency. As imports were limited and companies were not allowed to invest abroad, domestic firms focused on import substitution. Much of what was available to consumers, however, was perceived to be of poor quality in comparison to foreign equivalents which were barred.  </w:t>
      </w:r>
    </w:p>
    <w:p w:rsidR="00930C2B" w:rsidRPr="00EF07B0" w:rsidRDefault="00930C2B" w:rsidP="00930C2B">
      <w:pPr>
        <w:rPr>
          <w:rFonts w:ascii="Calibri" w:hAnsi="Calibri"/>
          <w:lang w:val="en-US"/>
        </w:rPr>
      </w:pPr>
    </w:p>
    <w:p w:rsidR="00930C2B" w:rsidRPr="00EF07B0" w:rsidRDefault="00930C2B" w:rsidP="00930C2B">
      <w:pPr>
        <w:rPr>
          <w:rFonts w:ascii="Calibri" w:hAnsi="Calibri"/>
          <w:lang w:val="en-US"/>
        </w:rPr>
      </w:pPr>
      <w:r w:rsidRPr="00EF07B0">
        <w:rPr>
          <w:rFonts w:ascii="Calibri" w:hAnsi="Calibri"/>
          <w:lang w:val="en-US"/>
        </w:rPr>
        <w:t>With the opening of the economy from 1991 onwards, more foreign goods and foreign companies gained access to the Indian market. FDI was cautiously welcomed, although regulation and restrictions remained obstacles. Similarly, capital controls were lifted, allowing Indian companies to expand abroad. From 2004 onwards, they were allowed to borrow money from foreign banks. As India became a more open, market-oriented economy, the prospects for Indian companies brightened. Since 1991, the group has been headed by Ratan Tata, the fifth generation of his family to take the hel</w:t>
      </w:r>
      <w:r>
        <w:rPr>
          <w:rFonts w:ascii="Calibri" w:hAnsi="Calibri"/>
          <w:lang w:val="en-US"/>
        </w:rPr>
        <w:t>m. Tata companies began expanding</w:t>
      </w:r>
      <w:r w:rsidRPr="00EF07B0">
        <w:rPr>
          <w:rFonts w:ascii="Calibri" w:hAnsi="Calibri"/>
          <w:lang w:val="en-US"/>
        </w:rPr>
        <w:t xml:space="preserve"> internationally, almost as a defensive move, anticipating greater competition in the Indian market (</w:t>
      </w:r>
      <w:r w:rsidRPr="00EF07B0">
        <w:rPr>
          <w:rFonts w:ascii="Calibri" w:hAnsi="Calibri"/>
          <w:i/>
          <w:lang w:val="en-US"/>
        </w:rPr>
        <w:t>The Economist</w:t>
      </w:r>
      <w:r w:rsidRPr="00EF07B0">
        <w:rPr>
          <w:rFonts w:ascii="Calibri" w:hAnsi="Calibri"/>
          <w:lang w:val="en-US"/>
        </w:rPr>
        <w:t xml:space="preserve">, 30 May 2009). Many Tata companies are </w:t>
      </w:r>
      <w:r w:rsidRPr="00EF07B0">
        <w:rPr>
          <w:rFonts w:ascii="Calibri" w:hAnsi="Calibri"/>
          <w:lang w:val="en-US"/>
        </w:rPr>
        <w:lastRenderedPageBreak/>
        <w:t xml:space="preserve">now becoming global forces, reflecting their international ambitions which echo those of India’s government. </w:t>
      </w:r>
    </w:p>
    <w:p w:rsidR="00930C2B" w:rsidRPr="00EF07B0" w:rsidRDefault="00930C2B" w:rsidP="00930C2B">
      <w:pPr>
        <w:rPr>
          <w:rFonts w:ascii="Calibri" w:hAnsi="Calibri"/>
          <w:lang w:val="en-US"/>
        </w:rPr>
      </w:pPr>
    </w:p>
    <w:p w:rsidR="00930C2B" w:rsidRPr="00EF07B0" w:rsidRDefault="00930C2B" w:rsidP="00930C2B">
      <w:pPr>
        <w:rPr>
          <w:rFonts w:ascii="Calibri" w:hAnsi="Calibri"/>
          <w:lang w:val="en-US"/>
        </w:rPr>
      </w:pPr>
      <w:r w:rsidRPr="00EF07B0">
        <w:rPr>
          <w:rFonts w:ascii="Calibri" w:hAnsi="Calibri"/>
          <w:lang w:val="en-US"/>
        </w:rPr>
        <w:t xml:space="preserve">Among the Tata companies which are considered the jewels in the family crown, there are Tata Steel, Tata Motors and Tata Consultancy Services (TCS), the latter of which has been a star in India’s most recent development phase, promoting computing and business process outsourcing. Among the many foreign acquisitions of Tata companies are the purchase by Tata Steel of Corus, the UK steelmaker, in 2007. More recently, Tata Motors purchased Jaguar Land Rover of the UK in 2008. This last acquisition proved to be somewhat ill-timed, as it coincided with economic recession, but Ratan Tata was resolute that the luxury brand would be successful under Tata ownership. Tata’s most eye-catching announcement that year was the introduction the Tata Nano, a small, cheap car at the opposite end of the market. The Nano, billed as the ‘people’s car’, caught the imagination of India’s growing ranks of consumers, who could now aspire to car ownership. But it also grabbed headlines globally. A European version was envisaged, the Nano Europa, which would meet European emissions standards, and even an American version was envisaged. </w:t>
      </w:r>
    </w:p>
    <w:p w:rsidR="00930C2B" w:rsidRPr="00EF07B0" w:rsidRDefault="00930C2B" w:rsidP="00930C2B">
      <w:pPr>
        <w:rPr>
          <w:rFonts w:ascii="Calibri" w:hAnsi="Calibri"/>
          <w:lang w:val="en-US"/>
        </w:rPr>
      </w:pPr>
    </w:p>
    <w:p w:rsidR="00930C2B" w:rsidRPr="00EF07B0" w:rsidRDefault="00930C2B" w:rsidP="00930C2B">
      <w:pPr>
        <w:rPr>
          <w:rFonts w:ascii="Calibri" w:hAnsi="Calibri"/>
          <w:lang w:val="en-US"/>
        </w:rPr>
      </w:pPr>
      <w:r w:rsidRPr="00EF07B0">
        <w:rPr>
          <w:rFonts w:ascii="Calibri" w:hAnsi="Calibri"/>
          <w:lang w:val="en-US"/>
        </w:rPr>
        <w:t xml:space="preserve">Following the euphoria of the Nano launch, Tata came back down to earth when production difficulties set in. As is often the case in India, land for industrial use is compulsorily purchased by the government. In this case, the </w:t>
      </w:r>
      <w:r w:rsidRPr="00EF07B0">
        <w:rPr>
          <w:rFonts w:ascii="Calibri" w:hAnsi="Calibri"/>
          <w:lang w:val="en-US"/>
        </w:rPr>
        <w:lastRenderedPageBreak/>
        <w:t xml:space="preserve">government of West Bengal, although communist, was keen to have the estimated 10,000 jobs that the Nano factory would bring, </w:t>
      </w:r>
      <w:r>
        <w:rPr>
          <w:rFonts w:ascii="Calibri" w:hAnsi="Calibri"/>
          <w:lang w:val="en-US"/>
        </w:rPr>
        <w:t xml:space="preserve">and </w:t>
      </w:r>
      <w:r w:rsidRPr="00EF07B0">
        <w:rPr>
          <w:rFonts w:ascii="Calibri" w:hAnsi="Calibri"/>
          <w:lang w:val="en-US"/>
        </w:rPr>
        <w:t>provided incentives to attract Tata, including a site which was nearly free and low taxes. The propos</w:t>
      </w:r>
      <w:r>
        <w:rPr>
          <w:rFonts w:ascii="Calibri" w:hAnsi="Calibri"/>
          <w:lang w:val="en-US"/>
        </w:rPr>
        <w:t>ed site, over which some 12,000</w:t>
      </w:r>
      <w:r w:rsidRPr="00EF07B0">
        <w:rPr>
          <w:rFonts w:ascii="Calibri" w:hAnsi="Calibri"/>
          <w:lang w:val="en-US"/>
        </w:rPr>
        <w:t xml:space="preserve"> peasant farmers had separate titles, was compulsorily purchased, to pave the way for the factory. However, the government underestimated the hostility of the displaced farmers. Violent protests ensued, ultimately making it impossible to complete the factory. Tata abandoned the site, along with the nearly-finished factor</w:t>
      </w:r>
      <w:r>
        <w:rPr>
          <w:rFonts w:ascii="Calibri" w:hAnsi="Calibri"/>
          <w:lang w:val="en-US"/>
        </w:rPr>
        <w:t>y</w:t>
      </w:r>
      <w:r w:rsidRPr="00EF07B0">
        <w:rPr>
          <w:rFonts w:ascii="Calibri" w:hAnsi="Calibri"/>
          <w:lang w:val="en-US"/>
        </w:rPr>
        <w:t>, and started again in the state of Gujarat, which, with its existing industrial base, proved a more amenable environment. However, the shift was costly in terms of time and money, and the suppliers who had invested in facilities near the West Bengal site also suffered. People in West Bengal had mixed feelings: the opportunity for factory jobs looked attractive to many, as more secure than subsistence farming, but many felt they were not being offered enough money to compensate them in the compulsory purchase deal.</w:t>
      </w:r>
    </w:p>
    <w:p w:rsidR="00930C2B" w:rsidRPr="00EF07B0" w:rsidRDefault="00930C2B" w:rsidP="00930C2B">
      <w:pPr>
        <w:rPr>
          <w:rFonts w:ascii="Calibri" w:hAnsi="Calibri"/>
          <w:lang w:val="en-US"/>
        </w:rPr>
      </w:pPr>
    </w:p>
    <w:p w:rsidR="00930C2B" w:rsidRPr="00EF07B0" w:rsidRDefault="00930C2B" w:rsidP="00930C2B">
      <w:pPr>
        <w:rPr>
          <w:rFonts w:ascii="Calibri" w:hAnsi="Calibri"/>
          <w:lang w:val="en-US"/>
        </w:rPr>
      </w:pPr>
      <w:r w:rsidRPr="00EF07B0">
        <w:rPr>
          <w:rFonts w:ascii="Calibri" w:hAnsi="Calibri"/>
          <w:lang w:val="en-US"/>
        </w:rPr>
        <w:t xml:space="preserve">The travails of getting the Nano in production, some seven months late, are indicative of the strains which prevail in India. Some 60% of the population is still agricultural, although agriculture is just 20% of the country’s GDP. India’s government is now focusing on building manufacturing capacity, conscious of rivalry with China as a manufacturing superpower. But </w:t>
      </w:r>
      <w:r w:rsidRPr="00EF07B0">
        <w:rPr>
          <w:rFonts w:ascii="Calibri" w:hAnsi="Calibri"/>
          <w:lang w:val="en-US"/>
        </w:rPr>
        <w:lastRenderedPageBreak/>
        <w:t xml:space="preserve">there remain many obstacles, including poor infrastructure. Poverty and poor education continue to hold back development. India grew at an impressive 7.9% in 2009, and was relatively unscathed by the global financial crisis. This was partly fortuitous: India’s dominant state-owned banks have not become globalized and were not exposed in risky financial markets. Liberal reforms, including privatizations, have stalled in recent years. The state –owned sector remains huge, ranging from food to telecommunications. These state-owned companies employed 1.8 million people in 2008, and accounted for 8.3% of GDP. The government could sell stakes in these companies, encouraging them to become more efficient. Such sell-offs could yield valuable cash to deal with the country’s budget deficit of nearly 7% of GDP. </w:t>
      </w:r>
    </w:p>
    <w:p w:rsidR="00930C2B" w:rsidRPr="00EF07B0" w:rsidRDefault="00930C2B" w:rsidP="00930C2B">
      <w:pPr>
        <w:rPr>
          <w:rFonts w:ascii="Calibri" w:hAnsi="Calibri"/>
          <w:lang w:val="en-US"/>
        </w:rPr>
      </w:pPr>
    </w:p>
    <w:p w:rsidR="00930C2B" w:rsidRPr="00EF07B0" w:rsidRDefault="00930C2B" w:rsidP="00930C2B">
      <w:pPr>
        <w:rPr>
          <w:rFonts w:ascii="Calibri" w:hAnsi="Calibri"/>
          <w:lang w:val="en-US"/>
        </w:rPr>
      </w:pPr>
      <w:r w:rsidRPr="00EF07B0">
        <w:rPr>
          <w:rFonts w:ascii="Calibri" w:hAnsi="Calibri"/>
          <w:lang w:val="en-US"/>
        </w:rPr>
        <w:t>Meanwhile, Tata has moved on to another headline-grabbing launch, the Tata Swach, a water filter device at 1,000 rupees (about $21) which caters for people without  running water and electricity in their homes – a category which covers about 400 million of India’s inhabitants.</w:t>
      </w:r>
    </w:p>
    <w:p w:rsidR="00930C2B" w:rsidRPr="00EF07B0" w:rsidRDefault="00930C2B" w:rsidP="00930C2B">
      <w:pPr>
        <w:rPr>
          <w:rFonts w:ascii="Calibri" w:hAnsi="Calibri"/>
          <w:lang w:val="en-US"/>
        </w:rPr>
      </w:pPr>
    </w:p>
    <w:p w:rsidR="00930C2B" w:rsidRPr="00B240E6" w:rsidRDefault="00930C2B" w:rsidP="00930C2B">
      <w:pPr>
        <w:rPr>
          <w:rFonts w:ascii="Calibri" w:hAnsi="Calibri"/>
          <w:color w:val="1F497D" w:themeColor="text2"/>
          <w:lang w:val="en-US"/>
        </w:rPr>
      </w:pPr>
      <w:r w:rsidRPr="00B240E6">
        <w:rPr>
          <w:rFonts w:ascii="Calibri" w:hAnsi="Calibri"/>
          <w:color w:val="1F497D" w:themeColor="text2"/>
          <w:lang w:val="en-US"/>
        </w:rPr>
        <w:t xml:space="preserve">Sources: Lamont, J. (2010) ‘Building Brics’, </w:t>
      </w:r>
      <w:r w:rsidRPr="00B240E6">
        <w:rPr>
          <w:rFonts w:ascii="Calibri" w:hAnsi="Calibri"/>
          <w:i/>
          <w:color w:val="1F497D" w:themeColor="text2"/>
          <w:lang w:val="en-US"/>
        </w:rPr>
        <w:t>Financial Times</w:t>
      </w:r>
      <w:r w:rsidRPr="00B240E6">
        <w:rPr>
          <w:rFonts w:ascii="Calibri" w:hAnsi="Calibri"/>
          <w:color w:val="1F497D" w:themeColor="text2"/>
          <w:lang w:val="en-US"/>
        </w:rPr>
        <w:t xml:space="preserve">, 20 January; Lamont, J. (2010) ‘Potholes in the road’, </w:t>
      </w:r>
      <w:r w:rsidRPr="00B240E6">
        <w:rPr>
          <w:rFonts w:ascii="Calibri" w:hAnsi="Calibri"/>
          <w:i/>
          <w:color w:val="1F497D" w:themeColor="text2"/>
          <w:lang w:val="en-US"/>
        </w:rPr>
        <w:t>Financial Times</w:t>
      </w:r>
      <w:r w:rsidRPr="00B240E6">
        <w:rPr>
          <w:rFonts w:ascii="Calibri" w:hAnsi="Calibri"/>
          <w:color w:val="1F497D" w:themeColor="text2"/>
          <w:lang w:val="en-US"/>
        </w:rPr>
        <w:t xml:space="preserve">, 9 February; Leahy, J. (2008) ‘Journey into conflict’, </w:t>
      </w:r>
      <w:r w:rsidRPr="00B240E6">
        <w:rPr>
          <w:rFonts w:ascii="Calibri" w:hAnsi="Calibri"/>
          <w:i/>
          <w:color w:val="1F497D" w:themeColor="text2"/>
          <w:lang w:val="en-US"/>
        </w:rPr>
        <w:t>Financial Times</w:t>
      </w:r>
      <w:r w:rsidRPr="00B240E6">
        <w:rPr>
          <w:rFonts w:ascii="Calibri" w:hAnsi="Calibri"/>
          <w:color w:val="1F497D" w:themeColor="text2"/>
          <w:lang w:val="en-US"/>
        </w:rPr>
        <w:t xml:space="preserve">, 15 September; </w:t>
      </w:r>
      <w:r w:rsidRPr="00B240E6">
        <w:rPr>
          <w:rFonts w:ascii="Calibri" w:hAnsi="Calibri"/>
          <w:i/>
          <w:color w:val="1F497D" w:themeColor="text2"/>
          <w:lang w:val="en-US"/>
        </w:rPr>
        <w:t>The Economist</w:t>
      </w:r>
      <w:r w:rsidRPr="00B240E6">
        <w:rPr>
          <w:rFonts w:ascii="Calibri" w:hAnsi="Calibri"/>
          <w:color w:val="1F497D" w:themeColor="text2"/>
          <w:lang w:val="en-US"/>
        </w:rPr>
        <w:t xml:space="preserve">, ‘Gone shopping’, 30 May 2009; </w:t>
      </w:r>
      <w:r w:rsidRPr="00B240E6">
        <w:rPr>
          <w:rFonts w:ascii="Calibri" w:hAnsi="Calibri"/>
          <w:i/>
          <w:color w:val="1F497D" w:themeColor="text2"/>
          <w:lang w:val="en-US"/>
        </w:rPr>
        <w:t>The Economist</w:t>
      </w:r>
      <w:r w:rsidRPr="00B240E6">
        <w:rPr>
          <w:rFonts w:ascii="Calibri" w:hAnsi="Calibri"/>
          <w:color w:val="1F497D" w:themeColor="text2"/>
          <w:lang w:val="en-US"/>
        </w:rPr>
        <w:t xml:space="preserve">, ‘Stakes and mistakes’, 14 November 2009. </w:t>
      </w:r>
    </w:p>
    <w:p w:rsidR="00930C2B" w:rsidRDefault="00930C2B" w:rsidP="00930C2B">
      <w:pPr>
        <w:rPr>
          <w:rFonts w:ascii="Calibri" w:hAnsi="Calibri"/>
          <w:lang w:val="en-US"/>
        </w:rPr>
        <w:sectPr w:rsidR="00930C2B" w:rsidSect="0062220C">
          <w:type w:val="continuous"/>
          <w:pgSz w:w="11906" w:h="16838"/>
          <w:pgMar w:top="1417" w:right="1701" w:bottom="1417" w:left="1701" w:header="708" w:footer="708" w:gutter="0"/>
          <w:cols w:num="2" w:space="708"/>
          <w:docGrid w:linePitch="360"/>
        </w:sectPr>
      </w:pPr>
    </w:p>
    <w:p w:rsidR="00930C2B" w:rsidRPr="00EF07B0" w:rsidRDefault="00930C2B" w:rsidP="00930C2B">
      <w:pPr>
        <w:rPr>
          <w:rFonts w:ascii="Calibri" w:hAnsi="Calibri"/>
          <w:lang w:val="en-US"/>
        </w:rPr>
      </w:pPr>
    </w:p>
    <w:p w:rsidR="00930C2B" w:rsidRDefault="00930C2B" w:rsidP="00930C2B">
      <w:pPr>
        <w:rPr>
          <w:rFonts w:ascii="Myriad Pro" w:hAnsi="Myriad Pro"/>
          <w:b/>
          <w:color w:val="1F497D"/>
          <w:sz w:val="22"/>
          <w:lang w:val="en-US"/>
        </w:rPr>
      </w:pPr>
    </w:p>
    <w:p w:rsidR="00930C2B" w:rsidRPr="00332322" w:rsidRDefault="00930C2B" w:rsidP="00930C2B">
      <w:pPr>
        <w:rPr>
          <w:rFonts w:ascii="Myriad Pro" w:hAnsi="Myriad Pro"/>
          <w:b/>
          <w:color w:val="1F497D"/>
          <w:sz w:val="22"/>
          <w:lang w:val="en-US"/>
        </w:rPr>
      </w:pPr>
      <w:r w:rsidRPr="00332322">
        <w:rPr>
          <w:rFonts w:ascii="Myriad Pro" w:hAnsi="Myriad Pro"/>
          <w:b/>
          <w:color w:val="1F497D"/>
          <w:sz w:val="22"/>
          <w:lang w:val="en-US"/>
        </w:rPr>
        <w:t>Questions for discussion</w:t>
      </w:r>
    </w:p>
    <w:p w:rsidR="00930C2B" w:rsidRPr="00EF07B0" w:rsidRDefault="00930C2B" w:rsidP="00930C2B">
      <w:pPr>
        <w:numPr>
          <w:ilvl w:val="0"/>
          <w:numId w:val="1"/>
        </w:numPr>
        <w:rPr>
          <w:rFonts w:ascii="Calibri" w:hAnsi="Calibri"/>
          <w:lang w:val="en-US"/>
        </w:rPr>
      </w:pPr>
      <w:r w:rsidRPr="00EF07B0">
        <w:rPr>
          <w:rFonts w:ascii="Calibri" w:hAnsi="Calibri"/>
          <w:lang w:val="en-US"/>
        </w:rPr>
        <w:t>In what ways has Indian economic policy benefited companies such as Tata, or harmed them?</w:t>
      </w:r>
    </w:p>
    <w:p w:rsidR="00930C2B" w:rsidRDefault="00930C2B" w:rsidP="00930C2B">
      <w:pPr>
        <w:numPr>
          <w:ilvl w:val="0"/>
          <w:numId w:val="1"/>
        </w:numPr>
        <w:rPr>
          <w:rFonts w:ascii="Calibri" w:hAnsi="Calibri"/>
          <w:lang w:val="en-US"/>
        </w:rPr>
      </w:pPr>
      <w:r w:rsidRPr="00EF07B0">
        <w:rPr>
          <w:rFonts w:ascii="Calibri" w:hAnsi="Calibri"/>
          <w:lang w:val="en-US"/>
        </w:rPr>
        <w:lastRenderedPageBreak/>
        <w:t>How has Tata benefited from globalization?</w:t>
      </w:r>
    </w:p>
    <w:p w:rsidR="00930C2B" w:rsidRDefault="00930C2B" w:rsidP="00930C2B">
      <w:pPr>
        <w:numPr>
          <w:ilvl w:val="0"/>
          <w:numId w:val="1"/>
        </w:numPr>
        <w:rPr>
          <w:rFonts w:ascii="Calibri" w:hAnsi="Calibri"/>
          <w:lang w:val="en-US"/>
        </w:rPr>
      </w:pPr>
      <w:r>
        <w:rPr>
          <w:rFonts w:ascii="Calibri" w:hAnsi="Calibri"/>
          <w:lang w:val="en-US"/>
        </w:rPr>
        <w:t>What development issues are major concerns for India?</w:t>
      </w:r>
    </w:p>
    <w:p w:rsidR="006644CD" w:rsidRPr="00EF07B0" w:rsidRDefault="006644CD" w:rsidP="006644CD">
      <w:pPr>
        <w:ind w:left="360"/>
        <w:rPr>
          <w:rFonts w:ascii="Calibri" w:hAnsi="Calibri"/>
          <w:lang w:val="en-US"/>
        </w:rPr>
      </w:pPr>
    </w:p>
    <w:p w:rsidR="00930C2B" w:rsidRDefault="00760199" w:rsidP="00930C2B">
      <w:pPr>
        <w:rPr>
          <w:rFonts w:ascii="Calibri" w:hAnsi="Calibri"/>
          <w:lang w:val="en-US"/>
        </w:rPr>
      </w:pPr>
      <w:r>
        <w:rPr>
          <w:rFonts w:ascii="Calibri" w:hAnsi="Calibri"/>
          <w:lang w:val="en-US"/>
        </w:rPr>
        <w:pict>
          <v:rect id="_x0000_i1025" style="width:420.1pt;height:3.75pt" o:hrpct="988" o:hralign="center" o:hrstd="t" o:hrnoshade="t" o:hr="t" fillcolor="#1f497d" stroked="f"/>
        </w:pict>
      </w:r>
    </w:p>
    <w:p w:rsidR="00930C2B" w:rsidRPr="00EF07B0" w:rsidRDefault="00930C2B" w:rsidP="00930C2B">
      <w:pPr>
        <w:rPr>
          <w:rFonts w:ascii="Calibri" w:hAnsi="Calibri"/>
          <w:lang w:val="en-US"/>
        </w:rPr>
      </w:pPr>
    </w:p>
    <w:p w:rsidR="00930C2B" w:rsidRPr="00332322" w:rsidRDefault="00930C2B" w:rsidP="00930C2B">
      <w:pPr>
        <w:shd w:val="clear" w:color="auto" w:fill="1F497D" w:themeFill="text2"/>
        <w:rPr>
          <w:rFonts w:ascii="Calibri" w:hAnsi="Calibri"/>
          <w:b/>
          <w:color w:val="FFFFFF" w:themeColor="background1"/>
          <w:lang w:val="en-US"/>
        </w:rPr>
      </w:pPr>
      <w:r w:rsidRPr="00332322">
        <w:rPr>
          <w:rFonts w:ascii="Calibri" w:hAnsi="Calibri"/>
          <w:b/>
          <w:color w:val="FFFFFF" w:themeColor="background1"/>
          <w:lang w:val="en-US"/>
        </w:rPr>
        <w:t>2016 update:</w:t>
      </w:r>
    </w:p>
    <w:p w:rsidR="00930C2B" w:rsidRDefault="00930C2B" w:rsidP="00930C2B">
      <w:pPr>
        <w:rPr>
          <w:rFonts w:ascii="Calibri" w:hAnsi="Calibri"/>
          <w:lang w:val="en-US"/>
        </w:rPr>
        <w:sectPr w:rsidR="00930C2B" w:rsidSect="0062220C">
          <w:type w:val="continuous"/>
          <w:pgSz w:w="11906" w:h="16838"/>
          <w:pgMar w:top="1417" w:right="1701" w:bottom="1417" w:left="1701" w:header="708" w:footer="708" w:gutter="0"/>
          <w:cols w:space="708"/>
          <w:docGrid w:linePitch="360"/>
        </w:sectPr>
      </w:pPr>
    </w:p>
    <w:p w:rsidR="00930C2B" w:rsidRPr="00EF07B0" w:rsidRDefault="00930C2B" w:rsidP="00930C2B">
      <w:pPr>
        <w:rPr>
          <w:rFonts w:ascii="Calibri" w:hAnsi="Calibri"/>
          <w:lang w:val="en-US"/>
        </w:rPr>
      </w:pPr>
      <w:r>
        <w:rPr>
          <w:rFonts w:ascii="Calibri" w:hAnsi="Calibri"/>
          <w:lang w:val="en-US"/>
        </w:rPr>
        <w:lastRenderedPageBreak/>
        <w:t xml:space="preserve">India has seen more business-friendly policies introduced by the government, but development issues such as poverty and poor infrastructure remain priorities. Tata has faced challenges, both at home and in global markets. The Tata Nano, called the ‘people’s car’, failed to take off among the vast numbers of modest Indians whom the company had targeted, especially in rural areas. Marketing it as the world’s cheapest car was probably not the best strategy, as cheapness tended to suggest it was poorly made and unsafe – it performed poorly in safety tests. Whether rich or poor, people desire a safe vehicle, and Tata has had to rethink the car’s design and equipment, as well as its marketing. It has dropped the emphasis on cheapness. A new model, launched in 2015, is more upmarket and is designed to appeal to the urban driver. It includes, for example, digital information display. </w:t>
      </w:r>
    </w:p>
    <w:p w:rsidR="00930C2B" w:rsidRDefault="00930C2B" w:rsidP="00930C2B">
      <w:pPr>
        <w:rPr>
          <w:rFonts w:ascii="Calibri" w:hAnsi="Calibri"/>
          <w:lang w:val="en-US"/>
        </w:rPr>
        <w:sectPr w:rsidR="00930C2B" w:rsidSect="00930C2B">
          <w:type w:val="continuous"/>
          <w:pgSz w:w="11906" w:h="16838"/>
          <w:pgMar w:top="1417" w:right="1701" w:bottom="1417" w:left="1701" w:header="708" w:footer="708" w:gutter="0"/>
          <w:cols w:num="2" w:space="708"/>
          <w:docGrid w:linePitch="360"/>
        </w:sectPr>
      </w:pPr>
      <w:r>
        <w:rPr>
          <w:rFonts w:ascii="Calibri" w:hAnsi="Calibri"/>
          <w:lang w:val="en-US"/>
        </w:rPr>
        <w:lastRenderedPageBreak/>
        <w:t>Tata’s confidence in the bright prospects for Jaguar Land Rover (JLR) proved to be justified. Production of these premium-brand vehicles has increased since its takeover of the company, and JLR has become Britain’s largest car manufacturer, overtaking Nissan. JLR’s sales and number of employees have doubled since the takeover, thanks partly to strong demand in the US, Europe and particularly China. On the other hand, profits have been squeezed, and, with the weakening in the Chinese economy, Chinese demand has slowed. Tata’s steel business in the UK has suffered a downturn in difficult market conditions globally that affected all steelmakers. It has been particularly affected by being undercut by Chinese imports. Tata Steel has employed 20,000 people in Britain, and the British government has been keen that investors are found to take over these businesses</w:t>
      </w:r>
    </w:p>
    <w:p w:rsidR="00930C2B" w:rsidRDefault="00930C2B" w:rsidP="00930C2B">
      <w:pPr>
        <w:rPr>
          <w:rFonts w:ascii="Calibri" w:hAnsi="Calibri"/>
          <w:lang w:val="en-US"/>
        </w:rPr>
      </w:pPr>
    </w:p>
    <w:p w:rsidR="00930C2B" w:rsidRDefault="00760199" w:rsidP="00930C2B">
      <w:pPr>
        <w:rPr>
          <w:rFonts w:ascii="Calibri" w:hAnsi="Calibri"/>
          <w:lang w:val="en-US"/>
        </w:rPr>
        <w:sectPr w:rsidR="00930C2B" w:rsidSect="00930C2B">
          <w:type w:val="continuous"/>
          <w:pgSz w:w="11906" w:h="16838"/>
          <w:pgMar w:top="1417" w:right="1701" w:bottom="1417" w:left="1701" w:header="708" w:footer="708" w:gutter="0"/>
          <w:cols w:space="708"/>
          <w:docGrid w:linePitch="360"/>
        </w:sectPr>
      </w:pPr>
      <w:r>
        <w:rPr>
          <w:rFonts w:ascii="Calibri" w:hAnsi="Calibri"/>
          <w:lang w:val="en-US"/>
        </w:rPr>
        <w:pict>
          <v:rect id="_x0000_i1026" style="width:420.1pt;height:3.75pt" o:hrpct="988" o:hralign="center" o:hrstd="t" o:hrnoshade="t" o:hr="t" fillcolor="#1f497d [3215]" stroked="f"/>
        </w:pict>
      </w:r>
    </w:p>
    <w:p w:rsidR="00930C2B" w:rsidRDefault="00930C2B" w:rsidP="00930C2B">
      <w:pPr>
        <w:rPr>
          <w:rFonts w:ascii="Calibri" w:hAnsi="Calibri"/>
          <w:lang w:val="en-US"/>
        </w:rPr>
      </w:pPr>
    </w:p>
    <w:p w:rsidR="00EA5A55" w:rsidRDefault="00EA5A55"/>
    <w:sectPr w:rsidR="00EA5A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60199" w:rsidRDefault="00760199">
      <w:r>
        <w:separator/>
      </w:r>
    </w:p>
  </w:endnote>
  <w:endnote w:type="continuationSeparator" w:id="0">
    <w:p w:rsidR="00760199" w:rsidRDefault="007601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yriad Pro">
    <w:altName w:val="Arial"/>
    <w:panose1 w:val="00000000000000000000"/>
    <w:charset w:val="00"/>
    <w:family w:val="swiss"/>
    <w:notTrueType/>
    <w:pitch w:val="variable"/>
    <w:sig w:usb0="00000001" w:usb1="00000001"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C2CA6" w:rsidRDefault="00760199">
    <w:pPr>
      <w:pStyle w:val="Footer"/>
    </w:pPr>
  </w:p>
  <w:p w:rsidR="00CC2CA6" w:rsidRDefault="0076019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60199" w:rsidRDefault="00760199">
      <w:r>
        <w:separator/>
      </w:r>
    </w:p>
  </w:footnote>
  <w:footnote w:type="continuationSeparator" w:id="0">
    <w:p w:rsidR="00760199" w:rsidRDefault="0076019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0654B" w:rsidRDefault="00930C2B">
    <w:pPr>
      <w:pStyle w:val="Header"/>
      <w:jc w:val="right"/>
    </w:pPr>
    <w:r>
      <w:fldChar w:fldCharType="begin"/>
    </w:r>
    <w:r>
      <w:instrText xml:space="preserve"> PAGE   \* MERGEFORMAT </w:instrText>
    </w:r>
    <w:r>
      <w:fldChar w:fldCharType="separate"/>
    </w:r>
    <w:r w:rsidR="00E158D4">
      <w:rPr>
        <w:noProof/>
      </w:rPr>
      <w:t>1</w:t>
    </w:r>
    <w:r>
      <w:rPr>
        <w:noProof/>
      </w:rPr>
      <w:fldChar w:fldCharType="end"/>
    </w:r>
  </w:p>
  <w:p w:rsidR="00C0654B" w:rsidRDefault="0076019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6B34A3"/>
    <w:multiLevelType w:val="hybridMultilevel"/>
    <w:tmpl w:val="3016401E"/>
    <w:lvl w:ilvl="0" w:tplc="7C5A295E">
      <w:start w:val="1"/>
      <w:numFmt w:val="bullet"/>
      <w:lvlText w:val=""/>
      <w:lvlJc w:val="left"/>
      <w:pPr>
        <w:ind w:left="720" w:hanging="360"/>
      </w:pPr>
      <w:rPr>
        <w:rFonts w:ascii="Symbol" w:hAnsi="Symbol" w:hint="default"/>
        <w:color w:val="1F497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0C2B"/>
    <w:rsid w:val="006644CD"/>
    <w:rsid w:val="00760199"/>
    <w:rsid w:val="00930C2B"/>
    <w:rsid w:val="00C234A4"/>
    <w:rsid w:val="00E158D4"/>
    <w:rsid w:val="00EA5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0C2B"/>
    <w:pPr>
      <w:spacing w:after="0" w:line="240" w:lineRule="auto"/>
    </w:pPr>
    <w:rPr>
      <w:rFonts w:ascii="Times New Roman" w:eastAsia="Calibri" w:hAnsi="Times New Roman" w:cs="Times New Roman"/>
      <w:bCs/>
      <w:sz w:val="24"/>
      <w:szCs w:val="24"/>
      <w:lang w:val="es-E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0C2B"/>
    <w:pPr>
      <w:tabs>
        <w:tab w:val="center" w:pos="4513"/>
        <w:tab w:val="right" w:pos="9026"/>
      </w:tabs>
    </w:pPr>
  </w:style>
  <w:style w:type="character" w:customStyle="1" w:styleId="HeaderChar">
    <w:name w:val="Header Char"/>
    <w:basedOn w:val="DefaultParagraphFont"/>
    <w:link w:val="Header"/>
    <w:uiPriority w:val="99"/>
    <w:rsid w:val="00930C2B"/>
    <w:rPr>
      <w:rFonts w:ascii="Times New Roman" w:eastAsia="Calibri" w:hAnsi="Times New Roman" w:cs="Times New Roman"/>
      <w:bCs/>
      <w:sz w:val="24"/>
      <w:szCs w:val="24"/>
      <w:lang w:val="es-ES"/>
    </w:rPr>
  </w:style>
  <w:style w:type="paragraph" w:styleId="Footer">
    <w:name w:val="footer"/>
    <w:basedOn w:val="Normal"/>
    <w:link w:val="FooterChar"/>
    <w:uiPriority w:val="99"/>
    <w:unhideWhenUsed/>
    <w:rsid w:val="00930C2B"/>
    <w:pPr>
      <w:tabs>
        <w:tab w:val="center" w:pos="4513"/>
        <w:tab w:val="right" w:pos="9026"/>
      </w:tabs>
    </w:pPr>
  </w:style>
  <w:style w:type="character" w:customStyle="1" w:styleId="FooterChar">
    <w:name w:val="Footer Char"/>
    <w:basedOn w:val="DefaultParagraphFont"/>
    <w:link w:val="Footer"/>
    <w:uiPriority w:val="99"/>
    <w:rsid w:val="00930C2B"/>
    <w:rPr>
      <w:rFonts w:ascii="Times New Roman" w:eastAsia="Calibri" w:hAnsi="Times New Roman" w:cs="Times New Roman"/>
      <w:bCs/>
      <w:sz w:val="24"/>
      <w:szCs w:val="24"/>
      <w:lang w:val="es-ES"/>
    </w:rPr>
  </w:style>
  <w:style w:type="paragraph" w:styleId="BalloonText">
    <w:name w:val="Balloon Text"/>
    <w:basedOn w:val="Normal"/>
    <w:link w:val="BalloonTextChar"/>
    <w:uiPriority w:val="99"/>
    <w:semiHidden/>
    <w:unhideWhenUsed/>
    <w:rsid w:val="00930C2B"/>
    <w:rPr>
      <w:rFonts w:ascii="Tahoma" w:hAnsi="Tahoma" w:cs="Tahoma"/>
      <w:sz w:val="16"/>
      <w:szCs w:val="16"/>
    </w:rPr>
  </w:style>
  <w:style w:type="character" w:customStyle="1" w:styleId="BalloonTextChar">
    <w:name w:val="Balloon Text Char"/>
    <w:basedOn w:val="DefaultParagraphFont"/>
    <w:link w:val="BalloonText"/>
    <w:uiPriority w:val="99"/>
    <w:semiHidden/>
    <w:rsid w:val="00930C2B"/>
    <w:rPr>
      <w:rFonts w:ascii="Tahoma" w:eastAsia="Calibri" w:hAnsi="Tahoma" w:cs="Tahoma"/>
      <w:bCs/>
      <w:sz w:val="16"/>
      <w:szCs w:val="16"/>
      <w:lang w:val="es-E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0C2B"/>
    <w:pPr>
      <w:spacing w:after="0" w:line="240" w:lineRule="auto"/>
    </w:pPr>
    <w:rPr>
      <w:rFonts w:ascii="Times New Roman" w:eastAsia="Calibri" w:hAnsi="Times New Roman" w:cs="Times New Roman"/>
      <w:bCs/>
      <w:sz w:val="24"/>
      <w:szCs w:val="24"/>
      <w:lang w:val="es-E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0C2B"/>
    <w:pPr>
      <w:tabs>
        <w:tab w:val="center" w:pos="4513"/>
        <w:tab w:val="right" w:pos="9026"/>
      </w:tabs>
    </w:pPr>
  </w:style>
  <w:style w:type="character" w:customStyle="1" w:styleId="HeaderChar">
    <w:name w:val="Header Char"/>
    <w:basedOn w:val="DefaultParagraphFont"/>
    <w:link w:val="Header"/>
    <w:uiPriority w:val="99"/>
    <w:rsid w:val="00930C2B"/>
    <w:rPr>
      <w:rFonts w:ascii="Times New Roman" w:eastAsia="Calibri" w:hAnsi="Times New Roman" w:cs="Times New Roman"/>
      <w:bCs/>
      <w:sz w:val="24"/>
      <w:szCs w:val="24"/>
      <w:lang w:val="es-ES"/>
    </w:rPr>
  </w:style>
  <w:style w:type="paragraph" w:styleId="Footer">
    <w:name w:val="footer"/>
    <w:basedOn w:val="Normal"/>
    <w:link w:val="FooterChar"/>
    <w:uiPriority w:val="99"/>
    <w:unhideWhenUsed/>
    <w:rsid w:val="00930C2B"/>
    <w:pPr>
      <w:tabs>
        <w:tab w:val="center" w:pos="4513"/>
        <w:tab w:val="right" w:pos="9026"/>
      </w:tabs>
    </w:pPr>
  </w:style>
  <w:style w:type="character" w:customStyle="1" w:styleId="FooterChar">
    <w:name w:val="Footer Char"/>
    <w:basedOn w:val="DefaultParagraphFont"/>
    <w:link w:val="Footer"/>
    <w:uiPriority w:val="99"/>
    <w:rsid w:val="00930C2B"/>
    <w:rPr>
      <w:rFonts w:ascii="Times New Roman" w:eastAsia="Calibri" w:hAnsi="Times New Roman" w:cs="Times New Roman"/>
      <w:bCs/>
      <w:sz w:val="24"/>
      <w:szCs w:val="24"/>
      <w:lang w:val="es-ES"/>
    </w:rPr>
  </w:style>
  <w:style w:type="paragraph" w:styleId="BalloonText">
    <w:name w:val="Balloon Text"/>
    <w:basedOn w:val="Normal"/>
    <w:link w:val="BalloonTextChar"/>
    <w:uiPriority w:val="99"/>
    <w:semiHidden/>
    <w:unhideWhenUsed/>
    <w:rsid w:val="00930C2B"/>
    <w:rPr>
      <w:rFonts w:ascii="Tahoma" w:hAnsi="Tahoma" w:cs="Tahoma"/>
      <w:sz w:val="16"/>
      <w:szCs w:val="16"/>
    </w:rPr>
  </w:style>
  <w:style w:type="character" w:customStyle="1" w:styleId="BalloonTextChar">
    <w:name w:val="Balloon Text Char"/>
    <w:basedOn w:val="DefaultParagraphFont"/>
    <w:link w:val="BalloonText"/>
    <w:uiPriority w:val="99"/>
    <w:semiHidden/>
    <w:rsid w:val="00930C2B"/>
    <w:rPr>
      <w:rFonts w:ascii="Tahoma" w:eastAsia="Calibri" w:hAnsi="Tahoma" w:cs="Tahoma"/>
      <w:bCs/>
      <w:sz w:val="16"/>
      <w:szCs w:val="16"/>
      <w:lang w:val="es-E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4</Pages>
  <Words>1189</Words>
  <Characters>6778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Macmillan Publishing Ltd</Company>
  <LinksUpToDate>false</LinksUpToDate>
  <CharactersWithSpaces>7952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Jayatunga, Nikini</dc:creator>
  <cp:lastModifiedBy>T</cp:lastModifiedBy>
  <cp:revision>3</cp:revision>
  <dcterms:created xsi:type="dcterms:W3CDTF">2016-10-27T15:46:00Z</dcterms:created>
  <dcterms:modified xsi:type="dcterms:W3CDTF">2018-10-16T18:36:00Z</dcterms:modified>
</cp:coreProperties>
</file>