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8D781B" w14:textId="77777777" w:rsidR="00991F75" w:rsidRPr="00FB0A34" w:rsidRDefault="00991F75" w:rsidP="00FB0A34">
      <w:pPr>
        <w:spacing w:line="360" w:lineRule="auto"/>
        <w:jc w:val="both"/>
        <w:rPr>
          <w:rFonts w:ascii="Arial" w:hAnsi="Arial" w:cs="Arial"/>
          <w:b/>
          <w:bCs/>
          <w:color w:val="000000" w:themeColor="text1"/>
        </w:rPr>
      </w:pPr>
    </w:p>
    <w:p w14:paraId="4A692BA1" w14:textId="2D792F37" w:rsidR="00DD022B" w:rsidRPr="00FB0A34" w:rsidRDefault="00DD022B" w:rsidP="00FB0A34">
      <w:pPr>
        <w:spacing w:line="360" w:lineRule="auto"/>
        <w:jc w:val="both"/>
        <w:rPr>
          <w:rFonts w:ascii="Arial" w:hAnsi="Arial" w:cs="Arial"/>
          <w:b/>
          <w:bCs/>
          <w:color w:val="000000" w:themeColor="text1"/>
        </w:rPr>
      </w:pPr>
    </w:p>
    <w:p w14:paraId="565D297D" w14:textId="77777777" w:rsidR="00630A7F" w:rsidRDefault="00630A7F" w:rsidP="00FB0A34">
      <w:pPr>
        <w:spacing w:line="360" w:lineRule="auto"/>
        <w:jc w:val="both"/>
        <w:rPr>
          <w:rFonts w:ascii="Arial" w:hAnsi="Arial" w:cs="Arial"/>
          <w:b/>
          <w:bCs/>
          <w:color w:val="000000" w:themeColor="text1"/>
          <w:sz w:val="28"/>
          <w:szCs w:val="28"/>
        </w:rPr>
      </w:pPr>
    </w:p>
    <w:p w14:paraId="1E162D9D" w14:textId="01160F7D" w:rsidR="00AF4C2C" w:rsidRDefault="00AF4C2C" w:rsidP="00FB0A34">
      <w:pPr>
        <w:spacing w:line="360" w:lineRule="auto"/>
        <w:jc w:val="both"/>
        <w:rPr>
          <w:rFonts w:ascii="Arial" w:hAnsi="Arial" w:cs="Arial"/>
          <w:b/>
          <w:bCs/>
          <w:color w:val="000000" w:themeColor="text1"/>
          <w:sz w:val="28"/>
          <w:szCs w:val="28"/>
        </w:rPr>
      </w:pPr>
      <w:r>
        <w:rPr>
          <w:rFonts w:ascii="Arial" w:hAnsi="Arial" w:cs="Arial"/>
          <w:b/>
          <w:bCs/>
          <w:color w:val="000000" w:themeColor="text1"/>
          <w:sz w:val="28"/>
          <w:szCs w:val="28"/>
        </w:rPr>
        <w:t xml:space="preserve"> </w:t>
      </w:r>
      <w:r w:rsidR="004F0EEE">
        <w:rPr>
          <w:rFonts w:ascii="Arial" w:hAnsi="Arial" w:cs="Arial"/>
          <w:b/>
          <w:bCs/>
          <w:color w:val="000000" w:themeColor="text1"/>
          <w:sz w:val="28"/>
          <w:szCs w:val="28"/>
        </w:rPr>
        <w:t>NAME:</w:t>
      </w:r>
      <w:r w:rsidR="00C97149">
        <w:rPr>
          <w:rFonts w:ascii="Arial" w:hAnsi="Arial" w:cs="Arial"/>
          <w:b/>
          <w:bCs/>
          <w:color w:val="000000" w:themeColor="text1"/>
          <w:sz w:val="28"/>
          <w:szCs w:val="28"/>
        </w:rPr>
        <w:t xml:space="preserve"> </w:t>
      </w:r>
      <w:r w:rsidR="004F0EEE">
        <w:rPr>
          <w:rFonts w:ascii="Arial" w:hAnsi="Arial" w:cs="Arial"/>
          <w:b/>
          <w:bCs/>
          <w:color w:val="000000" w:themeColor="text1"/>
          <w:sz w:val="28"/>
          <w:szCs w:val="28"/>
        </w:rPr>
        <w:t>ASIA BAKARI</w:t>
      </w:r>
    </w:p>
    <w:p w14:paraId="08C22B57" w14:textId="7A5A9BC0" w:rsidR="004F0EEE" w:rsidRDefault="000804F3" w:rsidP="00FB0A34">
      <w:pPr>
        <w:spacing w:line="360" w:lineRule="auto"/>
        <w:jc w:val="both"/>
        <w:rPr>
          <w:rFonts w:ascii="Arial" w:hAnsi="Arial" w:cs="Arial"/>
          <w:b/>
          <w:bCs/>
          <w:color w:val="000000" w:themeColor="text1"/>
          <w:sz w:val="28"/>
          <w:szCs w:val="28"/>
        </w:rPr>
      </w:pPr>
      <w:r>
        <w:rPr>
          <w:rFonts w:ascii="Arial" w:hAnsi="Arial" w:cs="Arial"/>
          <w:b/>
          <w:bCs/>
          <w:color w:val="000000" w:themeColor="text1"/>
          <w:sz w:val="28"/>
          <w:szCs w:val="28"/>
        </w:rPr>
        <w:t>STUDENT NUMBER:</w:t>
      </w:r>
      <w:r w:rsidR="00C97149">
        <w:rPr>
          <w:rFonts w:ascii="Arial" w:hAnsi="Arial" w:cs="Arial"/>
          <w:b/>
          <w:bCs/>
          <w:color w:val="000000" w:themeColor="text1"/>
          <w:sz w:val="28"/>
          <w:szCs w:val="28"/>
        </w:rPr>
        <w:t xml:space="preserve"> </w:t>
      </w:r>
      <w:r>
        <w:rPr>
          <w:rFonts w:ascii="Arial" w:hAnsi="Arial" w:cs="Arial"/>
          <w:b/>
          <w:bCs/>
          <w:color w:val="000000" w:themeColor="text1"/>
          <w:sz w:val="28"/>
          <w:szCs w:val="28"/>
        </w:rPr>
        <w:t>2419862</w:t>
      </w:r>
    </w:p>
    <w:p w14:paraId="046912BF" w14:textId="35D3A0EF" w:rsidR="00B74A0D" w:rsidRDefault="000804F3" w:rsidP="00FB0A34">
      <w:pPr>
        <w:spacing w:line="360" w:lineRule="auto"/>
        <w:jc w:val="both"/>
        <w:rPr>
          <w:rFonts w:ascii="Arial" w:hAnsi="Arial" w:cs="Arial"/>
          <w:b/>
          <w:bCs/>
          <w:color w:val="000000" w:themeColor="text1"/>
          <w:sz w:val="28"/>
          <w:szCs w:val="28"/>
        </w:rPr>
      </w:pPr>
      <w:r>
        <w:rPr>
          <w:rFonts w:ascii="Arial" w:hAnsi="Arial" w:cs="Arial"/>
          <w:b/>
          <w:bCs/>
          <w:color w:val="000000" w:themeColor="text1"/>
          <w:sz w:val="28"/>
          <w:szCs w:val="28"/>
        </w:rPr>
        <w:t>MODULE CODE:</w:t>
      </w:r>
      <w:r w:rsidR="00C97149">
        <w:rPr>
          <w:rFonts w:ascii="Arial" w:hAnsi="Arial" w:cs="Arial"/>
          <w:b/>
          <w:bCs/>
          <w:color w:val="000000" w:themeColor="text1"/>
          <w:sz w:val="28"/>
          <w:szCs w:val="28"/>
        </w:rPr>
        <w:t xml:space="preserve"> </w:t>
      </w:r>
      <w:r>
        <w:rPr>
          <w:rFonts w:ascii="Arial" w:hAnsi="Arial" w:cs="Arial"/>
          <w:b/>
          <w:bCs/>
          <w:color w:val="000000" w:themeColor="text1"/>
          <w:sz w:val="28"/>
          <w:szCs w:val="28"/>
        </w:rPr>
        <w:t>LCHS</w:t>
      </w:r>
      <w:r w:rsidR="00B74A0D">
        <w:rPr>
          <w:rFonts w:ascii="Arial" w:hAnsi="Arial" w:cs="Arial"/>
          <w:b/>
          <w:bCs/>
          <w:color w:val="000000" w:themeColor="text1"/>
          <w:sz w:val="28"/>
          <w:szCs w:val="28"/>
        </w:rPr>
        <w:t>4010</w:t>
      </w:r>
    </w:p>
    <w:p w14:paraId="71A0B22C" w14:textId="4ED0BC83" w:rsidR="00C97149" w:rsidRDefault="00335D59" w:rsidP="00FB0A34">
      <w:pPr>
        <w:spacing w:line="360" w:lineRule="auto"/>
        <w:jc w:val="both"/>
        <w:rPr>
          <w:rFonts w:ascii="Arial" w:hAnsi="Arial" w:cs="Arial"/>
          <w:b/>
          <w:bCs/>
          <w:color w:val="000000" w:themeColor="text1"/>
          <w:sz w:val="28"/>
          <w:szCs w:val="28"/>
        </w:rPr>
      </w:pPr>
      <w:r>
        <w:rPr>
          <w:rFonts w:ascii="Arial" w:hAnsi="Arial" w:cs="Arial"/>
          <w:b/>
          <w:bCs/>
          <w:color w:val="000000" w:themeColor="text1"/>
          <w:sz w:val="28"/>
          <w:szCs w:val="28"/>
        </w:rPr>
        <w:t>MODULE TITTLE: PSYCHOLOGY IN HEALTH AND SOCIAL CARE</w:t>
      </w:r>
    </w:p>
    <w:p w14:paraId="4D88840C" w14:textId="4288CA84" w:rsidR="006058D4" w:rsidRDefault="006058D4" w:rsidP="00FB0A34">
      <w:pPr>
        <w:spacing w:line="360" w:lineRule="auto"/>
        <w:jc w:val="both"/>
        <w:rPr>
          <w:rFonts w:ascii="Arial" w:hAnsi="Arial" w:cs="Arial"/>
          <w:b/>
          <w:bCs/>
          <w:color w:val="000000" w:themeColor="text1"/>
          <w:sz w:val="28"/>
          <w:szCs w:val="28"/>
        </w:rPr>
      </w:pPr>
      <w:r>
        <w:rPr>
          <w:rFonts w:ascii="Arial" w:hAnsi="Arial" w:cs="Arial"/>
          <w:b/>
          <w:bCs/>
          <w:color w:val="000000" w:themeColor="text1"/>
          <w:sz w:val="28"/>
          <w:szCs w:val="28"/>
        </w:rPr>
        <w:t>LECTURER NAME: KENEDDY OBOHWEMU</w:t>
      </w:r>
    </w:p>
    <w:p w14:paraId="7A8CFB28" w14:textId="50063086" w:rsidR="00A903DD" w:rsidRDefault="00A903DD" w:rsidP="00FB0A34">
      <w:pPr>
        <w:spacing w:line="360" w:lineRule="auto"/>
        <w:jc w:val="both"/>
        <w:rPr>
          <w:rFonts w:ascii="Arial" w:hAnsi="Arial" w:cs="Arial"/>
          <w:b/>
          <w:bCs/>
          <w:color w:val="000000" w:themeColor="text1"/>
          <w:sz w:val="28"/>
          <w:szCs w:val="28"/>
        </w:rPr>
      </w:pPr>
      <w:r>
        <w:rPr>
          <w:rFonts w:ascii="Arial" w:hAnsi="Arial" w:cs="Arial"/>
          <w:b/>
          <w:bCs/>
          <w:color w:val="000000" w:themeColor="text1"/>
          <w:sz w:val="28"/>
          <w:szCs w:val="28"/>
        </w:rPr>
        <w:t>ASSIGNMENT: COMPONENT</w:t>
      </w:r>
      <w:r w:rsidR="00506EBD">
        <w:rPr>
          <w:rFonts w:ascii="Arial" w:hAnsi="Arial" w:cs="Arial"/>
          <w:b/>
          <w:bCs/>
          <w:color w:val="000000" w:themeColor="text1"/>
          <w:sz w:val="28"/>
          <w:szCs w:val="28"/>
        </w:rPr>
        <w:t xml:space="preserve"> 2</w:t>
      </w:r>
    </w:p>
    <w:p w14:paraId="26F8E771" w14:textId="77777777" w:rsidR="00C97149" w:rsidRDefault="00C97149" w:rsidP="00FB0A34">
      <w:pPr>
        <w:spacing w:line="360" w:lineRule="auto"/>
        <w:jc w:val="both"/>
        <w:rPr>
          <w:rFonts w:ascii="Arial" w:hAnsi="Arial" w:cs="Arial"/>
          <w:b/>
          <w:bCs/>
          <w:color w:val="000000" w:themeColor="text1"/>
          <w:sz w:val="28"/>
          <w:szCs w:val="28"/>
        </w:rPr>
      </w:pPr>
    </w:p>
    <w:p w14:paraId="3AD6E849" w14:textId="77777777" w:rsidR="00AF4C2C" w:rsidRDefault="00AF4C2C" w:rsidP="00FB0A34">
      <w:pPr>
        <w:spacing w:line="360" w:lineRule="auto"/>
        <w:jc w:val="both"/>
        <w:rPr>
          <w:rFonts w:ascii="Arial" w:hAnsi="Arial" w:cs="Arial"/>
          <w:b/>
          <w:bCs/>
          <w:color w:val="000000" w:themeColor="text1"/>
          <w:sz w:val="28"/>
          <w:szCs w:val="28"/>
        </w:rPr>
      </w:pPr>
    </w:p>
    <w:p w14:paraId="6F999B43" w14:textId="77777777" w:rsidR="00AF4C2C" w:rsidRDefault="00AF4C2C" w:rsidP="00FB0A34">
      <w:pPr>
        <w:spacing w:line="360" w:lineRule="auto"/>
        <w:jc w:val="both"/>
        <w:rPr>
          <w:rFonts w:ascii="Arial" w:hAnsi="Arial" w:cs="Arial"/>
          <w:b/>
          <w:bCs/>
          <w:color w:val="000000" w:themeColor="text1"/>
          <w:sz w:val="28"/>
          <w:szCs w:val="28"/>
        </w:rPr>
      </w:pPr>
    </w:p>
    <w:p w14:paraId="090346E3" w14:textId="77777777" w:rsidR="00AF4C2C" w:rsidRDefault="00AF4C2C" w:rsidP="00FB0A34">
      <w:pPr>
        <w:spacing w:line="360" w:lineRule="auto"/>
        <w:jc w:val="both"/>
        <w:rPr>
          <w:rFonts w:ascii="Arial" w:hAnsi="Arial" w:cs="Arial"/>
          <w:b/>
          <w:bCs/>
          <w:color w:val="000000" w:themeColor="text1"/>
          <w:sz w:val="28"/>
          <w:szCs w:val="28"/>
        </w:rPr>
      </w:pPr>
    </w:p>
    <w:p w14:paraId="44EFA2CA" w14:textId="39C96C6C" w:rsidR="00AF4C2C" w:rsidRPr="006C39BA" w:rsidRDefault="00AF4C2C" w:rsidP="00FB0A34">
      <w:pPr>
        <w:spacing w:line="360" w:lineRule="auto"/>
        <w:jc w:val="both"/>
        <w:rPr>
          <w:rFonts w:ascii="Arial" w:hAnsi="Arial" w:cs="Arial"/>
          <w:b/>
          <w:bCs/>
          <w:color w:val="000000" w:themeColor="text1"/>
          <w:sz w:val="28"/>
          <w:szCs w:val="28"/>
        </w:rPr>
      </w:pPr>
    </w:p>
    <w:p w14:paraId="058993B7" w14:textId="77777777" w:rsidR="00CC472C" w:rsidRPr="00FB0A34" w:rsidRDefault="00CC472C" w:rsidP="00FB0A34">
      <w:pPr>
        <w:spacing w:line="360" w:lineRule="auto"/>
        <w:jc w:val="both"/>
        <w:rPr>
          <w:rFonts w:ascii="Arial" w:hAnsi="Arial" w:cs="Arial"/>
          <w:color w:val="000000" w:themeColor="text1"/>
        </w:rPr>
      </w:pPr>
    </w:p>
    <w:p w14:paraId="6879A6AE" w14:textId="77777777" w:rsidR="00991F75" w:rsidRPr="00FB0A34" w:rsidRDefault="00991F75" w:rsidP="00FB0A34">
      <w:pPr>
        <w:spacing w:line="360" w:lineRule="auto"/>
        <w:jc w:val="both"/>
        <w:rPr>
          <w:rFonts w:ascii="Arial" w:hAnsi="Arial" w:cs="Arial"/>
          <w:color w:val="000000" w:themeColor="text1"/>
        </w:rPr>
      </w:pPr>
    </w:p>
    <w:p w14:paraId="715DF72C" w14:textId="77777777" w:rsidR="00991F75" w:rsidRPr="00FB0A34" w:rsidRDefault="00991F75" w:rsidP="00FB0A34">
      <w:pPr>
        <w:spacing w:line="360" w:lineRule="auto"/>
        <w:jc w:val="both"/>
        <w:rPr>
          <w:rFonts w:ascii="Arial" w:hAnsi="Arial" w:cs="Arial"/>
          <w:b/>
          <w:bCs/>
          <w:color w:val="000000" w:themeColor="text1"/>
        </w:rPr>
      </w:pPr>
    </w:p>
    <w:p w14:paraId="6595822B" w14:textId="77777777" w:rsidR="00991F75" w:rsidRPr="00FB0A34" w:rsidRDefault="00991F75" w:rsidP="00FB0A34">
      <w:pPr>
        <w:spacing w:line="360" w:lineRule="auto"/>
        <w:jc w:val="both"/>
        <w:rPr>
          <w:rFonts w:ascii="Arial" w:hAnsi="Arial" w:cs="Arial"/>
          <w:b/>
          <w:bCs/>
          <w:color w:val="000000" w:themeColor="text1"/>
        </w:rPr>
      </w:pPr>
    </w:p>
    <w:p w14:paraId="74AD5757" w14:textId="77777777" w:rsidR="00991F75" w:rsidRPr="00FB0A34" w:rsidRDefault="00991F75" w:rsidP="00FB0A34">
      <w:pPr>
        <w:spacing w:line="360" w:lineRule="auto"/>
        <w:jc w:val="both"/>
        <w:rPr>
          <w:rFonts w:ascii="Arial" w:hAnsi="Arial" w:cs="Arial"/>
          <w:b/>
          <w:bCs/>
          <w:color w:val="000000" w:themeColor="text1"/>
        </w:rPr>
      </w:pPr>
    </w:p>
    <w:p w14:paraId="4D460239" w14:textId="77777777" w:rsidR="00991F75" w:rsidRPr="00FB0A34" w:rsidRDefault="00991F75" w:rsidP="00FB0A34">
      <w:pPr>
        <w:spacing w:line="360" w:lineRule="auto"/>
        <w:jc w:val="both"/>
        <w:rPr>
          <w:rFonts w:ascii="Arial" w:hAnsi="Arial" w:cs="Arial"/>
          <w:b/>
          <w:bCs/>
          <w:color w:val="000000" w:themeColor="text1"/>
        </w:rPr>
      </w:pPr>
    </w:p>
    <w:p w14:paraId="7B193108" w14:textId="77777777" w:rsidR="00991F75" w:rsidRPr="00FB0A34" w:rsidRDefault="00991F75" w:rsidP="00FB0A34">
      <w:pPr>
        <w:spacing w:line="360" w:lineRule="auto"/>
        <w:jc w:val="both"/>
        <w:rPr>
          <w:rFonts w:ascii="Arial" w:hAnsi="Arial" w:cs="Arial"/>
          <w:b/>
          <w:bCs/>
          <w:color w:val="000000" w:themeColor="text1"/>
        </w:rPr>
      </w:pPr>
    </w:p>
    <w:p w14:paraId="5AB458DA" w14:textId="77777777" w:rsidR="00991F75" w:rsidRPr="00FB0A34" w:rsidRDefault="00991F75" w:rsidP="00FB0A34">
      <w:pPr>
        <w:spacing w:line="360" w:lineRule="auto"/>
        <w:jc w:val="both"/>
        <w:rPr>
          <w:rFonts w:ascii="Arial" w:hAnsi="Arial" w:cs="Arial"/>
          <w:b/>
          <w:bCs/>
          <w:color w:val="000000" w:themeColor="text1"/>
        </w:rPr>
      </w:pPr>
    </w:p>
    <w:p w14:paraId="4014BD62" w14:textId="77777777" w:rsidR="00991F75" w:rsidRPr="00FB0A34" w:rsidRDefault="00991F75" w:rsidP="00FB0A34">
      <w:pPr>
        <w:spacing w:line="360" w:lineRule="auto"/>
        <w:jc w:val="both"/>
        <w:rPr>
          <w:rFonts w:ascii="Arial" w:hAnsi="Arial" w:cs="Arial"/>
          <w:b/>
          <w:bCs/>
          <w:color w:val="000000" w:themeColor="text1"/>
        </w:rPr>
      </w:pPr>
    </w:p>
    <w:p w14:paraId="341F2D1E" w14:textId="3C583B5B" w:rsidR="00991F75" w:rsidRDefault="00D30F1B" w:rsidP="00FB0A34">
      <w:pPr>
        <w:spacing w:line="360" w:lineRule="auto"/>
        <w:jc w:val="both"/>
        <w:rPr>
          <w:rFonts w:ascii="Arial" w:hAnsi="Arial" w:cs="Arial"/>
          <w:b/>
          <w:bCs/>
          <w:color w:val="000000" w:themeColor="text1"/>
        </w:rPr>
      </w:pPr>
      <w:r>
        <w:rPr>
          <w:rFonts w:ascii="Arial" w:hAnsi="Arial" w:cs="Arial"/>
          <w:b/>
          <w:bCs/>
          <w:color w:val="000000" w:themeColor="text1"/>
        </w:rPr>
        <w:t xml:space="preserve"> </w:t>
      </w:r>
    </w:p>
    <w:p w14:paraId="1A37B26F" w14:textId="77777777" w:rsidR="00D0122F" w:rsidRPr="00FB0A34" w:rsidRDefault="00D0122F" w:rsidP="00FB0A34">
      <w:pPr>
        <w:spacing w:line="360" w:lineRule="auto"/>
        <w:jc w:val="both"/>
        <w:rPr>
          <w:rFonts w:ascii="Arial" w:hAnsi="Arial" w:cs="Arial"/>
          <w:b/>
          <w:bCs/>
          <w:color w:val="000000" w:themeColor="text1"/>
        </w:rPr>
      </w:pPr>
    </w:p>
    <w:p w14:paraId="07B50BC6" w14:textId="77777777" w:rsidR="00991F75" w:rsidRPr="00FB0A34" w:rsidRDefault="00991F75" w:rsidP="00FB0A34">
      <w:pPr>
        <w:spacing w:line="360" w:lineRule="auto"/>
        <w:jc w:val="both"/>
        <w:rPr>
          <w:rFonts w:ascii="Arial" w:hAnsi="Arial" w:cs="Arial"/>
          <w:b/>
          <w:bCs/>
          <w:color w:val="000000" w:themeColor="text1"/>
        </w:rPr>
      </w:pPr>
    </w:p>
    <w:p w14:paraId="30FED503" w14:textId="77777777" w:rsidR="00991F75" w:rsidRPr="00FB0A34" w:rsidRDefault="00991F75" w:rsidP="00FB0A34">
      <w:pPr>
        <w:spacing w:line="360" w:lineRule="auto"/>
        <w:jc w:val="both"/>
        <w:rPr>
          <w:rFonts w:ascii="Arial" w:hAnsi="Arial" w:cs="Arial"/>
          <w:b/>
          <w:bCs/>
          <w:color w:val="000000" w:themeColor="text1"/>
        </w:rPr>
      </w:pPr>
    </w:p>
    <w:p w14:paraId="6CD489F4" w14:textId="77777777" w:rsidR="00991F75" w:rsidRPr="00FB0A34" w:rsidRDefault="00991F75" w:rsidP="00FB0A34">
      <w:pPr>
        <w:spacing w:line="360" w:lineRule="auto"/>
        <w:jc w:val="both"/>
        <w:rPr>
          <w:rFonts w:ascii="Arial" w:hAnsi="Arial" w:cs="Arial"/>
          <w:b/>
          <w:bCs/>
          <w:color w:val="000000" w:themeColor="text1"/>
        </w:rPr>
      </w:pPr>
    </w:p>
    <w:p w14:paraId="6674209A" w14:textId="32F28775" w:rsidR="00991F75" w:rsidRPr="00FB0A34" w:rsidRDefault="00C700EE" w:rsidP="00FB0A34">
      <w:pPr>
        <w:spacing w:line="360" w:lineRule="auto"/>
        <w:jc w:val="both"/>
        <w:rPr>
          <w:rFonts w:ascii="Arial" w:hAnsi="Arial" w:cs="Arial"/>
          <w:b/>
          <w:bCs/>
          <w:color w:val="000000" w:themeColor="text1"/>
        </w:rPr>
      </w:pPr>
      <w:r>
        <w:rPr>
          <w:rFonts w:ascii="Arial" w:hAnsi="Arial" w:cs="Arial"/>
          <w:b/>
          <w:bCs/>
          <w:color w:val="000000" w:themeColor="text1"/>
        </w:rPr>
        <w:t>APPLYING</w:t>
      </w:r>
      <w:r w:rsidR="004E0D69">
        <w:rPr>
          <w:rFonts w:ascii="Arial" w:hAnsi="Arial" w:cs="Arial"/>
          <w:b/>
          <w:bCs/>
          <w:color w:val="000000" w:themeColor="text1"/>
        </w:rPr>
        <w:t xml:space="preserve"> SOCIAL DISENGAGEMENT</w:t>
      </w:r>
      <w:r w:rsidR="006725B8">
        <w:rPr>
          <w:rFonts w:ascii="Arial" w:hAnsi="Arial" w:cs="Arial"/>
          <w:b/>
          <w:bCs/>
          <w:color w:val="000000" w:themeColor="text1"/>
        </w:rPr>
        <w:t xml:space="preserve"> THEORY AND MASLOW</w:t>
      </w:r>
      <w:r w:rsidR="00576C26">
        <w:rPr>
          <w:rFonts w:ascii="Arial" w:hAnsi="Arial" w:cs="Arial"/>
          <w:b/>
          <w:bCs/>
          <w:color w:val="000000" w:themeColor="text1"/>
        </w:rPr>
        <w:t>’</w:t>
      </w:r>
      <w:r w:rsidR="006725B8">
        <w:rPr>
          <w:rFonts w:ascii="Arial" w:hAnsi="Arial" w:cs="Arial"/>
          <w:b/>
          <w:bCs/>
          <w:color w:val="000000" w:themeColor="text1"/>
        </w:rPr>
        <w:t>S</w:t>
      </w:r>
      <w:r w:rsidR="00576C26">
        <w:rPr>
          <w:rFonts w:ascii="Arial" w:hAnsi="Arial" w:cs="Arial"/>
          <w:b/>
          <w:bCs/>
          <w:color w:val="000000" w:themeColor="text1"/>
        </w:rPr>
        <w:t xml:space="preserve"> HIERACHY OF NEEDS</w:t>
      </w:r>
      <w:r w:rsidR="009E7599">
        <w:rPr>
          <w:rFonts w:ascii="Arial" w:hAnsi="Arial" w:cs="Arial"/>
          <w:b/>
          <w:bCs/>
          <w:color w:val="000000" w:themeColor="text1"/>
        </w:rPr>
        <w:t xml:space="preserve"> TO SUPPORT OLDER ADULTS WITH DIMENTIA IN A CARE SETTING</w:t>
      </w:r>
    </w:p>
    <w:p w14:paraId="5105EF5D" w14:textId="082C4670" w:rsidR="002C759A" w:rsidRPr="00FB0A34" w:rsidRDefault="002C759A" w:rsidP="00FB0A34">
      <w:pPr>
        <w:spacing w:line="360" w:lineRule="auto"/>
        <w:jc w:val="both"/>
        <w:rPr>
          <w:rFonts w:ascii="Arial" w:hAnsi="Arial" w:cs="Arial"/>
          <w:color w:val="000000" w:themeColor="text1"/>
        </w:rPr>
      </w:pPr>
    </w:p>
    <w:p w14:paraId="41CC2162" w14:textId="3D01374A" w:rsidR="002C759A" w:rsidRPr="00FB0A34" w:rsidRDefault="002C759A" w:rsidP="00FB0A34">
      <w:pPr>
        <w:pStyle w:val="Heading1"/>
      </w:pPr>
      <w:bookmarkStart w:id="0" w:name="_Toc213404654"/>
      <w:r w:rsidRPr="00FB0A34">
        <w:t>Introduction</w:t>
      </w:r>
      <w:bookmarkEnd w:id="0"/>
    </w:p>
    <w:p w14:paraId="0678B013" w14:textId="77777777" w:rsidR="00656544" w:rsidRDefault="006567EB" w:rsidP="00FB0A34">
      <w:pPr>
        <w:spacing w:line="360" w:lineRule="auto"/>
        <w:jc w:val="both"/>
        <w:rPr>
          <w:rFonts w:ascii="Arial" w:hAnsi="Arial" w:cs="Arial"/>
          <w:color w:val="000000" w:themeColor="text1"/>
        </w:rPr>
      </w:pPr>
      <w:r w:rsidRPr="00FB0A34">
        <w:rPr>
          <w:rFonts w:ascii="Arial" w:hAnsi="Arial" w:cs="Arial"/>
          <w:color w:val="000000" w:themeColor="text1"/>
        </w:rPr>
        <w:t xml:space="preserve">Older </w:t>
      </w:r>
      <w:r w:rsidR="002C759A" w:rsidRPr="00FB0A34">
        <w:rPr>
          <w:rFonts w:ascii="Arial" w:hAnsi="Arial" w:cs="Arial"/>
          <w:color w:val="000000" w:themeColor="text1"/>
        </w:rPr>
        <w:t xml:space="preserve">adults </w:t>
      </w:r>
      <w:r w:rsidRPr="00FB0A34">
        <w:rPr>
          <w:rFonts w:ascii="Arial" w:hAnsi="Arial" w:cs="Arial"/>
          <w:color w:val="000000" w:themeColor="text1"/>
        </w:rPr>
        <w:t xml:space="preserve">living </w:t>
      </w:r>
      <w:r w:rsidR="002C759A" w:rsidRPr="00FB0A34">
        <w:rPr>
          <w:rFonts w:ascii="Arial" w:hAnsi="Arial" w:cs="Arial"/>
          <w:color w:val="000000" w:themeColor="text1"/>
        </w:rPr>
        <w:t>with dementia experience changes in both their psychological and behavio</w:t>
      </w:r>
      <w:r w:rsidR="00183DD7" w:rsidRPr="00FB0A34">
        <w:rPr>
          <w:rFonts w:ascii="Arial" w:hAnsi="Arial" w:cs="Arial"/>
          <w:color w:val="000000" w:themeColor="text1"/>
        </w:rPr>
        <w:t>u</w:t>
      </w:r>
      <w:r w:rsidR="002C759A" w:rsidRPr="00FB0A34">
        <w:rPr>
          <w:rFonts w:ascii="Arial" w:hAnsi="Arial" w:cs="Arial"/>
          <w:color w:val="000000" w:themeColor="text1"/>
        </w:rPr>
        <w:t>ral functioning, making a big difference in their well-being, independence, and quality of life. Dementia causes progressive reductions in memory, confusion, and difficulties with communication, which may lead to anxiety, frustration, and social isolation</w:t>
      </w:r>
      <w:r w:rsidR="001A5F8D" w:rsidRPr="00FB0A34">
        <w:rPr>
          <w:rFonts w:ascii="Arial" w:hAnsi="Arial" w:cs="Arial"/>
          <w:color w:val="000000" w:themeColor="text1"/>
        </w:rPr>
        <w:t xml:space="preserve"> (Bottomley</w:t>
      </w:r>
      <w:r w:rsidR="0004793E" w:rsidRPr="00FB0A34">
        <w:rPr>
          <w:rFonts w:ascii="Arial" w:hAnsi="Arial" w:cs="Arial"/>
          <w:color w:val="000000" w:themeColor="text1"/>
        </w:rPr>
        <w:t xml:space="preserve"> </w:t>
      </w:r>
      <w:r w:rsidR="001A5F8D" w:rsidRPr="00FB0A34">
        <w:rPr>
          <w:rFonts w:ascii="Arial" w:hAnsi="Arial" w:cs="Arial"/>
          <w:color w:val="000000" w:themeColor="text1"/>
        </w:rPr>
        <w:t>and Lewis, 2024)</w:t>
      </w:r>
      <w:r w:rsidR="002C759A" w:rsidRPr="00FB0A34">
        <w:rPr>
          <w:rFonts w:ascii="Arial" w:hAnsi="Arial" w:cs="Arial"/>
          <w:color w:val="000000" w:themeColor="text1"/>
        </w:rPr>
        <w:t>.</w:t>
      </w:r>
      <w:r w:rsidR="00F819D2" w:rsidRPr="00FB0A34">
        <w:rPr>
          <w:rFonts w:ascii="Arial" w:hAnsi="Arial" w:cs="Arial"/>
          <w:color w:val="000000" w:themeColor="text1"/>
        </w:rPr>
        <w:t xml:space="preserve"> </w:t>
      </w:r>
    </w:p>
    <w:p w14:paraId="1AB950CB" w14:textId="1B64D629" w:rsidR="002C759A" w:rsidRPr="00FB0A34" w:rsidRDefault="00F819D2" w:rsidP="00FB0A34">
      <w:pPr>
        <w:spacing w:line="360" w:lineRule="auto"/>
        <w:jc w:val="both"/>
        <w:rPr>
          <w:rFonts w:ascii="Arial" w:hAnsi="Arial" w:cs="Arial"/>
          <w:color w:val="000000" w:themeColor="text1"/>
        </w:rPr>
      </w:pPr>
      <w:r w:rsidRPr="00FB0A34">
        <w:rPr>
          <w:rFonts w:ascii="Arial" w:hAnsi="Arial" w:cs="Arial"/>
          <w:color w:val="000000" w:themeColor="text1"/>
        </w:rPr>
        <w:t>The selected patient for this report will be Margaret Hughes, a 78-year-old female from Manchester. Margaret has been living with a moderate stage of Alzheimer’s disease for approximately three years and is currently residing in a dementia-specialist care home. She presents with short-term memory loss, occasional disorientation, reduced participation in group activities, and periods of anxiety, especially at mealtimes. She receives daily support from care staff, nurses, and regular visits from her daughter.</w:t>
      </w:r>
    </w:p>
    <w:p w14:paraId="1FBE11EE" w14:textId="2510F010" w:rsidR="0054061B" w:rsidRPr="00FB0A34" w:rsidRDefault="0054061B" w:rsidP="00FB0A34">
      <w:pPr>
        <w:spacing w:line="360" w:lineRule="auto"/>
        <w:jc w:val="both"/>
        <w:rPr>
          <w:rFonts w:ascii="Arial" w:hAnsi="Arial" w:cs="Arial"/>
          <w:b/>
          <w:bCs/>
          <w:color w:val="000000" w:themeColor="text1"/>
        </w:rPr>
      </w:pPr>
      <w:r w:rsidRPr="00FB0A34">
        <w:rPr>
          <w:rFonts w:ascii="Arial" w:hAnsi="Arial" w:cs="Arial"/>
          <w:b/>
          <w:bCs/>
          <w:color w:val="000000" w:themeColor="text1"/>
        </w:rPr>
        <w:t xml:space="preserve">Dementia Statistics </w:t>
      </w:r>
    </w:p>
    <w:p w14:paraId="398E0FD8" w14:textId="098E11F5" w:rsidR="0054061B" w:rsidRPr="00FB0A34" w:rsidRDefault="0054061B" w:rsidP="00FB0A34">
      <w:pPr>
        <w:spacing w:line="360" w:lineRule="auto"/>
        <w:jc w:val="both"/>
        <w:rPr>
          <w:rFonts w:ascii="Arial" w:hAnsi="Arial" w:cs="Arial"/>
          <w:color w:val="000000" w:themeColor="text1"/>
        </w:rPr>
      </w:pPr>
      <w:r w:rsidRPr="00FB0A34">
        <w:rPr>
          <w:rFonts w:ascii="Arial" w:hAnsi="Arial" w:cs="Arial"/>
          <w:color w:val="000000" w:themeColor="text1"/>
        </w:rPr>
        <w:t>Dementia is a major public health concern in the UK, with an estimated 982,000 people living with dementia in 2024, rising to 1.4 million by 2040. There are around half a million currently with a recorded diagnosis of dementia in primary care, the majority being over 65 years old. These statistics further emphasi</w:t>
      </w:r>
      <w:r w:rsidR="001A2274">
        <w:rPr>
          <w:rFonts w:ascii="Arial" w:hAnsi="Arial" w:cs="Arial"/>
          <w:color w:val="000000" w:themeColor="text1"/>
        </w:rPr>
        <w:t>s</w:t>
      </w:r>
      <w:r w:rsidRPr="00FB0A34">
        <w:rPr>
          <w:rFonts w:ascii="Arial" w:hAnsi="Arial" w:cs="Arial"/>
          <w:color w:val="000000" w:themeColor="text1"/>
        </w:rPr>
        <w:t>e the need for effective theoretical understanding in underpinning care provided to individuals such as Margaret</w:t>
      </w:r>
      <w:r w:rsidR="00740E6B" w:rsidRPr="00FB0A34">
        <w:rPr>
          <w:rFonts w:ascii="Arial" w:hAnsi="Arial" w:cs="Arial"/>
          <w:color w:val="000000" w:themeColor="text1"/>
        </w:rPr>
        <w:t xml:space="preserve"> (</w:t>
      </w:r>
      <w:proofErr w:type="spellStart"/>
      <w:r w:rsidR="00740E6B" w:rsidRPr="00FB0A34">
        <w:rPr>
          <w:rFonts w:ascii="Arial" w:hAnsi="Arial" w:cs="Arial"/>
          <w:color w:val="000000" w:themeColor="text1"/>
        </w:rPr>
        <w:t>Menassa</w:t>
      </w:r>
      <w:proofErr w:type="spellEnd"/>
      <w:r w:rsidR="00740E6B" w:rsidRPr="00FB0A34">
        <w:rPr>
          <w:rFonts w:ascii="Arial" w:hAnsi="Arial" w:cs="Arial"/>
          <w:color w:val="000000" w:themeColor="text1"/>
        </w:rPr>
        <w:t xml:space="preserve"> et al., 2023)</w:t>
      </w:r>
      <w:r w:rsidRPr="00FB0A34">
        <w:rPr>
          <w:rFonts w:ascii="Arial" w:hAnsi="Arial" w:cs="Arial"/>
          <w:color w:val="000000" w:themeColor="text1"/>
        </w:rPr>
        <w:t>.</w:t>
      </w:r>
    </w:p>
    <w:p w14:paraId="5634E757" w14:textId="533B1EB3" w:rsidR="002C759A" w:rsidRPr="00FB0A34" w:rsidRDefault="002C759A" w:rsidP="00FB0A34">
      <w:pPr>
        <w:pStyle w:val="Heading1"/>
      </w:pPr>
      <w:bookmarkStart w:id="1" w:name="_Toc213404655"/>
      <w:r w:rsidRPr="00FB0A34">
        <w:t>Overview of the Two Theories</w:t>
      </w:r>
      <w:bookmarkEnd w:id="1"/>
    </w:p>
    <w:p w14:paraId="7F858139" w14:textId="631DE468" w:rsidR="00A17958" w:rsidRPr="00FB0A34" w:rsidRDefault="00FD36F7" w:rsidP="00FB0A34">
      <w:pPr>
        <w:spacing w:line="360" w:lineRule="auto"/>
        <w:jc w:val="both"/>
        <w:rPr>
          <w:rFonts w:ascii="Arial" w:hAnsi="Arial" w:cs="Arial"/>
          <w:color w:val="000000" w:themeColor="text1"/>
        </w:rPr>
      </w:pPr>
      <w:r w:rsidRPr="00FB0A34">
        <w:rPr>
          <w:rFonts w:ascii="Arial" w:hAnsi="Arial" w:cs="Arial"/>
          <w:color w:val="000000" w:themeColor="text1"/>
        </w:rPr>
        <w:t xml:space="preserve">According to the Disengagement Theory, a person in the process of aging naturally withdraws from social roles, relationships, and responsibilities. </w:t>
      </w:r>
      <w:r w:rsidR="00E63B17" w:rsidRPr="00FB0A34">
        <w:rPr>
          <w:rFonts w:ascii="Arial" w:hAnsi="Arial" w:cs="Arial"/>
          <w:color w:val="000000" w:themeColor="text1"/>
        </w:rPr>
        <w:t xml:space="preserve">This theory, when applied to Margaret, provides an explanatory framework through which her reduced participation in group activities and preferred time spent quietly by the window can be understood. Conceiving disengagement in this manner helps care workers interpret a portion of her behaviours not as lack of motivation </w:t>
      </w:r>
      <w:r w:rsidR="00E63B17" w:rsidRPr="00FB0A34">
        <w:rPr>
          <w:rFonts w:ascii="Arial" w:hAnsi="Arial" w:cs="Arial"/>
          <w:color w:val="000000" w:themeColor="text1"/>
        </w:rPr>
        <w:lastRenderedPageBreak/>
        <w:t>but as part of a larger developmental shift that may conserve emotional and cognitive energy. Contemporary debates recogni</w:t>
      </w:r>
      <w:r w:rsidR="001A2274">
        <w:rPr>
          <w:rFonts w:ascii="Arial" w:hAnsi="Arial" w:cs="Arial"/>
          <w:color w:val="000000" w:themeColor="text1"/>
        </w:rPr>
        <w:t>s</w:t>
      </w:r>
      <w:r w:rsidR="00E63B17" w:rsidRPr="00FB0A34">
        <w:rPr>
          <w:rFonts w:ascii="Arial" w:hAnsi="Arial" w:cs="Arial"/>
          <w:color w:val="000000" w:themeColor="text1"/>
        </w:rPr>
        <w:t xml:space="preserve">e that disengagement is not uniform; the theory nevertheless supports practitioners in the recognition that withdrawal may be voluntary and soothing at times rather than driven by distress. This immediately motivates staff to investigate causes for any changes in Margaret's engagement before assuming pathology or depression </w:t>
      </w:r>
      <w:r w:rsidR="00494C1A" w:rsidRPr="00FB0A34">
        <w:rPr>
          <w:rFonts w:ascii="Arial" w:hAnsi="Arial" w:cs="Arial"/>
          <w:color w:val="000000" w:themeColor="text1"/>
        </w:rPr>
        <w:t>(Ragini and Salwan, 2022)</w:t>
      </w:r>
      <w:r w:rsidRPr="00FB0A34">
        <w:rPr>
          <w:rFonts w:ascii="Arial" w:hAnsi="Arial" w:cs="Arial"/>
          <w:color w:val="000000" w:themeColor="text1"/>
        </w:rPr>
        <w:t>.</w:t>
      </w:r>
    </w:p>
    <w:p w14:paraId="3427DEB8" w14:textId="23AEE833" w:rsidR="00A17958" w:rsidRPr="00FB0A34" w:rsidRDefault="00FD36F7" w:rsidP="00FB0A34">
      <w:pPr>
        <w:spacing w:line="360" w:lineRule="auto"/>
        <w:jc w:val="both"/>
        <w:rPr>
          <w:rFonts w:ascii="Arial" w:hAnsi="Arial" w:cs="Arial"/>
          <w:color w:val="000000" w:themeColor="text1"/>
        </w:rPr>
      </w:pPr>
      <w:r w:rsidRPr="00FB0A34">
        <w:rPr>
          <w:rFonts w:ascii="Arial" w:hAnsi="Arial" w:cs="Arial"/>
          <w:color w:val="000000" w:themeColor="text1"/>
        </w:rPr>
        <w:t>Maslow's Hierarchy of Needs describes five layers of motivation, which include physiological, safety, love and belonging, esteem, and self-actuali</w:t>
      </w:r>
      <w:r w:rsidR="00A17958" w:rsidRPr="00FB0A34">
        <w:rPr>
          <w:rFonts w:ascii="Arial" w:hAnsi="Arial" w:cs="Arial"/>
          <w:color w:val="000000" w:themeColor="text1"/>
        </w:rPr>
        <w:t>s</w:t>
      </w:r>
      <w:r w:rsidRPr="00FB0A34">
        <w:rPr>
          <w:rFonts w:ascii="Arial" w:hAnsi="Arial" w:cs="Arial"/>
          <w:color w:val="000000" w:themeColor="text1"/>
        </w:rPr>
        <w:t xml:space="preserve">ation. The theory clarifies that lower-order needs must be satisfied before the higher ones can be pursued. </w:t>
      </w:r>
      <w:r w:rsidR="00000675" w:rsidRPr="00FB0A34">
        <w:rPr>
          <w:rFonts w:ascii="Arial" w:hAnsi="Arial" w:cs="Arial"/>
          <w:color w:val="000000" w:themeColor="text1"/>
        </w:rPr>
        <w:t xml:space="preserve">For Margaret, this hierarchy encourages staff to look at the full spectrum of her needs and not to focus entirely on symptoms of dementia. For example, maybe her anxiety at mealtimes relates less to hunger and more to feelings of insecurity or sensory overstimulation. If Margaret's lower-order needs such as comfort, calmness, familiarity and a predictable routine are met, then she can engage more confidently in social activities and can experience a sense of identity and achievement. Applying Maslow's ideas in dementia care offers a holistic view that looks beyond the diagnosis to the person </w:t>
      </w:r>
      <w:r w:rsidR="00C226CE" w:rsidRPr="00FB0A34">
        <w:rPr>
          <w:rFonts w:ascii="Arial" w:hAnsi="Arial" w:cs="Arial"/>
          <w:color w:val="000000" w:themeColor="text1"/>
        </w:rPr>
        <w:t>(Yuan et al., 2025)</w:t>
      </w:r>
      <w:r w:rsidRPr="00FB0A34">
        <w:rPr>
          <w:rFonts w:ascii="Arial" w:hAnsi="Arial" w:cs="Arial"/>
          <w:color w:val="000000" w:themeColor="text1"/>
        </w:rPr>
        <w:t>. Support Workers use this model to assess the whole person, not just the illness.</w:t>
      </w:r>
    </w:p>
    <w:p w14:paraId="198D8B2E" w14:textId="46828D5C" w:rsidR="00FD36F7" w:rsidRPr="00FB0A34" w:rsidRDefault="000D24A6" w:rsidP="00FB0A34">
      <w:pPr>
        <w:spacing w:line="360" w:lineRule="auto"/>
        <w:jc w:val="both"/>
        <w:rPr>
          <w:rFonts w:ascii="Arial" w:hAnsi="Arial" w:cs="Arial"/>
          <w:color w:val="000000" w:themeColor="text1"/>
        </w:rPr>
      </w:pPr>
      <w:r w:rsidRPr="00FB0A34">
        <w:rPr>
          <w:rFonts w:ascii="Arial" w:hAnsi="Arial" w:cs="Arial"/>
          <w:color w:val="000000" w:themeColor="text1"/>
        </w:rPr>
        <w:t>T</w:t>
      </w:r>
      <w:r w:rsidR="00FD36F7" w:rsidRPr="00FB0A34">
        <w:rPr>
          <w:rFonts w:ascii="Arial" w:hAnsi="Arial" w:cs="Arial"/>
          <w:color w:val="000000" w:themeColor="text1"/>
        </w:rPr>
        <w:t>ogether, these theories provide essential frameworks for an understanding of the emotional and behavio</w:t>
      </w:r>
      <w:r w:rsidR="00A17958" w:rsidRPr="00FB0A34">
        <w:rPr>
          <w:rFonts w:ascii="Arial" w:hAnsi="Arial" w:cs="Arial"/>
          <w:color w:val="000000" w:themeColor="text1"/>
        </w:rPr>
        <w:t>u</w:t>
      </w:r>
      <w:r w:rsidR="00FD36F7" w:rsidRPr="00FB0A34">
        <w:rPr>
          <w:rFonts w:ascii="Arial" w:hAnsi="Arial" w:cs="Arial"/>
          <w:color w:val="000000" w:themeColor="text1"/>
        </w:rPr>
        <w:t xml:space="preserve">ral experiences of older adults with dementia. </w:t>
      </w:r>
      <w:r w:rsidR="006E1302">
        <w:rPr>
          <w:rFonts w:ascii="Arial" w:hAnsi="Arial" w:cs="Arial"/>
          <w:color w:val="000000" w:themeColor="text1"/>
        </w:rPr>
        <w:t>W</w:t>
      </w:r>
      <w:r w:rsidR="006E1302" w:rsidRPr="006E1302">
        <w:rPr>
          <w:rFonts w:ascii="Arial" w:hAnsi="Arial" w:cs="Arial"/>
          <w:color w:val="000000" w:themeColor="text1"/>
        </w:rPr>
        <w:t>hereas both explain why older adults with dementia may shift their patterns of interaction as their condition progresses</w:t>
      </w:r>
      <w:r w:rsidR="003F510E">
        <w:rPr>
          <w:rFonts w:ascii="Arial" w:hAnsi="Arial" w:cs="Arial"/>
          <w:color w:val="000000" w:themeColor="text1"/>
        </w:rPr>
        <w:t>.</w:t>
      </w:r>
      <w:r w:rsidR="006E1302" w:rsidRPr="006E1302">
        <w:rPr>
          <w:rFonts w:ascii="Arial" w:hAnsi="Arial" w:cs="Arial"/>
          <w:color w:val="000000" w:themeColor="text1"/>
        </w:rPr>
        <w:t xml:space="preserve"> </w:t>
      </w:r>
      <w:r w:rsidR="00FD36F7" w:rsidRPr="00FB0A34">
        <w:rPr>
          <w:rFonts w:ascii="Arial" w:hAnsi="Arial" w:cs="Arial"/>
          <w:color w:val="000000" w:themeColor="text1"/>
        </w:rPr>
        <w:t>Disengagement Theory helps explain changes in motivation and social behavio</w:t>
      </w:r>
      <w:r w:rsidR="00A17958" w:rsidRPr="00FB0A34">
        <w:rPr>
          <w:rFonts w:ascii="Arial" w:hAnsi="Arial" w:cs="Arial"/>
          <w:color w:val="000000" w:themeColor="text1"/>
        </w:rPr>
        <w:t>u</w:t>
      </w:r>
      <w:r w:rsidR="00FD36F7" w:rsidRPr="00FB0A34">
        <w:rPr>
          <w:rFonts w:ascii="Arial" w:hAnsi="Arial" w:cs="Arial"/>
          <w:color w:val="000000" w:themeColor="text1"/>
        </w:rPr>
        <w:t>r, while Maslow's model guides holistic care that addresses both basic and higher psychological needs.</w:t>
      </w:r>
      <w:r w:rsidR="003F510E" w:rsidRPr="003F510E">
        <w:t xml:space="preserve"> </w:t>
      </w:r>
      <w:r w:rsidR="003F510E" w:rsidRPr="003F510E">
        <w:rPr>
          <w:rFonts w:ascii="Arial" w:hAnsi="Arial" w:cs="Arial"/>
          <w:color w:val="000000" w:themeColor="text1"/>
        </w:rPr>
        <w:t xml:space="preserve">Stepping back from busy group activities for someone like Margaret is an attempt to maintain safety and stability rather than a loss of interest. </w:t>
      </w:r>
    </w:p>
    <w:p w14:paraId="21856387" w14:textId="2386080A" w:rsidR="0054061B" w:rsidRPr="00FB0A34" w:rsidRDefault="0054061B" w:rsidP="00FB0A34">
      <w:pPr>
        <w:spacing w:line="360" w:lineRule="auto"/>
        <w:jc w:val="both"/>
        <w:rPr>
          <w:rFonts w:ascii="Arial" w:hAnsi="Arial" w:cs="Arial"/>
          <w:b/>
          <w:bCs/>
          <w:color w:val="000000" w:themeColor="text1"/>
        </w:rPr>
      </w:pPr>
      <w:r w:rsidRPr="00FB0A34">
        <w:rPr>
          <w:rFonts w:ascii="Arial" w:hAnsi="Arial" w:cs="Arial"/>
          <w:b/>
          <w:bCs/>
          <w:color w:val="000000" w:themeColor="text1"/>
        </w:rPr>
        <w:t>Strengths</w:t>
      </w:r>
      <w:r w:rsidR="00E91291" w:rsidRPr="00FB0A34">
        <w:rPr>
          <w:rFonts w:ascii="Arial" w:hAnsi="Arial" w:cs="Arial"/>
          <w:b/>
          <w:bCs/>
          <w:color w:val="000000" w:themeColor="text1"/>
        </w:rPr>
        <w:t xml:space="preserve"> and Limitations of the theories applied to Margaret</w:t>
      </w:r>
    </w:p>
    <w:p w14:paraId="3CBDD338" w14:textId="2FAA5ACF" w:rsidR="00E91291" w:rsidRPr="00FB0A34" w:rsidRDefault="0054061B" w:rsidP="00FB0A34">
      <w:pPr>
        <w:spacing w:line="360" w:lineRule="auto"/>
        <w:jc w:val="both"/>
        <w:rPr>
          <w:rFonts w:ascii="Arial" w:hAnsi="Arial" w:cs="Arial"/>
          <w:color w:val="000000" w:themeColor="text1"/>
        </w:rPr>
      </w:pPr>
      <w:r w:rsidRPr="00FB0A34">
        <w:rPr>
          <w:rFonts w:ascii="Arial" w:hAnsi="Arial" w:cs="Arial"/>
          <w:color w:val="000000" w:themeColor="text1"/>
        </w:rPr>
        <w:t>Disengagement Theory provides a helpful starting point for understanding some of Margaret's behaviours. Its key strength is that it will help the staff to avoid interpreting all withdrawal as problematic, and consequently support respectful autonomy and personali</w:t>
      </w:r>
      <w:r w:rsidR="001A2274">
        <w:rPr>
          <w:rFonts w:ascii="Arial" w:hAnsi="Arial" w:cs="Arial"/>
          <w:color w:val="000000" w:themeColor="text1"/>
        </w:rPr>
        <w:t>s</w:t>
      </w:r>
      <w:r w:rsidRPr="00FB0A34">
        <w:rPr>
          <w:rFonts w:ascii="Arial" w:hAnsi="Arial" w:cs="Arial"/>
          <w:color w:val="000000" w:themeColor="text1"/>
        </w:rPr>
        <w:t>ed care. Nevertheless, there are significant limitations with this theory. It can lead practitioners to overlook important clinical signs by assuming prematurely that withdrawal is normal. It also cannot attend to or acknowledge how social structures, the care environment, or staffing pressures shape an older person's engagement.</w:t>
      </w:r>
    </w:p>
    <w:p w14:paraId="30B1DBC7" w14:textId="19CAFFA5" w:rsidR="0054061B" w:rsidRPr="00FB0A34" w:rsidRDefault="0054061B" w:rsidP="00FB0A34">
      <w:pPr>
        <w:spacing w:line="360" w:lineRule="auto"/>
        <w:jc w:val="both"/>
        <w:rPr>
          <w:rFonts w:ascii="Arial" w:hAnsi="Arial" w:cs="Arial"/>
          <w:color w:val="000000" w:themeColor="text1"/>
        </w:rPr>
      </w:pPr>
      <w:r w:rsidRPr="00FB0A34">
        <w:rPr>
          <w:rFonts w:ascii="Arial" w:hAnsi="Arial" w:cs="Arial"/>
          <w:color w:val="000000" w:themeColor="text1"/>
        </w:rPr>
        <w:t xml:space="preserve">The value of Maslow's Hierarchy of Needs in this context is that it offers a simple framework that allows care workers to prioritise Margaret's needs. Its structured nature promotes holistic and compassionate care. However, it assumes a clear-cut succession between levels, which </w:t>
      </w:r>
      <w:r w:rsidRPr="00FB0A34">
        <w:rPr>
          <w:rFonts w:ascii="Arial" w:hAnsi="Arial" w:cs="Arial"/>
          <w:color w:val="000000" w:themeColor="text1"/>
        </w:rPr>
        <w:lastRenderedPageBreak/>
        <w:t>does not always reflect the fluctuating realities of dementia</w:t>
      </w:r>
      <w:r w:rsidR="00CF6902" w:rsidRPr="00FB0A34">
        <w:rPr>
          <w:rFonts w:ascii="Arial" w:hAnsi="Arial" w:cs="Arial"/>
          <w:color w:val="000000" w:themeColor="text1"/>
        </w:rPr>
        <w:t xml:space="preserve"> (Zhang and Lin, 2022)</w:t>
      </w:r>
      <w:r w:rsidRPr="00FB0A34">
        <w:rPr>
          <w:rFonts w:ascii="Arial" w:hAnsi="Arial" w:cs="Arial"/>
          <w:color w:val="000000" w:themeColor="text1"/>
        </w:rPr>
        <w:t>. Instead, emotional and social needs can still be very significant when some of the physical needs are diminished. The theory also takes a primarily individualistic perspective and does not fully account for relational or cultural influences.</w:t>
      </w:r>
    </w:p>
    <w:p w14:paraId="4BE69564" w14:textId="3E53CD70" w:rsidR="002C759A" w:rsidRPr="00FB0A34" w:rsidRDefault="002C759A" w:rsidP="00FB0A34">
      <w:pPr>
        <w:pStyle w:val="Heading1"/>
      </w:pPr>
      <w:bookmarkStart w:id="2" w:name="_Toc213404656"/>
      <w:r w:rsidRPr="00FB0A34">
        <w:t>Application in a Health and Social Care Context</w:t>
      </w:r>
      <w:bookmarkEnd w:id="2"/>
    </w:p>
    <w:p w14:paraId="7A5FE036" w14:textId="4ECC5C1A" w:rsidR="009674FC" w:rsidRPr="00FB0A34" w:rsidRDefault="00857369" w:rsidP="00FB0A34">
      <w:pPr>
        <w:spacing w:line="360" w:lineRule="auto"/>
        <w:jc w:val="both"/>
        <w:rPr>
          <w:rFonts w:ascii="Arial" w:hAnsi="Arial" w:cs="Arial"/>
          <w:color w:val="000000" w:themeColor="text1"/>
        </w:rPr>
      </w:pPr>
      <w:r w:rsidRPr="00FB0A34">
        <w:rPr>
          <w:rFonts w:ascii="Arial" w:hAnsi="Arial" w:cs="Arial"/>
          <w:color w:val="000000" w:themeColor="text1"/>
        </w:rPr>
        <w:t xml:space="preserve">In care homes for people with dementia, Support Workers translate theory into compassionate everyday practice. Disengagement Theory helps workers learn that </w:t>
      </w:r>
      <w:r w:rsidR="00000675" w:rsidRPr="00FB0A34">
        <w:rPr>
          <w:rFonts w:ascii="Arial" w:hAnsi="Arial" w:cs="Arial"/>
          <w:color w:val="000000" w:themeColor="text1"/>
        </w:rPr>
        <w:t xml:space="preserve">at </w:t>
      </w:r>
      <w:r w:rsidRPr="00FB0A34">
        <w:rPr>
          <w:rFonts w:ascii="Arial" w:hAnsi="Arial" w:cs="Arial"/>
          <w:color w:val="000000" w:themeColor="text1"/>
        </w:rPr>
        <w:t>some</w:t>
      </w:r>
      <w:r w:rsidR="00000675" w:rsidRPr="00FB0A34">
        <w:rPr>
          <w:rFonts w:ascii="Arial" w:hAnsi="Arial" w:cs="Arial"/>
          <w:color w:val="000000" w:themeColor="text1"/>
        </w:rPr>
        <w:t xml:space="preserve">times Margaret </w:t>
      </w:r>
      <w:r w:rsidRPr="00FB0A34">
        <w:rPr>
          <w:rFonts w:ascii="Arial" w:hAnsi="Arial" w:cs="Arial"/>
          <w:color w:val="000000" w:themeColor="text1"/>
        </w:rPr>
        <w:t xml:space="preserve">naturally prefer less social interaction and quieter routines. </w:t>
      </w:r>
      <w:r w:rsidR="00000675" w:rsidRPr="00FB0A34">
        <w:rPr>
          <w:rFonts w:ascii="Arial" w:hAnsi="Arial" w:cs="Arial"/>
          <w:color w:val="000000" w:themeColor="text1"/>
        </w:rPr>
        <w:t xml:space="preserve">For instance, if she </w:t>
      </w:r>
      <w:r w:rsidRPr="00FB0A34">
        <w:rPr>
          <w:rFonts w:ascii="Arial" w:hAnsi="Arial" w:cs="Arial"/>
          <w:color w:val="000000" w:themeColor="text1"/>
        </w:rPr>
        <w:t xml:space="preserve">seems to be avoiding group singing sessions that </w:t>
      </w:r>
      <w:r w:rsidR="00000675" w:rsidRPr="00FB0A34">
        <w:rPr>
          <w:rFonts w:ascii="Arial" w:hAnsi="Arial" w:cs="Arial"/>
          <w:color w:val="000000" w:themeColor="text1"/>
        </w:rPr>
        <w:t>sh</w:t>
      </w:r>
      <w:r w:rsidRPr="00FB0A34">
        <w:rPr>
          <w:rFonts w:ascii="Arial" w:hAnsi="Arial" w:cs="Arial"/>
          <w:color w:val="000000" w:themeColor="text1"/>
        </w:rPr>
        <w:t xml:space="preserve">e used to enjoy, the Support Worker would observe and record this rather than assuming depression. By noting that </w:t>
      </w:r>
      <w:r w:rsidR="00000675" w:rsidRPr="00FB0A34">
        <w:rPr>
          <w:rFonts w:ascii="Arial" w:hAnsi="Arial" w:cs="Arial"/>
          <w:color w:val="000000" w:themeColor="text1"/>
        </w:rPr>
        <w:t>s</w:t>
      </w:r>
      <w:r w:rsidRPr="00FB0A34">
        <w:rPr>
          <w:rFonts w:ascii="Arial" w:hAnsi="Arial" w:cs="Arial"/>
          <w:color w:val="000000" w:themeColor="text1"/>
        </w:rPr>
        <w:t>he becomes restless in large groups of people, the Support Worker arranges one-to-one music sessions in h</w:t>
      </w:r>
      <w:r w:rsidR="00000675" w:rsidRPr="00FB0A34">
        <w:rPr>
          <w:rFonts w:ascii="Arial" w:hAnsi="Arial" w:cs="Arial"/>
          <w:color w:val="000000" w:themeColor="text1"/>
        </w:rPr>
        <w:t xml:space="preserve">er </w:t>
      </w:r>
      <w:r w:rsidRPr="00FB0A34">
        <w:rPr>
          <w:rFonts w:ascii="Arial" w:hAnsi="Arial" w:cs="Arial"/>
          <w:color w:val="000000" w:themeColor="text1"/>
        </w:rPr>
        <w:t xml:space="preserve">room where </w:t>
      </w:r>
      <w:r w:rsidR="00000675" w:rsidRPr="00FB0A34">
        <w:rPr>
          <w:rFonts w:ascii="Arial" w:hAnsi="Arial" w:cs="Arial"/>
          <w:color w:val="000000" w:themeColor="text1"/>
        </w:rPr>
        <w:t>s</w:t>
      </w:r>
      <w:r w:rsidRPr="00FB0A34">
        <w:rPr>
          <w:rFonts w:ascii="Arial" w:hAnsi="Arial" w:cs="Arial"/>
          <w:color w:val="000000" w:themeColor="text1"/>
        </w:rPr>
        <w:t>he is calm and more engaged. Such an approach respects h</w:t>
      </w:r>
      <w:r w:rsidR="00000675" w:rsidRPr="00FB0A34">
        <w:rPr>
          <w:rFonts w:ascii="Arial" w:hAnsi="Arial" w:cs="Arial"/>
          <w:color w:val="000000" w:themeColor="text1"/>
        </w:rPr>
        <w:t xml:space="preserve">er </w:t>
      </w:r>
      <w:r w:rsidRPr="00FB0A34">
        <w:rPr>
          <w:rFonts w:ascii="Arial" w:hAnsi="Arial" w:cs="Arial"/>
          <w:color w:val="000000" w:themeColor="text1"/>
        </w:rPr>
        <w:t>autonomy yet still promotes connection.</w:t>
      </w:r>
    </w:p>
    <w:p w14:paraId="429D488F" w14:textId="77777777" w:rsidR="00000675" w:rsidRPr="00FB0A34" w:rsidRDefault="00857369" w:rsidP="00FB0A34">
      <w:pPr>
        <w:spacing w:line="360" w:lineRule="auto"/>
        <w:jc w:val="both"/>
        <w:rPr>
          <w:rFonts w:ascii="Arial" w:hAnsi="Arial" w:cs="Arial"/>
          <w:color w:val="000000" w:themeColor="text1"/>
        </w:rPr>
      </w:pPr>
      <w:r w:rsidRPr="00FB0A34">
        <w:rPr>
          <w:rFonts w:ascii="Arial" w:hAnsi="Arial" w:cs="Arial"/>
          <w:color w:val="000000" w:themeColor="text1"/>
        </w:rPr>
        <w:t>Obstacles to using Disengagement Theory include distinguishing between natural disengagement and emotional distress.</w:t>
      </w:r>
      <w:r w:rsidR="00000675" w:rsidRPr="00FB0A34">
        <w:rPr>
          <w:rFonts w:ascii="Arial" w:hAnsi="Arial" w:cs="Arial"/>
          <w:color w:val="000000" w:themeColor="text1"/>
        </w:rPr>
        <w:t xml:space="preserve"> If Margaret’s </w:t>
      </w:r>
      <w:r w:rsidRPr="00FB0A34">
        <w:rPr>
          <w:rFonts w:ascii="Arial" w:hAnsi="Arial" w:cs="Arial"/>
          <w:color w:val="000000" w:themeColor="text1"/>
        </w:rPr>
        <w:t xml:space="preserve">withdrawal may signal depression, loneliness, or neglect rather than healthy adjustment. The most common obstacles to in-depth observation include </w:t>
      </w:r>
      <w:r w:rsidR="000D24A6" w:rsidRPr="00FB0A34">
        <w:rPr>
          <w:rFonts w:ascii="Arial" w:hAnsi="Arial" w:cs="Arial"/>
          <w:color w:val="000000" w:themeColor="text1"/>
        </w:rPr>
        <w:t xml:space="preserve">limited </w:t>
      </w:r>
      <w:r w:rsidRPr="00FB0A34">
        <w:rPr>
          <w:rFonts w:ascii="Arial" w:hAnsi="Arial" w:cs="Arial"/>
          <w:color w:val="000000" w:themeColor="text1"/>
        </w:rPr>
        <w:t xml:space="preserve">time and staffing; therefore, </w:t>
      </w:r>
      <w:r w:rsidR="000D24A6" w:rsidRPr="00FB0A34">
        <w:rPr>
          <w:rFonts w:ascii="Arial" w:hAnsi="Arial" w:cs="Arial"/>
          <w:color w:val="000000" w:themeColor="text1"/>
        </w:rPr>
        <w:t xml:space="preserve">restricts </w:t>
      </w:r>
      <w:r w:rsidRPr="00FB0A34">
        <w:rPr>
          <w:rFonts w:ascii="Arial" w:hAnsi="Arial" w:cs="Arial"/>
          <w:color w:val="000000" w:themeColor="text1"/>
        </w:rPr>
        <w:t>opportunities for meaningful one-to-one observation.</w:t>
      </w:r>
      <w:r w:rsidR="009674FC" w:rsidRPr="00FB0A34">
        <w:rPr>
          <w:rFonts w:ascii="Arial" w:hAnsi="Arial" w:cs="Arial"/>
          <w:color w:val="000000" w:themeColor="text1"/>
        </w:rPr>
        <w:t xml:space="preserve"> </w:t>
      </w:r>
      <w:r w:rsidRPr="00FB0A34">
        <w:rPr>
          <w:rFonts w:ascii="Arial" w:hAnsi="Arial" w:cs="Arial"/>
          <w:color w:val="000000" w:themeColor="text1"/>
        </w:rPr>
        <w:t xml:space="preserve">Family members may also misinterpret </w:t>
      </w:r>
      <w:r w:rsidR="00000675" w:rsidRPr="00FB0A34">
        <w:rPr>
          <w:rFonts w:ascii="Arial" w:hAnsi="Arial" w:cs="Arial"/>
          <w:color w:val="000000" w:themeColor="text1"/>
        </w:rPr>
        <w:t xml:space="preserve">her </w:t>
      </w:r>
      <w:r w:rsidRPr="00FB0A34">
        <w:rPr>
          <w:rFonts w:ascii="Arial" w:hAnsi="Arial" w:cs="Arial"/>
          <w:color w:val="000000" w:themeColor="text1"/>
        </w:rPr>
        <w:t xml:space="preserve">withdrawal, feeling the care team is not doing enough to engage </w:t>
      </w:r>
      <w:r w:rsidR="00000675" w:rsidRPr="00FB0A34">
        <w:rPr>
          <w:rFonts w:ascii="Arial" w:hAnsi="Arial" w:cs="Arial"/>
          <w:color w:val="000000" w:themeColor="text1"/>
        </w:rPr>
        <w:t>her</w:t>
      </w:r>
      <w:r w:rsidRPr="00FB0A34">
        <w:rPr>
          <w:rFonts w:ascii="Arial" w:hAnsi="Arial" w:cs="Arial"/>
          <w:color w:val="000000" w:themeColor="text1"/>
        </w:rPr>
        <w:t>, which can create emotional or ethical tensions for staff.</w:t>
      </w:r>
      <w:r w:rsidR="006E7F89" w:rsidRPr="00FB0A34">
        <w:rPr>
          <w:rFonts w:ascii="Arial" w:hAnsi="Arial" w:cs="Arial"/>
          <w:color w:val="000000" w:themeColor="text1"/>
        </w:rPr>
        <w:t xml:space="preserve"> </w:t>
      </w:r>
    </w:p>
    <w:p w14:paraId="71E3A426" w14:textId="2CB03912" w:rsidR="009674FC" w:rsidRPr="00FB0A34" w:rsidRDefault="00857369" w:rsidP="00FB0A34">
      <w:pPr>
        <w:spacing w:line="360" w:lineRule="auto"/>
        <w:jc w:val="both"/>
        <w:rPr>
          <w:rFonts w:ascii="Arial" w:hAnsi="Arial" w:cs="Arial"/>
          <w:color w:val="000000" w:themeColor="text1"/>
        </w:rPr>
      </w:pPr>
      <w:r w:rsidRPr="00FB0A34">
        <w:rPr>
          <w:rFonts w:ascii="Arial" w:hAnsi="Arial" w:cs="Arial"/>
          <w:color w:val="000000" w:themeColor="text1"/>
        </w:rPr>
        <w:t xml:space="preserve">Strategies to overcome such challenges include </w:t>
      </w:r>
      <w:r w:rsidR="000D24A6" w:rsidRPr="00FB0A34">
        <w:rPr>
          <w:rFonts w:ascii="Arial" w:hAnsi="Arial" w:cs="Arial"/>
          <w:color w:val="000000" w:themeColor="text1"/>
        </w:rPr>
        <w:t xml:space="preserve">creating </w:t>
      </w:r>
      <w:r w:rsidRPr="00FB0A34">
        <w:rPr>
          <w:rFonts w:ascii="Arial" w:hAnsi="Arial" w:cs="Arial"/>
          <w:color w:val="000000" w:themeColor="text1"/>
        </w:rPr>
        <w:t>individuali</w:t>
      </w:r>
      <w:r w:rsidR="007401FE" w:rsidRPr="00FB0A34">
        <w:rPr>
          <w:rFonts w:ascii="Arial" w:hAnsi="Arial" w:cs="Arial"/>
          <w:color w:val="000000" w:themeColor="text1"/>
        </w:rPr>
        <w:t>s</w:t>
      </w:r>
      <w:r w:rsidRPr="00FB0A34">
        <w:rPr>
          <w:rFonts w:ascii="Arial" w:hAnsi="Arial" w:cs="Arial"/>
          <w:color w:val="000000" w:themeColor="text1"/>
        </w:rPr>
        <w:t xml:space="preserve">ed care plans that highlight </w:t>
      </w:r>
      <w:r w:rsidR="00000675" w:rsidRPr="00FB0A34">
        <w:rPr>
          <w:rFonts w:ascii="Arial" w:hAnsi="Arial" w:cs="Arial"/>
          <w:color w:val="000000" w:themeColor="text1"/>
        </w:rPr>
        <w:t xml:space="preserve">that Margaret’s </w:t>
      </w:r>
      <w:r w:rsidRPr="00FB0A34">
        <w:rPr>
          <w:rFonts w:ascii="Arial" w:hAnsi="Arial" w:cs="Arial"/>
          <w:color w:val="000000" w:themeColor="text1"/>
        </w:rPr>
        <w:t>preferences for social interactions and emotional stimuli</w:t>
      </w:r>
      <w:r w:rsidR="00443C96" w:rsidRPr="00FB0A34">
        <w:rPr>
          <w:rFonts w:ascii="Arial" w:hAnsi="Arial" w:cs="Arial"/>
          <w:color w:val="000000" w:themeColor="text1"/>
        </w:rPr>
        <w:t xml:space="preserve"> (</w:t>
      </w:r>
      <w:r w:rsidR="00784B15" w:rsidRPr="00FB0A34">
        <w:rPr>
          <w:rFonts w:ascii="Arial" w:hAnsi="Arial" w:cs="Arial"/>
          <w:color w:val="000000" w:themeColor="text1"/>
        </w:rPr>
        <w:t>de Paula Couto and Rothermund, 2022</w:t>
      </w:r>
      <w:r w:rsidR="00443C96" w:rsidRPr="00FB0A34">
        <w:rPr>
          <w:rFonts w:ascii="Arial" w:hAnsi="Arial" w:cs="Arial"/>
          <w:color w:val="000000" w:themeColor="text1"/>
        </w:rPr>
        <w:t>)</w:t>
      </w:r>
      <w:r w:rsidRPr="00FB0A34">
        <w:rPr>
          <w:rFonts w:ascii="Arial" w:hAnsi="Arial" w:cs="Arial"/>
          <w:color w:val="000000" w:themeColor="text1"/>
        </w:rPr>
        <w:t xml:space="preserve">. Team meetings and reflective supervisions are also avenues through which observations can be shared to ensure </w:t>
      </w:r>
      <w:r w:rsidR="00AC2CC4" w:rsidRPr="00FB0A34">
        <w:rPr>
          <w:rFonts w:ascii="Arial" w:hAnsi="Arial" w:cs="Arial"/>
          <w:color w:val="000000" w:themeColor="text1"/>
        </w:rPr>
        <w:t xml:space="preserve">her </w:t>
      </w:r>
      <w:r w:rsidRPr="00FB0A34">
        <w:rPr>
          <w:rFonts w:ascii="Arial" w:hAnsi="Arial" w:cs="Arial"/>
          <w:color w:val="000000" w:themeColor="text1"/>
        </w:rPr>
        <w:t>continuity of approach. Gentle engagement, such as companionship during quiet times, reassures without forcing social participation. Maslow's Hierarchy of Needs offers another framework that guides the Support Worker to recogni</w:t>
      </w:r>
      <w:r w:rsidR="007401FE" w:rsidRPr="00FB0A34">
        <w:rPr>
          <w:rFonts w:ascii="Arial" w:hAnsi="Arial" w:cs="Arial"/>
          <w:color w:val="000000" w:themeColor="text1"/>
        </w:rPr>
        <w:t>s</w:t>
      </w:r>
      <w:r w:rsidRPr="00FB0A34">
        <w:rPr>
          <w:rFonts w:ascii="Arial" w:hAnsi="Arial" w:cs="Arial"/>
          <w:color w:val="000000" w:themeColor="text1"/>
        </w:rPr>
        <w:t xml:space="preserve">e and attend </w:t>
      </w:r>
      <w:r w:rsidR="00AC2CC4" w:rsidRPr="00FB0A34">
        <w:rPr>
          <w:rFonts w:ascii="Arial" w:hAnsi="Arial" w:cs="Arial"/>
          <w:color w:val="000000" w:themeColor="text1"/>
        </w:rPr>
        <w:t xml:space="preserve">her </w:t>
      </w:r>
      <w:r w:rsidRPr="00FB0A34">
        <w:rPr>
          <w:rFonts w:ascii="Arial" w:hAnsi="Arial" w:cs="Arial"/>
          <w:color w:val="000000" w:themeColor="text1"/>
        </w:rPr>
        <w:t xml:space="preserve">needs systematically. The physiological needs of </w:t>
      </w:r>
      <w:r w:rsidR="00AC2CC4" w:rsidRPr="00FB0A34">
        <w:rPr>
          <w:rFonts w:ascii="Arial" w:hAnsi="Arial" w:cs="Arial"/>
          <w:color w:val="000000" w:themeColor="text1"/>
        </w:rPr>
        <w:t xml:space="preserve">Margaret </w:t>
      </w:r>
      <w:r w:rsidRPr="00FB0A34">
        <w:rPr>
          <w:rFonts w:ascii="Arial" w:hAnsi="Arial" w:cs="Arial"/>
          <w:color w:val="000000" w:themeColor="text1"/>
        </w:rPr>
        <w:t>are in terms of proper nutrition, hydration, rest, and hygiene</w:t>
      </w:r>
      <w:r w:rsidR="009677CA" w:rsidRPr="00FB0A34">
        <w:rPr>
          <w:rFonts w:ascii="Arial" w:hAnsi="Arial" w:cs="Arial"/>
          <w:color w:val="000000" w:themeColor="text1"/>
        </w:rPr>
        <w:t xml:space="preserve"> (</w:t>
      </w:r>
      <w:proofErr w:type="spellStart"/>
      <w:r w:rsidR="009677CA" w:rsidRPr="00FB0A34">
        <w:rPr>
          <w:rFonts w:ascii="Arial" w:hAnsi="Arial" w:cs="Arial"/>
          <w:color w:val="000000" w:themeColor="text1"/>
        </w:rPr>
        <w:t>Gonot-Schoupinsky</w:t>
      </w:r>
      <w:proofErr w:type="spellEnd"/>
      <w:r w:rsidR="009677CA" w:rsidRPr="00FB0A34">
        <w:rPr>
          <w:rFonts w:ascii="Arial" w:hAnsi="Arial" w:cs="Arial"/>
          <w:color w:val="000000" w:themeColor="text1"/>
        </w:rPr>
        <w:t xml:space="preserve"> et al., 2022)</w:t>
      </w:r>
      <w:r w:rsidRPr="00FB0A34">
        <w:rPr>
          <w:rFonts w:ascii="Arial" w:hAnsi="Arial" w:cs="Arial"/>
          <w:color w:val="000000" w:themeColor="text1"/>
        </w:rPr>
        <w:t xml:space="preserve">. </w:t>
      </w:r>
      <w:r w:rsidR="00AC2CC4" w:rsidRPr="00FB0A34">
        <w:rPr>
          <w:rFonts w:ascii="Arial" w:hAnsi="Arial" w:cs="Arial"/>
          <w:color w:val="000000" w:themeColor="text1"/>
        </w:rPr>
        <w:t xml:space="preserve">So, if she </w:t>
      </w:r>
      <w:r w:rsidRPr="00FB0A34">
        <w:rPr>
          <w:rFonts w:ascii="Arial" w:hAnsi="Arial" w:cs="Arial"/>
          <w:color w:val="000000" w:themeColor="text1"/>
        </w:rPr>
        <w:t>often refuses food; on such occasions, the Support Worker sits beside her, offering small portions of food and positive reassurance.</w:t>
      </w:r>
      <w:r w:rsidR="009674FC" w:rsidRPr="00FB0A34">
        <w:rPr>
          <w:rFonts w:ascii="Arial" w:hAnsi="Arial" w:cs="Arial"/>
          <w:color w:val="000000" w:themeColor="text1"/>
        </w:rPr>
        <w:t xml:space="preserve"> </w:t>
      </w:r>
      <w:r w:rsidRPr="00FB0A34">
        <w:rPr>
          <w:rFonts w:ascii="Arial" w:hAnsi="Arial" w:cs="Arial"/>
          <w:color w:val="000000" w:themeColor="text1"/>
        </w:rPr>
        <w:t>Such calm presence by the worker encourages eating but at the same time satisfies her emotional need to feel comfortable and safe</w:t>
      </w:r>
      <w:r w:rsidR="00740E6B" w:rsidRPr="00FB0A34">
        <w:rPr>
          <w:rFonts w:ascii="Arial" w:hAnsi="Arial" w:cs="Arial"/>
          <w:color w:val="000000" w:themeColor="text1"/>
        </w:rPr>
        <w:t>.</w:t>
      </w:r>
    </w:p>
    <w:p w14:paraId="3E5870A6" w14:textId="1DD6478B" w:rsidR="006958B3" w:rsidRPr="00FB0A34" w:rsidRDefault="006958B3" w:rsidP="00FB0A34">
      <w:pPr>
        <w:pStyle w:val="Heading1"/>
      </w:pPr>
      <w:bookmarkStart w:id="3" w:name="_Toc213404657"/>
      <w:r w:rsidRPr="00FB0A34">
        <w:lastRenderedPageBreak/>
        <w:t>Challenges in Applying Theories and Strategies for Management</w:t>
      </w:r>
      <w:bookmarkEnd w:id="3"/>
    </w:p>
    <w:p w14:paraId="5D8A6C9C" w14:textId="0CBC678A" w:rsidR="006958B3" w:rsidRPr="00FB0A34" w:rsidRDefault="00857369" w:rsidP="00FB0A34">
      <w:pPr>
        <w:spacing w:line="360" w:lineRule="auto"/>
        <w:jc w:val="both"/>
        <w:rPr>
          <w:rFonts w:ascii="Arial" w:hAnsi="Arial" w:cs="Arial"/>
          <w:color w:val="000000" w:themeColor="text1"/>
        </w:rPr>
      </w:pPr>
      <w:r w:rsidRPr="00FB0A34">
        <w:rPr>
          <w:rFonts w:ascii="Arial" w:hAnsi="Arial" w:cs="Arial"/>
          <w:color w:val="000000" w:themeColor="text1"/>
        </w:rPr>
        <w:t>Challenges in applying Maslow's model include time constraints, high workloads, and communication barriers</w:t>
      </w:r>
      <w:r w:rsidR="007D5BBB" w:rsidRPr="00FB0A34">
        <w:rPr>
          <w:rFonts w:ascii="Arial" w:hAnsi="Arial" w:cs="Arial"/>
          <w:color w:val="000000" w:themeColor="text1"/>
        </w:rPr>
        <w:t xml:space="preserve">. </w:t>
      </w:r>
      <w:r w:rsidRPr="00FB0A34">
        <w:rPr>
          <w:rFonts w:ascii="Arial" w:hAnsi="Arial" w:cs="Arial"/>
          <w:color w:val="000000" w:themeColor="text1"/>
        </w:rPr>
        <w:t>Emotional fatigue among staff can also reduce patience and empathy. Dementia is a progressive condition</w:t>
      </w:r>
      <w:r w:rsidR="00FB0A34">
        <w:rPr>
          <w:rFonts w:ascii="Arial" w:hAnsi="Arial" w:cs="Arial"/>
          <w:color w:val="000000" w:themeColor="text1"/>
        </w:rPr>
        <w:t xml:space="preserve"> </w:t>
      </w:r>
      <w:r w:rsidRPr="00FB0A34">
        <w:rPr>
          <w:rFonts w:ascii="Arial" w:hAnsi="Arial" w:cs="Arial"/>
          <w:color w:val="000000" w:themeColor="text1"/>
        </w:rPr>
        <w:t>thus</w:t>
      </w:r>
      <w:r w:rsidR="007D5BBB" w:rsidRPr="00FB0A34">
        <w:rPr>
          <w:rFonts w:ascii="Arial" w:hAnsi="Arial" w:cs="Arial"/>
          <w:color w:val="000000" w:themeColor="text1"/>
        </w:rPr>
        <w:t xml:space="preserve"> Margaret’s </w:t>
      </w:r>
      <w:r w:rsidRPr="00FB0A34">
        <w:rPr>
          <w:rFonts w:ascii="Arial" w:hAnsi="Arial" w:cs="Arial"/>
          <w:color w:val="000000" w:themeColor="text1"/>
        </w:rPr>
        <w:t xml:space="preserve">needs may change quickly and the approach to </w:t>
      </w:r>
      <w:r w:rsidR="007D5BBB" w:rsidRPr="00FB0A34">
        <w:rPr>
          <w:rFonts w:ascii="Arial" w:hAnsi="Arial" w:cs="Arial"/>
          <w:color w:val="000000" w:themeColor="text1"/>
        </w:rPr>
        <w:t xml:space="preserve">her </w:t>
      </w:r>
      <w:r w:rsidRPr="00FB0A34">
        <w:rPr>
          <w:rFonts w:ascii="Arial" w:hAnsi="Arial" w:cs="Arial"/>
          <w:color w:val="000000" w:themeColor="text1"/>
        </w:rPr>
        <w:t>care needs to change often</w:t>
      </w:r>
      <w:r w:rsidR="00916956" w:rsidRPr="00FB0A34">
        <w:rPr>
          <w:rFonts w:ascii="Arial" w:hAnsi="Arial" w:cs="Arial"/>
          <w:color w:val="000000" w:themeColor="text1"/>
        </w:rPr>
        <w:t xml:space="preserve"> (Zhang et al., 2022)</w:t>
      </w:r>
      <w:r w:rsidRPr="00FB0A34">
        <w:rPr>
          <w:rFonts w:ascii="Arial" w:hAnsi="Arial" w:cs="Arial"/>
          <w:color w:val="000000" w:themeColor="text1"/>
        </w:rPr>
        <w:t>.</w:t>
      </w:r>
      <w:r w:rsidR="009674FC" w:rsidRPr="00FB0A34">
        <w:rPr>
          <w:rFonts w:ascii="Arial" w:hAnsi="Arial" w:cs="Arial"/>
          <w:color w:val="000000" w:themeColor="text1"/>
        </w:rPr>
        <w:t xml:space="preserve"> </w:t>
      </w:r>
    </w:p>
    <w:p w14:paraId="747BF363" w14:textId="2CF98214" w:rsidR="009674FC" w:rsidRPr="00FB0A34" w:rsidRDefault="00857369" w:rsidP="00FB0A34">
      <w:pPr>
        <w:spacing w:line="360" w:lineRule="auto"/>
        <w:jc w:val="both"/>
        <w:rPr>
          <w:rFonts w:ascii="Arial" w:hAnsi="Arial" w:cs="Arial"/>
          <w:color w:val="000000" w:themeColor="text1"/>
        </w:rPr>
      </w:pPr>
      <w:r w:rsidRPr="00FB0A34">
        <w:rPr>
          <w:rFonts w:ascii="Arial" w:hAnsi="Arial" w:cs="Arial"/>
          <w:color w:val="000000" w:themeColor="text1"/>
        </w:rPr>
        <w:t>Strategies</w:t>
      </w:r>
      <w:r w:rsidR="009674FC" w:rsidRPr="00FB0A34">
        <w:rPr>
          <w:rFonts w:ascii="Arial" w:hAnsi="Arial" w:cs="Arial"/>
          <w:color w:val="000000" w:themeColor="text1"/>
        </w:rPr>
        <w:t xml:space="preserve"> </w:t>
      </w:r>
      <w:r w:rsidRPr="00FB0A34">
        <w:rPr>
          <w:rFonts w:ascii="Arial" w:hAnsi="Arial" w:cs="Arial"/>
          <w:color w:val="000000" w:themeColor="text1"/>
        </w:rPr>
        <w:t>include prioriti</w:t>
      </w:r>
      <w:r w:rsidR="007401FE" w:rsidRPr="00FB0A34">
        <w:rPr>
          <w:rFonts w:ascii="Arial" w:hAnsi="Arial" w:cs="Arial"/>
          <w:color w:val="000000" w:themeColor="text1"/>
        </w:rPr>
        <w:t>s</w:t>
      </w:r>
      <w:r w:rsidRPr="00FB0A34">
        <w:rPr>
          <w:rFonts w:ascii="Arial" w:hAnsi="Arial" w:cs="Arial"/>
          <w:color w:val="000000" w:themeColor="text1"/>
        </w:rPr>
        <w:t xml:space="preserve">ing needs through care planning, focusing first on physical comfort and safety while gradually introducing activities that meet social and emotional goals. Simple communication techniques, gestures, and tone of voice can help build trust with </w:t>
      </w:r>
      <w:r w:rsidR="007D5BBB" w:rsidRPr="00FB0A34">
        <w:rPr>
          <w:rFonts w:ascii="Arial" w:hAnsi="Arial" w:cs="Arial"/>
          <w:color w:val="000000" w:themeColor="text1"/>
        </w:rPr>
        <w:t xml:space="preserve">Margaret </w:t>
      </w:r>
      <w:r w:rsidRPr="00FB0A34">
        <w:rPr>
          <w:rFonts w:ascii="Arial" w:hAnsi="Arial" w:cs="Arial"/>
          <w:color w:val="000000" w:themeColor="text1"/>
        </w:rPr>
        <w:t xml:space="preserve">who </w:t>
      </w:r>
      <w:r w:rsidR="007D5BBB" w:rsidRPr="00FB0A34">
        <w:rPr>
          <w:rFonts w:ascii="Arial" w:hAnsi="Arial" w:cs="Arial"/>
          <w:color w:val="000000" w:themeColor="text1"/>
        </w:rPr>
        <w:t xml:space="preserve">may have </w:t>
      </w:r>
      <w:r w:rsidRPr="00FB0A34">
        <w:rPr>
          <w:rFonts w:ascii="Arial" w:hAnsi="Arial" w:cs="Arial"/>
          <w:color w:val="000000" w:themeColor="text1"/>
        </w:rPr>
        <w:t xml:space="preserve">difficulty expressing </w:t>
      </w:r>
      <w:r w:rsidR="007D5BBB" w:rsidRPr="00FB0A34">
        <w:rPr>
          <w:rFonts w:ascii="Arial" w:hAnsi="Arial" w:cs="Arial"/>
          <w:color w:val="000000" w:themeColor="text1"/>
        </w:rPr>
        <w:t>herself ve</w:t>
      </w:r>
      <w:r w:rsidRPr="00FB0A34">
        <w:rPr>
          <w:rFonts w:ascii="Arial" w:hAnsi="Arial" w:cs="Arial"/>
          <w:color w:val="000000" w:themeColor="text1"/>
        </w:rPr>
        <w:t>rbally.</w:t>
      </w:r>
      <w:r w:rsidR="009674FC" w:rsidRPr="00FB0A34">
        <w:rPr>
          <w:rFonts w:ascii="Arial" w:hAnsi="Arial" w:cs="Arial"/>
          <w:color w:val="000000" w:themeColor="text1"/>
        </w:rPr>
        <w:t xml:space="preserve"> </w:t>
      </w:r>
      <w:r w:rsidRPr="00FB0A34">
        <w:rPr>
          <w:rFonts w:ascii="Arial" w:hAnsi="Arial" w:cs="Arial"/>
          <w:color w:val="000000" w:themeColor="text1"/>
        </w:rPr>
        <w:t>Support</w:t>
      </w:r>
      <w:r w:rsidR="009674FC" w:rsidRPr="00FB0A34">
        <w:rPr>
          <w:rFonts w:ascii="Arial" w:hAnsi="Arial" w:cs="Arial"/>
          <w:color w:val="000000" w:themeColor="text1"/>
        </w:rPr>
        <w:t xml:space="preserve"> </w:t>
      </w:r>
      <w:r w:rsidRPr="00FB0A34">
        <w:rPr>
          <w:rFonts w:ascii="Arial" w:hAnsi="Arial" w:cs="Arial"/>
          <w:color w:val="000000" w:themeColor="text1"/>
        </w:rPr>
        <w:t xml:space="preserve">Workers can also plan short, meaningful interactions throughout the day-for example, giving </w:t>
      </w:r>
      <w:r w:rsidR="007D5BBB" w:rsidRPr="00FB0A34">
        <w:rPr>
          <w:rFonts w:ascii="Arial" w:hAnsi="Arial" w:cs="Arial"/>
          <w:color w:val="000000" w:themeColor="text1"/>
        </w:rPr>
        <w:t xml:space="preserve">her </w:t>
      </w:r>
      <w:r w:rsidRPr="00FB0A34">
        <w:rPr>
          <w:rFonts w:ascii="Arial" w:hAnsi="Arial" w:cs="Arial"/>
          <w:color w:val="000000" w:themeColor="text1"/>
        </w:rPr>
        <w:t xml:space="preserve">a compliment, telling a joke, or sitting quietly with </w:t>
      </w:r>
      <w:r w:rsidR="007D5BBB" w:rsidRPr="00FB0A34">
        <w:rPr>
          <w:rFonts w:ascii="Arial" w:hAnsi="Arial" w:cs="Arial"/>
          <w:color w:val="000000" w:themeColor="text1"/>
        </w:rPr>
        <w:t xml:space="preserve">her </w:t>
      </w:r>
      <w:r w:rsidRPr="00FB0A34">
        <w:rPr>
          <w:rFonts w:ascii="Arial" w:hAnsi="Arial" w:cs="Arial"/>
          <w:color w:val="000000" w:themeColor="text1"/>
        </w:rPr>
        <w:t>which can be used to meet the needs of belonging and esteem even on busy shifts. Regular teamwork meetings ensure that staff share responsibility for emotional support, while reflective practice and supervision help manage stress and maintain compassion</w:t>
      </w:r>
      <w:r w:rsidR="00DA38DA" w:rsidRPr="00FB0A34">
        <w:rPr>
          <w:rFonts w:ascii="Arial" w:hAnsi="Arial" w:cs="Arial"/>
          <w:color w:val="000000" w:themeColor="text1"/>
        </w:rPr>
        <w:t xml:space="preserve"> (Erdoğan and Mersin, 2025)</w:t>
      </w:r>
      <w:r w:rsidRPr="00FB0A34">
        <w:rPr>
          <w:rFonts w:ascii="Arial" w:hAnsi="Arial" w:cs="Arial"/>
          <w:color w:val="000000" w:themeColor="text1"/>
        </w:rPr>
        <w:t xml:space="preserve">. </w:t>
      </w:r>
    </w:p>
    <w:p w14:paraId="4C5F0916" w14:textId="0617D75C" w:rsidR="00857369" w:rsidRPr="00FB0A34" w:rsidRDefault="00857369" w:rsidP="00FB0A34">
      <w:pPr>
        <w:spacing w:line="360" w:lineRule="auto"/>
        <w:jc w:val="both"/>
        <w:rPr>
          <w:rFonts w:ascii="Arial" w:hAnsi="Arial" w:cs="Arial"/>
          <w:color w:val="000000" w:themeColor="text1"/>
        </w:rPr>
      </w:pPr>
      <w:r w:rsidRPr="00FB0A34">
        <w:rPr>
          <w:rFonts w:ascii="Arial" w:hAnsi="Arial" w:cs="Arial"/>
          <w:color w:val="000000" w:themeColor="text1"/>
        </w:rPr>
        <w:t>By combining both theories, the Support Workers are able to provide care that delicately balances empathy, respect, and motivation</w:t>
      </w:r>
      <w:r w:rsidR="007D5BBB" w:rsidRPr="00FB0A34">
        <w:rPr>
          <w:rFonts w:ascii="Arial" w:hAnsi="Arial" w:cs="Arial"/>
          <w:color w:val="000000" w:themeColor="text1"/>
        </w:rPr>
        <w:t xml:space="preserve"> to Margaret</w:t>
      </w:r>
      <w:r w:rsidRPr="00FB0A34">
        <w:rPr>
          <w:rFonts w:ascii="Arial" w:hAnsi="Arial" w:cs="Arial"/>
          <w:color w:val="000000" w:themeColor="text1"/>
        </w:rPr>
        <w:t>. The disengagement theory informs the understanding of natural withdrawal, while Maslow's hierarchy ensures essential and emotional needs are met at the same time.</w:t>
      </w:r>
      <w:r w:rsidR="009674FC" w:rsidRPr="00FB0A34">
        <w:rPr>
          <w:rFonts w:ascii="Arial" w:hAnsi="Arial" w:cs="Arial"/>
          <w:color w:val="000000" w:themeColor="text1"/>
        </w:rPr>
        <w:t xml:space="preserve"> </w:t>
      </w:r>
      <w:r w:rsidRPr="00FB0A34">
        <w:rPr>
          <w:rFonts w:ascii="Arial" w:hAnsi="Arial" w:cs="Arial"/>
          <w:color w:val="000000" w:themeColor="text1"/>
        </w:rPr>
        <w:t>In</w:t>
      </w:r>
      <w:r w:rsidR="009674FC" w:rsidRPr="00FB0A34">
        <w:rPr>
          <w:rFonts w:ascii="Arial" w:hAnsi="Arial" w:cs="Arial"/>
          <w:color w:val="000000" w:themeColor="text1"/>
        </w:rPr>
        <w:t xml:space="preserve"> </w:t>
      </w:r>
      <w:r w:rsidRPr="00FB0A34">
        <w:rPr>
          <w:rFonts w:ascii="Arial" w:hAnsi="Arial" w:cs="Arial"/>
          <w:color w:val="000000" w:themeColor="text1"/>
        </w:rPr>
        <w:t xml:space="preserve">cases where </w:t>
      </w:r>
      <w:r w:rsidR="00692721" w:rsidRPr="00FB0A34">
        <w:rPr>
          <w:rFonts w:ascii="Arial" w:hAnsi="Arial" w:cs="Arial"/>
          <w:color w:val="000000" w:themeColor="text1"/>
        </w:rPr>
        <w:t xml:space="preserve">she </w:t>
      </w:r>
      <w:r w:rsidRPr="00FB0A34">
        <w:rPr>
          <w:rFonts w:ascii="Arial" w:hAnsi="Arial" w:cs="Arial"/>
          <w:color w:val="000000" w:themeColor="text1"/>
        </w:rPr>
        <w:t>prefers solitude</w:t>
      </w:r>
      <w:r w:rsidR="00692721" w:rsidRPr="00FB0A34">
        <w:rPr>
          <w:rFonts w:ascii="Arial" w:hAnsi="Arial" w:cs="Arial"/>
          <w:color w:val="000000" w:themeColor="text1"/>
        </w:rPr>
        <w:t xml:space="preserve"> </w:t>
      </w:r>
      <w:r w:rsidRPr="00FB0A34">
        <w:rPr>
          <w:rFonts w:ascii="Arial" w:hAnsi="Arial" w:cs="Arial"/>
          <w:color w:val="000000" w:themeColor="text1"/>
        </w:rPr>
        <w:t xml:space="preserve">the Support Worker can still attend to the physiological and safety needs of </w:t>
      </w:r>
      <w:r w:rsidR="00692721" w:rsidRPr="00FB0A34">
        <w:rPr>
          <w:rFonts w:ascii="Arial" w:hAnsi="Arial" w:cs="Arial"/>
          <w:color w:val="000000" w:themeColor="text1"/>
        </w:rPr>
        <w:t xml:space="preserve">her </w:t>
      </w:r>
      <w:r w:rsidRPr="00FB0A34">
        <w:rPr>
          <w:rFonts w:ascii="Arial" w:hAnsi="Arial" w:cs="Arial"/>
          <w:color w:val="000000" w:themeColor="text1"/>
        </w:rPr>
        <w:t xml:space="preserve">while giving gentle reassurance and occasionally positive engagement. This will protect the dignity, independence, and comfort </w:t>
      </w:r>
      <w:r w:rsidR="00692721" w:rsidRPr="00FB0A34">
        <w:rPr>
          <w:rFonts w:ascii="Arial" w:hAnsi="Arial" w:cs="Arial"/>
          <w:color w:val="000000" w:themeColor="text1"/>
        </w:rPr>
        <w:t xml:space="preserve">to her </w:t>
      </w:r>
      <w:r w:rsidRPr="00FB0A34">
        <w:rPr>
          <w:rFonts w:ascii="Arial" w:hAnsi="Arial" w:cs="Arial"/>
          <w:color w:val="000000" w:themeColor="text1"/>
        </w:rPr>
        <w:t>by upholding the values of person-centred dementia care.</w:t>
      </w:r>
    </w:p>
    <w:p w14:paraId="5D3A6A62" w14:textId="77777777" w:rsidR="00E91291" w:rsidRPr="00FB0A34" w:rsidRDefault="00E91291" w:rsidP="00FB0A34">
      <w:pPr>
        <w:pStyle w:val="Heading1"/>
      </w:pPr>
      <w:bookmarkStart w:id="4" w:name="_Toc213404658"/>
      <w:r w:rsidRPr="00FB0A34">
        <w:t>Cultural competence</w:t>
      </w:r>
    </w:p>
    <w:p w14:paraId="72CE3891" w14:textId="54A13A6D" w:rsidR="0054061B" w:rsidRPr="00FB0A34" w:rsidRDefault="0054061B" w:rsidP="00FB0A34">
      <w:pPr>
        <w:spacing w:line="360" w:lineRule="auto"/>
        <w:jc w:val="both"/>
        <w:rPr>
          <w:rFonts w:ascii="Arial" w:hAnsi="Arial" w:cs="Arial"/>
          <w:color w:val="000000" w:themeColor="text1"/>
        </w:rPr>
      </w:pPr>
      <w:r w:rsidRPr="00FB0A34">
        <w:rPr>
          <w:rFonts w:ascii="Arial" w:hAnsi="Arial" w:cs="Arial"/>
          <w:color w:val="000000" w:themeColor="text1"/>
        </w:rPr>
        <w:t>Culturally competent care is an important component of supporting Margaret's well-being. As a woman from the North of England, steeped in traditions like afternoon tea, hymns, and family visits on Sundays, her cultural background stirs into place her sense of comfort and familiarity. A culturally sensitive approach means that staff recogni</w:t>
      </w:r>
      <w:r w:rsidR="001A2274">
        <w:rPr>
          <w:rFonts w:ascii="Arial" w:hAnsi="Arial" w:cs="Arial"/>
          <w:color w:val="000000" w:themeColor="text1"/>
        </w:rPr>
        <w:t>s</w:t>
      </w:r>
      <w:r w:rsidRPr="00FB0A34">
        <w:rPr>
          <w:rFonts w:ascii="Arial" w:hAnsi="Arial" w:cs="Arial"/>
          <w:color w:val="000000" w:themeColor="text1"/>
        </w:rPr>
        <w:t>e these preferences and incorporate them into her daily routine. This might include providing foodstuffs she is accustomed to, playing music from her early years during reminiscence sessions, or simply acknowledging the emotional importance of family for her</w:t>
      </w:r>
      <w:r w:rsidR="00CF6902" w:rsidRPr="00FB0A34">
        <w:rPr>
          <w:rFonts w:ascii="Arial" w:hAnsi="Arial" w:cs="Arial"/>
          <w:color w:val="000000" w:themeColor="text1"/>
        </w:rPr>
        <w:t xml:space="preserve"> (Carroll et al., 2025)</w:t>
      </w:r>
      <w:r w:rsidRPr="00FB0A34">
        <w:rPr>
          <w:rFonts w:ascii="Arial" w:hAnsi="Arial" w:cs="Arial"/>
          <w:color w:val="000000" w:themeColor="text1"/>
        </w:rPr>
        <w:t>. Cultural competence encompasses asking questions openly about preference, rather than making assumptions, and documenting all cultural practices and routines clearly in her care plan.</w:t>
      </w:r>
    </w:p>
    <w:p w14:paraId="4328B2AD" w14:textId="6074903C" w:rsidR="002C759A" w:rsidRPr="00FB0A34" w:rsidRDefault="002C759A" w:rsidP="00FB0A34">
      <w:pPr>
        <w:pStyle w:val="Heading1"/>
      </w:pPr>
      <w:r w:rsidRPr="00FB0A34">
        <w:lastRenderedPageBreak/>
        <w:t>Conclusion</w:t>
      </w:r>
      <w:bookmarkEnd w:id="4"/>
    </w:p>
    <w:p w14:paraId="3F01E6FC" w14:textId="2E358E3B" w:rsidR="007964DC" w:rsidRPr="00FB0A34" w:rsidRDefault="00FD36F7" w:rsidP="00FB0A34">
      <w:pPr>
        <w:spacing w:line="360" w:lineRule="auto"/>
        <w:jc w:val="both"/>
        <w:rPr>
          <w:rFonts w:ascii="Arial" w:hAnsi="Arial" w:cs="Arial"/>
          <w:color w:val="000000" w:themeColor="text1"/>
        </w:rPr>
      </w:pPr>
      <w:r w:rsidRPr="00FB0A34">
        <w:rPr>
          <w:rFonts w:ascii="Arial" w:hAnsi="Arial" w:cs="Arial"/>
          <w:color w:val="000000" w:themeColor="text1"/>
        </w:rPr>
        <w:t>Psychological theories can help provide insight into how older adults experience ageing and illness. Utili</w:t>
      </w:r>
      <w:r w:rsidR="00A17958" w:rsidRPr="00FB0A34">
        <w:rPr>
          <w:rFonts w:ascii="Arial" w:hAnsi="Arial" w:cs="Arial"/>
          <w:color w:val="000000" w:themeColor="text1"/>
        </w:rPr>
        <w:t>s</w:t>
      </w:r>
      <w:r w:rsidRPr="00FB0A34">
        <w:rPr>
          <w:rFonts w:ascii="Arial" w:hAnsi="Arial" w:cs="Arial"/>
          <w:color w:val="000000" w:themeColor="text1"/>
        </w:rPr>
        <w:t>ing Disengagement Theory in practice will help the Dementia Support Worker to recogni</w:t>
      </w:r>
      <w:r w:rsidR="00A17958" w:rsidRPr="00FB0A34">
        <w:rPr>
          <w:rFonts w:ascii="Arial" w:hAnsi="Arial" w:cs="Arial"/>
          <w:color w:val="000000" w:themeColor="text1"/>
        </w:rPr>
        <w:t>s</w:t>
      </w:r>
      <w:r w:rsidRPr="00FB0A34">
        <w:rPr>
          <w:rFonts w:ascii="Arial" w:hAnsi="Arial" w:cs="Arial"/>
          <w:color w:val="000000" w:themeColor="text1"/>
        </w:rPr>
        <w:t xml:space="preserve">e that it is a natural response for </w:t>
      </w:r>
      <w:r w:rsidR="00692721" w:rsidRPr="00FB0A34">
        <w:rPr>
          <w:rFonts w:ascii="Arial" w:hAnsi="Arial" w:cs="Arial"/>
          <w:color w:val="000000" w:themeColor="text1"/>
        </w:rPr>
        <w:t xml:space="preserve">Margaret </w:t>
      </w:r>
      <w:r w:rsidRPr="00FB0A34">
        <w:rPr>
          <w:rFonts w:ascii="Arial" w:hAnsi="Arial" w:cs="Arial"/>
          <w:color w:val="000000" w:themeColor="text1"/>
        </w:rPr>
        <w:t>when ageing to reduce involvement in social activities, thus enabling staff to respect autonomy while preventing isolation.</w:t>
      </w:r>
      <w:r w:rsidR="00A17958" w:rsidRPr="00FB0A34">
        <w:rPr>
          <w:rFonts w:ascii="Arial" w:hAnsi="Arial" w:cs="Arial"/>
          <w:color w:val="000000" w:themeColor="text1"/>
        </w:rPr>
        <w:t xml:space="preserve"> </w:t>
      </w:r>
      <w:r w:rsidRPr="00FB0A34">
        <w:rPr>
          <w:rFonts w:ascii="Arial" w:hAnsi="Arial" w:cs="Arial"/>
          <w:color w:val="000000" w:themeColor="text1"/>
        </w:rPr>
        <w:t>Maslow's Hierarchy of Needs provides a helpful guide to ensure that all needs around physical, emotional, and psychological well-being are considered in a caring and structured manner.</w:t>
      </w:r>
      <w:r w:rsidRPr="00FB0A34">
        <w:rPr>
          <w:rFonts w:ascii="Arial" w:hAnsi="Arial" w:cs="Arial"/>
          <w:color w:val="000000" w:themeColor="text1"/>
        </w:rPr>
        <w:br/>
        <w:t xml:space="preserve">By applying these theories to daily work, Support Workers facilitate </w:t>
      </w:r>
      <w:r w:rsidR="00692721" w:rsidRPr="00FB0A34">
        <w:rPr>
          <w:rFonts w:ascii="Arial" w:hAnsi="Arial" w:cs="Arial"/>
          <w:color w:val="000000" w:themeColor="text1"/>
        </w:rPr>
        <w:t xml:space="preserve">her </w:t>
      </w:r>
      <w:r w:rsidRPr="00FB0A34">
        <w:rPr>
          <w:rFonts w:ascii="Arial" w:hAnsi="Arial" w:cs="Arial"/>
          <w:color w:val="000000" w:themeColor="text1"/>
        </w:rPr>
        <w:t>not just safety and comfort but also a feeling of belonging, self-worth, and meaning</w:t>
      </w:r>
      <w:r w:rsidR="00692721" w:rsidRPr="00FB0A34">
        <w:rPr>
          <w:rFonts w:ascii="Arial" w:hAnsi="Arial" w:cs="Arial"/>
          <w:color w:val="000000" w:themeColor="text1"/>
        </w:rPr>
        <w:t xml:space="preserve"> in her</w:t>
      </w:r>
      <w:r w:rsidRPr="00FB0A34">
        <w:rPr>
          <w:rFonts w:ascii="Arial" w:hAnsi="Arial" w:cs="Arial"/>
          <w:color w:val="000000" w:themeColor="text1"/>
        </w:rPr>
        <w:t>. Such integration of psychological understanding with empathetic care serves to bring about quality of life and preserve dignity in later life</w:t>
      </w:r>
      <w:r w:rsidR="00FB0A34">
        <w:rPr>
          <w:rFonts w:ascii="Arial" w:hAnsi="Arial" w:cs="Arial"/>
          <w:color w:val="000000" w:themeColor="text1"/>
        </w:rPr>
        <w:t>.</w:t>
      </w:r>
    </w:p>
    <w:p w14:paraId="5AFA4BB0" w14:textId="77777777" w:rsidR="007964DC" w:rsidRPr="00FB0A34" w:rsidRDefault="007964DC" w:rsidP="00FB0A34">
      <w:pPr>
        <w:spacing w:line="360" w:lineRule="auto"/>
        <w:jc w:val="both"/>
        <w:rPr>
          <w:rFonts w:ascii="Arial" w:hAnsi="Arial" w:cs="Arial"/>
          <w:color w:val="000000" w:themeColor="text1"/>
        </w:rPr>
      </w:pPr>
    </w:p>
    <w:p w14:paraId="0CAAF82E" w14:textId="4448FC3F" w:rsidR="002C759A" w:rsidRPr="00FB0A34" w:rsidRDefault="002C759A" w:rsidP="00FB0A34">
      <w:pPr>
        <w:pStyle w:val="Heading1"/>
      </w:pPr>
      <w:bookmarkStart w:id="5" w:name="_Toc213404659"/>
      <w:r w:rsidRPr="00FB0A34">
        <w:t>References</w:t>
      </w:r>
      <w:bookmarkEnd w:id="5"/>
    </w:p>
    <w:p w14:paraId="4729157A" w14:textId="434E09E9" w:rsidR="002C759A" w:rsidRPr="00FB0A34" w:rsidRDefault="001A5F8D" w:rsidP="00FB0A34">
      <w:pPr>
        <w:spacing w:line="360" w:lineRule="auto"/>
        <w:jc w:val="both"/>
        <w:rPr>
          <w:rFonts w:ascii="Arial" w:hAnsi="Arial" w:cs="Arial"/>
          <w:color w:val="000000" w:themeColor="text1"/>
        </w:rPr>
      </w:pPr>
      <w:r w:rsidRPr="00FB0A34">
        <w:rPr>
          <w:rFonts w:ascii="Arial" w:hAnsi="Arial" w:cs="Arial"/>
          <w:color w:val="000000" w:themeColor="text1"/>
        </w:rPr>
        <w:t>Bottomley, J.M. and Lewis, C.B., 2024. Describing Psychosocial Aspects of Aging. In A Clinical Approach to Geriatric Rehabilitation (pp. 52-72). Routledge.</w:t>
      </w:r>
    </w:p>
    <w:p w14:paraId="386EC785" w14:textId="48B21FFC" w:rsidR="00494C1A" w:rsidRPr="00FB0A34" w:rsidRDefault="00494C1A" w:rsidP="00FB0A34">
      <w:pPr>
        <w:spacing w:line="360" w:lineRule="auto"/>
        <w:jc w:val="both"/>
        <w:rPr>
          <w:rFonts w:ascii="Arial" w:hAnsi="Arial" w:cs="Arial"/>
          <w:color w:val="000000" w:themeColor="text1"/>
        </w:rPr>
      </w:pPr>
      <w:r w:rsidRPr="00FB0A34">
        <w:rPr>
          <w:rFonts w:ascii="Arial" w:hAnsi="Arial" w:cs="Arial"/>
          <w:color w:val="000000" w:themeColor="text1"/>
        </w:rPr>
        <w:t>Ragini, K. and Salwan, M.K., 2022. Disengagement theory [online]</w:t>
      </w:r>
    </w:p>
    <w:p w14:paraId="57230450" w14:textId="7F5B8EF0" w:rsidR="00CF6B2D" w:rsidRPr="00FB0A34" w:rsidRDefault="00CF6B2D" w:rsidP="00FB0A34">
      <w:pPr>
        <w:spacing w:line="360" w:lineRule="auto"/>
        <w:jc w:val="both"/>
        <w:rPr>
          <w:rFonts w:ascii="Arial" w:hAnsi="Arial" w:cs="Arial"/>
          <w:color w:val="000000" w:themeColor="text1"/>
        </w:rPr>
      </w:pPr>
      <w:r w:rsidRPr="00FB0A34">
        <w:rPr>
          <w:rFonts w:ascii="Arial" w:hAnsi="Arial" w:cs="Arial"/>
          <w:color w:val="000000" w:themeColor="text1"/>
        </w:rPr>
        <w:t>Zhang, X. and Lin, H., 2022. Disengagement theory. In </w:t>
      </w:r>
      <w:proofErr w:type="spellStart"/>
      <w:r w:rsidRPr="00FB0A34">
        <w:rPr>
          <w:rFonts w:ascii="Arial" w:hAnsi="Arial" w:cs="Arial"/>
          <w:color w:val="000000" w:themeColor="text1"/>
        </w:rPr>
        <w:t>Encyclopedia</w:t>
      </w:r>
      <w:proofErr w:type="spellEnd"/>
      <w:r w:rsidRPr="00FB0A34">
        <w:rPr>
          <w:rFonts w:ascii="Arial" w:hAnsi="Arial" w:cs="Arial"/>
          <w:color w:val="000000" w:themeColor="text1"/>
        </w:rPr>
        <w:t xml:space="preserve"> of gerontology and population aging (pp. 1471-1476). Cham: Springer International Publishing.</w:t>
      </w:r>
    </w:p>
    <w:p w14:paraId="648AD70D" w14:textId="1470D7CE" w:rsidR="00C226CE" w:rsidRPr="00FB0A34" w:rsidRDefault="00C226CE" w:rsidP="00FB0A34">
      <w:pPr>
        <w:spacing w:line="360" w:lineRule="auto"/>
        <w:jc w:val="both"/>
        <w:rPr>
          <w:rFonts w:ascii="Arial" w:hAnsi="Arial" w:cs="Arial"/>
          <w:color w:val="000000" w:themeColor="text1"/>
        </w:rPr>
      </w:pPr>
      <w:r w:rsidRPr="00FB0A34">
        <w:rPr>
          <w:rFonts w:ascii="Arial" w:hAnsi="Arial" w:cs="Arial"/>
          <w:color w:val="000000" w:themeColor="text1"/>
        </w:rPr>
        <w:t>Yuan, R., Luo, C., Liu, Q., Li, X. and He, Y., 2025. Exploring the needs of older adults for social assistive robots: A qualitative analysis based on Maslow's hierarchy of needs. Geriatric Nursing, 66, p.103616.</w:t>
      </w:r>
    </w:p>
    <w:p w14:paraId="34B074D8" w14:textId="2F3C9D4A" w:rsidR="002A75ED" w:rsidRPr="00FB0A34" w:rsidRDefault="002A75ED" w:rsidP="00FB0A34">
      <w:pPr>
        <w:spacing w:line="360" w:lineRule="auto"/>
        <w:jc w:val="both"/>
        <w:rPr>
          <w:rFonts w:ascii="Arial" w:hAnsi="Arial" w:cs="Arial"/>
          <w:color w:val="000000" w:themeColor="text1"/>
        </w:rPr>
      </w:pPr>
      <w:r w:rsidRPr="00FB0A34">
        <w:rPr>
          <w:rFonts w:ascii="Arial" w:hAnsi="Arial" w:cs="Arial"/>
          <w:color w:val="000000" w:themeColor="text1"/>
        </w:rPr>
        <w:t>Carroll, A., Collins, C. and McKenzie, J., 2025. Physician wellbeing in a national rehabilitation hospital, a qualitative study utilizing Maslow’s hierarchy of needs as a framework for analysis. BMC Health Services Research, 25(1), p.175.</w:t>
      </w:r>
    </w:p>
    <w:p w14:paraId="37A91933" w14:textId="77777777" w:rsidR="00784B15" w:rsidRPr="00FB0A34" w:rsidRDefault="00784B15" w:rsidP="00FB0A34">
      <w:pPr>
        <w:spacing w:line="360" w:lineRule="auto"/>
        <w:jc w:val="both"/>
        <w:rPr>
          <w:rFonts w:ascii="Arial" w:hAnsi="Arial" w:cs="Arial"/>
          <w:color w:val="000000" w:themeColor="text1"/>
        </w:rPr>
      </w:pPr>
      <w:r w:rsidRPr="00FB0A34">
        <w:rPr>
          <w:rFonts w:ascii="Arial" w:hAnsi="Arial" w:cs="Arial"/>
          <w:color w:val="000000" w:themeColor="text1"/>
        </w:rPr>
        <w:t>de Paula Couto, M.C. and Rothermund, K., 2022. Prescriptive views of aging: Disengagement, activation, wisdom, and dignity as normative expectations for older people. In Subjective views of aging: Theory, research, and practice (pp. 59-75). Cham: Springer International Publishing.</w:t>
      </w:r>
    </w:p>
    <w:p w14:paraId="464C9F69" w14:textId="033587D8" w:rsidR="009677CA" w:rsidRPr="00FB0A34" w:rsidRDefault="009677CA" w:rsidP="00FB0A34">
      <w:pPr>
        <w:spacing w:line="360" w:lineRule="auto"/>
        <w:jc w:val="both"/>
        <w:rPr>
          <w:rFonts w:ascii="Arial" w:hAnsi="Arial" w:cs="Arial"/>
          <w:color w:val="000000" w:themeColor="text1"/>
        </w:rPr>
      </w:pPr>
      <w:r w:rsidRPr="00FB0A34">
        <w:rPr>
          <w:rFonts w:ascii="Arial" w:hAnsi="Arial" w:cs="Arial"/>
          <w:color w:val="000000" w:themeColor="text1"/>
        </w:rPr>
        <w:t>Gonot-Schoupinsky, F., Garip, G. and Sheffield, D., 2022. The engage-disengage model as an inclusive model for the promotion of healthy and successful aging in the oldest-old. Activities, Adaptation &amp; Aging, 46(2), pp.159-181.</w:t>
      </w:r>
    </w:p>
    <w:p w14:paraId="4F071DC9" w14:textId="67CFAFA4" w:rsidR="001F33B4" w:rsidRPr="00FB0A34" w:rsidRDefault="001F33B4" w:rsidP="00FB0A34">
      <w:pPr>
        <w:spacing w:line="360" w:lineRule="auto"/>
        <w:jc w:val="both"/>
        <w:rPr>
          <w:rFonts w:ascii="Arial" w:hAnsi="Arial" w:cs="Arial"/>
          <w:color w:val="000000" w:themeColor="text1"/>
        </w:rPr>
      </w:pPr>
      <w:r w:rsidRPr="00FB0A34">
        <w:rPr>
          <w:rFonts w:ascii="Arial" w:hAnsi="Arial" w:cs="Arial"/>
          <w:color w:val="000000" w:themeColor="text1"/>
        </w:rPr>
        <w:lastRenderedPageBreak/>
        <w:t xml:space="preserve">Menassa, M., </w:t>
      </w:r>
      <w:proofErr w:type="spellStart"/>
      <w:r w:rsidRPr="00FB0A34">
        <w:rPr>
          <w:rFonts w:ascii="Arial" w:hAnsi="Arial" w:cs="Arial"/>
          <w:color w:val="000000" w:themeColor="text1"/>
        </w:rPr>
        <w:t>Stronks</w:t>
      </w:r>
      <w:proofErr w:type="spellEnd"/>
      <w:r w:rsidRPr="00FB0A34">
        <w:rPr>
          <w:rFonts w:ascii="Arial" w:hAnsi="Arial" w:cs="Arial"/>
          <w:color w:val="000000" w:themeColor="text1"/>
        </w:rPr>
        <w:t xml:space="preserve">, K., Khatami, F., Díaz, Z.M.R., Espinola, O.P., </w:t>
      </w:r>
      <w:proofErr w:type="spellStart"/>
      <w:r w:rsidRPr="00FB0A34">
        <w:rPr>
          <w:rFonts w:ascii="Arial" w:hAnsi="Arial" w:cs="Arial"/>
          <w:color w:val="000000" w:themeColor="text1"/>
        </w:rPr>
        <w:t>Gamba</w:t>
      </w:r>
      <w:proofErr w:type="spellEnd"/>
      <w:r w:rsidRPr="00FB0A34">
        <w:rPr>
          <w:rFonts w:ascii="Arial" w:hAnsi="Arial" w:cs="Arial"/>
          <w:color w:val="000000" w:themeColor="text1"/>
        </w:rPr>
        <w:t xml:space="preserve">, M., </w:t>
      </w:r>
      <w:proofErr w:type="spellStart"/>
      <w:r w:rsidRPr="00FB0A34">
        <w:rPr>
          <w:rFonts w:ascii="Arial" w:hAnsi="Arial" w:cs="Arial"/>
          <w:color w:val="000000" w:themeColor="text1"/>
        </w:rPr>
        <w:t>Itodo</w:t>
      </w:r>
      <w:proofErr w:type="spellEnd"/>
      <w:r w:rsidRPr="00FB0A34">
        <w:rPr>
          <w:rFonts w:ascii="Arial" w:hAnsi="Arial" w:cs="Arial"/>
          <w:color w:val="000000" w:themeColor="text1"/>
        </w:rPr>
        <w:t xml:space="preserve">, O.A., </w:t>
      </w:r>
      <w:proofErr w:type="spellStart"/>
      <w:r w:rsidRPr="00FB0A34">
        <w:rPr>
          <w:rFonts w:ascii="Arial" w:hAnsi="Arial" w:cs="Arial"/>
          <w:color w:val="000000" w:themeColor="text1"/>
        </w:rPr>
        <w:t>Buttia</w:t>
      </w:r>
      <w:proofErr w:type="spellEnd"/>
      <w:r w:rsidRPr="00FB0A34">
        <w:rPr>
          <w:rFonts w:ascii="Arial" w:hAnsi="Arial" w:cs="Arial"/>
          <w:color w:val="000000" w:themeColor="text1"/>
        </w:rPr>
        <w:t>, C., Wehrli, F., Minder, B. and Velarde, M.R., 2023. Concepts and definitions of healthy ageing: a systematic review and synthesis of theoretical models. </w:t>
      </w:r>
      <w:proofErr w:type="spellStart"/>
      <w:r w:rsidRPr="00FB0A34">
        <w:rPr>
          <w:rFonts w:ascii="Arial" w:hAnsi="Arial" w:cs="Arial"/>
          <w:color w:val="000000" w:themeColor="text1"/>
        </w:rPr>
        <w:t>EClinicalMedicine</w:t>
      </w:r>
      <w:proofErr w:type="spellEnd"/>
      <w:r w:rsidRPr="00FB0A34">
        <w:rPr>
          <w:rFonts w:ascii="Arial" w:hAnsi="Arial" w:cs="Arial"/>
          <w:color w:val="000000" w:themeColor="text1"/>
        </w:rPr>
        <w:t>, 56.</w:t>
      </w:r>
    </w:p>
    <w:p w14:paraId="679DE336" w14:textId="720C0DB0" w:rsidR="00916956" w:rsidRPr="00FB0A34" w:rsidRDefault="00916956" w:rsidP="00FB0A34">
      <w:pPr>
        <w:spacing w:line="360" w:lineRule="auto"/>
        <w:jc w:val="both"/>
        <w:rPr>
          <w:rFonts w:ascii="Arial" w:hAnsi="Arial" w:cs="Arial"/>
          <w:color w:val="000000" w:themeColor="text1"/>
        </w:rPr>
      </w:pPr>
      <w:r w:rsidRPr="00FB0A34">
        <w:rPr>
          <w:rFonts w:ascii="Arial" w:hAnsi="Arial" w:cs="Arial"/>
          <w:color w:val="000000" w:themeColor="text1"/>
        </w:rPr>
        <w:t>Zhang, T., Liu, Y., Wang, Y., Li, C., Yang, X., Tian, L., Wu, Y., Lin, L. and Li, H., 2022. Quality indicators for the care of older adults with disabilities in long-term care facilities based on Maslow’s hierarchy of needs. International Journal of Nursing Sciences, 9(4), pp.453-459.</w:t>
      </w:r>
    </w:p>
    <w:p w14:paraId="2BFE8631" w14:textId="20C8E962" w:rsidR="00DA38DA" w:rsidRPr="00FB0A34" w:rsidRDefault="00DA38DA" w:rsidP="00FB0A34">
      <w:pPr>
        <w:spacing w:line="360" w:lineRule="auto"/>
        <w:jc w:val="both"/>
        <w:rPr>
          <w:rFonts w:ascii="Arial" w:hAnsi="Arial" w:cs="Arial"/>
          <w:color w:val="000000" w:themeColor="text1"/>
        </w:rPr>
      </w:pPr>
      <w:r w:rsidRPr="00FB0A34">
        <w:rPr>
          <w:rFonts w:ascii="Arial" w:hAnsi="Arial" w:cs="Arial"/>
          <w:color w:val="000000" w:themeColor="text1"/>
        </w:rPr>
        <w:t xml:space="preserve">Erdoğan, E.G. and Mersin, S., 2025. The relationship between the level of satisfaction of </w:t>
      </w:r>
      <w:proofErr w:type="spellStart"/>
      <w:r w:rsidRPr="00FB0A34">
        <w:rPr>
          <w:rFonts w:ascii="Arial" w:hAnsi="Arial" w:cs="Arial"/>
          <w:color w:val="000000" w:themeColor="text1"/>
        </w:rPr>
        <w:t>maslow's</w:t>
      </w:r>
      <w:proofErr w:type="spellEnd"/>
      <w:r w:rsidRPr="00FB0A34">
        <w:rPr>
          <w:rFonts w:ascii="Arial" w:hAnsi="Arial" w:cs="Arial"/>
          <w:color w:val="000000" w:themeColor="text1"/>
        </w:rPr>
        <w:t xml:space="preserve"> hierarchy of needs and loneliness, happiness and life satisfaction in elderly individuals. Journal of Clinical Nursing.</w:t>
      </w:r>
    </w:p>
    <w:sectPr w:rsidR="00DA38DA" w:rsidRPr="00FB0A34">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592186" w14:textId="77777777" w:rsidR="00E66106" w:rsidRPr="002C759A" w:rsidRDefault="00E66106" w:rsidP="00991F75">
      <w:pPr>
        <w:spacing w:after="0" w:line="240" w:lineRule="auto"/>
      </w:pPr>
      <w:r w:rsidRPr="002C759A">
        <w:separator/>
      </w:r>
    </w:p>
  </w:endnote>
  <w:endnote w:type="continuationSeparator" w:id="0">
    <w:p w14:paraId="4D38F9AF" w14:textId="77777777" w:rsidR="00E66106" w:rsidRPr="002C759A" w:rsidRDefault="00E66106" w:rsidP="00991F75">
      <w:pPr>
        <w:spacing w:after="0" w:line="240" w:lineRule="auto"/>
      </w:pPr>
      <w:r w:rsidRPr="002C759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1196209"/>
      <w:docPartObj>
        <w:docPartGallery w:val="Page Numbers (Bottom of Page)"/>
        <w:docPartUnique/>
      </w:docPartObj>
    </w:sdtPr>
    <w:sdtEndPr/>
    <w:sdtContent>
      <w:p w14:paraId="2C0BB3EB" w14:textId="5FDE2A06" w:rsidR="00991F75" w:rsidRPr="002C759A" w:rsidRDefault="00991F75">
        <w:pPr>
          <w:pStyle w:val="Footer"/>
          <w:jc w:val="center"/>
        </w:pPr>
        <w:r w:rsidRPr="002C759A">
          <w:fldChar w:fldCharType="begin"/>
        </w:r>
        <w:r w:rsidRPr="002C759A">
          <w:instrText xml:space="preserve"> PAGE   \* MERGEFORMAT </w:instrText>
        </w:r>
        <w:r w:rsidRPr="002C759A">
          <w:fldChar w:fldCharType="separate"/>
        </w:r>
        <w:r w:rsidRPr="002C759A">
          <w:t>2</w:t>
        </w:r>
        <w:r w:rsidRPr="002C759A">
          <w:fldChar w:fldCharType="end"/>
        </w:r>
      </w:p>
    </w:sdtContent>
  </w:sdt>
  <w:p w14:paraId="41C652A5" w14:textId="77777777" w:rsidR="00991F75" w:rsidRPr="002C759A" w:rsidRDefault="00991F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8C9439" w14:textId="77777777" w:rsidR="00E66106" w:rsidRPr="002C759A" w:rsidRDefault="00E66106" w:rsidP="00991F75">
      <w:pPr>
        <w:spacing w:after="0" w:line="240" w:lineRule="auto"/>
      </w:pPr>
      <w:r w:rsidRPr="002C759A">
        <w:separator/>
      </w:r>
    </w:p>
  </w:footnote>
  <w:footnote w:type="continuationSeparator" w:id="0">
    <w:p w14:paraId="11C798FD" w14:textId="77777777" w:rsidR="00E66106" w:rsidRPr="002C759A" w:rsidRDefault="00E66106" w:rsidP="00991F75">
      <w:pPr>
        <w:spacing w:after="0" w:line="240" w:lineRule="auto"/>
      </w:pPr>
      <w:r w:rsidRPr="002C759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47C"/>
    <w:rsid w:val="00000675"/>
    <w:rsid w:val="0001550A"/>
    <w:rsid w:val="0004793E"/>
    <w:rsid w:val="000804F3"/>
    <w:rsid w:val="00086B57"/>
    <w:rsid w:val="000C42FA"/>
    <w:rsid w:val="000D24A6"/>
    <w:rsid w:val="000E248E"/>
    <w:rsid w:val="00183DD7"/>
    <w:rsid w:val="001A2274"/>
    <w:rsid w:val="001A5F8D"/>
    <w:rsid w:val="001F33B4"/>
    <w:rsid w:val="00255E8C"/>
    <w:rsid w:val="00293357"/>
    <w:rsid w:val="00293A04"/>
    <w:rsid w:val="00295BA0"/>
    <w:rsid w:val="002A75ED"/>
    <w:rsid w:val="002C759A"/>
    <w:rsid w:val="002D1209"/>
    <w:rsid w:val="0030443B"/>
    <w:rsid w:val="00313765"/>
    <w:rsid w:val="00335D59"/>
    <w:rsid w:val="00380580"/>
    <w:rsid w:val="003F510E"/>
    <w:rsid w:val="00425405"/>
    <w:rsid w:val="00443C96"/>
    <w:rsid w:val="004703B6"/>
    <w:rsid w:val="00471AB6"/>
    <w:rsid w:val="00486AFC"/>
    <w:rsid w:val="00494C1A"/>
    <w:rsid w:val="004E0D69"/>
    <w:rsid w:val="004F0EEE"/>
    <w:rsid w:val="00506EBD"/>
    <w:rsid w:val="00523126"/>
    <w:rsid w:val="0054061B"/>
    <w:rsid w:val="00570D3F"/>
    <w:rsid w:val="0057591F"/>
    <w:rsid w:val="00576C26"/>
    <w:rsid w:val="00586815"/>
    <w:rsid w:val="006058D4"/>
    <w:rsid w:val="006241A1"/>
    <w:rsid w:val="00630A7F"/>
    <w:rsid w:val="00656544"/>
    <w:rsid w:val="006567EB"/>
    <w:rsid w:val="00662017"/>
    <w:rsid w:val="006725B8"/>
    <w:rsid w:val="00684FB4"/>
    <w:rsid w:val="00692721"/>
    <w:rsid w:val="006958B3"/>
    <w:rsid w:val="006C39BA"/>
    <w:rsid w:val="006E1302"/>
    <w:rsid w:val="006E7F89"/>
    <w:rsid w:val="0072347C"/>
    <w:rsid w:val="007401FE"/>
    <w:rsid w:val="00740E6B"/>
    <w:rsid w:val="00784B15"/>
    <w:rsid w:val="007964DC"/>
    <w:rsid w:val="007C3DC5"/>
    <w:rsid w:val="007D5BBB"/>
    <w:rsid w:val="0083708F"/>
    <w:rsid w:val="00857369"/>
    <w:rsid w:val="0087158D"/>
    <w:rsid w:val="00877E01"/>
    <w:rsid w:val="00916956"/>
    <w:rsid w:val="009674FC"/>
    <w:rsid w:val="009677CA"/>
    <w:rsid w:val="009905C9"/>
    <w:rsid w:val="00991F75"/>
    <w:rsid w:val="009E4290"/>
    <w:rsid w:val="009E58CB"/>
    <w:rsid w:val="009E7599"/>
    <w:rsid w:val="009F3B5F"/>
    <w:rsid w:val="00A17958"/>
    <w:rsid w:val="00A44D9B"/>
    <w:rsid w:val="00A903DD"/>
    <w:rsid w:val="00AC2CC4"/>
    <w:rsid w:val="00AF4C2C"/>
    <w:rsid w:val="00B74A0D"/>
    <w:rsid w:val="00B85EC7"/>
    <w:rsid w:val="00BA0386"/>
    <w:rsid w:val="00C226CE"/>
    <w:rsid w:val="00C46460"/>
    <w:rsid w:val="00C700EE"/>
    <w:rsid w:val="00C97149"/>
    <w:rsid w:val="00CC472C"/>
    <w:rsid w:val="00CD1F91"/>
    <w:rsid w:val="00CF6902"/>
    <w:rsid w:val="00CF6B2D"/>
    <w:rsid w:val="00D0122F"/>
    <w:rsid w:val="00D30F1B"/>
    <w:rsid w:val="00DA38DA"/>
    <w:rsid w:val="00DD022B"/>
    <w:rsid w:val="00DF5046"/>
    <w:rsid w:val="00E11F80"/>
    <w:rsid w:val="00E25FC2"/>
    <w:rsid w:val="00E41767"/>
    <w:rsid w:val="00E62EA4"/>
    <w:rsid w:val="00E63B17"/>
    <w:rsid w:val="00E66106"/>
    <w:rsid w:val="00E91291"/>
    <w:rsid w:val="00E94F0E"/>
    <w:rsid w:val="00EE3704"/>
    <w:rsid w:val="00EF017E"/>
    <w:rsid w:val="00F269B5"/>
    <w:rsid w:val="00F530D4"/>
    <w:rsid w:val="00F819D2"/>
    <w:rsid w:val="00FB0A34"/>
    <w:rsid w:val="00FD36F7"/>
    <w:rsid w:val="00FF2D2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974FD"/>
  <w15:chartTrackingRefBased/>
  <w15:docId w15:val="{A1178380-81EB-4A92-B890-BE377245F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rsid w:val="0054061B"/>
    <w:pPr>
      <w:keepNext/>
      <w:keepLines/>
      <w:spacing w:before="360" w:after="80" w:line="360" w:lineRule="auto"/>
      <w:jc w:val="both"/>
      <w:outlineLvl w:val="0"/>
    </w:pPr>
    <w:rPr>
      <w:rFonts w:ascii="Arial" w:eastAsiaTheme="majorEastAsia" w:hAnsi="Arial" w:cs="Arial"/>
      <w:b/>
      <w:bCs/>
      <w:color w:val="000000" w:themeColor="text1"/>
    </w:rPr>
  </w:style>
  <w:style w:type="paragraph" w:styleId="Heading2">
    <w:name w:val="heading 2"/>
    <w:basedOn w:val="Normal"/>
    <w:next w:val="Normal"/>
    <w:link w:val="Heading2Char"/>
    <w:uiPriority w:val="9"/>
    <w:semiHidden/>
    <w:unhideWhenUsed/>
    <w:qFormat/>
    <w:rsid w:val="0072347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2347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2347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2347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234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34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34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34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061B"/>
    <w:rPr>
      <w:rFonts w:ascii="Arial" w:eastAsiaTheme="majorEastAsia" w:hAnsi="Arial" w:cs="Arial"/>
      <w:b/>
      <w:bCs/>
      <w:color w:val="000000" w:themeColor="text1"/>
      <w:lang w:val="en-GB"/>
    </w:rPr>
  </w:style>
  <w:style w:type="character" w:customStyle="1" w:styleId="Heading2Char">
    <w:name w:val="Heading 2 Char"/>
    <w:basedOn w:val="DefaultParagraphFont"/>
    <w:link w:val="Heading2"/>
    <w:uiPriority w:val="9"/>
    <w:semiHidden/>
    <w:rsid w:val="0072347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2347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2347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2347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234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34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34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347C"/>
    <w:rPr>
      <w:rFonts w:eastAsiaTheme="majorEastAsia" w:cstheme="majorBidi"/>
      <w:color w:val="272727" w:themeColor="text1" w:themeTint="D8"/>
    </w:rPr>
  </w:style>
  <w:style w:type="paragraph" w:styleId="Title">
    <w:name w:val="Title"/>
    <w:basedOn w:val="Normal"/>
    <w:next w:val="Normal"/>
    <w:link w:val="TitleChar"/>
    <w:uiPriority w:val="10"/>
    <w:qFormat/>
    <w:rsid w:val="007234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34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34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34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347C"/>
    <w:pPr>
      <w:spacing w:before="160"/>
      <w:jc w:val="center"/>
    </w:pPr>
    <w:rPr>
      <w:i/>
      <w:iCs/>
      <w:color w:val="404040" w:themeColor="text1" w:themeTint="BF"/>
    </w:rPr>
  </w:style>
  <w:style w:type="character" w:customStyle="1" w:styleId="QuoteChar">
    <w:name w:val="Quote Char"/>
    <w:basedOn w:val="DefaultParagraphFont"/>
    <w:link w:val="Quote"/>
    <w:uiPriority w:val="29"/>
    <w:rsid w:val="0072347C"/>
    <w:rPr>
      <w:i/>
      <w:iCs/>
      <w:color w:val="404040" w:themeColor="text1" w:themeTint="BF"/>
    </w:rPr>
  </w:style>
  <w:style w:type="paragraph" w:styleId="ListParagraph">
    <w:name w:val="List Paragraph"/>
    <w:basedOn w:val="Normal"/>
    <w:uiPriority w:val="34"/>
    <w:qFormat/>
    <w:rsid w:val="0072347C"/>
    <w:pPr>
      <w:ind w:left="720"/>
      <w:contextualSpacing/>
    </w:pPr>
  </w:style>
  <w:style w:type="character" w:styleId="IntenseEmphasis">
    <w:name w:val="Intense Emphasis"/>
    <w:basedOn w:val="DefaultParagraphFont"/>
    <w:uiPriority w:val="21"/>
    <w:qFormat/>
    <w:rsid w:val="0072347C"/>
    <w:rPr>
      <w:i/>
      <w:iCs/>
      <w:color w:val="2F5496" w:themeColor="accent1" w:themeShade="BF"/>
    </w:rPr>
  </w:style>
  <w:style w:type="paragraph" w:styleId="IntenseQuote">
    <w:name w:val="Intense Quote"/>
    <w:basedOn w:val="Normal"/>
    <w:next w:val="Normal"/>
    <w:link w:val="IntenseQuoteChar"/>
    <w:uiPriority w:val="30"/>
    <w:qFormat/>
    <w:rsid w:val="0072347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2347C"/>
    <w:rPr>
      <w:i/>
      <w:iCs/>
      <w:color w:val="2F5496" w:themeColor="accent1" w:themeShade="BF"/>
    </w:rPr>
  </w:style>
  <w:style w:type="character" w:styleId="IntenseReference">
    <w:name w:val="Intense Reference"/>
    <w:basedOn w:val="DefaultParagraphFont"/>
    <w:uiPriority w:val="32"/>
    <w:qFormat/>
    <w:rsid w:val="0072347C"/>
    <w:rPr>
      <w:b/>
      <w:bCs/>
      <w:smallCaps/>
      <w:color w:val="2F5496" w:themeColor="accent1" w:themeShade="BF"/>
      <w:spacing w:val="5"/>
    </w:rPr>
  </w:style>
  <w:style w:type="paragraph" w:styleId="Header">
    <w:name w:val="header"/>
    <w:basedOn w:val="Normal"/>
    <w:link w:val="HeaderChar"/>
    <w:uiPriority w:val="99"/>
    <w:unhideWhenUsed/>
    <w:rsid w:val="00991F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1F75"/>
  </w:style>
  <w:style w:type="paragraph" w:styleId="Footer">
    <w:name w:val="footer"/>
    <w:basedOn w:val="Normal"/>
    <w:link w:val="FooterChar"/>
    <w:uiPriority w:val="99"/>
    <w:unhideWhenUsed/>
    <w:rsid w:val="00991F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1F75"/>
  </w:style>
  <w:style w:type="paragraph" w:styleId="TOCHeading">
    <w:name w:val="TOC Heading"/>
    <w:basedOn w:val="Heading1"/>
    <w:next w:val="Normal"/>
    <w:uiPriority w:val="39"/>
    <w:unhideWhenUsed/>
    <w:qFormat/>
    <w:rsid w:val="002C759A"/>
    <w:pPr>
      <w:spacing w:before="240" w:after="0"/>
      <w:outlineLvl w:val="9"/>
    </w:pPr>
    <w:rPr>
      <w:rFonts w:asciiTheme="majorHAnsi" w:hAnsiTheme="majorHAnsi"/>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2C759A"/>
    <w:pPr>
      <w:spacing w:after="100"/>
    </w:pPr>
  </w:style>
  <w:style w:type="character" w:styleId="Hyperlink">
    <w:name w:val="Hyperlink"/>
    <w:basedOn w:val="DefaultParagraphFont"/>
    <w:uiPriority w:val="99"/>
    <w:unhideWhenUsed/>
    <w:rsid w:val="002C759A"/>
    <w:rPr>
      <w:color w:val="0563C1" w:themeColor="hyperlink"/>
      <w:u w:val="single"/>
    </w:rPr>
  </w:style>
  <w:style w:type="paragraph" w:styleId="NoSpacing">
    <w:name w:val="No Spacing"/>
    <w:uiPriority w:val="1"/>
    <w:qFormat/>
    <w:rsid w:val="00E91291"/>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E42EC0-FC82-4BFC-A214-4A139432E0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1992</Words>
  <Characters>11360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praveenapj952@gmail.com</dc:creator>
  <cp:keywords/>
  <dc:description/>
  <cp:lastModifiedBy>Asia Bakari</cp:lastModifiedBy>
  <cp:revision>2</cp:revision>
  <dcterms:created xsi:type="dcterms:W3CDTF">2025-11-16T14:56:00Z</dcterms:created>
  <dcterms:modified xsi:type="dcterms:W3CDTF">2025-11-16T14:56:00Z</dcterms:modified>
</cp:coreProperties>
</file>