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DB81991" w14:textId="19F2DDC4" w:rsidR="0047618B" w:rsidRDefault="007B3ACD">
      <w:r>
        <w:t>BMSS6007</w:t>
      </w:r>
    </w:p>
    <w:p w14:paraId="648079ED" w14:textId="77777777" w:rsidR="00A54271" w:rsidRDefault="00A54271"/>
    <w:p w14:paraId="33852A32" w14:textId="77777777" w:rsidR="00A54271" w:rsidRDefault="00A54271"/>
    <w:p w14:paraId="0EDD57E0" w14:textId="77777777" w:rsidR="00A54271" w:rsidRDefault="00A54271"/>
    <w:p w14:paraId="59DE7FEC" w14:textId="77777777" w:rsidR="00A54271" w:rsidRDefault="00A54271"/>
    <w:p w14:paraId="3AE34CF1" w14:textId="77777777" w:rsidR="00A54271" w:rsidRDefault="00A54271"/>
    <w:p w14:paraId="7FE5D7B6" w14:textId="77777777" w:rsidR="00A54271" w:rsidRDefault="00A54271"/>
    <w:p w14:paraId="78B6A84B" w14:textId="77777777" w:rsidR="00A54271" w:rsidRDefault="00A54271"/>
    <w:p w14:paraId="02E55BB4" w14:textId="77777777" w:rsidR="00A54271" w:rsidRDefault="00A54271"/>
    <w:p w14:paraId="5D0BF8A0" w14:textId="77777777" w:rsidR="00127AF6" w:rsidRDefault="00127AF6" w:rsidP="00353F9C">
      <w:pPr>
        <w:jc w:val="center"/>
        <w:rPr>
          <w:b/>
          <w:bCs/>
          <w:sz w:val="36"/>
          <w:szCs w:val="36"/>
        </w:rPr>
      </w:pPr>
    </w:p>
    <w:p w14:paraId="5FFF9F3F" w14:textId="77777777" w:rsidR="00127AF6" w:rsidRDefault="00127AF6" w:rsidP="00353F9C">
      <w:pPr>
        <w:jc w:val="center"/>
        <w:rPr>
          <w:b/>
          <w:bCs/>
          <w:sz w:val="36"/>
          <w:szCs w:val="36"/>
        </w:rPr>
      </w:pPr>
    </w:p>
    <w:p w14:paraId="66A54758" w14:textId="77777777" w:rsidR="003E5D83" w:rsidRDefault="003E5D83" w:rsidP="00353F9C">
      <w:pPr>
        <w:jc w:val="center"/>
        <w:rPr>
          <w:b/>
          <w:bCs/>
          <w:sz w:val="36"/>
          <w:szCs w:val="36"/>
        </w:rPr>
      </w:pPr>
    </w:p>
    <w:p w14:paraId="58A2C502" w14:textId="3E413544" w:rsidR="00A54271" w:rsidRDefault="00A54271" w:rsidP="00353F9C">
      <w:pPr>
        <w:jc w:val="center"/>
        <w:rPr>
          <w:b/>
          <w:bCs/>
          <w:sz w:val="36"/>
          <w:szCs w:val="36"/>
        </w:rPr>
      </w:pPr>
      <w:r w:rsidRPr="00353F9C">
        <w:rPr>
          <w:b/>
          <w:bCs/>
          <w:sz w:val="36"/>
          <w:szCs w:val="36"/>
        </w:rPr>
        <w:t>INDEPENDENT PROJECT PROPOSAL</w:t>
      </w:r>
    </w:p>
    <w:p w14:paraId="37A2D29E" w14:textId="77777777" w:rsidR="00D008A7" w:rsidRDefault="00D008A7" w:rsidP="00353F9C">
      <w:pPr>
        <w:jc w:val="center"/>
        <w:rPr>
          <w:b/>
          <w:bCs/>
          <w:sz w:val="36"/>
          <w:szCs w:val="36"/>
        </w:rPr>
      </w:pPr>
    </w:p>
    <w:p w14:paraId="722F6665" w14:textId="77777777" w:rsidR="00D008A7" w:rsidRDefault="00D008A7" w:rsidP="00353F9C">
      <w:pPr>
        <w:jc w:val="center"/>
        <w:rPr>
          <w:b/>
          <w:bCs/>
          <w:sz w:val="36"/>
          <w:szCs w:val="36"/>
        </w:rPr>
      </w:pPr>
    </w:p>
    <w:p w14:paraId="5E46B1FA" w14:textId="77777777" w:rsidR="00D008A7" w:rsidRDefault="00D008A7" w:rsidP="00353F9C">
      <w:pPr>
        <w:jc w:val="center"/>
        <w:rPr>
          <w:b/>
          <w:bCs/>
          <w:sz w:val="36"/>
          <w:szCs w:val="36"/>
        </w:rPr>
      </w:pPr>
    </w:p>
    <w:p w14:paraId="3933514D" w14:textId="77777777" w:rsidR="00D008A7" w:rsidRDefault="00D008A7" w:rsidP="00353F9C">
      <w:pPr>
        <w:jc w:val="center"/>
        <w:rPr>
          <w:b/>
          <w:bCs/>
          <w:sz w:val="36"/>
          <w:szCs w:val="36"/>
        </w:rPr>
      </w:pPr>
    </w:p>
    <w:p w14:paraId="4AF182D5" w14:textId="77777777" w:rsidR="00D008A7" w:rsidRDefault="00D008A7" w:rsidP="00353F9C">
      <w:pPr>
        <w:jc w:val="center"/>
        <w:rPr>
          <w:b/>
          <w:bCs/>
          <w:sz w:val="36"/>
          <w:szCs w:val="36"/>
        </w:rPr>
      </w:pPr>
    </w:p>
    <w:p w14:paraId="41C58944" w14:textId="77777777" w:rsidR="00D008A7" w:rsidRDefault="00D008A7" w:rsidP="00353F9C">
      <w:pPr>
        <w:jc w:val="center"/>
        <w:rPr>
          <w:b/>
          <w:bCs/>
          <w:sz w:val="36"/>
          <w:szCs w:val="36"/>
        </w:rPr>
      </w:pPr>
    </w:p>
    <w:p w14:paraId="0DCFA977" w14:textId="77777777" w:rsidR="00D008A7" w:rsidRDefault="00D008A7" w:rsidP="00353F9C">
      <w:pPr>
        <w:jc w:val="center"/>
        <w:rPr>
          <w:b/>
          <w:bCs/>
          <w:sz w:val="36"/>
          <w:szCs w:val="36"/>
        </w:rPr>
      </w:pPr>
    </w:p>
    <w:p w14:paraId="3F4267C4" w14:textId="77777777" w:rsidR="00D008A7" w:rsidRDefault="00D008A7" w:rsidP="00353F9C">
      <w:pPr>
        <w:jc w:val="center"/>
        <w:rPr>
          <w:b/>
          <w:bCs/>
          <w:sz w:val="36"/>
          <w:szCs w:val="36"/>
        </w:rPr>
      </w:pPr>
    </w:p>
    <w:p w14:paraId="009D3705" w14:textId="77777777" w:rsidR="00D008A7" w:rsidRDefault="00D008A7" w:rsidP="00353F9C">
      <w:pPr>
        <w:jc w:val="center"/>
        <w:rPr>
          <w:b/>
          <w:bCs/>
          <w:sz w:val="36"/>
          <w:szCs w:val="36"/>
        </w:rPr>
      </w:pPr>
    </w:p>
    <w:p w14:paraId="14EC4832" w14:textId="351B78D9" w:rsidR="00D008A7" w:rsidRDefault="00D008A7" w:rsidP="00D008A7">
      <w:pPr>
        <w:jc w:val="right"/>
      </w:pPr>
      <w:r w:rsidRPr="00D008A7">
        <w:t>2215879</w:t>
      </w:r>
    </w:p>
    <w:p w14:paraId="46D90E4C" w14:textId="5C0B0869" w:rsidR="00D008A7" w:rsidRPr="00844DBD" w:rsidRDefault="004E0544" w:rsidP="00D008A7">
      <w:pPr>
        <w:rPr>
          <w:u w:val="single"/>
        </w:rPr>
      </w:pPr>
      <w:r w:rsidRPr="00844DBD">
        <w:rPr>
          <w:u w:val="single"/>
        </w:rPr>
        <w:lastRenderedPageBreak/>
        <w:t>Statement of research question:</w:t>
      </w:r>
    </w:p>
    <w:p w14:paraId="170CDE26" w14:textId="10874F4C" w:rsidR="004E0544" w:rsidRDefault="00BE763F" w:rsidP="00D008A7">
      <w:r>
        <w:t>The efficacy and safety of GLP-1 receptor agonists</w:t>
      </w:r>
      <w:r w:rsidR="0034682D">
        <w:t xml:space="preserve"> (RA</w:t>
      </w:r>
      <w:r w:rsidR="0024309C">
        <w:t>s</w:t>
      </w:r>
      <w:r w:rsidR="0034682D">
        <w:t>)</w:t>
      </w:r>
      <w:r>
        <w:t xml:space="preserve"> in</w:t>
      </w:r>
      <w:r w:rsidR="00F00B8D">
        <w:t xml:space="preserve"> promoting</w:t>
      </w:r>
      <w:r>
        <w:t xml:space="preserve"> long-term weight loss </w:t>
      </w:r>
      <w:r w:rsidR="00767704">
        <w:t xml:space="preserve">maintenance </w:t>
      </w:r>
      <w:r>
        <w:t xml:space="preserve">in </w:t>
      </w:r>
      <w:r w:rsidR="00EA30D2">
        <w:t>adults with</w:t>
      </w:r>
      <w:r w:rsidR="00EA30D2" w:rsidRPr="00EA30D2">
        <w:t xml:space="preserve"> </w:t>
      </w:r>
      <w:r w:rsidR="00EA30D2" w:rsidRPr="00EA30D2">
        <w:t xml:space="preserve">overweight </w:t>
      </w:r>
      <w:r w:rsidR="00EA30D2">
        <w:t xml:space="preserve">or </w:t>
      </w:r>
      <w:r w:rsidR="00EA30D2" w:rsidRPr="00EA30D2">
        <w:t>obes</w:t>
      </w:r>
      <w:r w:rsidR="00EA30D2">
        <w:t>ity:</w:t>
      </w:r>
      <w:r w:rsidR="00844DBD">
        <w:t xml:space="preserve"> a narrative review.</w:t>
      </w:r>
    </w:p>
    <w:p w14:paraId="2157ACB7" w14:textId="45E39224" w:rsidR="00844DBD" w:rsidRDefault="00844DBD" w:rsidP="00D008A7">
      <w:pPr>
        <w:rPr>
          <w:u w:val="single"/>
        </w:rPr>
      </w:pPr>
      <w:r w:rsidRPr="00844DBD">
        <w:rPr>
          <w:u w:val="single"/>
        </w:rPr>
        <w:t>Introduction:</w:t>
      </w:r>
    </w:p>
    <w:p w14:paraId="76E97A83" w14:textId="4DF54449" w:rsidR="00844DBD" w:rsidRDefault="005C5D8E" w:rsidP="00D008A7">
      <w:r>
        <w:t>Increa</w:t>
      </w:r>
      <w:r w:rsidR="00A20207">
        <w:t xml:space="preserve">sing </w:t>
      </w:r>
      <w:r w:rsidR="009247EA">
        <w:t>overweight an</w:t>
      </w:r>
      <w:r w:rsidR="003530BB">
        <w:t>d</w:t>
      </w:r>
      <w:r w:rsidR="009247EA">
        <w:t xml:space="preserve"> obesity rates </w:t>
      </w:r>
      <w:r w:rsidR="001C77C4">
        <w:t>and</w:t>
      </w:r>
      <w:r w:rsidR="00830F29">
        <w:t xml:space="preserve"> associated</w:t>
      </w:r>
      <w:r w:rsidR="00006DC5">
        <w:t xml:space="preserve"> health</w:t>
      </w:r>
      <w:r w:rsidR="00830F29">
        <w:t xml:space="preserve"> risks </w:t>
      </w:r>
      <w:r w:rsidR="005A6B5E">
        <w:t xml:space="preserve">and financial </w:t>
      </w:r>
      <w:r w:rsidR="00402C14">
        <w:t>burden</w:t>
      </w:r>
      <w:r w:rsidR="005A6B5E">
        <w:t xml:space="preserve"> </w:t>
      </w:r>
      <w:r w:rsidR="00006DC5">
        <w:t xml:space="preserve">have </w:t>
      </w:r>
      <w:r w:rsidR="00DC2451">
        <w:t>raised concerns over the urgen</w:t>
      </w:r>
      <w:r w:rsidR="00EE01F5">
        <w:t xml:space="preserve">cy to </w:t>
      </w:r>
      <w:r w:rsidR="000B5A95">
        <w:t>promote research in th</w:t>
      </w:r>
      <w:r w:rsidR="000B3853">
        <w:t>e obesity pandemic</w:t>
      </w:r>
      <w:r w:rsidR="003928AC">
        <w:t>.</w:t>
      </w:r>
      <w:r w:rsidR="00A11150">
        <w:t xml:space="preserve"> </w:t>
      </w:r>
      <w:r w:rsidR="00C638ED" w:rsidRPr="006D2088">
        <w:t xml:space="preserve">In 2022, 43% of adults were overweight and 16% living with obesity worldwide (WHO, 2024). Following current trends, the World Obesity Federation predicts that 51% of the global population will be living with overweight or obesity by 2035, which would raise the economic impact to nearly 3% of global Gross Domestic Product (GDP) (World Obesity, 2023). </w:t>
      </w:r>
      <w:r w:rsidR="005C508C">
        <w:t xml:space="preserve">Weight loss </w:t>
      </w:r>
      <w:r w:rsidR="0020293C">
        <w:t xml:space="preserve">can </w:t>
      </w:r>
      <w:r w:rsidR="00B60DE7">
        <w:t xml:space="preserve">alleviate </w:t>
      </w:r>
      <w:r w:rsidR="0096362C">
        <w:t>the comorbidities and risk factors associated with obesity</w:t>
      </w:r>
      <w:r w:rsidR="000B37A6">
        <w:t xml:space="preserve"> and </w:t>
      </w:r>
      <w:r w:rsidR="000B37A6" w:rsidRPr="000B37A6">
        <w:t>improve quality of life</w:t>
      </w:r>
      <w:r w:rsidR="0096362C">
        <w:t xml:space="preserve"> </w:t>
      </w:r>
      <w:r w:rsidR="0096362C" w:rsidRPr="1EA9440A">
        <w:rPr>
          <w:rFonts w:ascii="Aptos" w:eastAsia="Times New Roman" w:hAnsi="Aptos"/>
          <w:color w:val="000000" w:themeColor="text1"/>
        </w:rPr>
        <w:t>(Apovian</w:t>
      </w:r>
      <w:r w:rsidR="0096362C" w:rsidRPr="1EA9440A">
        <w:rPr>
          <w:rFonts w:ascii="Aptos" w:eastAsia="Times New Roman" w:hAnsi="Aptos"/>
          <w:i/>
          <w:color w:val="000000" w:themeColor="text1"/>
        </w:rPr>
        <w:t xml:space="preserve"> et al.,</w:t>
      </w:r>
      <w:r w:rsidR="0096362C" w:rsidRPr="1EA9440A">
        <w:rPr>
          <w:rFonts w:ascii="Aptos" w:eastAsia="Times New Roman" w:hAnsi="Aptos"/>
          <w:color w:val="000000" w:themeColor="text1"/>
        </w:rPr>
        <w:t xml:space="preserve"> 2015)</w:t>
      </w:r>
      <w:r w:rsidR="003F217E" w:rsidRPr="1EA9440A">
        <w:rPr>
          <w:rFonts w:ascii="Aptos" w:eastAsia="Times New Roman" w:hAnsi="Aptos"/>
          <w:color w:val="000000" w:themeColor="text1"/>
        </w:rPr>
        <w:t xml:space="preserve">. </w:t>
      </w:r>
      <w:r w:rsidR="007D63D4">
        <w:t xml:space="preserve">Currently, </w:t>
      </w:r>
      <w:r w:rsidR="00A22A5C">
        <w:t xml:space="preserve">weight loss </w:t>
      </w:r>
      <w:r w:rsidR="007D63D4">
        <w:t>t</w:t>
      </w:r>
      <w:r w:rsidR="00622C45">
        <w:t>herapies and treatments</w:t>
      </w:r>
      <w:r w:rsidR="007D63D4">
        <w:t xml:space="preserve"> available for obesity</w:t>
      </w:r>
      <w:r w:rsidR="003928AC">
        <w:t xml:space="preserve"> </w:t>
      </w:r>
      <w:r w:rsidR="00D75C2F">
        <w:t>include</w:t>
      </w:r>
      <w:r w:rsidR="00775002">
        <w:t xml:space="preserve"> nutrition, physical activity, Cognitive Behavioural Therapy (CBT), </w:t>
      </w:r>
      <w:r w:rsidR="0028682B">
        <w:t>psychological support, bariatric and metabolic surgery</w:t>
      </w:r>
      <w:r w:rsidR="00F43CFC">
        <w:t>, and</w:t>
      </w:r>
      <w:r w:rsidR="00F43CFC" w:rsidRPr="00F43CFC">
        <w:t xml:space="preserve"> </w:t>
      </w:r>
      <w:r w:rsidR="00F43CFC" w:rsidRPr="00F43CFC">
        <w:t>pharmacological treatments</w:t>
      </w:r>
      <w:r w:rsidR="0028682B">
        <w:t xml:space="preserve"> </w:t>
      </w:r>
      <w:r w:rsidR="0028682B" w:rsidRPr="1EA9440A">
        <w:rPr>
          <w:rFonts w:ascii="Aptos" w:eastAsia="Times New Roman" w:hAnsi="Aptos"/>
          <w:color w:val="000000" w:themeColor="text1"/>
        </w:rPr>
        <w:t>(Yumuk</w:t>
      </w:r>
      <w:r w:rsidR="0028682B" w:rsidRPr="1EA9440A">
        <w:rPr>
          <w:rFonts w:ascii="Aptos" w:eastAsia="Times New Roman" w:hAnsi="Aptos"/>
          <w:i/>
          <w:color w:val="000000" w:themeColor="text1"/>
        </w:rPr>
        <w:t xml:space="preserve"> et al.,</w:t>
      </w:r>
      <w:r w:rsidR="0028682B" w:rsidRPr="1EA9440A">
        <w:rPr>
          <w:rFonts w:ascii="Aptos" w:eastAsia="Times New Roman" w:hAnsi="Aptos"/>
          <w:color w:val="000000" w:themeColor="text1"/>
        </w:rPr>
        <w:t xml:space="preserve"> 2015)</w:t>
      </w:r>
      <w:r w:rsidR="000C2531">
        <w:t>. However, c</w:t>
      </w:r>
      <w:r w:rsidR="004D3DC6">
        <w:t>onventional therapies such as di</w:t>
      </w:r>
      <w:r w:rsidR="000C2531">
        <w:t>et</w:t>
      </w:r>
      <w:r w:rsidR="004D3DC6">
        <w:t xml:space="preserve"> and </w:t>
      </w:r>
      <w:r w:rsidR="00A626CF">
        <w:t>exerc</w:t>
      </w:r>
      <w:r w:rsidR="000C2531">
        <w:t>ise</w:t>
      </w:r>
      <w:r w:rsidR="00A626CF">
        <w:t xml:space="preserve"> </w:t>
      </w:r>
      <w:r w:rsidR="0082086D">
        <w:t xml:space="preserve">are more suitable for prevention or early treatment </w:t>
      </w:r>
      <w:r w:rsidR="00DF1B7C">
        <w:t>of obesity</w:t>
      </w:r>
      <w:r w:rsidR="00EA30D2">
        <w:t xml:space="preserve">, or in combination with other treatments, </w:t>
      </w:r>
      <w:r w:rsidR="00DF1B7C">
        <w:t>a</w:t>
      </w:r>
      <w:r w:rsidR="001351B2">
        <w:t xml:space="preserve">nd </w:t>
      </w:r>
      <w:r w:rsidR="00A626CF">
        <w:t>show limited results</w:t>
      </w:r>
      <w:r w:rsidR="00AC37E3">
        <w:t xml:space="preserve"> in terms of </w:t>
      </w:r>
      <w:r w:rsidR="003B7698">
        <w:t xml:space="preserve">significant </w:t>
      </w:r>
      <w:r w:rsidR="00AC37E3">
        <w:t>weight loss</w:t>
      </w:r>
      <w:r w:rsidR="00627F70">
        <w:t xml:space="preserve"> </w:t>
      </w:r>
      <w:r w:rsidR="001A40F7" w:rsidRPr="1EA9440A">
        <w:rPr>
          <w:rFonts w:ascii="Aptos" w:eastAsia="Times New Roman" w:hAnsi="Aptos"/>
          <w:color w:val="000000" w:themeColor="text1"/>
        </w:rPr>
        <w:t>(Yang, Liu and Zhang, 2022)</w:t>
      </w:r>
      <w:r w:rsidR="002A5F94" w:rsidRPr="1EA9440A">
        <w:rPr>
          <w:rFonts w:ascii="Aptos" w:eastAsia="Times New Roman" w:hAnsi="Aptos"/>
          <w:color w:val="000000" w:themeColor="text1"/>
        </w:rPr>
        <w:t>.</w:t>
      </w:r>
      <w:r w:rsidR="00712C9C" w:rsidRPr="1EA9440A">
        <w:rPr>
          <w:rFonts w:ascii="Aptos" w:eastAsia="Times New Roman" w:hAnsi="Aptos"/>
          <w:color w:val="000000" w:themeColor="text1"/>
        </w:rPr>
        <w:t xml:space="preserve"> </w:t>
      </w:r>
      <w:r w:rsidR="00A345C0" w:rsidRPr="1EA9440A">
        <w:rPr>
          <w:rFonts w:ascii="Aptos" w:eastAsia="Times New Roman" w:hAnsi="Aptos"/>
          <w:color w:val="000000" w:themeColor="text1"/>
        </w:rPr>
        <w:t xml:space="preserve">Bariatric surgery </w:t>
      </w:r>
      <w:r w:rsidR="00D05AE5" w:rsidRPr="1EA9440A">
        <w:rPr>
          <w:rFonts w:ascii="Aptos" w:eastAsia="Times New Roman" w:hAnsi="Aptos"/>
          <w:color w:val="000000" w:themeColor="text1"/>
        </w:rPr>
        <w:t xml:space="preserve">is </w:t>
      </w:r>
      <w:r w:rsidR="000362D1" w:rsidRPr="1EA9440A">
        <w:rPr>
          <w:rFonts w:ascii="Aptos" w:eastAsia="Times New Roman" w:hAnsi="Aptos"/>
          <w:color w:val="000000" w:themeColor="text1"/>
        </w:rPr>
        <w:t xml:space="preserve">mainly </w:t>
      </w:r>
      <w:r w:rsidR="00D05AE5" w:rsidRPr="1EA9440A">
        <w:rPr>
          <w:rFonts w:ascii="Aptos" w:eastAsia="Times New Roman" w:hAnsi="Aptos"/>
          <w:color w:val="000000" w:themeColor="text1"/>
        </w:rPr>
        <w:t>intended</w:t>
      </w:r>
      <w:r w:rsidR="001711F6" w:rsidRPr="1EA9440A">
        <w:rPr>
          <w:rFonts w:ascii="Aptos" w:eastAsia="Times New Roman" w:hAnsi="Aptos"/>
          <w:color w:val="000000" w:themeColor="text1"/>
        </w:rPr>
        <w:t xml:space="preserve"> </w:t>
      </w:r>
      <w:r w:rsidR="00B36655" w:rsidRPr="1EA9440A">
        <w:rPr>
          <w:rFonts w:ascii="Aptos" w:eastAsia="Times New Roman" w:hAnsi="Aptos"/>
          <w:color w:val="000000" w:themeColor="text1"/>
        </w:rPr>
        <w:t xml:space="preserve">for severe obesity (BMI </w:t>
      </w:r>
      <w:r w:rsidR="00F4015C" w:rsidRPr="1EA9440A">
        <w:rPr>
          <w:rFonts w:ascii="Times New Roman" w:eastAsia="Times New Roman" w:hAnsi="Times New Roman" w:cs="Times New Roman"/>
          <w:color w:val="000000" w:themeColor="text1"/>
        </w:rPr>
        <w:t>≥</w:t>
      </w:r>
      <w:r w:rsidR="00F4015C" w:rsidRPr="1EA9440A">
        <w:rPr>
          <w:rFonts w:ascii="Aptos" w:eastAsia="Times New Roman" w:hAnsi="Aptos"/>
          <w:color w:val="000000" w:themeColor="text1"/>
        </w:rPr>
        <w:t xml:space="preserve"> 40)</w:t>
      </w:r>
      <w:r w:rsidR="000362D1" w:rsidRPr="1EA9440A">
        <w:rPr>
          <w:rFonts w:ascii="Aptos" w:eastAsia="Times New Roman" w:hAnsi="Aptos"/>
          <w:color w:val="000000" w:themeColor="text1"/>
        </w:rPr>
        <w:t xml:space="preserve">, </w:t>
      </w:r>
      <w:r w:rsidR="00A345C0" w:rsidRPr="1EA9440A">
        <w:rPr>
          <w:rFonts w:ascii="Aptos" w:eastAsia="Times New Roman" w:hAnsi="Aptos"/>
          <w:color w:val="000000" w:themeColor="text1"/>
        </w:rPr>
        <w:t xml:space="preserve">and </w:t>
      </w:r>
      <w:r w:rsidR="00A05F50" w:rsidRPr="1EA9440A">
        <w:rPr>
          <w:rFonts w:ascii="Aptos" w:eastAsia="Times New Roman" w:hAnsi="Aptos"/>
          <w:color w:val="000000" w:themeColor="text1"/>
        </w:rPr>
        <w:t xml:space="preserve">pharmaceutical treatments such as </w:t>
      </w:r>
      <w:r w:rsidR="00174B60">
        <w:rPr>
          <w:rFonts w:ascii="Aptos" w:eastAsia="Times New Roman" w:hAnsi="Aptos"/>
          <w:color w:val="000000" w:themeColor="text1"/>
        </w:rPr>
        <w:t>s</w:t>
      </w:r>
      <w:r w:rsidR="00A05F50" w:rsidRPr="1EA9440A">
        <w:rPr>
          <w:rFonts w:ascii="Aptos" w:eastAsia="Times New Roman" w:hAnsi="Aptos"/>
          <w:color w:val="000000" w:themeColor="text1"/>
        </w:rPr>
        <w:t xml:space="preserve">emaglutide and liraglutide have shown </w:t>
      </w:r>
      <w:r w:rsidR="00EB547F" w:rsidRPr="1EA9440A">
        <w:rPr>
          <w:rFonts w:ascii="Aptos" w:eastAsia="Times New Roman" w:hAnsi="Aptos"/>
          <w:color w:val="000000" w:themeColor="text1"/>
        </w:rPr>
        <w:t xml:space="preserve">promising results </w:t>
      </w:r>
      <w:r w:rsidR="009C15E3" w:rsidRPr="1EA9440A">
        <w:rPr>
          <w:rFonts w:ascii="Aptos" w:eastAsia="Times New Roman" w:hAnsi="Aptos"/>
          <w:color w:val="000000" w:themeColor="text1"/>
        </w:rPr>
        <w:t xml:space="preserve">for significant weight loss, </w:t>
      </w:r>
      <w:r w:rsidR="001F44DD" w:rsidRPr="1EA9440A">
        <w:rPr>
          <w:rFonts w:ascii="Aptos" w:eastAsia="Times New Roman" w:hAnsi="Aptos"/>
          <w:color w:val="000000" w:themeColor="text1"/>
        </w:rPr>
        <w:t>but more research is needed on the</w:t>
      </w:r>
      <w:r w:rsidR="007B3B44" w:rsidRPr="1EA9440A">
        <w:rPr>
          <w:rFonts w:ascii="Aptos" w:eastAsia="Times New Roman" w:hAnsi="Aptos"/>
          <w:color w:val="000000" w:themeColor="text1"/>
        </w:rPr>
        <w:t xml:space="preserve"> long-term</w:t>
      </w:r>
      <w:r w:rsidR="001F44DD" w:rsidRPr="1EA9440A">
        <w:rPr>
          <w:rFonts w:ascii="Aptos" w:eastAsia="Times New Roman" w:hAnsi="Aptos"/>
          <w:color w:val="000000" w:themeColor="text1"/>
        </w:rPr>
        <w:t xml:space="preserve"> efficacy and safety </w:t>
      </w:r>
      <w:r w:rsidR="001C05EB" w:rsidRPr="1EA9440A">
        <w:rPr>
          <w:rFonts w:ascii="Aptos" w:eastAsia="Times New Roman" w:hAnsi="Aptos"/>
          <w:color w:val="000000" w:themeColor="text1"/>
        </w:rPr>
        <w:t>of these treatments</w:t>
      </w:r>
      <w:r w:rsidR="000362D1" w:rsidRPr="1EA9440A">
        <w:rPr>
          <w:rFonts w:ascii="Aptos" w:eastAsia="Times New Roman" w:hAnsi="Aptos"/>
          <w:color w:val="000000" w:themeColor="text1"/>
        </w:rPr>
        <w:t xml:space="preserve"> </w:t>
      </w:r>
      <w:r w:rsidR="00161A1A" w:rsidRPr="1EA9440A">
        <w:rPr>
          <w:rFonts w:ascii="Aptos" w:eastAsia="Times New Roman" w:hAnsi="Aptos"/>
          <w:color w:val="000000" w:themeColor="text1"/>
        </w:rPr>
        <w:t>(Ruban</w:t>
      </w:r>
      <w:r w:rsidR="00161A1A" w:rsidRPr="1EA9440A">
        <w:rPr>
          <w:rFonts w:ascii="Aptos" w:eastAsia="Times New Roman" w:hAnsi="Aptos"/>
          <w:i/>
          <w:color w:val="000000" w:themeColor="text1"/>
        </w:rPr>
        <w:t xml:space="preserve"> et al.,</w:t>
      </w:r>
      <w:r w:rsidR="00161A1A" w:rsidRPr="1EA9440A">
        <w:rPr>
          <w:rFonts w:ascii="Aptos" w:eastAsia="Times New Roman" w:hAnsi="Aptos"/>
          <w:color w:val="000000" w:themeColor="text1"/>
        </w:rPr>
        <w:t xml:space="preserve"> 2019).</w:t>
      </w:r>
    </w:p>
    <w:p w14:paraId="02848B7D" w14:textId="1658B84E" w:rsidR="00405F78" w:rsidRDefault="00CB7AE0" w:rsidP="433A6E45">
      <w:pPr>
        <w:spacing w:after="0"/>
        <w:rPr>
          <w:rFonts w:ascii="Aptos" w:eastAsia="Times New Roman" w:hAnsi="Aptos"/>
          <w:color w:val="000000" w:themeColor="text1"/>
        </w:rPr>
      </w:pPr>
      <w:r w:rsidRPr="00CB7AE0">
        <w:rPr>
          <w:rFonts w:ascii="Aptos" w:eastAsia="Times New Roman" w:hAnsi="Aptos"/>
          <w:color w:val="000000" w:themeColor="text1"/>
        </w:rPr>
        <w:t>Obesity is a chronic disease impacted by genetic, metabolic, behavioural, socio-cultural and environmental factors which can result in cardiovascular and metabolic diseases and other physiological impairments (Apovian, 2016; Kushner</w:t>
      </w:r>
      <w:r w:rsidRPr="00CB7AE0">
        <w:rPr>
          <w:rFonts w:ascii="Aptos" w:eastAsia="Times New Roman" w:hAnsi="Aptos"/>
          <w:i/>
          <w:color w:val="000000" w:themeColor="text1"/>
        </w:rPr>
        <w:t xml:space="preserve"> et al.,</w:t>
      </w:r>
      <w:r w:rsidRPr="00CB7AE0">
        <w:rPr>
          <w:rFonts w:ascii="Aptos" w:eastAsia="Times New Roman" w:hAnsi="Aptos"/>
          <w:color w:val="000000" w:themeColor="text1"/>
        </w:rPr>
        <w:t xml:space="preserve"> 2020). </w:t>
      </w:r>
      <w:r w:rsidR="006C666C">
        <w:rPr>
          <w:rFonts w:ascii="Aptos" w:eastAsia="Times New Roman" w:hAnsi="Aptos"/>
          <w:color w:val="000000" w:themeColor="text1"/>
        </w:rPr>
        <w:t xml:space="preserve">Obesity is most commonly measured </w:t>
      </w:r>
      <w:r w:rsidR="00B329D3">
        <w:rPr>
          <w:rFonts w:ascii="Aptos" w:eastAsia="Times New Roman" w:hAnsi="Aptos"/>
          <w:color w:val="000000" w:themeColor="text1"/>
        </w:rPr>
        <w:t>using the Body Mass Index</w:t>
      </w:r>
      <w:r w:rsidR="00533B05">
        <w:rPr>
          <w:rFonts w:ascii="Aptos" w:eastAsia="Times New Roman" w:hAnsi="Aptos"/>
          <w:color w:val="000000" w:themeColor="text1"/>
        </w:rPr>
        <w:t xml:space="preserve"> (BMI)</w:t>
      </w:r>
      <w:r w:rsidR="00B329D3">
        <w:rPr>
          <w:rFonts w:ascii="Aptos" w:eastAsia="Times New Roman" w:hAnsi="Aptos"/>
          <w:color w:val="000000" w:themeColor="text1"/>
        </w:rPr>
        <w:t xml:space="preserve"> scale, </w:t>
      </w:r>
      <w:r w:rsidR="00354811">
        <w:rPr>
          <w:rFonts w:ascii="Aptos" w:eastAsia="Times New Roman" w:hAnsi="Aptos"/>
          <w:color w:val="000000" w:themeColor="text1"/>
        </w:rPr>
        <w:t>which is calculated by dividing the person’s weight in kilog</w:t>
      </w:r>
      <w:r w:rsidR="00FB481F">
        <w:rPr>
          <w:rFonts w:ascii="Aptos" w:eastAsia="Times New Roman" w:hAnsi="Aptos"/>
          <w:color w:val="000000" w:themeColor="text1"/>
        </w:rPr>
        <w:t>rams by the square of their height in meters</w:t>
      </w:r>
      <w:r w:rsidR="00981C18">
        <w:rPr>
          <w:rFonts w:ascii="Aptos" w:eastAsia="Times New Roman" w:hAnsi="Aptos"/>
          <w:color w:val="000000" w:themeColor="text1"/>
        </w:rPr>
        <w:t xml:space="preserve"> </w:t>
      </w:r>
      <w:r w:rsidR="00981C18" w:rsidRPr="00981C18">
        <w:rPr>
          <w:rFonts w:ascii="Aptos" w:eastAsia="Times New Roman" w:hAnsi="Aptos"/>
          <w:color w:val="000000" w:themeColor="text1"/>
        </w:rPr>
        <w:t>(kg/m</w:t>
      </w:r>
      <w:r w:rsidR="00981C18" w:rsidRPr="00981C18">
        <w:rPr>
          <w:rFonts w:ascii="Aptos" w:eastAsia="Times New Roman" w:hAnsi="Aptos"/>
          <w:color w:val="000000" w:themeColor="text1"/>
          <w:vertAlign w:val="superscript"/>
        </w:rPr>
        <w:t>2</w:t>
      </w:r>
      <w:r w:rsidR="00981C18" w:rsidRPr="00981C18">
        <w:rPr>
          <w:rFonts w:ascii="Aptos" w:eastAsia="Times New Roman" w:hAnsi="Aptos"/>
          <w:color w:val="000000" w:themeColor="text1"/>
        </w:rPr>
        <w:t>)</w:t>
      </w:r>
      <w:r w:rsidR="00630662">
        <w:rPr>
          <w:rFonts w:ascii="Aptos" w:eastAsia="Times New Roman" w:hAnsi="Aptos"/>
          <w:color w:val="000000" w:themeColor="text1"/>
        </w:rPr>
        <w:t xml:space="preserve"> (</w:t>
      </w:r>
      <w:r w:rsidR="00630662" w:rsidRPr="00630662">
        <w:rPr>
          <w:rFonts w:ascii="Aptos" w:eastAsia="Times New Roman" w:hAnsi="Aptos"/>
          <w:color w:val="000000" w:themeColor="text1"/>
        </w:rPr>
        <w:t>Ritchie</w:t>
      </w:r>
      <w:r w:rsidR="00394974">
        <w:rPr>
          <w:rFonts w:ascii="Aptos" w:eastAsia="Times New Roman" w:hAnsi="Aptos"/>
          <w:color w:val="000000" w:themeColor="text1"/>
        </w:rPr>
        <w:t xml:space="preserve"> </w:t>
      </w:r>
      <w:r w:rsidR="00630662">
        <w:rPr>
          <w:rFonts w:ascii="Aptos" w:eastAsia="Times New Roman" w:hAnsi="Aptos"/>
          <w:color w:val="000000" w:themeColor="text1"/>
        </w:rPr>
        <w:t xml:space="preserve">and </w:t>
      </w:r>
      <w:r w:rsidR="00630662" w:rsidRPr="00630662">
        <w:rPr>
          <w:rFonts w:ascii="Aptos" w:eastAsia="Times New Roman" w:hAnsi="Aptos"/>
          <w:color w:val="000000" w:themeColor="text1"/>
        </w:rPr>
        <w:t>Roser</w:t>
      </w:r>
      <w:r w:rsidR="00630662">
        <w:rPr>
          <w:rFonts w:ascii="Aptos" w:eastAsia="Times New Roman" w:hAnsi="Aptos"/>
          <w:color w:val="000000" w:themeColor="text1"/>
        </w:rPr>
        <w:t>,</w:t>
      </w:r>
      <w:r w:rsidR="00394974">
        <w:rPr>
          <w:rFonts w:ascii="Aptos" w:eastAsia="Times New Roman" w:hAnsi="Aptos"/>
          <w:color w:val="000000" w:themeColor="text1"/>
        </w:rPr>
        <w:t xml:space="preserve"> </w:t>
      </w:r>
      <w:r w:rsidR="00630662" w:rsidRPr="00630662">
        <w:rPr>
          <w:rFonts w:ascii="Aptos" w:eastAsia="Times New Roman" w:hAnsi="Aptos"/>
          <w:color w:val="000000" w:themeColor="text1"/>
        </w:rPr>
        <w:t>2017)</w:t>
      </w:r>
      <w:r w:rsidR="0089194A">
        <w:rPr>
          <w:rFonts w:ascii="Aptos" w:eastAsia="Times New Roman" w:hAnsi="Aptos"/>
          <w:color w:val="000000" w:themeColor="text1"/>
        </w:rPr>
        <w:t>.</w:t>
      </w:r>
      <w:r w:rsidR="00405F78">
        <w:rPr>
          <w:rFonts w:ascii="Aptos" w:eastAsia="Times New Roman" w:hAnsi="Aptos"/>
          <w:color w:val="000000"/>
        </w:rPr>
        <w:t xml:space="preserve"> </w:t>
      </w:r>
      <w:r w:rsidR="00F0571D" w:rsidRPr="433A6E45">
        <w:rPr>
          <w:rFonts w:ascii="Aptos" w:eastAsia="Times New Roman" w:hAnsi="Aptos"/>
          <w:color w:val="000000" w:themeColor="text1"/>
        </w:rPr>
        <w:t xml:space="preserve">The World </w:t>
      </w:r>
      <w:r w:rsidR="002B03BE" w:rsidRPr="433A6E45">
        <w:rPr>
          <w:rFonts w:ascii="Aptos" w:eastAsia="Times New Roman" w:hAnsi="Aptos"/>
          <w:color w:val="000000" w:themeColor="text1"/>
        </w:rPr>
        <w:t>H</w:t>
      </w:r>
      <w:r w:rsidR="00F0571D" w:rsidRPr="433A6E45">
        <w:rPr>
          <w:rFonts w:ascii="Aptos" w:eastAsia="Times New Roman" w:hAnsi="Aptos"/>
          <w:color w:val="000000" w:themeColor="text1"/>
        </w:rPr>
        <w:t xml:space="preserve">ealth Organisation (WHO) </w:t>
      </w:r>
      <w:r w:rsidR="002B03BE" w:rsidRPr="433A6E45">
        <w:rPr>
          <w:rFonts w:ascii="Aptos" w:eastAsia="Times New Roman" w:hAnsi="Aptos"/>
          <w:color w:val="000000" w:themeColor="text1"/>
        </w:rPr>
        <w:t xml:space="preserve">defines </w:t>
      </w:r>
      <w:r w:rsidR="00F02075" w:rsidRPr="433A6E45">
        <w:rPr>
          <w:rFonts w:ascii="Aptos" w:eastAsia="Times New Roman" w:hAnsi="Aptos"/>
          <w:color w:val="000000" w:themeColor="text1"/>
        </w:rPr>
        <w:t>obesity as a</w:t>
      </w:r>
      <w:r w:rsidR="00A84F13">
        <w:rPr>
          <w:rFonts w:ascii="Aptos" w:eastAsia="Times New Roman" w:hAnsi="Aptos"/>
          <w:color w:val="000000" w:themeColor="text1"/>
        </w:rPr>
        <w:t xml:space="preserve"> </w:t>
      </w:r>
      <w:r w:rsidR="00F02075" w:rsidRPr="433A6E45">
        <w:rPr>
          <w:rFonts w:ascii="Aptos" w:eastAsia="Times New Roman" w:hAnsi="Aptos"/>
          <w:color w:val="000000" w:themeColor="text1"/>
        </w:rPr>
        <w:t>BMI of 30 or over, and overweight as a BMI of 25 or over</w:t>
      </w:r>
      <w:r w:rsidR="00F523A3" w:rsidRPr="433A6E45">
        <w:rPr>
          <w:rFonts w:ascii="Aptos" w:eastAsia="Times New Roman" w:hAnsi="Aptos"/>
          <w:color w:val="000000" w:themeColor="text1"/>
        </w:rPr>
        <w:t xml:space="preserve"> (WHO, 2024).</w:t>
      </w:r>
      <w:r w:rsidR="00C96A8A" w:rsidRPr="433A6E45">
        <w:rPr>
          <w:rFonts w:ascii="Aptos" w:eastAsia="Times New Roman" w:hAnsi="Aptos"/>
          <w:color w:val="000000" w:themeColor="text1"/>
        </w:rPr>
        <w:t xml:space="preserve"> </w:t>
      </w:r>
    </w:p>
    <w:p w14:paraId="30C0FC3E" w14:textId="6D09A0F0" w:rsidR="0086716C" w:rsidRPr="00405F78" w:rsidRDefault="0051689E" w:rsidP="433A6E45">
      <w:pPr>
        <w:spacing w:after="0"/>
        <w:rPr>
          <w:rFonts w:ascii="Aptos" w:eastAsia="Times New Roman" w:hAnsi="Aptos"/>
          <w:color w:val="000000"/>
        </w:rPr>
      </w:pPr>
      <w:r w:rsidRPr="433A6E45">
        <w:rPr>
          <w:rFonts w:ascii="Aptos" w:eastAsia="Times New Roman" w:hAnsi="Aptos"/>
          <w:color w:val="000000" w:themeColor="text1"/>
        </w:rPr>
        <w:t>O</w:t>
      </w:r>
      <w:r w:rsidR="00E05484" w:rsidRPr="433A6E45">
        <w:rPr>
          <w:rFonts w:ascii="Aptos" w:eastAsia="Times New Roman" w:hAnsi="Aptos"/>
          <w:color w:val="000000" w:themeColor="text1"/>
        </w:rPr>
        <w:t xml:space="preserve">besity can result in shorter longevity and increased risks of early development of </w:t>
      </w:r>
      <w:r w:rsidR="00432712" w:rsidRPr="433A6E45">
        <w:rPr>
          <w:rFonts w:ascii="Aptos" w:eastAsia="Times New Roman" w:hAnsi="Aptos"/>
          <w:color w:val="000000" w:themeColor="text1"/>
        </w:rPr>
        <w:t>cardiovascular disease (</w:t>
      </w:r>
      <w:r w:rsidR="00E05484" w:rsidRPr="433A6E45">
        <w:rPr>
          <w:rFonts w:ascii="Aptos" w:eastAsia="Times New Roman" w:hAnsi="Aptos"/>
          <w:color w:val="000000" w:themeColor="text1"/>
        </w:rPr>
        <w:t>CVD</w:t>
      </w:r>
      <w:r w:rsidR="00432712" w:rsidRPr="433A6E45">
        <w:rPr>
          <w:rFonts w:ascii="Aptos" w:eastAsia="Times New Roman" w:hAnsi="Aptos"/>
          <w:color w:val="000000" w:themeColor="text1"/>
        </w:rPr>
        <w:t>)</w:t>
      </w:r>
      <w:r w:rsidR="00E05484" w:rsidRPr="433A6E45">
        <w:rPr>
          <w:rFonts w:ascii="Aptos" w:eastAsia="Times New Roman" w:hAnsi="Aptos"/>
          <w:color w:val="000000" w:themeColor="text1"/>
        </w:rPr>
        <w:t xml:space="preserve"> </w:t>
      </w:r>
      <w:r w:rsidR="00460254" w:rsidRPr="433A6E45">
        <w:rPr>
          <w:rFonts w:ascii="Aptos" w:eastAsia="Times New Roman" w:hAnsi="Aptos"/>
          <w:color w:val="000000" w:themeColor="text1"/>
        </w:rPr>
        <w:t>and</w:t>
      </w:r>
      <w:r w:rsidR="00E05484" w:rsidRPr="433A6E45">
        <w:rPr>
          <w:rFonts w:ascii="Aptos" w:eastAsia="Times New Roman" w:hAnsi="Aptos"/>
          <w:color w:val="000000" w:themeColor="text1"/>
        </w:rPr>
        <w:t xml:space="preserve"> </w:t>
      </w:r>
      <w:r w:rsidR="00EA30D2">
        <w:rPr>
          <w:rFonts w:ascii="Aptos" w:eastAsia="Times New Roman" w:hAnsi="Aptos"/>
          <w:color w:val="000000" w:themeColor="text1"/>
        </w:rPr>
        <w:t>CVD</w:t>
      </w:r>
      <w:r w:rsidR="00E05484" w:rsidRPr="433A6E45">
        <w:rPr>
          <w:rFonts w:ascii="Aptos" w:eastAsia="Times New Roman" w:hAnsi="Aptos"/>
          <w:color w:val="000000" w:themeColor="text1"/>
        </w:rPr>
        <w:t xml:space="preserve"> associated morbidity and mortality (Barroso</w:t>
      </w:r>
      <w:r w:rsidR="00E05484" w:rsidRPr="433A6E45">
        <w:rPr>
          <w:rFonts w:ascii="Aptos" w:eastAsia="Times New Roman" w:hAnsi="Aptos"/>
          <w:i/>
          <w:color w:val="000000" w:themeColor="text1"/>
        </w:rPr>
        <w:t xml:space="preserve"> et al.,</w:t>
      </w:r>
      <w:r w:rsidR="00E05484" w:rsidRPr="433A6E45">
        <w:rPr>
          <w:rFonts w:ascii="Aptos" w:eastAsia="Times New Roman" w:hAnsi="Aptos"/>
          <w:color w:val="000000" w:themeColor="text1"/>
        </w:rPr>
        <w:t xml:space="preserve"> 2017; Khan</w:t>
      </w:r>
      <w:r w:rsidR="00E05484" w:rsidRPr="433A6E45">
        <w:rPr>
          <w:rFonts w:ascii="Aptos" w:eastAsia="Times New Roman" w:hAnsi="Aptos"/>
          <w:i/>
          <w:color w:val="000000" w:themeColor="text1"/>
        </w:rPr>
        <w:t xml:space="preserve"> et al.,</w:t>
      </w:r>
      <w:r w:rsidR="00E05484" w:rsidRPr="433A6E45">
        <w:rPr>
          <w:rFonts w:ascii="Aptos" w:eastAsia="Times New Roman" w:hAnsi="Aptos"/>
          <w:color w:val="000000" w:themeColor="text1"/>
        </w:rPr>
        <w:t xml:space="preserve"> 2018).</w:t>
      </w:r>
      <w:r w:rsidRPr="433A6E45">
        <w:rPr>
          <w:rFonts w:ascii="Aptos" w:eastAsia="Times New Roman" w:hAnsi="Aptos"/>
          <w:color w:val="000000" w:themeColor="text1"/>
        </w:rPr>
        <w:t xml:space="preserve"> </w:t>
      </w:r>
      <w:r w:rsidR="00E430C5" w:rsidRPr="433A6E45">
        <w:rPr>
          <w:rFonts w:ascii="Aptos" w:eastAsia="Times New Roman" w:hAnsi="Aptos"/>
          <w:color w:val="000000" w:themeColor="text1"/>
        </w:rPr>
        <w:t>CVD</w:t>
      </w:r>
      <w:r w:rsidR="00432712" w:rsidRPr="433A6E45">
        <w:rPr>
          <w:rFonts w:ascii="Aptos" w:eastAsia="Times New Roman" w:hAnsi="Aptos"/>
          <w:color w:val="000000" w:themeColor="text1"/>
        </w:rPr>
        <w:t xml:space="preserve"> </w:t>
      </w:r>
      <w:r w:rsidR="001209F1" w:rsidRPr="433A6E45">
        <w:rPr>
          <w:rFonts w:ascii="Aptos" w:eastAsia="Times New Roman" w:hAnsi="Aptos"/>
          <w:color w:val="000000" w:themeColor="text1"/>
        </w:rPr>
        <w:t xml:space="preserve">accounts for </w:t>
      </w:r>
      <w:r w:rsidR="00EB510D" w:rsidRPr="433A6E45">
        <w:rPr>
          <w:rFonts w:ascii="Aptos" w:eastAsia="Times New Roman" w:hAnsi="Aptos"/>
          <w:color w:val="000000" w:themeColor="text1"/>
        </w:rPr>
        <w:t>60% of deaths in patients with obesity</w:t>
      </w:r>
      <w:r w:rsidR="00AD6B77" w:rsidRPr="433A6E45">
        <w:rPr>
          <w:rFonts w:ascii="Aptos" w:eastAsia="Times New Roman" w:hAnsi="Aptos"/>
          <w:color w:val="000000" w:themeColor="text1"/>
        </w:rPr>
        <w:t xml:space="preserve">, who are also 70% </w:t>
      </w:r>
      <w:r w:rsidR="009F3701" w:rsidRPr="433A6E45">
        <w:rPr>
          <w:rFonts w:ascii="Aptos" w:eastAsia="Times New Roman" w:hAnsi="Aptos"/>
          <w:color w:val="000000" w:themeColor="text1"/>
        </w:rPr>
        <w:t>more at risk to suffer from hypertension</w:t>
      </w:r>
      <w:r w:rsidR="007009DA">
        <w:rPr>
          <w:rFonts w:ascii="Aptos" w:eastAsia="Times New Roman" w:hAnsi="Aptos"/>
          <w:color w:val="000000" w:themeColor="text1"/>
        </w:rPr>
        <w:t xml:space="preserve"> </w:t>
      </w:r>
      <w:r w:rsidR="004B1157" w:rsidRPr="433A6E45">
        <w:rPr>
          <w:rFonts w:ascii="Aptos" w:eastAsia="Times New Roman" w:hAnsi="Aptos"/>
          <w:color w:val="000000" w:themeColor="text1"/>
        </w:rPr>
        <w:t>a</w:t>
      </w:r>
      <w:r w:rsidR="000968D0" w:rsidRPr="433A6E45">
        <w:rPr>
          <w:rFonts w:ascii="Aptos" w:eastAsia="Times New Roman" w:hAnsi="Aptos"/>
          <w:color w:val="000000" w:themeColor="text1"/>
        </w:rPr>
        <w:t>nd</w:t>
      </w:r>
      <w:r w:rsidR="00252EC1" w:rsidRPr="433A6E45">
        <w:rPr>
          <w:rFonts w:ascii="Aptos" w:eastAsia="Times New Roman" w:hAnsi="Aptos"/>
          <w:color w:val="000000" w:themeColor="text1"/>
        </w:rPr>
        <w:t xml:space="preserve"> </w:t>
      </w:r>
      <w:r w:rsidR="00D83EF1" w:rsidRPr="433A6E45">
        <w:rPr>
          <w:rFonts w:ascii="Aptos" w:eastAsia="Times New Roman" w:hAnsi="Aptos"/>
          <w:color w:val="000000" w:themeColor="text1"/>
        </w:rPr>
        <w:t>obstructive sleep apnoea</w:t>
      </w:r>
      <w:r w:rsidR="005E352A" w:rsidRPr="433A6E45">
        <w:rPr>
          <w:rFonts w:ascii="Aptos" w:eastAsia="Times New Roman" w:hAnsi="Aptos"/>
          <w:color w:val="000000" w:themeColor="text1"/>
        </w:rPr>
        <w:t xml:space="preserve"> </w:t>
      </w:r>
      <w:r w:rsidR="00D83EF1" w:rsidRPr="433A6E45">
        <w:rPr>
          <w:rFonts w:ascii="Aptos" w:eastAsia="Times New Roman" w:hAnsi="Aptos"/>
          <w:color w:val="000000" w:themeColor="text1"/>
        </w:rPr>
        <w:t>(OSA</w:t>
      </w:r>
      <w:r w:rsidR="00B037E3" w:rsidRPr="433A6E45">
        <w:rPr>
          <w:rFonts w:ascii="Aptos" w:eastAsia="Times New Roman" w:hAnsi="Aptos"/>
          <w:color w:val="000000" w:themeColor="text1"/>
        </w:rPr>
        <w:t xml:space="preserve">) (Sarma </w:t>
      </w:r>
      <w:r w:rsidR="00B037E3" w:rsidRPr="433A6E45">
        <w:rPr>
          <w:rFonts w:ascii="Aptos" w:eastAsia="Times New Roman" w:hAnsi="Aptos"/>
          <w:i/>
          <w:color w:val="000000" w:themeColor="text1"/>
        </w:rPr>
        <w:t>et al.</w:t>
      </w:r>
      <w:r w:rsidR="00B037E3" w:rsidRPr="433A6E45">
        <w:rPr>
          <w:rFonts w:ascii="Aptos" w:eastAsia="Times New Roman" w:hAnsi="Aptos"/>
          <w:color w:val="000000" w:themeColor="text1"/>
        </w:rPr>
        <w:t xml:space="preserve">, 2021). </w:t>
      </w:r>
      <w:r w:rsidR="00E06EC0" w:rsidRPr="433A6E45">
        <w:rPr>
          <w:rFonts w:ascii="Aptos" w:eastAsia="Times New Roman" w:hAnsi="Aptos"/>
          <w:color w:val="000000" w:themeColor="text1"/>
        </w:rPr>
        <w:t xml:space="preserve">Additionally, </w:t>
      </w:r>
      <w:r w:rsidR="001F6FD5" w:rsidRPr="433A6E45">
        <w:rPr>
          <w:rFonts w:ascii="Aptos" w:eastAsia="Times New Roman" w:hAnsi="Aptos"/>
          <w:color w:val="000000" w:themeColor="text1"/>
        </w:rPr>
        <w:t>elevated t</w:t>
      </w:r>
      <w:r w:rsidR="006F6258" w:rsidRPr="433A6E45">
        <w:rPr>
          <w:rFonts w:ascii="Aptos" w:eastAsia="Times New Roman" w:hAnsi="Aptos"/>
          <w:color w:val="000000" w:themeColor="text1"/>
        </w:rPr>
        <w:t>r</w:t>
      </w:r>
      <w:r w:rsidR="001F6FD5" w:rsidRPr="433A6E45">
        <w:rPr>
          <w:rFonts w:ascii="Aptos" w:eastAsia="Times New Roman" w:hAnsi="Aptos"/>
          <w:color w:val="000000" w:themeColor="text1"/>
        </w:rPr>
        <w:t>iglyceride levels, lowe</w:t>
      </w:r>
      <w:r w:rsidR="00B948A6" w:rsidRPr="433A6E45">
        <w:rPr>
          <w:rFonts w:ascii="Aptos" w:eastAsia="Times New Roman" w:hAnsi="Aptos"/>
          <w:color w:val="000000" w:themeColor="text1"/>
        </w:rPr>
        <w:t>r</w:t>
      </w:r>
      <w:r w:rsidR="001F6FD5" w:rsidRPr="433A6E45">
        <w:rPr>
          <w:rFonts w:ascii="Aptos" w:eastAsia="Times New Roman" w:hAnsi="Aptos"/>
          <w:color w:val="000000" w:themeColor="text1"/>
        </w:rPr>
        <w:t xml:space="preserve"> HDL cholesterol</w:t>
      </w:r>
      <w:r w:rsidR="00E75AD5" w:rsidRPr="433A6E45">
        <w:rPr>
          <w:rFonts w:ascii="Aptos" w:eastAsia="Times New Roman" w:hAnsi="Aptos"/>
          <w:color w:val="000000" w:themeColor="text1"/>
        </w:rPr>
        <w:t xml:space="preserve"> and</w:t>
      </w:r>
      <w:r w:rsidR="00B948A6" w:rsidRPr="433A6E45">
        <w:rPr>
          <w:rFonts w:ascii="Aptos" w:eastAsia="Times New Roman" w:hAnsi="Aptos"/>
          <w:color w:val="000000" w:themeColor="text1"/>
        </w:rPr>
        <w:t xml:space="preserve"> increased LDL cholesterol levels due </w:t>
      </w:r>
      <w:r w:rsidR="009B6816" w:rsidRPr="433A6E45">
        <w:rPr>
          <w:rFonts w:ascii="Aptos" w:eastAsia="Times New Roman" w:hAnsi="Aptos"/>
          <w:color w:val="000000" w:themeColor="text1"/>
        </w:rPr>
        <w:t xml:space="preserve">to insulin resistance </w:t>
      </w:r>
      <w:r w:rsidR="006F6258" w:rsidRPr="433A6E45">
        <w:rPr>
          <w:rFonts w:ascii="Aptos" w:eastAsia="Times New Roman" w:hAnsi="Aptos"/>
          <w:color w:val="000000" w:themeColor="text1"/>
        </w:rPr>
        <w:t>and increased lipid flux,</w:t>
      </w:r>
      <w:r w:rsidR="00E75AD5" w:rsidRPr="433A6E45">
        <w:rPr>
          <w:rFonts w:ascii="Aptos" w:eastAsia="Times New Roman" w:hAnsi="Aptos"/>
          <w:color w:val="000000" w:themeColor="text1"/>
        </w:rPr>
        <w:t xml:space="preserve"> as well as non-alcoholic fatty liver disease (NAFLD)</w:t>
      </w:r>
      <w:r w:rsidR="00EC6DF8" w:rsidRPr="433A6E45">
        <w:rPr>
          <w:rFonts w:ascii="Aptos" w:eastAsia="Times New Roman" w:hAnsi="Aptos"/>
          <w:color w:val="000000" w:themeColor="text1"/>
        </w:rPr>
        <w:t>,</w:t>
      </w:r>
      <w:r w:rsidR="00E75AD5" w:rsidRPr="433A6E45">
        <w:rPr>
          <w:rFonts w:ascii="Aptos" w:eastAsia="Times New Roman" w:hAnsi="Aptos"/>
          <w:color w:val="000000" w:themeColor="text1"/>
        </w:rPr>
        <w:t xml:space="preserve"> </w:t>
      </w:r>
      <w:r w:rsidR="00604071">
        <w:rPr>
          <w:rFonts w:ascii="Aptos" w:eastAsia="Times New Roman" w:hAnsi="Aptos"/>
          <w:color w:val="000000" w:themeColor="text1"/>
        </w:rPr>
        <w:t>and type 2 diabetes</w:t>
      </w:r>
      <w:r w:rsidR="00C349C3">
        <w:rPr>
          <w:rFonts w:ascii="Aptos" w:eastAsia="Times New Roman" w:hAnsi="Aptos"/>
          <w:color w:val="000000" w:themeColor="text1"/>
        </w:rPr>
        <w:t xml:space="preserve"> mellitus</w:t>
      </w:r>
      <w:r w:rsidR="00604071">
        <w:rPr>
          <w:rFonts w:ascii="Aptos" w:eastAsia="Times New Roman" w:hAnsi="Aptos"/>
          <w:color w:val="000000" w:themeColor="text1"/>
        </w:rPr>
        <w:t xml:space="preserve"> (T2D</w:t>
      </w:r>
      <w:r w:rsidR="00C349C3">
        <w:rPr>
          <w:rFonts w:ascii="Aptos" w:eastAsia="Times New Roman" w:hAnsi="Aptos"/>
          <w:color w:val="000000" w:themeColor="text1"/>
        </w:rPr>
        <w:t>M</w:t>
      </w:r>
      <w:r w:rsidR="00604071">
        <w:rPr>
          <w:rFonts w:ascii="Aptos" w:eastAsia="Times New Roman" w:hAnsi="Aptos"/>
          <w:color w:val="000000" w:themeColor="text1"/>
        </w:rPr>
        <w:t>)</w:t>
      </w:r>
      <w:r w:rsidR="00C349C3">
        <w:rPr>
          <w:rFonts w:ascii="Aptos" w:eastAsia="Times New Roman" w:hAnsi="Aptos"/>
          <w:color w:val="000000" w:themeColor="text1"/>
        </w:rPr>
        <w:t xml:space="preserve">, </w:t>
      </w:r>
      <w:r w:rsidR="00723D48" w:rsidRPr="433A6E45">
        <w:rPr>
          <w:rFonts w:ascii="Aptos" w:eastAsia="Times New Roman" w:hAnsi="Aptos"/>
          <w:color w:val="000000" w:themeColor="text1"/>
        </w:rPr>
        <w:t xml:space="preserve">are </w:t>
      </w:r>
      <w:r w:rsidR="00D07F8E" w:rsidRPr="433A6E45">
        <w:rPr>
          <w:rFonts w:ascii="Aptos" w:eastAsia="Times New Roman" w:hAnsi="Aptos"/>
          <w:color w:val="000000" w:themeColor="text1"/>
        </w:rPr>
        <w:t>prevalent</w:t>
      </w:r>
      <w:r w:rsidR="00723D48" w:rsidRPr="433A6E45">
        <w:rPr>
          <w:rFonts w:ascii="Aptos" w:eastAsia="Times New Roman" w:hAnsi="Aptos"/>
          <w:color w:val="000000" w:themeColor="text1"/>
        </w:rPr>
        <w:t xml:space="preserve"> in patients with obesity</w:t>
      </w:r>
      <w:r w:rsidR="00EC6DF8" w:rsidRPr="433A6E45">
        <w:rPr>
          <w:rFonts w:ascii="Aptos" w:eastAsia="Times New Roman" w:hAnsi="Aptos"/>
          <w:color w:val="000000" w:themeColor="text1"/>
        </w:rPr>
        <w:t xml:space="preserve"> </w:t>
      </w:r>
      <w:r w:rsidR="00EC6DF8" w:rsidRPr="433A6E45">
        <w:rPr>
          <w:rFonts w:ascii="Aptos" w:eastAsia="Times New Roman" w:hAnsi="Aptos"/>
          <w:color w:val="000000" w:themeColor="text1"/>
        </w:rPr>
        <w:t>(</w:t>
      </w:r>
      <w:r w:rsidR="00B37520" w:rsidRPr="00B37520">
        <w:rPr>
          <w:rFonts w:ascii="Aptos" w:eastAsia="Times New Roman" w:hAnsi="Aptos"/>
          <w:color w:val="000000" w:themeColor="text1"/>
        </w:rPr>
        <w:t>Park</w:t>
      </w:r>
      <w:r w:rsidR="00E44E9A">
        <w:rPr>
          <w:rFonts w:ascii="Aptos" w:eastAsia="Times New Roman" w:hAnsi="Aptos"/>
          <w:color w:val="000000" w:themeColor="text1"/>
        </w:rPr>
        <w:t xml:space="preserve"> </w:t>
      </w:r>
      <w:r w:rsidR="00E44E9A">
        <w:rPr>
          <w:rFonts w:ascii="Aptos" w:eastAsia="Times New Roman" w:hAnsi="Aptos"/>
          <w:i/>
          <w:iCs/>
          <w:color w:val="000000" w:themeColor="text1"/>
        </w:rPr>
        <w:t>et al.</w:t>
      </w:r>
      <w:r w:rsidR="00E44E9A">
        <w:rPr>
          <w:rFonts w:ascii="Aptos" w:eastAsia="Times New Roman" w:hAnsi="Aptos"/>
          <w:color w:val="000000" w:themeColor="text1"/>
        </w:rPr>
        <w:t>,</w:t>
      </w:r>
      <w:r w:rsidR="00B37520" w:rsidRPr="00B37520">
        <w:rPr>
          <w:rFonts w:ascii="Aptos" w:eastAsia="Times New Roman" w:hAnsi="Aptos"/>
          <w:color w:val="000000" w:themeColor="text1"/>
        </w:rPr>
        <w:t xml:space="preserve"> 2015</w:t>
      </w:r>
      <w:r w:rsidR="00E44E9A">
        <w:rPr>
          <w:rFonts w:ascii="Aptos" w:eastAsia="Times New Roman" w:hAnsi="Aptos"/>
          <w:color w:val="000000" w:themeColor="text1"/>
        </w:rPr>
        <w:t xml:space="preserve">; </w:t>
      </w:r>
      <w:r w:rsidR="00EC6DF8" w:rsidRPr="433A6E45">
        <w:rPr>
          <w:rFonts w:ascii="Aptos" w:eastAsia="Times New Roman" w:hAnsi="Aptos"/>
          <w:color w:val="000000" w:themeColor="text1"/>
        </w:rPr>
        <w:t xml:space="preserve">Sarma </w:t>
      </w:r>
      <w:r w:rsidR="00EC6DF8" w:rsidRPr="433A6E45">
        <w:rPr>
          <w:rFonts w:ascii="Aptos" w:eastAsia="Times New Roman" w:hAnsi="Aptos"/>
          <w:i/>
          <w:color w:val="000000" w:themeColor="text1"/>
        </w:rPr>
        <w:t>et al.</w:t>
      </w:r>
      <w:r w:rsidR="00EC6DF8" w:rsidRPr="433A6E45">
        <w:rPr>
          <w:rFonts w:ascii="Aptos" w:eastAsia="Times New Roman" w:hAnsi="Aptos"/>
          <w:color w:val="000000" w:themeColor="text1"/>
        </w:rPr>
        <w:t>, 2021</w:t>
      </w:r>
      <w:r w:rsidR="00B37520">
        <w:rPr>
          <w:rFonts w:ascii="Aptos" w:eastAsia="Times New Roman" w:hAnsi="Aptos"/>
          <w:color w:val="000000"/>
        </w:rPr>
        <w:t>)</w:t>
      </w:r>
      <w:r w:rsidR="00EC6DF8" w:rsidRPr="433A6E45">
        <w:rPr>
          <w:rFonts w:ascii="Aptos" w:eastAsia="Times New Roman" w:hAnsi="Aptos"/>
          <w:color w:val="000000" w:themeColor="text1"/>
        </w:rPr>
        <w:t>.</w:t>
      </w:r>
      <w:r w:rsidR="00B72E51" w:rsidRPr="433A6E45">
        <w:rPr>
          <w:rFonts w:ascii="Aptos" w:eastAsia="Times New Roman" w:hAnsi="Aptos"/>
          <w:color w:val="000000" w:themeColor="text1"/>
        </w:rPr>
        <w:t xml:space="preserve"> </w:t>
      </w:r>
    </w:p>
    <w:p w14:paraId="09018DCE" w14:textId="77777777" w:rsidR="009025BC" w:rsidRDefault="00C96A8A" w:rsidP="002E698D">
      <w:pPr>
        <w:spacing w:after="0"/>
        <w:rPr>
          <w:rFonts w:ascii="Aptos" w:eastAsia="Times New Roman" w:hAnsi="Aptos"/>
          <w:color w:val="000000" w:themeColor="text1"/>
        </w:rPr>
      </w:pPr>
      <w:r w:rsidRPr="433A6E45">
        <w:rPr>
          <w:rFonts w:ascii="Aptos" w:eastAsia="Times New Roman" w:hAnsi="Aptos"/>
          <w:color w:val="000000" w:themeColor="text1"/>
        </w:rPr>
        <w:lastRenderedPageBreak/>
        <w:t xml:space="preserve">A 2009 </w:t>
      </w:r>
      <w:r w:rsidR="00FD3947" w:rsidRPr="433A6E45">
        <w:rPr>
          <w:rFonts w:ascii="Aptos" w:eastAsia="Times New Roman" w:hAnsi="Aptos"/>
          <w:color w:val="000000" w:themeColor="text1"/>
        </w:rPr>
        <w:t xml:space="preserve">prospective study found that for every </w:t>
      </w:r>
      <w:r w:rsidR="00753BFD" w:rsidRPr="433A6E45">
        <w:rPr>
          <w:rFonts w:ascii="Aptos" w:eastAsia="Times New Roman" w:hAnsi="Aptos"/>
          <w:color w:val="000000" w:themeColor="text1"/>
        </w:rPr>
        <w:t>5-unit increase in BMI over 25, overall mortality increased by 29</w:t>
      </w:r>
      <w:r w:rsidR="006F7A8E" w:rsidRPr="433A6E45">
        <w:rPr>
          <w:rFonts w:ascii="Aptos" w:eastAsia="Times New Roman" w:hAnsi="Aptos"/>
          <w:color w:val="000000" w:themeColor="text1"/>
        </w:rPr>
        <w:t>%, vascular mortality by 41% and diabetes-</w:t>
      </w:r>
      <w:r w:rsidR="001123D2" w:rsidRPr="433A6E45">
        <w:rPr>
          <w:rFonts w:ascii="Aptos" w:eastAsia="Times New Roman" w:hAnsi="Aptos"/>
          <w:color w:val="000000" w:themeColor="text1"/>
        </w:rPr>
        <w:t>related</w:t>
      </w:r>
      <w:r w:rsidR="006F7A8E" w:rsidRPr="433A6E45">
        <w:rPr>
          <w:rFonts w:ascii="Aptos" w:eastAsia="Times New Roman" w:hAnsi="Aptos"/>
          <w:color w:val="000000" w:themeColor="text1"/>
        </w:rPr>
        <w:t xml:space="preserve"> </w:t>
      </w:r>
      <w:r w:rsidR="001123D2" w:rsidRPr="433A6E45">
        <w:rPr>
          <w:rFonts w:ascii="Aptos" w:eastAsia="Times New Roman" w:hAnsi="Aptos"/>
          <w:color w:val="000000" w:themeColor="text1"/>
        </w:rPr>
        <w:t>mortality by 210% (Prospective Studies Collaboration, 2009).</w:t>
      </w:r>
      <w:r w:rsidR="006528E2" w:rsidRPr="433A6E45">
        <w:rPr>
          <w:rFonts w:ascii="Aptos" w:eastAsia="Times New Roman" w:hAnsi="Aptos"/>
          <w:color w:val="000000" w:themeColor="text1"/>
        </w:rPr>
        <w:t xml:space="preserve"> </w:t>
      </w:r>
      <w:r w:rsidR="00AF71C8" w:rsidRPr="433A6E45">
        <w:rPr>
          <w:rFonts w:ascii="Aptos" w:eastAsia="Times New Roman" w:hAnsi="Aptos"/>
          <w:color w:val="000000" w:themeColor="text1"/>
        </w:rPr>
        <w:t xml:space="preserve">Consequently, weight loss </w:t>
      </w:r>
      <w:r w:rsidR="004B26FD" w:rsidRPr="433A6E45">
        <w:rPr>
          <w:rFonts w:ascii="Aptos" w:eastAsia="Times New Roman" w:hAnsi="Aptos"/>
          <w:color w:val="000000" w:themeColor="text1"/>
        </w:rPr>
        <w:t xml:space="preserve">of </w:t>
      </w:r>
      <w:r w:rsidR="001B04D6" w:rsidRPr="433A6E45">
        <w:rPr>
          <w:rFonts w:ascii="Aptos" w:eastAsia="Times New Roman" w:hAnsi="Aptos"/>
          <w:color w:val="000000" w:themeColor="text1"/>
        </w:rPr>
        <w:t>5% of initial weight for BMI 25 to 35 and 1</w:t>
      </w:r>
      <w:r w:rsidR="00C50C2F" w:rsidRPr="433A6E45">
        <w:rPr>
          <w:rFonts w:ascii="Aptos" w:eastAsia="Times New Roman" w:hAnsi="Aptos"/>
          <w:color w:val="000000" w:themeColor="text1"/>
        </w:rPr>
        <w:t xml:space="preserve">0% of initial weight for BMI over 35 would result in </w:t>
      </w:r>
      <w:r w:rsidR="00434882" w:rsidRPr="433A6E45">
        <w:rPr>
          <w:rFonts w:ascii="Aptos" w:eastAsia="Times New Roman" w:hAnsi="Aptos"/>
          <w:color w:val="000000" w:themeColor="text1"/>
        </w:rPr>
        <w:t xml:space="preserve">reduction in obesity-related diseases, </w:t>
      </w:r>
      <w:r w:rsidR="006B2729" w:rsidRPr="433A6E45">
        <w:rPr>
          <w:rFonts w:ascii="Aptos" w:eastAsia="Times New Roman" w:hAnsi="Aptos"/>
          <w:color w:val="000000" w:themeColor="text1"/>
        </w:rPr>
        <w:t>improvement in obesity-related risk factors</w:t>
      </w:r>
      <w:r w:rsidR="000D2EFE" w:rsidRPr="433A6E45">
        <w:rPr>
          <w:rFonts w:ascii="Aptos" w:eastAsia="Times New Roman" w:hAnsi="Aptos"/>
          <w:color w:val="000000" w:themeColor="text1"/>
        </w:rPr>
        <w:t>,</w:t>
      </w:r>
      <w:r w:rsidR="006B2729" w:rsidRPr="433A6E45">
        <w:rPr>
          <w:rFonts w:ascii="Aptos" w:eastAsia="Times New Roman" w:hAnsi="Aptos"/>
          <w:color w:val="000000" w:themeColor="text1"/>
        </w:rPr>
        <w:t xml:space="preserve"> and</w:t>
      </w:r>
      <w:r w:rsidR="00C2702D" w:rsidRPr="433A6E45">
        <w:rPr>
          <w:rFonts w:ascii="Aptos" w:eastAsia="Times New Roman" w:hAnsi="Aptos"/>
          <w:color w:val="000000" w:themeColor="text1"/>
        </w:rPr>
        <w:t xml:space="preserve"> </w:t>
      </w:r>
      <w:r w:rsidR="00955507" w:rsidRPr="433A6E45">
        <w:rPr>
          <w:rFonts w:ascii="Aptos" w:eastAsia="Times New Roman" w:hAnsi="Aptos"/>
          <w:color w:val="000000" w:themeColor="text1"/>
        </w:rPr>
        <w:t>great</w:t>
      </w:r>
      <w:r w:rsidR="00E16F5D" w:rsidRPr="433A6E45">
        <w:rPr>
          <w:rFonts w:ascii="Aptos" w:eastAsia="Times New Roman" w:hAnsi="Aptos"/>
          <w:color w:val="000000" w:themeColor="text1"/>
        </w:rPr>
        <w:t>er</w:t>
      </w:r>
      <w:r w:rsidR="006B2729" w:rsidRPr="433A6E45">
        <w:rPr>
          <w:rFonts w:ascii="Aptos" w:eastAsia="Times New Roman" w:hAnsi="Aptos"/>
          <w:color w:val="000000" w:themeColor="text1"/>
        </w:rPr>
        <w:t xml:space="preserve"> quality of life</w:t>
      </w:r>
      <w:r w:rsidR="003450E3" w:rsidRPr="433A6E45">
        <w:rPr>
          <w:rFonts w:ascii="Aptos" w:eastAsia="Times New Roman" w:hAnsi="Aptos"/>
          <w:color w:val="000000" w:themeColor="text1"/>
        </w:rPr>
        <w:t xml:space="preserve"> </w:t>
      </w:r>
      <w:r w:rsidR="00A168A3" w:rsidRPr="433A6E45">
        <w:rPr>
          <w:rFonts w:ascii="Aptos" w:eastAsia="Times New Roman" w:hAnsi="Aptos"/>
          <w:color w:val="000000" w:themeColor="text1"/>
        </w:rPr>
        <w:t xml:space="preserve">(Wirth </w:t>
      </w:r>
      <w:r w:rsidR="00A168A3" w:rsidRPr="433A6E45">
        <w:rPr>
          <w:rFonts w:ascii="Aptos" w:eastAsia="Times New Roman" w:hAnsi="Aptos"/>
          <w:i/>
          <w:color w:val="000000" w:themeColor="text1"/>
        </w:rPr>
        <w:t>et al.</w:t>
      </w:r>
      <w:r w:rsidR="00A168A3" w:rsidRPr="433A6E45">
        <w:rPr>
          <w:rFonts w:ascii="Aptos" w:eastAsia="Times New Roman" w:hAnsi="Aptos"/>
          <w:color w:val="000000" w:themeColor="text1"/>
        </w:rPr>
        <w:t>, 2014).</w:t>
      </w:r>
      <w:r w:rsidR="0079703C" w:rsidRPr="433A6E45">
        <w:rPr>
          <w:rFonts w:ascii="Aptos" w:eastAsia="Times New Roman" w:hAnsi="Aptos"/>
          <w:color w:val="000000" w:themeColor="text1"/>
        </w:rPr>
        <w:t xml:space="preserve"> </w:t>
      </w:r>
    </w:p>
    <w:p w14:paraId="0EC74DDA" w14:textId="708DF159" w:rsidR="0086716C" w:rsidRDefault="00B24617" w:rsidP="002E698D">
      <w:pPr>
        <w:spacing w:after="0"/>
        <w:rPr>
          <w:rFonts w:ascii="Aptos" w:eastAsia="Times New Roman" w:hAnsi="Aptos"/>
          <w:color w:val="000000"/>
        </w:rPr>
      </w:pPr>
      <w:r w:rsidRPr="433A6E45">
        <w:rPr>
          <w:rFonts w:ascii="Aptos" w:eastAsia="Times New Roman" w:hAnsi="Aptos"/>
          <w:color w:val="000000" w:themeColor="text1"/>
        </w:rPr>
        <w:t xml:space="preserve">Bariatric surgery </w:t>
      </w:r>
      <w:r w:rsidR="00C862AD">
        <w:rPr>
          <w:rFonts w:ascii="Aptos" w:eastAsia="Times New Roman" w:hAnsi="Aptos"/>
          <w:color w:val="000000" w:themeColor="text1"/>
        </w:rPr>
        <w:t>has contributed to significant</w:t>
      </w:r>
      <w:r w:rsidR="004B4CFB">
        <w:rPr>
          <w:rFonts w:ascii="Aptos" w:eastAsia="Times New Roman" w:hAnsi="Aptos"/>
          <w:color w:val="000000" w:themeColor="text1"/>
        </w:rPr>
        <w:t xml:space="preserve"> </w:t>
      </w:r>
      <w:r w:rsidR="00F42FDD" w:rsidRPr="433A6E45">
        <w:rPr>
          <w:rFonts w:ascii="Aptos" w:eastAsia="Times New Roman" w:hAnsi="Aptos"/>
          <w:color w:val="000000" w:themeColor="text1"/>
        </w:rPr>
        <w:t xml:space="preserve"> </w:t>
      </w:r>
      <w:r w:rsidR="00AD2798" w:rsidRPr="433A6E45">
        <w:rPr>
          <w:rFonts w:ascii="Aptos" w:eastAsia="Times New Roman" w:hAnsi="Aptos"/>
          <w:color w:val="000000" w:themeColor="text1"/>
        </w:rPr>
        <w:t>weight loss</w:t>
      </w:r>
      <w:r w:rsidR="00243BEF">
        <w:rPr>
          <w:rFonts w:ascii="Aptos" w:eastAsia="Times New Roman" w:hAnsi="Aptos"/>
          <w:color w:val="000000" w:themeColor="text1"/>
        </w:rPr>
        <w:t xml:space="preserve"> (</w:t>
      </w:r>
      <w:r w:rsidR="002974A4">
        <w:rPr>
          <w:rFonts w:ascii="Aptos" w:eastAsia="Times New Roman" w:hAnsi="Aptos"/>
          <w:color w:val="000000" w:themeColor="text1"/>
        </w:rPr>
        <w:t xml:space="preserve">20 to 30% </w:t>
      </w:r>
      <w:r w:rsidR="00420FF5">
        <w:rPr>
          <w:rFonts w:ascii="Aptos" w:eastAsia="Times New Roman" w:hAnsi="Aptos"/>
          <w:color w:val="000000" w:themeColor="text1"/>
        </w:rPr>
        <w:t xml:space="preserve">of </w:t>
      </w:r>
      <w:r w:rsidR="00FC4FBE">
        <w:rPr>
          <w:rFonts w:ascii="Aptos" w:eastAsia="Times New Roman" w:hAnsi="Aptos"/>
          <w:color w:val="000000" w:themeColor="text1"/>
        </w:rPr>
        <w:t xml:space="preserve">baseline </w:t>
      </w:r>
      <w:r w:rsidR="00420FF5">
        <w:rPr>
          <w:rFonts w:ascii="Aptos" w:eastAsia="Times New Roman" w:hAnsi="Aptos"/>
          <w:color w:val="000000" w:themeColor="text1"/>
        </w:rPr>
        <w:t>bodyweight)</w:t>
      </w:r>
      <w:r w:rsidR="00420FF5" w:rsidRPr="433A6E45">
        <w:rPr>
          <w:rFonts w:ascii="Aptos" w:eastAsia="Times New Roman" w:hAnsi="Aptos"/>
          <w:color w:val="000000" w:themeColor="text1"/>
        </w:rPr>
        <w:t xml:space="preserve"> for patients with a BMI of 40 or over and patients with a BMI between 35 and 40 who also have obesity-related diseases and have not been successful in losing weight previously with other weight loss strategies</w:t>
      </w:r>
      <w:r w:rsidR="003365B6">
        <w:rPr>
          <w:rFonts w:ascii="Aptos" w:eastAsia="Times New Roman" w:hAnsi="Aptos"/>
          <w:color w:val="000000" w:themeColor="text1"/>
        </w:rPr>
        <w:t xml:space="preserve"> </w:t>
      </w:r>
      <w:r w:rsidR="003365B6" w:rsidRPr="003365B6">
        <w:rPr>
          <w:rFonts w:ascii="Aptos" w:eastAsia="Times New Roman" w:hAnsi="Aptos"/>
          <w:color w:val="000000" w:themeColor="text1"/>
        </w:rPr>
        <w:t>(Maciejewski</w:t>
      </w:r>
      <w:r w:rsidR="003365B6" w:rsidRPr="003365B6">
        <w:rPr>
          <w:rFonts w:ascii="Aptos" w:eastAsia="Times New Roman" w:hAnsi="Aptos"/>
          <w:i/>
          <w:iCs/>
          <w:color w:val="000000" w:themeColor="text1"/>
        </w:rPr>
        <w:t xml:space="preserve"> et al.,</w:t>
      </w:r>
      <w:r w:rsidR="003365B6" w:rsidRPr="003365B6">
        <w:rPr>
          <w:rFonts w:ascii="Aptos" w:eastAsia="Times New Roman" w:hAnsi="Aptos"/>
          <w:color w:val="000000" w:themeColor="text1"/>
        </w:rPr>
        <w:t xml:space="preserve"> 2016</w:t>
      </w:r>
      <w:r w:rsidR="003365B6">
        <w:rPr>
          <w:rFonts w:ascii="Aptos" w:eastAsia="Times New Roman" w:hAnsi="Aptos"/>
          <w:color w:val="000000" w:themeColor="text1"/>
        </w:rPr>
        <w:t>). H</w:t>
      </w:r>
      <w:r w:rsidR="00420FF5" w:rsidRPr="433A6E45">
        <w:rPr>
          <w:rFonts w:ascii="Aptos" w:eastAsia="Times New Roman" w:hAnsi="Aptos"/>
          <w:color w:val="000000" w:themeColor="text1"/>
        </w:rPr>
        <w:t>owever, bariatric interventions are invasive and some are irreversible, and involve nutritional, dietary and psychological post-surgery challenges which can impact long-term weight loss</w:t>
      </w:r>
      <w:r w:rsidR="00420FF5">
        <w:rPr>
          <w:rFonts w:ascii="Aptos" w:eastAsia="Times New Roman" w:hAnsi="Aptos"/>
          <w:color w:val="000000" w:themeColor="text1"/>
        </w:rPr>
        <w:t xml:space="preserve"> maintenance</w:t>
      </w:r>
      <w:r w:rsidR="00420FF5" w:rsidRPr="433A6E45">
        <w:rPr>
          <w:rFonts w:ascii="Aptos" w:eastAsia="Times New Roman" w:hAnsi="Aptos"/>
          <w:color w:val="000000" w:themeColor="text1"/>
        </w:rPr>
        <w:t xml:space="preserve"> </w:t>
      </w:r>
      <w:r w:rsidR="003365B6">
        <w:rPr>
          <w:rFonts w:ascii="Aptos" w:eastAsia="Times New Roman" w:hAnsi="Aptos"/>
          <w:color w:val="000000" w:themeColor="text1"/>
        </w:rPr>
        <w:t>(</w:t>
      </w:r>
      <w:r w:rsidR="00420FF5" w:rsidRPr="433A6E45">
        <w:rPr>
          <w:rFonts w:ascii="Aptos" w:eastAsia="Times New Roman" w:hAnsi="Aptos"/>
          <w:color w:val="000000" w:themeColor="text1"/>
        </w:rPr>
        <w:t>McGrice and Don</w:t>
      </w:r>
      <w:r w:rsidR="007D157F">
        <w:rPr>
          <w:rFonts w:ascii="Aptos" w:eastAsia="Times New Roman" w:hAnsi="Aptos"/>
          <w:color w:val="000000" w:themeColor="text1"/>
        </w:rPr>
        <w:t xml:space="preserve"> </w:t>
      </w:r>
      <w:r w:rsidR="000F0032" w:rsidRPr="433A6E45">
        <w:rPr>
          <w:rFonts w:ascii="Aptos" w:eastAsia="Times New Roman" w:hAnsi="Aptos"/>
          <w:color w:val="000000" w:themeColor="text1"/>
        </w:rPr>
        <w:t>Paul, 2015)</w:t>
      </w:r>
      <w:r w:rsidR="000F3D71" w:rsidRPr="433A6E45">
        <w:rPr>
          <w:rFonts w:ascii="Aptos" w:eastAsia="Times New Roman" w:hAnsi="Aptos"/>
          <w:color w:val="000000" w:themeColor="text1"/>
        </w:rPr>
        <w:t>.</w:t>
      </w:r>
      <w:r w:rsidR="001407FD" w:rsidRPr="433A6E45">
        <w:rPr>
          <w:rFonts w:ascii="Aptos" w:eastAsia="Times New Roman" w:hAnsi="Aptos"/>
          <w:color w:val="000000" w:themeColor="text1"/>
        </w:rPr>
        <w:t xml:space="preserve"> </w:t>
      </w:r>
      <w:r w:rsidR="004134D6" w:rsidRPr="433A6E45">
        <w:rPr>
          <w:rFonts w:ascii="Aptos" w:eastAsia="Times New Roman" w:hAnsi="Aptos"/>
          <w:color w:val="000000" w:themeColor="text1"/>
        </w:rPr>
        <w:t>Moreover, i</w:t>
      </w:r>
      <w:r w:rsidR="001407FD" w:rsidRPr="433A6E45">
        <w:rPr>
          <w:rFonts w:ascii="Aptos" w:eastAsia="Times New Roman" w:hAnsi="Aptos"/>
          <w:color w:val="000000" w:themeColor="text1"/>
        </w:rPr>
        <w:t xml:space="preserve">t is estimated that 1 out of 5 patients </w:t>
      </w:r>
      <w:r w:rsidR="00003A34" w:rsidRPr="433A6E45">
        <w:rPr>
          <w:rFonts w:ascii="Aptos" w:eastAsia="Times New Roman" w:hAnsi="Aptos"/>
          <w:color w:val="000000" w:themeColor="text1"/>
        </w:rPr>
        <w:t xml:space="preserve">regain over 15% of their body weight 5 years after bariatric surgery </w:t>
      </w:r>
      <w:r w:rsidR="0051396C" w:rsidRPr="433A6E45">
        <w:rPr>
          <w:rFonts w:ascii="Aptos" w:eastAsia="Times New Roman" w:hAnsi="Aptos"/>
          <w:color w:val="000000" w:themeColor="text1"/>
        </w:rPr>
        <w:t>(Tolvanen</w:t>
      </w:r>
      <w:r w:rsidR="0051396C" w:rsidRPr="433A6E45">
        <w:rPr>
          <w:rFonts w:ascii="Aptos" w:eastAsia="Times New Roman" w:hAnsi="Aptos"/>
          <w:i/>
          <w:color w:val="000000" w:themeColor="text1"/>
        </w:rPr>
        <w:t xml:space="preserve"> et al.,</w:t>
      </w:r>
      <w:r w:rsidR="0051396C" w:rsidRPr="433A6E45">
        <w:rPr>
          <w:rFonts w:ascii="Aptos" w:eastAsia="Times New Roman" w:hAnsi="Aptos"/>
          <w:color w:val="000000" w:themeColor="text1"/>
        </w:rPr>
        <w:t xml:space="preserve"> 2022).</w:t>
      </w:r>
    </w:p>
    <w:p w14:paraId="42FAD959" w14:textId="61615048" w:rsidR="0067337F" w:rsidRDefault="008243B9" w:rsidP="002E698D">
      <w:pPr>
        <w:spacing w:after="0"/>
        <w:rPr>
          <w:rFonts w:ascii="Aptos" w:eastAsia="Times New Roman" w:hAnsi="Aptos"/>
          <w:color w:val="000000"/>
        </w:rPr>
      </w:pPr>
      <w:r>
        <w:rPr>
          <w:rFonts w:ascii="Aptos" w:eastAsia="Times New Roman" w:hAnsi="Aptos"/>
          <w:color w:val="000000"/>
        </w:rPr>
        <w:t xml:space="preserve">Pharmacotherapy </w:t>
      </w:r>
      <w:r w:rsidR="00F469CD">
        <w:rPr>
          <w:rFonts w:ascii="Aptos" w:eastAsia="Times New Roman" w:hAnsi="Aptos"/>
          <w:color w:val="000000"/>
        </w:rPr>
        <w:t xml:space="preserve">for the treatment of obesity is a non-invasive </w:t>
      </w:r>
      <w:r w:rsidR="00500EBC">
        <w:rPr>
          <w:rFonts w:ascii="Aptos" w:eastAsia="Times New Roman" w:hAnsi="Aptos"/>
          <w:color w:val="000000"/>
        </w:rPr>
        <w:t xml:space="preserve">option </w:t>
      </w:r>
      <w:r w:rsidR="00F0649B">
        <w:rPr>
          <w:rFonts w:ascii="Aptos" w:eastAsia="Times New Roman" w:hAnsi="Aptos"/>
          <w:color w:val="000000"/>
        </w:rPr>
        <w:t xml:space="preserve">which has </w:t>
      </w:r>
      <w:r w:rsidR="00C62977">
        <w:rPr>
          <w:rFonts w:ascii="Aptos" w:eastAsia="Times New Roman" w:hAnsi="Aptos"/>
          <w:color w:val="000000"/>
        </w:rPr>
        <w:t>shown</w:t>
      </w:r>
      <w:r w:rsidR="00576CE1">
        <w:rPr>
          <w:rFonts w:ascii="Aptos" w:eastAsia="Times New Roman" w:hAnsi="Aptos"/>
          <w:color w:val="000000"/>
        </w:rPr>
        <w:t xml:space="preserve"> </w:t>
      </w:r>
      <w:r w:rsidR="00023B6D">
        <w:rPr>
          <w:rFonts w:ascii="Aptos" w:eastAsia="Times New Roman" w:hAnsi="Aptos"/>
          <w:color w:val="000000"/>
        </w:rPr>
        <w:t>encouraging</w:t>
      </w:r>
      <w:r w:rsidR="00576CE1">
        <w:rPr>
          <w:rFonts w:ascii="Aptos" w:eastAsia="Times New Roman" w:hAnsi="Aptos"/>
          <w:color w:val="000000"/>
        </w:rPr>
        <w:t xml:space="preserve"> </w:t>
      </w:r>
      <w:r w:rsidR="00023B6D">
        <w:rPr>
          <w:rFonts w:ascii="Aptos" w:eastAsia="Times New Roman" w:hAnsi="Aptos"/>
          <w:color w:val="000000"/>
        </w:rPr>
        <w:t>results</w:t>
      </w:r>
      <w:r w:rsidR="00F0649B">
        <w:rPr>
          <w:rFonts w:ascii="Aptos" w:eastAsia="Times New Roman" w:hAnsi="Aptos"/>
          <w:color w:val="000000"/>
        </w:rPr>
        <w:t xml:space="preserve"> </w:t>
      </w:r>
      <w:r w:rsidR="003D2858">
        <w:rPr>
          <w:rFonts w:ascii="Aptos" w:eastAsia="Times New Roman" w:hAnsi="Aptos"/>
          <w:color w:val="000000"/>
        </w:rPr>
        <w:t>for</w:t>
      </w:r>
      <w:r w:rsidR="003310A4">
        <w:rPr>
          <w:rFonts w:ascii="Aptos" w:eastAsia="Times New Roman" w:hAnsi="Aptos"/>
          <w:color w:val="000000"/>
        </w:rPr>
        <w:t xml:space="preserve"> weight loss in conjunction with </w:t>
      </w:r>
      <w:r w:rsidR="008771C6">
        <w:rPr>
          <w:rFonts w:ascii="Aptos" w:eastAsia="Times New Roman" w:hAnsi="Aptos"/>
          <w:color w:val="000000"/>
        </w:rPr>
        <w:t>lifestyle changes</w:t>
      </w:r>
      <w:r w:rsidR="00492C9D">
        <w:rPr>
          <w:rFonts w:ascii="Aptos" w:eastAsia="Times New Roman" w:hAnsi="Aptos"/>
          <w:color w:val="000000"/>
        </w:rPr>
        <w:t xml:space="preserve"> </w:t>
      </w:r>
      <w:r w:rsidR="00A33A05">
        <w:rPr>
          <w:rFonts w:ascii="Aptos" w:eastAsia="Times New Roman" w:hAnsi="Aptos"/>
          <w:color w:val="000000"/>
        </w:rPr>
        <w:t>(Christensen</w:t>
      </w:r>
      <w:r w:rsidR="00571049">
        <w:rPr>
          <w:rFonts w:ascii="Aptos" w:eastAsia="Times New Roman" w:hAnsi="Aptos"/>
          <w:color w:val="000000"/>
        </w:rPr>
        <w:t xml:space="preserve"> </w:t>
      </w:r>
      <w:r w:rsidR="00571049">
        <w:rPr>
          <w:rFonts w:ascii="Aptos" w:eastAsia="Times New Roman" w:hAnsi="Aptos"/>
          <w:i/>
          <w:iCs/>
          <w:color w:val="000000"/>
        </w:rPr>
        <w:t>et al.</w:t>
      </w:r>
      <w:r w:rsidR="00A33A05">
        <w:rPr>
          <w:rFonts w:ascii="Aptos" w:eastAsia="Times New Roman" w:hAnsi="Aptos"/>
          <w:color w:val="000000"/>
        </w:rPr>
        <w:t>, 2019)</w:t>
      </w:r>
      <w:r w:rsidR="00571049">
        <w:rPr>
          <w:rFonts w:ascii="Aptos" w:eastAsia="Times New Roman" w:hAnsi="Aptos"/>
          <w:color w:val="000000"/>
        </w:rPr>
        <w:t xml:space="preserve">. </w:t>
      </w:r>
      <w:r w:rsidR="00F32270" w:rsidRPr="00F32270">
        <w:rPr>
          <w:rFonts w:ascii="Aptos" w:eastAsia="Times New Roman" w:hAnsi="Aptos"/>
          <w:color w:val="000000"/>
        </w:rPr>
        <w:t>Pharmacology for obesity has increased in popularity with the discovery of</w:t>
      </w:r>
      <w:r w:rsidR="00527B12" w:rsidRPr="00527B12">
        <w:rPr>
          <w:rFonts w:ascii="Aptos" w:eastAsia="Times New Roman" w:hAnsi="Aptos"/>
          <w:color w:val="000000"/>
        </w:rPr>
        <w:t xml:space="preserve"> </w:t>
      </w:r>
      <w:r w:rsidR="00527B12" w:rsidRPr="00527B12">
        <w:rPr>
          <w:rFonts w:ascii="Aptos" w:eastAsia="Times New Roman" w:hAnsi="Aptos"/>
          <w:color w:val="000000"/>
        </w:rPr>
        <w:t>Glucagon-like peptide 1</w:t>
      </w:r>
      <w:r w:rsidR="00527B12">
        <w:rPr>
          <w:rFonts w:ascii="Aptos" w:eastAsia="Times New Roman" w:hAnsi="Aptos"/>
          <w:color w:val="000000"/>
        </w:rPr>
        <w:t>(</w:t>
      </w:r>
      <w:r w:rsidR="00F32270" w:rsidRPr="00F32270">
        <w:rPr>
          <w:rFonts w:ascii="Aptos" w:eastAsia="Times New Roman" w:hAnsi="Aptos"/>
          <w:color w:val="000000"/>
        </w:rPr>
        <w:t>GLP</w:t>
      </w:r>
      <w:r w:rsidR="00AD598A">
        <w:rPr>
          <w:rFonts w:ascii="Aptos" w:eastAsia="Times New Roman" w:hAnsi="Aptos"/>
          <w:color w:val="000000"/>
        </w:rPr>
        <w:t>-1</w:t>
      </w:r>
      <w:r w:rsidR="00527B12">
        <w:rPr>
          <w:rFonts w:ascii="Aptos" w:eastAsia="Times New Roman" w:hAnsi="Aptos"/>
          <w:color w:val="000000"/>
        </w:rPr>
        <w:t>)</w:t>
      </w:r>
      <w:r w:rsidR="00F32270" w:rsidRPr="00F32270">
        <w:rPr>
          <w:rFonts w:ascii="Aptos" w:eastAsia="Times New Roman" w:hAnsi="Aptos"/>
          <w:color w:val="000000"/>
        </w:rPr>
        <w:t xml:space="preserve">, initially </w:t>
      </w:r>
      <w:r w:rsidR="0034677B">
        <w:rPr>
          <w:rFonts w:ascii="Aptos" w:eastAsia="Times New Roman" w:hAnsi="Aptos"/>
          <w:color w:val="000000"/>
        </w:rPr>
        <w:t>used</w:t>
      </w:r>
      <w:r w:rsidR="00F32270" w:rsidRPr="00F32270">
        <w:rPr>
          <w:rFonts w:ascii="Aptos" w:eastAsia="Times New Roman" w:hAnsi="Aptos"/>
          <w:color w:val="000000"/>
        </w:rPr>
        <w:t xml:space="preserve"> to treat type 2 diabetes (Ard</w:t>
      </w:r>
      <w:r w:rsidR="00F32270" w:rsidRPr="00F32270">
        <w:rPr>
          <w:rFonts w:ascii="Aptos" w:eastAsia="Times New Roman" w:hAnsi="Aptos"/>
          <w:i/>
          <w:iCs/>
          <w:color w:val="000000"/>
        </w:rPr>
        <w:t xml:space="preserve"> et al.,</w:t>
      </w:r>
      <w:r w:rsidR="00F32270" w:rsidRPr="00F32270">
        <w:rPr>
          <w:rFonts w:ascii="Aptos" w:eastAsia="Times New Roman" w:hAnsi="Aptos"/>
          <w:color w:val="000000"/>
        </w:rPr>
        <w:t xml:space="preserve"> 2021). </w:t>
      </w:r>
      <w:r w:rsidR="00B512E9">
        <w:rPr>
          <w:rFonts w:ascii="Aptos" w:eastAsia="Times New Roman" w:hAnsi="Aptos"/>
          <w:color w:val="000000"/>
        </w:rPr>
        <w:t>GLP-</w:t>
      </w:r>
      <w:r w:rsidR="00527B12">
        <w:rPr>
          <w:rFonts w:ascii="Aptos" w:eastAsia="Times New Roman" w:hAnsi="Aptos"/>
          <w:color w:val="000000"/>
        </w:rPr>
        <w:t xml:space="preserve">1 </w:t>
      </w:r>
      <w:r w:rsidR="0072154D">
        <w:rPr>
          <w:rFonts w:ascii="Aptos" w:eastAsia="Times New Roman" w:hAnsi="Aptos"/>
          <w:color w:val="000000"/>
        </w:rPr>
        <w:t xml:space="preserve">is an incretin hormone released </w:t>
      </w:r>
      <w:r w:rsidR="001F389E">
        <w:rPr>
          <w:rFonts w:ascii="Aptos" w:eastAsia="Times New Roman" w:hAnsi="Aptos"/>
          <w:color w:val="000000"/>
        </w:rPr>
        <w:t xml:space="preserve">from the gut enteroendocrine </w:t>
      </w:r>
      <w:r w:rsidR="00CD4918">
        <w:rPr>
          <w:rFonts w:ascii="Aptos" w:eastAsia="Times New Roman" w:hAnsi="Aptos"/>
          <w:color w:val="000000"/>
        </w:rPr>
        <w:t xml:space="preserve">cells which </w:t>
      </w:r>
      <w:r w:rsidR="00CA1AB0">
        <w:rPr>
          <w:rFonts w:ascii="Aptos" w:eastAsia="Times New Roman" w:hAnsi="Aptos"/>
          <w:color w:val="000000"/>
        </w:rPr>
        <w:t xml:space="preserve">both stimulates insulin secretion and inhibit </w:t>
      </w:r>
      <w:r w:rsidR="008F5406">
        <w:rPr>
          <w:rFonts w:ascii="Aptos" w:eastAsia="Times New Roman" w:hAnsi="Aptos"/>
          <w:color w:val="000000"/>
        </w:rPr>
        <w:t>glucagon secretion (Holst, 2019).</w:t>
      </w:r>
      <w:r w:rsidR="0099326E">
        <w:rPr>
          <w:rFonts w:ascii="Aptos" w:eastAsia="Times New Roman" w:hAnsi="Aptos"/>
          <w:color w:val="000000"/>
        </w:rPr>
        <w:t xml:space="preserve"> GLP-1 </w:t>
      </w:r>
      <w:r w:rsidR="00D36F27">
        <w:rPr>
          <w:rFonts w:ascii="Aptos" w:eastAsia="Times New Roman" w:hAnsi="Aptos"/>
          <w:color w:val="000000"/>
        </w:rPr>
        <w:t>inhibits gastric emptying and food intake</w:t>
      </w:r>
      <w:r w:rsidR="00D82D2A">
        <w:rPr>
          <w:rFonts w:ascii="Aptos" w:eastAsia="Times New Roman" w:hAnsi="Aptos"/>
          <w:color w:val="000000"/>
        </w:rPr>
        <w:t xml:space="preserve"> which promote weight loss (Drucker, 2018)</w:t>
      </w:r>
      <w:r w:rsidR="00F70FD1">
        <w:rPr>
          <w:rFonts w:ascii="Aptos" w:eastAsia="Times New Roman" w:hAnsi="Aptos"/>
          <w:color w:val="000000"/>
        </w:rPr>
        <w:t>.</w:t>
      </w:r>
      <w:r w:rsidR="00C10B9B">
        <w:rPr>
          <w:rFonts w:ascii="Aptos" w:eastAsia="Times New Roman" w:hAnsi="Aptos"/>
          <w:color w:val="000000"/>
        </w:rPr>
        <w:t xml:space="preserve"> </w:t>
      </w:r>
      <w:r w:rsidR="006A7CF1">
        <w:rPr>
          <w:rFonts w:ascii="Aptos" w:eastAsia="Times New Roman" w:hAnsi="Aptos"/>
          <w:color w:val="000000"/>
        </w:rPr>
        <w:t>However</w:t>
      </w:r>
      <w:r w:rsidR="0034492E">
        <w:rPr>
          <w:rFonts w:ascii="Aptos" w:eastAsia="Times New Roman" w:hAnsi="Aptos"/>
          <w:color w:val="000000"/>
        </w:rPr>
        <w:t>,</w:t>
      </w:r>
      <w:r w:rsidR="006A7CF1">
        <w:rPr>
          <w:rFonts w:ascii="Aptos" w:eastAsia="Times New Roman" w:hAnsi="Aptos"/>
          <w:color w:val="000000"/>
        </w:rPr>
        <w:t xml:space="preserve"> </w:t>
      </w:r>
      <w:r w:rsidR="005F0991">
        <w:rPr>
          <w:rFonts w:ascii="Aptos" w:eastAsia="Times New Roman" w:hAnsi="Aptos"/>
          <w:color w:val="000000"/>
        </w:rPr>
        <w:t>due to the</w:t>
      </w:r>
      <w:r w:rsidR="005F0991" w:rsidRPr="005F0991">
        <w:rPr>
          <w:rFonts w:ascii="Aptos" w:eastAsia="Times New Roman" w:hAnsi="Aptos"/>
          <w:color w:val="000000"/>
        </w:rPr>
        <w:t xml:space="preserve"> </w:t>
      </w:r>
      <w:r w:rsidR="005F0991" w:rsidRPr="005F0991">
        <w:rPr>
          <w:rFonts w:ascii="Aptos" w:eastAsia="Times New Roman" w:hAnsi="Aptos"/>
          <w:color w:val="000000"/>
        </w:rPr>
        <w:t>short half-life</w:t>
      </w:r>
      <w:r w:rsidR="005F0991">
        <w:rPr>
          <w:rFonts w:ascii="Aptos" w:eastAsia="Times New Roman" w:hAnsi="Aptos"/>
          <w:color w:val="000000"/>
        </w:rPr>
        <w:t xml:space="preserve"> of </w:t>
      </w:r>
      <w:r w:rsidR="006A7CF1">
        <w:rPr>
          <w:rFonts w:ascii="Aptos" w:eastAsia="Times New Roman" w:hAnsi="Aptos"/>
          <w:color w:val="000000"/>
        </w:rPr>
        <w:t>G</w:t>
      </w:r>
      <w:r w:rsidR="00E96556">
        <w:rPr>
          <w:rFonts w:ascii="Aptos" w:eastAsia="Times New Roman" w:hAnsi="Aptos"/>
          <w:color w:val="000000"/>
        </w:rPr>
        <w:t>L</w:t>
      </w:r>
      <w:r w:rsidR="006A7CF1">
        <w:rPr>
          <w:rFonts w:ascii="Aptos" w:eastAsia="Times New Roman" w:hAnsi="Aptos"/>
          <w:color w:val="000000"/>
        </w:rPr>
        <w:t>P-1</w:t>
      </w:r>
      <w:r w:rsidR="00407B69">
        <w:rPr>
          <w:rFonts w:ascii="Aptos" w:eastAsia="Times New Roman" w:hAnsi="Aptos"/>
          <w:color w:val="000000"/>
        </w:rPr>
        <w:t xml:space="preserve"> in humans</w:t>
      </w:r>
      <w:r w:rsidR="00F839D0">
        <w:rPr>
          <w:rFonts w:ascii="Aptos" w:eastAsia="Times New Roman" w:hAnsi="Aptos"/>
          <w:color w:val="000000"/>
        </w:rPr>
        <w:t>,</w:t>
      </w:r>
      <w:r w:rsidR="000A6E96">
        <w:rPr>
          <w:rFonts w:ascii="Aptos" w:eastAsia="Times New Roman" w:hAnsi="Aptos"/>
          <w:color w:val="000000"/>
        </w:rPr>
        <w:t xml:space="preserve"> long-term injectable </w:t>
      </w:r>
      <w:r w:rsidR="001C2542">
        <w:rPr>
          <w:rFonts w:ascii="Aptos" w:eastAsia="Times New Roman" w:hAnsi="Aptos"/>
          <w:color w:val="000000"/>
        </w:rPr>
        <w:t>GLP-1</w:t>
      </w:r>
      <w:r w:rsidR="000A6E96">
        <w:rPr>
          <w:rFonts w:ascii="Aptos" w:eastAsia="Times New Roman" w:hAnsi="Aptos"/>
          <w:color w:val="000000"/>
        </w:rPr>
        <w:t>analogues</w:t>
      </w:r>
      <w:r w:rsidR="0034492E">
        <w:rPr>
          <w:rFonts w:ascii="Aptos" w:eastAsia="Times New Roman" w:hAnsi="Aptos"/>
          <w:color w:val="000000"/>
        </w:rPr>
        <w:t>,</w:t>
      </w:r>
      <w:r w:rsidR="001C2542">
        <w:rPr>
          <w:rFonts w:ascii="Aptos" w:eastAsia="Times New Roman" w:hAnsi="Aptos"/>
          <w:color w:val="000000"/>
        </w:rPr>
        <w:t xml:space="preserve"> or GLP-1 receptor agonists (RA</w:t>
      </w:r>
      <w:r w:rsidR="00986BFB">
        <w:rPr>
          <w:rFonts w:ascii="Aptos" w:eastAsia="Times New Roman" w:hAnsi="Aptos"/>
          <w:color w:val="000000"/>
        </w:rPr>
        <w:t>s</w:t>
      </w:r>
      <w:r w:rsidR="001C2542">
        <w:rPr>
          <w:rFonts w:ascii="Aptos" w:eastAsia="Times New Roman" w:hAnsi="Aptos"/>
          <w:color w:val="000000"/>
        </w:rPr>
        <w:t>)</w:t>
      </w:r>
      <w:r w:rsidR="0034492E">
        <w:rPr>
          <w:rFonts w:ascii="Aptos" w:eastAsia="Times New Roman" w:hAnsi="Aptos"/>
          <w:color w:val="000000"/>
        </w:rPr>
        <w:t>,</w:t>
      </w:r>
      <w:r w:rsidR="00A76F68">
        <w:rPr>
          <w:rFonts w:ascii="Aptos" w:eastAsia="Times New Roman" w:hAnsi="Aptos"/>
          <w:color w:val="000000"/>
        </w:rPr>
        <w:t xml:space="preserve"> were </w:t>
      </w:r>
      <w:r w:rsidR="000433A6">
        <w:rPr>
          <w:rFonts w:ascii="Aptos" w:eastAsia="Times New Roman" w:hAnsi="Aptos"/>
          <w:color w:val="000000"/>
        </w:rPr>
        <w:t>synthesised</w:t>
      </w:r>
      <w:r w:rsidR="00A76F68">
        <w:rPr>
          <w:rFonts w:ascii="Aptos" w:eastAsia="Times New Roman" w:hAnsi="Aptos"/>
          <w:color w:val="000000"/>
        </w:rPr>
        <w:t xml:space="preserve"> </w:t>
      </w:r>
      <w:r w:rsidR="00DB6B93">
        <w:rPr>
          <w:rFonts w:ascii="Aptos" w:eastAsia="Times New Roman" w:hAnsi="Aptos"/>
          <w:color w:val="000000"/>
        </w:rPr>
        <w:t>(Holst, 2019).</w:t>
      </w:r>
      <w:r w:rsidR="0045128E">
        <w:rPr>
          <w:rFonts w:ascii="Aptos" w:eastAsia="Times New Roman" w:hAnsi="Aptos"/>
          <w:color w:val="000000"/>
        </w:rPr>
        <w:t xml:space="preserve"> GLP-1 R</w:t>
      </w:r>
      <w:r w:rsidR="00E8774D">
        <w:rPr>
          <w:rFonts w:ascii="Aptos" w:eastAsia="Times New Roman" w:hAnsi="Aptos"/>
          <w:color w:val="000000"/>
        </w:rPr>
        <w:t xml:space="preserve">As are </w:t>
      </w:r>
      <w:r w:rsidR="00287D2B">
        <w:rPr>
          <w:rFonts w:ascii="Aptos" w:eastAsia="Times New Roman" w:hAnsi="Aptos"/>
          <w:color w:val="000000"/>
        </w:rPr>
        <w:t xml:space="preserve">an </w:t>
      </w:r>
      <w:r w:rsidR="00A8785A">
        <w:rPr>
          <w:rFonts w:ascii="Aptos" w:eastAsia="Times New Roman" w:hAnsi="Aptos"/>
          <w:color w:val="000000"/>
        </w:rPr>
        <w:t xml:space="preserve">efficient treatment for </w:t>
      </w:r>
      <w:r w:rsidR="00425EF4">
        <w:rPr>
          <w:rFonts w:ascii="Aptos" w:eastAsia="Times New Roman" w:hAnsi="Aptos"/>
          <w:color w:val="000000"/>
        </w:rPr>
        <w:t xml:space="preserve">T2DM and can </w:t>
      </w:r>
      <w:r w:rsidR="00F06FC5">
        <w:rPr>
          <w:rFonts w:ascii="Aptos" w:eastAsia="Times New Roman" w:hAnsi="Aptos"/>
          <w:color w:val="000000"/>
        </w:rPr>
        <w:t xml:space="preserve">induce weight loss in excess of 10% </w:t>
      </w:r>
      <w:r w:rsidR="00870149">
        <w:rPr>
          <w:rFonts w:ascii="Aptos" w:eastAsia="Times New Roman" w:hAnsi="Aptos"/>
          <w:color w:val="000000"/>
        </w:rPr>
        <w:t>of body weight, as well as reducing cardiovascular risk and mortality</w:t>
      </w:r>
      <w:r w:rsidR="00F901C9">
        <w:rPr>
          <w:rFonts w:ascii="Aptos" w:eastAsia="Times New Roman" w:hAnsi="Aptos"/>
          <w:color w:val="000000"/>
        </w:rPr>
        <w:t xml:space="preserve">, according to </w:t>
      </w:r>
      <w:r w:rsidR="001B19B0">
        <w:rPr>
          <w:rFonts w:ascii="Aptos" w:eastAsia="Times New Roman" w:hAnsi="Aptos"/>
          <w:color w:val="000000"/>
        </w:rPr>
        <w:t>recent studies</w:t>
      </w:r>
      <w:r w:rsidR="00287D2B">
        <w:rPr>
          <w:rFonts w:ascii="Aptos" w:eastAsia="Times New Roman" w:hAnsi="Aptos"/>
          <w:color w:val="000000"/>
        </w:rPr>
        <w:t xml:space="preserve"> </w:t>
      </w:r>
      <w:r w:rsidR="001217B0">
        <w:rPr>
          <w:rFonts w:ascii="Aptos" w:eastAsia="Times New Roman" w:hAnsi="Aptos"/>
          <w:color w:val="000000"/>
        </w:rPr>
        <w:t>(Garvey</w:t>
      </w:r>
      <w:r w:rsidR="001217B0">
        <w:rPr>
          <w:rFonts w:ascii="Aptos" w:eastAsia="Times New Roman" w:hAnsi="Aptos"/>
          <w:i/>
          <w:iCs/>
          <w:color w:val="000000"/>
        </w:rPr>
        <w:t xml:space="preserve"> et al.,</w:t>
      </w:r>
      <w:r w:rsidR="001217B0">
        <w:rPr>
          <w:rFonts w:ascii="Aptos" w:eastAsia="Times New Roman" w:hAnsi="Aptos"/>
          <w:color w:val="000000"/>
        </w:rPr>
        <w:t xml:space="preserve"> 2022; </w:t>
      </w:r>
      <w:r w:rsidR="00287D2B" w:rsidRPr="00287D2B">
        <w:rPr>
          <w:rFonts w:ascii="Aptos" w:eastAsia="Times New Roman" w:hAnsi="Aptos"/>
          <w:color w:val="000000"/>
        </w:rPr>
        <w:t>Holst, 2019</w:t>
      </w:r>
      <w:r w:rsidR="001F0AF7">
        <w:rPr>
          <w:rFonts w:ascii="Aptos" w:eastAsia="Times New Roman" w:hAnsi="Aptos"/>
          <w:color w:val="000000"/>
        </w:rPr>
        <w:t>;</w:t>
      </w:r>
      <w:r w:rsidR="001F0AF7" w:rsidRPr="001F0AF7">
        <w:rPr>
          <w:rFonts w:ascii="Aptos" w:eastAsia="Times New Roman" w:hAnsi="Aptos"/>
          <w:color w:val="000000"/>
        </w:rPr>
        <w:t xml:space="preserve"> </w:t>
      </w:r>
      <w:r w:rsidR="00971C2D">
        <w:rPr>
          <w:rFonts w:ascii="Aptos" w:eastAsia="Times New Roman" w:hAnsi="Aptos"/>
          <w:color w:val="000000"/>
        </w:rPr>
        <w:t>O'Neil</w:t>
      </w:r>
      <w:r w:rsidR="00971C2D">
        <w:rPr>
          <w:rFonts w:ascii="Aptos" w:eastAsia="Times New Roman" w:hAnsi="Aptos"/>
          <w:i/>
          <w:iCs/>
          <w:color w:val="000000"/>
        </w:rPr>
        <w:t xml:space="preserve"> et al.,</w:t>
      </w:r>
      <w:r w:rsidR="00971C2D">
        <w:rPr>
          <w:rFonts w:ascii="Aptos" w:eastAsia="Times New Roman" w:hAnsi="Aptos"/>
          <w:color w:val="000000"/>
        </w:rPr>
        <w:t xml:space="preserve"> 2018</w:t>
      </w:r>
      <w:r w:rsidR="000216BC">
        <w:rPr>
          <w:rFonts w:ascii="Aptos" w:eastAsia="Times New Roman" w:hAnsi="Aptos"/>
          <w:color w:val="000000"/>
        </w:rPr>
        <w:t xml:space="preserve">; </w:t>
      </w:r>
      <w:r w:rsidR="002A0A9E">
        <w:rPr>
          <w:rFonts w:ascii="Aptos" w:eastAsia="Times New Roman" w:hAnsi="Aptos"/>
          <w:color w:val="000000"/>
        </w:rPr>
        <w:t>Rubino</w:t>
      </w:r>
      <w:r w:rsidR="002A0A9E">
        <w:rPr>
          <w:rFonts w:ascii="Aptos" w:eastAsia="Times New Roman" w:hAnsi="Aptos"/>
          <w:i/>
          <w:iCs/>
          <w:color w:val="000000"/>
        </w:rPr>
        <w:t xml:space="preserve"> et al.,</w:t>
      </w:r>
      <w:r w:rsidR="002A0A9E">
        <w:rPr>
          <w:rFonts w:ascii="Aptos" w:eastAsia="Times New Roman" w:hAnsi="Aptos"/>
          <w:color w:val="000000"/>
        </w:rPr>
        <w:t xml:space="preserve"> 2021; </w:t>
      </w:r>
      <w:r w:rsidR="001F0AF7" w:rsidRPr="001F0AF7">
        <w:rPr>
          <w:rFonts w:ascii="Aptos" w:eastAsia="Times New Roman" w:hAnsi="Aptos"/>
          <w:color w:val="000000"/>
        </w:rPr>
        <w:t>Rubino</w:t>
      </w:r>
      <w:r w:rsidR="001F0AF7" w:rsidRPr="001F0AF7">
        <w:rPr>
          <w:rFonts w:ascii="Aptos" w:eastAsia="Times New Roman" w:hAnsi="Aptos"/>
          <w:i/>
          <w:iCs/>
          <w:color w:val="000000"/>
        </w:rPr>
        <w:t xml:space="preserve"> et al.,</w:t>
      </w:r>
      <w:r w:rsidR="001F0AF7" w:rsidRPr="001F0AF7">
        <w:rPr>
          <w:rFonts w:ascii="Aptos" w:eastAsia="Times New Roman" w:hAnsi="Aptos"/>
          <w:color w:val="000000"/>
        </w:rPr>
        <w:t xml:space="preserve"> 2022</w:t>
      </w:r>
      <w:r w:rsidR="00EC76E3">
        <w:rPr>
          <w:rFonts w:ascii="Aptos" w:eastAsia="Times New Roman" w:hAnsi="Aptos"/>
          <w:color w:val="000000"/>
        </w:rPr>
        <w:t>;</w:t>
      </w:r>
      <w:r w:rsidR="00EC76E3" w:rsidRPr="00EC76E3">
        <w:rPr>
          <w:rFonts w:ascii="Aptos" w:eastAsia="Times New Roman" w:hAnsi="Aptos"/>
          <w:color w:val="000000"/>
        </w:rPr>
        <w:t xml:space="preserve"> </w:t>
      </w:r>
      <w:r w:rsidR="00E86946">
        <w:rPr>
          <w:rFonts w:ascii="Aptos" w:eastAsia="Times New Roman" w:hAnsi="Aptos"/>
          <w:color w:val="000000"/>
        </w:rPr>
        <w:t>Wadden</w:t>
      </w:r>
      <w:r w:rsidR="00E86946">
        <w:rPr>
          <w:rFonts w:ascii="Aptos" w:eastAsia="Times New Roman" w:hAnsi="Aptos"/>
          <w:i/>
          <w:iCs/>
          <w:color w:val="000000"/>
        </w:rPr>
        <w:t xml:space="preserve"> et al.,</w:t>
      </w:r>
      <w:r w:rsidR="00E86946">
        <w:rPr>
          <w:rFonts w:ascii="Aptos" w:eastAsia="Times New Roman" w:hAnsi="Aptos"/>
          <w:color w:val="000000"/>
        </w:rPr>
        <w:t xml:space="preserve"> 2021; </w:t>
      </w:r>
      <w:r w:rsidR="00EC76E3" w:rsidRPr="00EC76E3">
        <w:rPr>
          <w:rFonts w:ascii="Aptos" w:eastAsia="Times New Roman" w:hAnsi="Aptos"/>
          <w:color w:val="000000"/>
        </w:rPr>
        <w:t>Wilding</w:t>
      </w:r>
      <w:r w:rsidR="00EC76E3" w:rsidRPr="00EC76E3">
        <w:rPr>
          <w:rFonts w:ascii="Aptos" w:eastAsia="Times New Roman" w:hAnsi="Aptos"/>
          <w:i/>
          <w:iCs/>
          <w:color w:val="000000"/>
        </w:rPr>
        <w:t xml:space="preserve"> et al.,</w:t>
      </w:r>
      <w:r w:rsidR="00EC76E3" w:rsidRPr="00EC76E3">
        <w:rPr>
          <w:rFonts w:ascii="Aptos" w:eastAsia="Times New Roman" w:hAnsi="Aptos"/>
          <w:color w:val="000000"/>
        </w:rPr>
        <w:t xml:space="preserve"> 2021</w:t>
      </w:r>
      <w:r w:rsidR="00287D2B" w:rsidRPr="00287D2B">
        <w:rPr>
          <w:rFonts w:ascii="Aptos" w:eastAsia="Times New Roman" w:hAnsi="Aptos"/>
          <w:color w:val="000000"/>
        </w:rPr>
        <w:t>).</w:t>
      </w:r>
    </w:p>
    <w:p w14:paraId="3B6FF7D2" w14:textId="0D73D9B0" w:rsidR="001F2B58" w:rsidRDefault="00F21C24" w:rsidP="002E698D">
      <w:pPr>
        <w:spacing w:after="0"/>
        <w:rPr>
          <w:rFonts w:ascii="Aptos" w:eastAsia="Times New Roman" w:hAnsi="Aptos"/>
          <w:color w:val="000000"/>
        </w:rPr>
      </w:pPr>
      <w:r>
        <w:rPr>
          <w:rFonts w:ascii="Aptos" w:eastAsia="Times New Roman" w:hAnsi="Aptos"/>
          <w:color w:val="000000"/>
        </w:rPr>
        <w:t xml:space="preserve">Different </w:t>
      </w:r>
      <w:r w:rsidR="006D310A">
        <w:rPr>
          <w:rFonts w:ascii="Aptos" w:eastAsia="Times New Roman" w:hAnsi="Aptos"/>
          <w:color w:val="000000"/>
        </w:rPr>
        <w:t>GLP1-RAs</w:t>
      </w:r>
      <w:r w:rsidR="00D30A39">
        <w:rPr>
          <w:rFonts w:ascii="Aptos" w:eastAsia="Times New Roman" w:hAnsi="Aptos"/>
          <w:color w:val="000000"/>
        </w:rPr>
        <w:t xml:space="preserve"> var</w:t>
      </w:r>
      <w:r w:rsidR="00A808E5">
        <w:rPr>
          <w:rFonts w:ascii="Aptos" w:eastAsia="Times New Roman" w:hAnsi="Aptos"/>
          <w:color w:val="000000"/>
        </w:rPr>
        <w:t>y in</w:t>
      </w:r>
      <w:r w:rsidR="00DD56F3">
        <w:rPr>
          <w:rFonts w:ascii="Aptos" w:eastAsia="Times New Roman" w:hAnsi="Aptos"/>
          <w:color w:val="000000"/>
        </w:rPr>
        <w:t xml:space="preserve"> molecular size, structure and duration of action (short or long acting)</w:t>
      </w:r>
      <w:r w:rsidR="00427E94">
        <w:rPr>
          <w:rFonts w:ascii="Aptos" w:eastAsia="Times New Roman" w:hAnsi="Aptos"/>
          <w:color w:val="000000"/>
        </w:rPr>
        <w:t xml:space="preserve">, which affect glycaemic control, weight loss </w:t>
      </w:r>
      <w:r w:rsidR="006B3D07">
        <w:rPr>
          <w:rFonts w:ascii="Aptos" w:eastAsia="Times New Roman" w:hAnsi="Aptos"/>
          <w:color w:val="000000"/>
        </w:rPr>
        <w:t xml:space="preserve">capacities, tolerability and </w:t>
      </w:r>
      <w:r w:rsidR="00877394">
        <w:rPr>
          <w:rFonts w:ascii="Aptos" w:eastAsia="Times New Roman" w:hAnsi="Aptos"/>
          <w:color w:val="000000"/>
        </w:rPr>
        <w:t xml:space="preserve">cardiovascular effects in obesity and diabetes </w:t>
      </w:r>
      <w:r w:rsidR="00C41AD7">
        <w:rPr>
          <w:rFonts w:ascii="Aptos" w:eastAsia="Times New Roman" w:hAnsi="Aptos"/>
          <w:color w:val="000000"/>
        </w:rPr>
        <w:t>(Cornell, 2020).</w:t>
      </w:r>
      <w:r w:rsidR="00EE3BBF">
        <w:rPr>
          <w:rFonts w:ascii="Aptos" w:eastAsia="Times New Roman" w:hAnsi="Aptos"/>
          <w:color w:val="000000"/>
        </w:rPr>
        <w:t xml:space="preserve"> </w:t>
      </w:r>
      <w:r w:rsidR="00817C5D">
        <w:rPr>
          <w:rFonts w:ascii="Aptos" w:eastAsia="Times New Roman" w:hAnsi="Aptos"/>
          <w:color w:val="000000"/>
        </w:rPr>
        <w:t>Liraglutide and semaglutide are the most recent GLP-1 R</w:t>
      </w:r>
      <w:r w:rsidR="00E776F0">
        <w:rPr>
          <w:rFonts w:ascii="Aptos" w:eastAsia="Times New Roman" w:hAnsi="Aptos"/>
          <w:color w:val="000000"/>
        </w:rPr>
        <w:t>A</w:t>
      </w:r>
      <w:r w:rsidR="00817C5D">
        <w:rPr>
          <w:rFonts w:ascii="Aptos" w:eastAsia="Times New Roman" w:hAnsi="Aptos"/>
          <w:color w:val="000000"/>
        </w:rPr>
        <w:t>s</w:t>
      </w:r>
      <w:r w:rsidR="00E776F0">
        <w:rPr>
          <w:rFonts w:ascii="Aptos" w:eastAsia="Times New Roman" w:hAnsi="Aptos"/>
          <w:color w:val="000000"/>
        </w:rPr>
        <w:t>, both available as injections</w:t>
      </w:r>
      <w:r w:rsidR="002230A4">
        <w:rPr>
          <w:rFonts w:ascii="Aptos" w:eastAsia="Times New Roman" w:hAnsi="Aptos"/>
          <w:color w:val="000000"/>
        </w:rPr>
        <w:t xml:space="preserve">, </w:t>
      </w:r>
      <w:r w:rsidR="00402C95">
        <w:rPr>
          <w:rFonts w:ascii="Aptos" w:eastAsia="Times New Roman" w:hAnsi="Aptos"/>
          <w:color w:val="000000"/>
        </w:rPr>
        <w:t>but vary</w:t>
      </w:r>
      <w:r w:rsidR="002230A4">
        <w:rPr>
          <w:rFonts w:ascii="Aptos" w:eastAsia="Times New Roman" w:hAnsi="Aptos"/>
          <w:color w:val="000000"/>
        </w:rPr>
        <w:t>ing</w:t>
      </w:r>
      <w:r w:rsidR="00402C95">
        <w:rPr>
          <w:rFonts w:ascii="Aptos" w:eastAsia="Times New Roman" w:hAnsi="Aptos"/>
          <w:color w:val="000000"/>
        </w:rPr>
        <w:t xml:space="preserve"> in dosage:</w:t>
      </w:r>
      <w:r w:rsidR="008A057A">
        <w:rPr>
          <w:rFonts w:ascii="Aptos" w:eastAsia="Times New Roman" w:hAnsi="Aptos"/>
          <w:color w:val="000000"/>
        </w:rPr>
        <w:t xml:space="preserve"> </w:t>
      </w:r>
      <w:r w:rsidR="00775825">
        <w:rPr>
          <w:rFonts w:ascii="Aptos" w:eastAsia="Times New Roman" w:hAnsi="Aptos"/>
          <w:color w:val="000000"/>
        </w:rPr>
        <w:t xml:space="preserve">3.0mg </w:t>
      </w:r>
      <w:r w:rsidR="004B1BA9" w:rsidRPr="004B1BA9">
        <w:rPr>
          <w:rFonts w:ascii="Aptos" w:eastAsia="Times New Roman" w:hAnsi="Aptos"/>
          <w:color w:val="000000"/>
        </w:rPr>
        <w:t xml:space="preserve">dose-escalated </w:t>
      </w:r>
      <w:r w:rsidR="00AE1405">
        <w:rPr>
          <w:rFonts w:ascii="Aptos" w:eastAsia="Times New Roman" w:hAnsi="Aptos"/>
          <w:color w:val="000000"/>
        </w:rPr>
        <w:t>daily injections</w:t>
      </w:r>
      <w:r w:rsidR="00E87902">
        <w:rPr>
          <w:rFonts w:ascii="Aptos" w:eastAsia="Times New Roman" w:hAnsi="Aptos"/>
          <w:color w:val="000000"/>
        </w:rPr>
        <w:t xml:space="preserve"> for</w:t>
      </w:r>
      <w:r w:rsidR="00775825">
        <w:rPr>
          <w:rFonts w:ascii="Aptos" w:eastAsia="Times New Roman" w:hAnsi="Aptos"/>
          <w:color w:val="000000"/>
        </w:rPr>
        <w:t xml:space="preserve"> l</w:t>
      </w:r>
      <w:r w:rsidR="00775825" w:rsidRPr="00775825">
        <w:rPr>
          <w:rFonts w:ascii="Aptos" w:eastAsia="Times New Roman" w:hAnsi="Aptos"/>
          <w:color w:val="000000"/>
        </w:rPr>
        <w:t>iraglutide</w:t>
      </w:r>
      <w:r w:rsidR="00775825">
        <w:rPr>
          <w:rFonts w:ascii="Aptos" w:eastAsia="Times New Roman" w:hAnsi="Aptos"/>
          <w:color w:val="000000"/>
        </w:rPr>
        <w:t xml:space="preserve"> and </w:t>
      </w:r>
      <w:r w:rsidR="00C00892">
        <w:rPr>
          <w:rFonts w:ascii="Aptos" w:eastAsia="Times New Roman" w:hAnsi="Aptos"/>
          <w:color w:val="000000"/>
        </w:rPr>
        <w:t xml:space="preserve">2.4mg </w:t>
      </w:r>
      <w:r w:rsidR="00971D61">
        <w:rPr>
          <w:rFonts w:ascii="Aptos" w:eastAsia="Times New Roman" w:hAnsi="Aptos"/>
          <w:color w:val="000000"/>
        </w:rPr>
        <w:t xml:space="preserve">dose-escalated </w:t>
      </w:r>
      <w:r w:rsidR="002263E6">
        <w:rPr>
          <w:rFonts w:ascii="Aptos" w:eastAsia="Times New Roman" w:hAnsi="Aptos"/>
          <w:color w:val="000000"/>
        </w:rPr>
        <w:t>weekly injections</w:t>
      </w:r>
      <w:r w:rsidR="00E87902">
        <w:rPr>
          <w:rFonts w:ascii="Aptos" w:eastAsia="Times New Roman" w:hAnsi="Aptos"/>
          <w:color w:val="000000"/>
        </w:rPr>
        <w:t xml:space="preserve"> for </w:t>
      </w:r>
      <w:r w:rsidR="00E87902" w:rsidRPr="00E87902">
        <w:rPr>
          <w:rFonts w:ascii="Aptos" w:eastAsia="Times New Roman" w:hAnsi="Aptos"/>
          <w:color w:val="000000"/>
        </w:rPr>
        <w:t>semaglutide</w:t>
      </w:r>
      <w:r w:rsidR="005B013C">
        <w:rPr>
          <w:rFonts w:ascii="Aptos" w:eastAsia="Times New Roman" w:hAnsi="Aptos"/>
          <w:color w:val="000000"/>
        </w:rPr>
        <w:t xml:space="preserve"> </w:t>
      </w:r>
      <w:r w:rsidR="006802F4">
        <w:rPr>
          <w:rFonts w:ascii="Aptos" w:eastAsia="Times New Roman" w:hAnsi="Aptos"/>
          <w:color w:val="000000"/>
        </w:rPr>
        <w:t>appear to be most effective for weight loss</w:t>
      </w:r>
      <w:r w:rsidR="002263E6">
        <w:rPr>
          <w:rFonts w:ascii="Aptos" w:eastAsia="Times New Roman" w:hAnsi="Aptos"/>
          <w:color w:val="000000"/>
        </w:rPr>
        <w:t xml:space="preserve"> </w:t>
      </w:r>
      <w:r w:rsidR="00402C95" w:rsidRPr="00402C95">
        <w:rPr>
          <w:rFonts w:ascii="Aptos" w:eastAsia="Times New Roman" w:hAnsi="Aptos"/>
          <w:color w:val="000000"/>
        </w:rPr>
        <w:t>(Cercato and Fonseca, 2019</w:t>
      </w:r>
      <w:r w:rsidR="00FA2C72">
        <w:rPr>
          <w:rFonts w:ascii="Aptos" w:eastAsia="Times New Roman" w:hAnsi="Aptos"/>
          <w:color w:val="000000"/>
        </w:rPr>
        <w:t>; Friedrichsen</w:t>
      </w:r>
      <w:r w:rsidR="00FA2C72">
        <w:rPr>
          <w:rFonts w:ascii="Aptos" w:eastAsia="Times New Roman" w:hAnsi="Aptos"/>
          <w:i/>
          <w:iCs/>
          <w:color w:val="000000"/>
        </w:rPr>
        <w:t xml:space="preserve"> et al.,</w:t>
      </w:r>
      <w:r w:rsidR="00FA2C72">
        <w:rPr>
          <w:rFonts w:ascii="Aptos" w:eastAsia="Times New Roman" w:hAnsi="Aptos"/>
          <w:color w:val="000000"/>
        </w:rPr>
        <w:t xml:space="preserve"> 2021)</w:t>
      </w:r>
      <w:r w:rsidR="00402C95" w:rsidRPr="00402C95">
        <w:rPr>
          <w:rFonts w:ascii="Aptos" w:eastAsia="Times New Roman" w:hAnsi="Aptos"/>
          <w:color w:val="000000"/>
        </w:rPr>
        <w:t>.</w:t>
      </w:r>
      <w:r w:rsidR="00CC0E2B">
        <w:rPr>
          <w:rFonts w:ascii="Aptos" w:eastAsia="Times New Roman" w:hAnsi="Aptos"/>
          <w:color w:val="000000"/>
        </w:rPr>
        <w:t xml:space="preserve"> </w:t>
      </w:r>
      <w:r w:rsidR="006802F4">
        <w:rPr>
          <w:rFonts w:ascii="Aptos" w:eastAsia="Times New Roman" w:hAnsi="Aptos"/>
          <w:color w:val="000000"/>
        </w:rPr>
        <w:t>Although s</w:t>
      </w:r>
      <w:r w:rsidR="00FC43B6">
        <w:rPr>
          <w:rFonts w:ascii="Aptos" w:eastAsia="Times New Roman" w:hAnsi="Aptos"/>
          <w:color w:val="000000"/>
        </w:rPr>
        <w:t xml:space="preserve">tudies </w:t>
      </w:r>
      <w:r w:rsidR="002C3837">
        <w:rPr>
          <w:rFonts w:ascii="Aptos" w:eastAsia="Times New Roman" w:hAnsi="Aptos"/>
          <w:color w:val="000000"/>
        </w:rPr>
        <w:t xml:space="preserve">have shown that </w:t>
      </w:r>
      <w:r w:rsidR="005010AF">
        <w:rPr>
          <w:rFonts w:ascii="Aptos" w:eastAsia="Times New Roman" w:hAnsi="Aptos"/>
          <w:color w:val="000000"/>
        </w:rPr>
        <w:t>both are effective in weight loss in overweight and obese populations</w:t>
      </w:r>
      <w:r w:rsidR="006802F4">
        <w:rPr>
          <w:rFonts w:ascii="Aptos" w:eastAsia="Times New Roman" w:hAnsi="Aptos"/>
          <w:color w:val="000000"/>
        </w:rPr>
        <w:t xml:space="preserve">, </w:t>
      </w:r>
      <w:r w:rsidR="002C3837">
        <w:rPr>
          <w:rFonts w:ascii="Aptos" w:eastAsia="Times New Roman" w:hAnsi="Aptos"/>
          <w:color w:val="000000"/>
        </w:rPr>
        <w:t xml:space="preserve">semaglutide 2.4mg </w:t>
      </w:r>
      <w:r w:rsidR="000237FF">
        <w:rPr>
          <w:rFonts w:ascii="Aptos" w:eastAsia="Times New Roman" w:hAnsi="Aptos"/>
          <w:color w:val="000000"/>
        </w:rPr>
        <w:t>tends to have</w:t>
      </w:r>
      <w:r w:rsidR="002C3837">
        <w:rPr>
          <w:rFonts w:ascii="Aptos" w:eastAsia="Times New Roman" w:hAnsi="Aptos"/>
          <w:color w:val="000000"/>
        </w:rPr>
        <w:t xml:space="preserve"> higher rates of weight loss compared to liraglutide</w:t>
      </w:r>
      <w:r w:rsidR="00E512B8">
        <w:rPr>
          <w:rFonts w:ascii="Aptos" w:eastAsia="Times New Roman" w:hAnsi="Aptos"/>
          <w:color w:val="000000"/>
        </w:rPr>
        <w:t>,</w:t>
      </w:r>
      <w:r w:rsidR="00111BAD">
        <w:rPr>
          <w:rFonts w:ascii="Aptos" w:eastAsia="Times New Roman" w:hAnsi="Aptos"/>
          <w:color w:val="000000"/>
        </w:rPr>
        <w:t xml:space="preserve"> but also higher incidence </w:t>
      </w:r>
      <w:r w:rsidR="00B86F3A">
        <w:rPr>
          <w:rFonts w:ascii="Aptos" w:eastAsia="Times New Roman" w:hAnsi="Aptos"/>
          <w:color w:val="000000"/>
        </w:rPr>
        <w:t xml:space="preserve">of adverse events compared to liraglutide </w:t>
      </w:r>
      <w:r w:rsidR="003365B6">
        <w:rPr>
          <w:rFonts w:ascii="Aptos" w:eastAsia="Times New Roman" w:hAnsi="Aptos"/>
          <w:color w:val="000000"/>
        </w:rPr>
        <w:t xml:space="preserve">in some studies </w:t>
      </w:r>
      <w:r w:rsidR="00C9139F">
        <w:rPr>
          <w:rFonts w:ascii="Aptos" w:eastAsia="Times New Roman" w:hAnsi="Aptos"/>
          <w:color w:val="000000"/>
        </w:rPr>
        <w:t>(</w:t>
      </w:r>
      <w:r w:rsidR="003D1550">
        <w:rPr>
          <w:rFonts w:ascii="Aptos" w:eastAsia="Times New Roman" w:hAnsi="Aptos"/>
          <w:color w:val="000000"/>
        </w:rPr>
        <w:t>Deng</w:t>
      </w:r>
      <w:r w:rsidR="003D1550">
        <w:rPr>
          <w:rFonts w:ascii="Aptos" w:eastAsia="Times New Roman" w:hAnsi="Aptos"/>
          <w:i/>
          <w:iCs/>
          <w:color w:val="000000"/>
        </w:rPr>
        <w:t xml:space="preserve"> et al.,</w:t>
      </w:r>
      <w:r w:rsidR="003D1550">
        <w:rPr>
          <w:rFonts w:ascii="Aptos" w:eastAsia="Times New Roman" w:hAnsi="Aptos"/>
          <w:color w:val="000000"/>
        </w:rPr>
        <w:t xml:space="preserve"> 2022; </w:t>
      </w:r>
      <w:r w:rsidR="00DE4240">
        <w:rPr>
          <w:rFonts w:ascii="Aptos" w:eastAsia="Times New Roman" w:hAnsi="Aptos"/>
          <w:color w:val="000000"/>
        </w:rPr>
        <w:t xml:space="preserve">Mikhail, 2021; </w:t>
      </w:r>
      <w:r w:rsidR="00C9139F">
        <w:rPr>
          <w:rFonts w:ascii="Aptos" w:eastAsia="Times New Roman" w:hAnsi="Aptos"/>
          <w:color w:val="000000"/>
        </w:rPr>
        <w:t>O'Neil</w:t>
      </w:r>
      <w:r w:rsidR="00C9139F">
        <w:rPr>
          <w:rFonts w:ascii="Aptos" w:eastAsia="Times New Roman" w:hAnsi="Aptos"/>
          <w:i/>
          <w:iCs/>
          <w:color w:val="000000"/>
        </w:rPr>
        <w:t xml:space="preserve"> et al.,</w:t>
      </w:r>
      <w:r w:rsidR="00C9139F">
        <w:rPr>
          <w:rFonts w:ascii="Aptos" w:eastAsia="Times New Roman" w:hAnsi="Aptos"/>
          <w:color w:val="000000"/>
        </w:rPr>
        <w:t xml:space="preserve"> 2018; </w:t>
      </w:r>
      <w:r w:rsidR="00B86F3A">
        <w:rPr>
          <w:rFonts w:ascii="Aptos" w:eastAsia="Times New Roman" w:hAnsi="Aptos"/>
          <w:color w:val="000000"/>
        </w:rPr>
        <w:t>Xie</w:t>
      </w:r>
      <w:r w:rsidR="00B86F3A">
        <w:rPr>
          <w:rFonts w:ascii="Aptos" w:eastAsia="Times New Roman" w:hAnsi="Aptos"/>
          <w:i/>
          <w:iCs/>
          <w:color w:val="000000"/>
        </w:rPr>
        <w:t xml:space="preserve"> et al.,</w:t>
      </w:r>
      <w:r w:rsidR="00B86F3A">
        <w:rPr>
          <w:rFonts w:ascii="Aptos" w:eastAsia="Times New Roman" w:hAnsi="Aptos"/>
          <w:color w:val="000000"/>
        </w:rPr>
        <w:t xml:space="preserve"> 2022).</w:t>
      </w:r>
      <w:r w:rsidR="00E72B7B">
        <w:rPr>
          <w:rFonts w:ascii="Aptos" w:eastAsia="Times New Roman" w:hAnsi="Aptos"/>
          <w:color w:val="000000"/>
        </w:rPr>
        <w:t xml:space="preserve"> </w:t>
      </w:r>
      <w:r w:rsidR="005D7E5B">
        <w:rPr>
          <w:rFonts w:ascii="Aptos" w:eastAsia="Times New Roman" w:hAnsi="Aptos"/>
          <w:color w:val="000000"/>
        </w:rPr>
        <w:t xml:space="preserve">Side effects </w:t>
      </w:r>
      <w:r w:rsidR="00D94D3F">
        <w:rPr>
          <w:rFonts w:ascii="Aptos" w:eastAsia="Times New Roman" w:hAnsi="Aptos"/>
          <w:color w:val="000000"/>
        </w:rPr>
        <w:t xml:space="preserve">include nausea, </w:t>
      </w:r>
      <w:r w:rsidR="005461E9">
        <w:rPr>
          <w:rFonts w:ascii="Aptos" w:eastAsia="Times New Roman" w:hAnsi="Aptos"/>
          <w:color w:val="000000"/>
        </w:rPr>
        <w:t xml:space="preserve">diarrhoea, vomiting, constipation, abdominal pain, headache, fatigue, </w:t>
      </w:r>
      <w:r w:rsidR="00093CCD">
        <w:rPr>
          <w:rFonts w:ascii="Aptos" w:eastAsia="Times New Roman" w:hAnsi="Aptos"/>
          <w:color w:val="000000"/>
        </w:rPr>
        <w:t xml:space="preserve">dyspepsia, dizziness, </w:t>
      </w:r>
      <w:r w:rsidR="00A84F13">
        <w:rPr>
          <w:rFonts w:ascii="Aptos" w:eastAsia="Times New Roman" w:hAnsi="Aptos"/>
          <w:color w:val="000000"/>
        </w:rPr>
        <w:t xml:space="preserve">and </w:t>
      </w:r>
      <w:r w:rsidR="00150F2F">
        <w:rPr>
          <w:rFonts w:ascii="Aptos" w:eastAsia="Times New Roman" w:hAnsi="Aptos"/>
          <w:color w:val="000000"/>
        </w:rPr>
        <w:t>hypoglycaemia</w:t>
      </w:r>
      <w:r w:rsidR="00093CCD">
        <w:rPr>
          <w:rFonts w:ascii="Aptos" w:eastAsia="Times New Roman" w:hAnsi="Aptos"/>
          <w:color w:val="000000"/>
        </w:rPr>
        <w:t xml:space="preserve"> in T2D</w:t>
      </w:r>
      <w:r w:rsidR="00150F2F">
        <w:rPr>
          <w:rFonts w:ascii="Aptos" w:eastAsia="Times New Roman" w:hAnsi="Aptos"/>
          <w:color w:val="000000"/>
        </w:rPr>
        <w:t>M</w:t>
      </w:r>
      <w:r w:rsidR="00017F8C">
        <w:rPr>
          <w:rFonts w:ascii="Aptos" w:eastAsia="Times New Roman" w:hAnsi="Aptos"/>
          <w:color w:val="000000"/>
        </w:rPr>
        <w:t xml:space="preserve"> </w:t>
      </w:r>
      <w:r w:rsidR="00CD7888">
        <w:rPr>
          <w:rFonts w:ascii="Aptos" w:eastAsia="Times New Roman" w:hAnsi="Aptos"/>
          <w:color w:val="000000"/>
        </w:rPr>
        <w:t>(Bettge</w:t>
      </w:r>
      <w:r w:rsidR="00CD7888">
        <w:rPr>
          <w:rFonts w:ascii="Aptos" w:eastAsia="Times New Roman" w:hAnsi="Aptos"/>
          <w:i/>
          <w:iCs/>
          <w:color w:val="000000"/>
        </w:rPr>
        <w:t xml:space="preserve"> et al.,</w:t>
      </w:r>
      <w:r w:rsidR="00CD7888">
        <w:rPr>
          <w:rFonts w:ascii="Aptos" w:eastAsia="Times New Roman" w:hAnsi="Aptos"/>
          <w:color w:val="000000"/>
        </w:rPr>
        <w:t xml:space="preserve"> 2017; </w:t>
      </w:r>
      <w:r w:rsidR="00FD48FF">
        <w:rPr>
          <w:rFonts w:ascii="Aptos" w:eastAsia="Times New Roman" w:hAnsi="Aptos"/>
          <w:color w:val="000000"/>
        </w:rPr>
        <w:t>Smits and Van Raalte, 2021</w:t>
      </w:r>
      <w:r w:rsidR="00CD7888">
        <w:rPr>
          <w:rFonts w:ascii="Aptos" w:eastAsia="Times New Roman" w:hAnsi="Aptos"/>
          <w:color w:val="000000"/>
        </w:rPr>
        <w:t>)</w:t>
      </w:r>
      <w:r w:rsidR="00FD48FF">
        <w:rPr>
          <w:rFonts w:ascii="Aptos" w:eastAsia="Times New Roman" w:hAnsi="Aptos"/>
          <w:color w:val="000000"/>
        </w:rPr>
        <w:t>.</w:t>
      </w:r>
      <w:r w:rsidR="00BA292F">
        <w:rPr>
          <w:rFonts w:ascii="Aptos" w:eastAsia="Times New Roman" w:hAnsi="Aptos"/>
          <w:color w:val="000000"/>
        </w:rPr>
        <w:t xml:space="preserve"> </w:t>
      </w:r>
      <w:r w:rsidR="001F2B58">
        <w:rPr>
          <w:rFonts w:ascii="Aptos" w:eastAsia="Times New Roman" w:hAnsi="Aptos"/>
          <w:color w:val="000000"/>
        </w:rPr>
        <w:lastRenderedPageBreak/>
        <w:t xml:space="preserve">Additionally, </w:t>
      </w:r>
      <w:r w:rsidR="000631AB">
        <w:rPr>
          <w:rFonts w:ascii="Aptos" w:eastAsia="Times New Roman" w:hAnsi="Aptos"/>
          <w:color w:val="000000"/>
        </w:rPr>
        <w:t xml:space="preserve">weight regain following cessation of </w:t>
      </w:r>
      <w:r w:rsidR="00CC5F4B">
        <w:rPr>
          <w:rFonts w:ascii="Aptos" w:eastAsia="Times New Roman" w:hAnsi="Aptos"/>
          <w:color w:val="000000"/>
        </w:rPr>
        <w:t>anti-ob</w:t>
      </w:r>
      <w:r w:rsidR="00C504EC">
        <w:rPr>
          <w:rFonts w:ascii="Aptos" w:eastAsia="Times New Roman" w:hAnsi="Aptos"/>
          <w:color w:val="000000"/>
        </w:rPr>
        <w:t>e</w:t>
      </w:r>
      <w:r w:rsidR="00CC5F4B">
        <w:rPr>
          <w:rFonts w:ascii="Aptos" w:eastAsia="Times New Roman" w:hAnsi="Aptos"/>
          <w:color w:val="000000"/>
        </w:rPr>
        <w:t>sity medic</w:t>
      </w:r>
      <w:r w:rsidR="00C504EC">
        <w:rPr>
          <w:rFonts w:ascii="Aptos" w:eastAsia="Times New Roman" w:hAnsi="Aptos"/>
          <w:color w:val="000000"/>
        </w:rPr>
        <w:t>ation</w:t>
      </w:r>
      <w:r w:rsidR="0071534B">
        <w:rPr>
          <w:rFonts w:ascii="Aptos" w:eastAsia="Times New Roman" w:hAnsi="Aptos"/>
          <w:color w:val="000000"/>
        </w:rPr>
        <w:t xml:space="preserve"> (AOM) is common due to physiological </w:t>
      </w:r>
      <w:r w:rsidR="00182DC4">
        <w:rPr>
          <w:rFonts w:ascii="Aptos" w:eastAsia="Times New Roman" w:hAnsi="Aptos"/>
          <w:color w:val="000000"/>
        </w:rPr>
        <w:t xml:space="preserve">and psychological </w:t>
      </w:r>
      <w:r w:rsidR="0071534B">
        <w:rPr>
          <w:rFonts w:ascii="Aptos" w:eastAsia="Times New Roman" w:hAnsi="Aptos"/>
          <w:color w:val="000000"/>
        </w:rPr>
        <w:t xml:space="preserve">changes </w:t>
      </w:r>
      <w:r w:rsidR="007A416A">
        <w:rPr>
          <w:rFonts w:ascii="Aptos" w:eastAsia="Times New Roman" w:hAnsi="Aptos"/>
          <w:color w:val="000000"/>
        </w:rPr>
        <w:t>(Ard</w:t>
      </w:r>
      <w:r w:rsidR="007A416A">
        <w:rPr>
          <w:rFonts w:ascii="Aptos" w:eastAsia="Times New Roman" w:hAnsi="Aptos"/>
          <w:i/>
          <w:iCs/>
          <w:color w:val="000000"/>
        </w:rPr>
        <w:t xml:space="preserve"> et al.,</w:t>
      </w:r>
      <w:r w:rsidR="007A416A">
        <w:rPr>
          <w:rFonts w:ascii="Aptos" w:eastAsia="Times New Roman" w:hAnsi="Aptos"/>
          <w:color w:val="000000"/>
        </w:rPr>
        <w:t xml:space="preserve"> 2021; </w:t>
      </w:r>
      <w:r w:rsidR="00ED17E5">
        <w:rPr>
          <w:rFonts w:ascii="Aptos" w:eastAsia="Times New Roman" w:hAnsi="Aptos"/>
          <w:color w:val="000000"/>
        </w:rPr>
        <w:t>MacLean</w:t>
      </w:r>
      <w:r w:rsidR="00ED17E5">
        <w:rPr>
          <w:rFonts w:ascii="Aptos" w:eastAsia="Times New Roman" w:hAnsi="Aptos"/>
          <w:i/>
          <w:iCs/>
          <w:color w:val="000000"/>
        </w:rPr>
        <w:t xml:space="preserve"> et al.,</w:t>
      </w:r>
      <w:r w:rsidR="00ED17E5">
        <w:rPr>
          <w:rFonts w:ascii="Aptos" w:eastAsia="Times New Roman" w:hAnsi="Aptos"/>
          <w:color w:val="000000"/>
        </w:rPr>
        <w:t xml:space="preserve"> 2015</w:t>
      </w:r>
      <w:r w:rsidR="007A416A">
        <w:rPr>
          <w:rFonts w:ascii="Aptos" w:eastAsia="Times New Roman" w:hAnsi="Aptos"/>
          <w:color w:val="000000"/>
        </w:rPr>
        <w:t>; Montesi</w:t>
      </w:r>
      <w:r w:rsidR="007A416A">
        <w:rPr>
          <w:rFonts w:ascii="Aptos" w:eastAsia="Times New Roman" w:hAnsi="Aptos"/>
          <w:i/>
          <w:iCs/>
          <w:color w:val="000000"/>
        </w:rPr>
        <w:t xml:space="preserve"> et al.,</w:t>
      </w:r>
      <w:r w:rsidR="007A416A">
        <w:rPr>
          <w:rFonts w:ascii="Aptos" w:eastAsia="Times New Roman" w:hAnsi="Aptos"/>
          <w:color w:val="000000"/>
        </w:rPr>
        <w:t xml:space="preserve"> 2016).</w:t>
      </w:r>
    </w:p>
    <w:p w14:paraId="4BAD04DB" w14:textId="272914A4" w:rsidR="00396B3F" w:rsidRPr="00C801F0" w:rsidRDefault="00E7114B" w:rsidP="002E698D">
      <w:pPr>
        <w:spacing w:after="0"/>
        <w:rPr>
          <w:rFonts w:ascii="Aptos" w:eastAsia="Times New Roman" w:hAnsi="Aptos"/>
          <w:color w:val="000000"/>
        </w:rPr>
      </w:pPr>
      <w:r>
        <w:rPr>
          <w:rFonts w:ascii="Aptos" w:eastAsia="Times New Roman" w:hAnsi="Aptos"/>
          <w:color w:val="000000"/>
        </w:rPr>
        <w:t>Furthermore,</w:t>
      </w:r>
      <w:r w:rsidR="000E1008">
        <w:rPr>
          <w:rFonts w:ascii="Aptos" w:eastAsia="Times New Roman" w:hAnsi="Aptos"/>
          <w:color w:val="000000"/>
        </w:rPr>
        <w:t xml:space="preserve"> due to the fairly recent discovery </w:t>
      </w:r>
      <w:r w:rsidR="00C801F0">
        <w:rPr>
          <w:rFonts w:ascii="Aptos" w:eastAsia="Times New Roman" w:hAnsi="Aptos"/>
          <w:color w:val="000000"/>
        </w:rPr>
        <w:t>of GLP</w:t>
      </w:r>
      <w:r w:rsidR="002058BD" w:rsidRPr="002058BD">
        <w:rPr>
          <w:rFonts w:ascii="Aptos" w:eastAsia="Times New Roman" w:hAnsi="Aptos"/>
          <w:color w:val="000000"/>
        </w:rPr>
        <w:t>-1 RAs</w:t>
      </w:r>
      <w:r w:rsidR="002058BD">
        <w:rPr>
          <w:rFonts w:ascii="Aptos" w:eastAsia="Times New Roman" w:hAnsi="Aptos"/>
          <w:color w:val="000000"/>
        </w:rPr>
        <w:t xml:space="preserve">, </w:t>
      </w:r>
      <w:r w:rsidR="00BF6534">
        <w:rPr>
          <w:rFonts w:ascii="Aptos" w:eastAsia="Times New Roman" w:hAnsi="Aptos"/>
          <w:color w:val="000000"/>
        </w:rPr>
        <w:t>decreased</w:t>
      </w:r>
      <w:r w:rsidR="002058BD">
        <w:rPr>
          <w:rFonts w:ascii="Aptos" w:eastAsia="Times New Roman" w:hAnsi="Aptos"/>
          <w:color w:val="000000"/>
        </w:rPr>
        <w:t xml:space="preserve"> </w:t>
      </w:r>
      <w:r>
        <w:rPr>
          <w:rFonts w:ascii="Aptos" w:eastAsia="Times New Roman" w:hAnsi="Aptos"/>
          <w:color w:val="000000"/>
        </w:rPr>
        <w:t>availability</w:t>
      </w:r>
      <w:r w:rsidR="002058BD">
        <w:rPr>
          <w:rFonts w:ascii="Aptos" w:eastAsia="Times New Roman" w:hAnsi="Aptos"/>
          <w:color w:val="000000"/>
        </w:rPr>
        <w:t xml:space="preserve"> and </w:t>
      </w:r>
      <w:r w:rsidR="00BF6534">
        <w:rPr>
          <w:rFonts w:ascii="Aptos" w:eastAsia="Times New Roman" w:hAnsi="Aptos"/>
          <w:color w:val="000000"/>
        </w:rPr>
        <w:t xml:space="preserve">high </w:t>
      </w:r>
      <w:r w:rsidR="002058BD">
        <w:rPr>
          <w:rFonts w:ascii="Aptos" w:eastAsia="Times New Roman" w:hAnsi="Aptos"/>
          <w:color w:val="000000"/>
        </w:rPr>
        <w:t>cost</w:t>
      </w:r>
      <w:r>
        <w:rPr>
          <w:rFonts w:ascii="Aptos" w:eastAsia="Times New Roman" w:hAnsi="Aptos"/>
          <w:color w:val="000000"/>
        </w:rPr>
        <w:t xml:space="preserve"> </w:t>
      </w:r>
      <w:r w:rsidR="002058BD">
        <w:rPr>
          <w:rFonts w:ascii="Aptos" w:eastAsia="Times New Roman" w:hAnsi="Aptos"/>
          <w:color w:val="000000"/>
        </w:rPr>
        <w:t>ha</w:t>
      </w:r>
      <w:r w:rsidR="00BF6534">
        <w:rPr>
          <w:rFonts w:ascii="Aptos" w:eastAsia="Times New Roman" w:hAnsi="Aptos"/>
          <w:color w:val="000000"/>
        </w:rPr>
        <w:t>ve</w:t>
      </w:r>
      <w:r w:rsidR="002058BD">
        <w:rPr>
          <w:rFonts w:ascii="Aptos" w:eastAsia="Times New Roman" w:hAnsi="Aptos"/>
          <w:color w:val="000000"/>
        </w:rPr>
        <w:t xml:space="preserve"> become a</w:t>
      </w:r>
      <w:r w:rsidR="00B47D42">
        <w:rPr>
          <w:rFonts w:ascii="Aptos" w:eastAsia="Times New Roman" w:hAnsi="Aptos"/>
          <w:color w:val="000000"/>
        </w:rPr>
        <w:t xml:space="preserve"> challenge</w:t>
      </w:r>
      <w:r w:rsidR="00557714">
        <w:rPr>
          <w:rFonts w:ascii="Aptos" w:eastAsia="Times New Roman" w:hAnsi="Aptos"/>
          <w:color w:val="000000"/>
        </w:rPr>
        <w:t>,</w:t>
      </w:r>
      <w:r w:rsidR="00B47D42">
        <w:rPr>
          <w:rFonts w:ascii="Aptos" w:eastAsia="Times New Roman" w:hAnsi="Aptos"/>
          <w:color w:val="000000"/>
        </w:rPr>
        <w:t xml:space="preserve"> </w:t>
      </w:r>
      <w:r w:rsidR="00555A59">
        <w:rPr>
          <w:rFonts w:ascii="Aptos" w:eastAsia="Times New Roman" w:hAnsi="Aptos"/>
          <w:color w:val="000000"/>
        </w:rPr>
        <w:t xml:space="preserve">not only for patients but also for pharmaceutical companies and </w:t>
      </w:r>
      <w:r w:rsidR="00B57623">
        <w:rPr>
          <w:rFonts w:ascii="Aptos" w:eastAsia="Times New Roman" w:hAnsi="Aptos"/>
          <w:color w:val="000000"/>
        </w:rPr>
        <w:t>governments</w:t>
      </w:r>
      <w:r w:rsidR="00557714">
        <w:rPr>
          <w:rFonts w:ascii="Aptos" w:eastAsia="Times New Roman" w:hAnsi="Aptos"/>
          <w:color w:val="000000"/>
        </w:rPr>
        <w:t>,</w:t>
      </w:r>
      <w:r w:rsidR="00555A59">
        <w:rPr>
          <w:rFonts w:ascii="Aptos" w:eastAsia="Times New Roman" w:hAnsi="Aptos"/>
          <w:color w:val="000000"/>
        </w:rPr>
        <w:t xml:space="preserve"> who are faced with </w:t>
      </w:r>
      <w:r w:rsidR="009E4CFE">
        <w:rPr>
          <w:rFonts w:ascii="Aptos" w:eastAsia="Times New Roman" w:hAnsi="Aptos"/>
          <w:color w:val="000000"/>
        </w:rPr>
        <w:t xml:space="preserve">policing </w:t>
      </w:r>
      <w:r w:rsidR="00555A59">
        <w:rPr>
          <w:rFonts w:ascii="Aptos" w:eastAsia="Times New Roman" w:hAnsi="Aptos"/>
          <w:color w:val="000000"/>
        </w:rPr>
        <w:t xml:space="preserve">potentially </w:t>
      </w:r>
      <w:r w:rsidR="00755867">
        <w:rPr>
          <w:rFonts w:ascii="Aptos" w:eastAsia="Times New Roman" w:hAnsi="Aptos"/>
          <w:color w:val="000000"/>
        </w:rPr>
        <w:t xml:space="preserve">unsafe </w:t>
      </w:r>
      <w:r w:rsidR="009E4CFE">
        <w:rPr>
          <w:rFonts w:ascii="Aptos" w:eastAsia="Times New Roman" w:hAnsi="Aptos"/>
          <w:color w:val="000000"/>
        </w:rPr>
        <w:t xml:space="preserve">compounded </w:t>
      </w:r>
      <w:r w:rsidR="000F1849">
        <w:rPr>
          <w:rFonts w:ascii="Aptos" w:eastAsia="Times New Roman" w:hAnsi="Aptos"/>
          <w:color w:val="000000"/>
        </w:rPr>
        <w:t xml:space="preserve">unregulated </w:t>
      </w:r>
      <w:r w:rsidR="009E4CFE">
        <w:rPr>
          <w:rFonts w:ascii="Aptos" w:eastAsia="Times New Roman" w:hAnsi="Aptos"/>
          <w:color w:val="000000"/>
        </w:rPr>
        <w:t>versions</w:t>
      </w:r>
      <w:r w:rsidR="00B57623">
        <w:rPr>
          <w:rFonts w:ascii="Aptos" w:eastAsia="Times New Roman" w:hAnsi="Aptos"/>
          <w:color w:val="000000"/>
        </w:rPr>
        <w:t xml:space="preserve"> being supplied to the public</w:t>
      </w:r>
      <w:r w:rsidR="00EE6E4A">
        <w:rPr>
          <w:rFonts w:ascii="Aptos" w:eastAsia="Times New Roman" w:hAnsi="Aptos"/>
          <w:color w:val="000000"/>
        </w:rPr>
        <w:t xml:space="preserve"> (</w:t>
      </w:r>
      <w:r w:rsidR="00C71DB2">
        <w:rPr>
          <w:rFonts w:ascii="Aptos" w:eastAsia="Times New Roman" w:hAnsi="Aptos"/>
          <w:color w:val="000000"/>
        </w:rPr>
        <w:t>Beba</w:t>
      </w:r>
      <w:r w:rsidR="00C71DB2">
        <w:rPr>
          <w:rFonts w:ascii="Aptos" w:eastAsia="Times New Roman" w:hAnsi="Aptos"/>
          <w:i/>
          <w:iCs/>
          <w:color w:val="000000"/>
        </w:rPr>
        <w:t xml:space="preserve"> et al.,</w:t>
      </w:r>
      <w:r w:rsidR="00C71DB2">
        <w:rPr>
          <w:rFonts w:ascii="Aptos" w:eastAsia="Times New Roman" w:hAnsi="Aptos"/>
          <w:color w:val="000000"/>
        </w:rPr>
        <w:t xml:space="preserve"> 2022; </w:t>
      </w:r>
      <w:r w:rsidR="00EE6E4A">
        <w:rPr>
          <w:rFonts w:ascii="Aptos" w:eastAsia="Times New Roman" w:hAnsi="Aptos"/>
          <w:color w:val="000000"/>
        </w:rPr>
        <w:t>European Medicines Agency, 2023;</w:t>
      </w:r>
      <w:r w:rsidR="00C71DB2">
        <w:rPr>
          <w:rFonts w:ascii="Aptos" w:eastAsia="Times New Roman" w:hAnsi="Aptos"/>
          <w:color w:val="000000"/>
        </w:rPr>
        <w:t xml:space="preserve"> Whitley</w:t>
      </w:r>
      <w:r w:rsidR="00C35029">
        <w:rPr>
          <w:rFonts w:ascii="Aptos" w:eastAsia="Times New Roman" w:hAnsi="Aptos"/>
          <w:color w:val="000000"/>
        </w:rPr>
        <w:t xml:space="preserve"> </w:t>
      </w:r>
      <w:r w:rsidR="002B7A20">
        <w:rPr>
          <w:rFonts w:ascii="Aptos" w:eastAsia="Times New Roman" w:hAnsi="Aptos"/>
          <w:i/>
          <w:iCs/>
          <w:color w:val="000000"/>
        </w:rPr>
        <w:t>et al.</w:t>
      </w:r>
      <w:r w:rsidR="00C71DB2">
        <w:rPr>
          <w:rFonts w:ascii="Aptos" w:eastAsia="Times New Roman" w:hAnsi="Aptos"/>
          <w:color w:val="000000"/>
        </w:rPr>
        <w:t>, 2023).</w:t>
      </w:r>
    </w:p>
    <w:p w14:paraId="6323D1C5" w14:textId="77777777" w:rsidR="00396B3F" w:rsidRDefault="00396B3F" w:rsidP="002E698D">
      <w:pPr>
        <w:spacing w:after="0"/>
        <w:rPr>
          <w:rFonts w:ascii="Aptos" w:eastAsia="Times New Roman" w:hAnsi="Aptos"/>
          <w:color w:val="000000"/>
          <w:u w:val="single"/>
        </w:rPr>
      </w:pPr>
    </w:p>
    <w:p w14:paraId="7679D250" w14:textId="47A013C9" w:rsidR="005D727F" w:rsidRDefault="005D727F" w:rsidP="002E698D">
      <w:pPr>
        <w:spacing w:after="0"/>
        <w:rPr>
          <w:rFonts w:ascii="Aptos" w:eastAsia="Times New Roman" w:hAnsi="Aptos"/>
          <w:color w:val="000000"/>
          <w:u w:val="single"/>
        </w:rPr>
      </w:pPr>
      <w:r w:rsidRPr="005D727F">
        <w:rPr>
          <w:rFonts w:ascii="Aptos" w:eastAsia="Times New Roman" w:hAnsi="Aptos"/>
          <w:color w:val="000000"/>
          <w:u w:val="single"/>
        </w:rPr>
        <w:t>Aims:</w:t>
      </w:r>
    </w:p>
    <w:p w14:paraId="20E3ECB0" w14:textId="77777777" w:rsidR="005D727F" w:rsidRDefault="005D727F" w:rsidP="002E698D">
      <w:pPr>
        <w:spacing w:after="0"/>
        <w:rPr>
          <w:rFonts w:ascii="Aptos" w:eastAsia="Times New Roman" w:hAnsi="Aptos"/>
          <w:color w:val="000000"/>
          <w:u w:val="single"/>
        </w:rPr>
      </w:pPr>
    </w:p>
    <w:p w14:paraId="5E441B5E" w14:textId="77777777" w:rsidR="0000542F" w:rsidRDefault="004E4083" w:rsidP="002E698D">
      <w:pPr>
        <w:spacing w:after="0"/>
        <w:rPr>
          <w:rFonts w:ascii="Aptos" w:eastAsia="Times New Roman" w:hAnsi="Aptos"/>
          <w:color w:val="000000"/>
        </w:rPr>
      </w:pPr>
      <w:r>
        <w:rPr>
          <w:rFonts w:ascii="Aptos" w:eastAsia="Times New Roman" w:hAnsi="Aptos"/>
          <w:color w:val="000000"/>
        </w:rPr>
        <w:t>The aims of this narrative review are</w:t>
      </w:r>
      <w:r w:rsidR="0000542F">
        <w:rPr>
          <w:rFonts w:ascii="Aptos" w:eastAsia="Times New Roman" w:hAnsi="Aptos"/>
          <w:color w:val="000000"/>
        </w:rPr>
        <w:t>:</w:t>
      </w:r>
    </w:p>
    <w:p w14:paraId="73509028" w14:textId="6E099FBB" w:rsidR="005D727F" w:rsidRPr="0000542F" w:rsidRDefault="00402705" w:rsidP="0000542F">
      <w:pPr>
        <w:pStyle w:val="ListParagraph"/>
        <w:numPr>
          <w:ilvl w:val="0"/>
          <w:numId w:val="1"/>
        </w:numPr>
        <w:spacing w:after="0"/>
        <w:rPr>
          <w:rFonts w:ascii="Aptos" w:eastAsia="Times New Roman" w:hAnsi="Aptos"/>
          <w:color w:val="000000"/>
        </w:rPr>
      </w:pPr>
      <w:r>
        <w:rPr>
          <w:rFonts w:ascii="Aptos" w:eastAsia="Times New Roman" w:hAnsi="Aptos"/>
          <w:color w:val="000000"/>
        </w:rPr>
        <w:t>T</w:t>
      </w:r>
      <w:r w:rsidR="005406B8" w:rsidRPr="0000542F">
        <w:rPr>
          <w:rFonts w:ascii="Aptos" w:eastAsia="Times New Roman" w:hAnsi="Aptos"/>
          <w:color w:val="000000"/>
        </w:rPr>
        <w:t>o evaluate the efficacy of GLP-1 RA</w:t>
      </w:r>
      <w:r w:rsidR="002B7A20">
        <w:rPr>
          <w:rFonts w:ascii="Aptos" w:eastAsia="Times New Roman" w:hAnsi="Aptos"/>
          <w:color w:val="000000"/>
        </w:rPr>
        <w:t>s</w:t>
      </w:r>
      <w:r w:rsidR="005406B8" w:rsidRPr="0000542F">
        <w:rPr>
          <w:rFonts w:ascii="Aptos" w:eastAsia="Times New Roman" w:hAnsi="Aptos"/>
          <w:color w:val="000000"/>
        </w:rPr>
        <w:t xml:space="preserve"> </w:t>
      </w:r>
      <w:r w:rsidR="00663366" w:rsidRPr="0000542F">
        <w:rPr>
          <w:rFonts w:ascii="Aptos" w:eastAsia="Times New Roman" w:hAnsi="Aptos"/>
          <w:color w:val="000000"/>
        </w:rPr>
        <w:t>in promoting weight loss in overweight and obese adults</w:t>
      </w:r>
      <w:r w:rsidR="00E3265F">
        <w:rPr>
          <w:rFonts w:ascii="Aptos" w:eastAsia="Times New Roman" w:hAnsi="Aptos"/>
          <w:color w:val="000000"/>
        </w:rPr>
        <w:t>;</w:t>
      </w:r>
      <w:r w:rsidR="00644B48" w:rsidRPr="0000542F">
        <w:rPr>
          <w:rFonts w:ascii="Aptos" w:eastAsia="Times New Roman" w:hAnsi="Aptos"/>
          <w:color w:val="000000"/>
        </w:rPr>
        <w:t xml:space="preserve"> </w:t>
      </w:r>
      <w:r w:rsidR="00E73BC5" w:rsidRPr="0000542F">
        <w:rPr>
          <w:rFonts w:ascii="Aptos" w:eastAsia="Times New Roman" w:hAnsi="Aptos"/>
          <w:color w:val="000000"/>
        </w:rPr>
        <w:t>the recommended</w:t>
      </w:r>
      <w:r w:rsidR="00DE7C1C" w:rsidRPr="0000542F">
        <w:rPr>
          <w:rFonts w:ascii="Aptos" w:eastAsia="Times New Roman" w:hAnsi="Aptos"/>
          <w:color w:val="000000"/>
        </w:rPr>
        <w:t xml:space="preserve"> dosage </w:t>
      </w:r>
      <w:r w:rsidR="00E73BC5" w:rsidRPr="0000542F">
        <w:rPr>
          <w:rFonts w:ascii="Aptos" w:eastAsia="Times New Roman" w:hAnsi="Aptos"/>
          <w:color w:val="000000"/>
        </w:rPr>
        <w:t xml:space="preserve">for optimum effect, and </w:t>
      </w:r>
      <w:r w:rsidR="00BB5B12" w:rsidRPr="0000542F">
        <w:rPr>
          <w:rFonts w:ascii="Aptos" w:eastAsia="Times New Roman" w:hAnsi="Aptos"/>
          <w:color w:val="000000"/>
        </w:rPr>
        <w:t xml:space="preserve">how </w:t>
      </w:r>
      <w:r w:rsidR="00E73BC5" w:rsidRPr="0000542F">
        <w:rPr>
          <w:rFonts w:ascii="Aptos" w:eastAsia="Times New Roman" w:hAnsi="Aptos"/>
          <w:color w:val="000000"/>
        </w:rPr>
        <w:t xml:space="preserve">they </w:t>
      </w:r>
      <w:r w:rsidR="00685DE6" w:rsidRPr="0000542F">
        <w:rPr>
          <w:rFonts w:ascii="Aptos" w:eastAsia="Times New Roman" w:hAnsi="Aptos"/>
          <w:color w:val="000000"/>
        </w:rPr>
        <w:t>compare</w:t>
      </w:r>
      <w:r w:rsidR="00377E29" w:rsidRPr="0000542F">
        <w:rPr>
          <w:rFonts w:ascii="Aptos" w:eastAsia="Times New Roman" w:hAnsi="Aptos"/>
          <w:color w:val="000000"/>
        </w:rPr>
        <w:t xml:space="preserve"> </w:t>
      </w:r>
      <w:r w:rsidR="00685DE6" w:rsidRPr="0000542F">
        <w:rPr>
          <w:rFonts w:ascii="Aptos" w:eastAsia="Times New Roman" w:hAnsi="Aptos"/>
          <w:color w:val="000000"/>
        </w:rPr>
        <w:t>to other treatment</w:t>
      </w:r>
      <w:r w:rsidR="00E73BC5" w:rsidRPr="0000542F">
        <w:rPr>
          <w:rFonts w:ascii="Aptos" w:eastAsia="Times New Roman" w:hAnsi="Aptos"/>
          <w:color w:val="000000"/>
        </w:rPr>
        <w:t>s</w:t>
      </w:r>
      <w:r w:rsidR="00DD739E" w:rsidRPr="0000542F">
        <w:rPr>
          <w:rFonts w:ascii="Aptos" w:eastAsia="Times New Roman" w:hAnsi="Aptos"/>
          <w:color w:val="000000"/>
        </w:rPr>
        <w:t xml:space="preserve"> available for weight loss (e.g. Bariatric surgery, lifestyle changes)</w:t>
      </w:r>
      <w:r w:rsidR="00E3265F">
        <w:rPr>
          <w:rFonts w:ascii="Aptos" w:eastAsia="Times New Roman" w:hAnsi="Aptos"/>
          <w:color w:val="000000"/>
        </w:rPr>
        <w:t>.</w:t>
      </w:r>
    </w:p>
    <w:p w14:paraId="24526BC7" w14:textId="615B791D" w:rsidR="0000542F" w:rsidRDefault="0000542F" w:rsidP="0000542F">
      <w:pPr>
        <w:pStyle w:val="ListParagraph"/>
        <w:numPr>
          <w:ilvl w:val="0"/>
          <w:numId w:val="1"/>
        </w:numPr>
        <w:spacing w:after="0"/>
        <w:rPr>
          <w:rFonts w:ascii="Aptos" w:eastAsia="Times New Roman" w:hAnsi="Aptos"/>
          <w:color w:val="000000"/>
        </w:rPr>
      </w:pPr>
      <w:r>
        <w:rPr>
          <w:rFonts w:ascii="Aptos" w:eastAsia="Times New Roman" w:hAnsi="Aptos"/>
          <w:color w:val="000000"/>
        </w:rPr>
        <w:t xml:space="preserve">To assess </w:t>
      </w:r>
      <w:r w:rsidR="00402705">
        <w:rPr>
          <w:rFonts w:ascii="Aptos" w:eastAsia="Times New Roman" w:hAnsi="Aptos"/>
          <w:color w:val="000000"/>
        </w:rPr>
        <w:t>the safety profile of GLP-1 RA</w:t>
      </w:r>
      <w:r w:rsidR="004E5237">
        <w:rPr>
          <w:rFonts w:ascii="Aptos" w:eastAsia="Times New Roman" w:hAnsi="Aptos"/>
          <w:color w:val="000000"/>
        </w:rPr>
        <w:t>s</w:t>
      </w:r>
      <w:r w:rsidR="00402705">
        <w:rPr>
          <w:rFonts w:ascii="Aptos" w:eastAsia="Times New Roman" w:hAnsi="Aptos"/>
          <w:color w:val="000000"/>
        </w:rPr>
        <w:t xml:space="preserve">: </w:t>
      </w:r>
      <w:r w:rsidR="00E17EC4">
        <w:rPr>
          <w:rFonts w:ascii="Aptos" w:eastAsia="Times New Roman" w:hAnsi="Aptos"/>
          <w:color w:val="000000"/>
        </w:rPr>
        <w:t>potential</w:t>
      </w:r>
      <w:r w:rsidR="00402705">
        <w:rPr>
          <w:rFonts w:ascii="Aptos" w:eastAsia="Times New Roman" w:hAnsi="Aptos"/>
          <w:color w:val="000000"/>
        </w:rPr>
        <w:t xml:space="preserve"> adverse events</w:t>
      </w:r>
      <w:r w:rsidR="00E3265F">
        <w:rPr>
          <w:rFonts w:ascii="Aptos" w:eastAsia="Times New Roman" w:hAnsi="Aptos"/>
          <w:color w:val="000000"/>
        </w:rPr>
        <w:t>;</w:t>
      </w:r>
      <w:r w:rsidR="0078528C">
        <w:rPr>
          <w:rFonts w:ascii="Aptos" w:eastAsia="Times New Roman" w:hAnsi="Aptos"/>
          <w:color w:val="000000"/>
        </w:rPr>
        <w:t xml:space="preserve"> tolerability of the treatment</w:t>
      </w:r>
      <w:r w:rsidR="00E17EC4">
        <w:rPr>
          <w:rFonts w:ascii="Aptos" w:eastAsia="Times New Roman" w:hAnsi="Aptos"/>
          <w:color w:val="000000"/>
        </w:rPr>
        <w:t xml:space="preserve">; </w:t>
      </w:r>
      <w:r w:rsidR="0078528C">
        <w:rPr>
          <w:rFonts w:ascii="Aptos" w:eastAsia="Times New Roman" w:hAnsi="Aptos"/>
          <w:color w:val="000000"/>
        </w:rPr>
        <w:t>long-term safety of GLP-1 RA</w:t>
      </w:r>
      <w:r w:rsidR="004E5237">
        <w:rPr>
          <w:rFonts w:ascii="Aptos" w:eastAsia="Times New Roman" w:hAnsi="Aptos"/>
          <w:color w:val="000000"/>
        </w:rPr>
        <w:t>s</w:t>
      </w:r>
      <w:r w:rsidR="0078528C">
        <w:rPr>
          <w:rFonts w:ascii="Aptos" w:eastAsia="Times New Roman" w:hAnsi="Aptos"/>
          <w:color w:val="000000"/>
        </w:rPr>
        <w:t xml:space="preserve"> usage</w:t>
      </w:r>
      <w:r w:rsidR="00E17EC4">
        <w:rPr>
          <w:rFonts w:ascii="Aptos" w:eastAsia="Times New Roman" w:hAnsi="Aptos"/>
          <w:color w:val="000000"/>
        </w:rPr>
        <w:t>;</w:t>
      </w:r>
      <w:r w:rsidR="0078528C">
        <w:rPr>
          <w:rFonts w:ascii="Aptos" w:eastAsia="Times New Roman" w:hAnsi="Aptos"/>
          <w:color w:val="000000"/>
        </w:rPr>
        <w:t xml:space="preserve"> </w:t>
      </w:r>
      <w:r w:rsidR="007044A7">
        <w:rPr>
          <w:rFonts w:ascii="Aptos" w:eastAsia="Times New Roman" w:hAnsi="Aptos"/>
          <w:color w:val="000000"/>
        </w:rPr>
        <w:t>differences in safety between different types of GLP-1 RA</w:t>
      </w:r>
      <w:r w:rsidR="004E5237">
        <w:rPr>
          <w:rFonts w:ascii="Aptos" w:eastAsia="Times New Roman" w:hAnsi="Aptos"/>
          <w:color w:val="000000"/>
        </w:rPr>
        <w:t>s</w:t>
      </w:r>
      <w:r w:rsidR="00E17EC4">
        <w:rPr>
          <w:rFonts w:ascii="Aptos" w:eastAsia="Times New Roman" w:hAnsi="Aptos"/>
          <w:color w:val="000000"/>
        </w:rPr>
        <w:t>.</w:t>
      </w:r>
    </w:p>
    <w:p w14:paraId="497C1E89" w14:textId="2E3CD5AD" w:rsidR="00BA5BEB" w:rsidRDefault="00BA5BEB" w:rsidP="0000542F">
      <w:pPr>
        <w:pStyle w:val="ListParagraph"/>
        <w:numPr>
          <w:ilvl w:val="0"/>
          <w:numId w:val="1"/>
        </w:numPr>
        <w:spacing w:after="0"/>
        <w:rPr>
          <w:rFonts w:ascii="Aptos" w:eastAsia="Times New Roman" w:hAnsi="Aptos"/>
          <w:color w:val="000000"/>
        </w:rPr>
      </w:pPr>
      <w:r>
        <w:rPr>
          <w:rFonts w:ascii="Aptos" w:eastAsia="Times New Roman" w:hAnsi="Aptos"/>
          <w:color w:val="000000"/>
        </w:rPr>
        <w:t xml:space="preserve">To examine the sustainability of the weight loss: is it durable? </w:t>
      </w:r>
      <w:r w:rsidR="00F41BE5">
        <w:rPr>
          <w:rFonts w:ascii="Aptos" w:eastAsia="Times New Roman" w:hAnsi="Aptos"/>
          <w:color w:val="000000"/>
        </w:rPr>
        <w:t>What other factors influence the long-term</w:t>
      </w:r>
      <w:r w:rsidR="00780306">
        <w:rPr>
          <w:rFonts w:ascii="Aptos" w:eastAsia="Times New Roman" w:hAnsi="Aptos"/>
          <w:color w:val="000000"/>
        </w:rPr>
        <w:t xml:space="preserve"> maintenance </w:t>
      </w:r>
      <w:r w:rsidR="00A84F13">
        <w:rPr>
          <w:rFonts w:ascii="Aptos" w:eastAsia="Times New Roman" w:hAnsi="Aptos"/>
          <w:color w:val="000000"/>
        </w:rPr>
        <w:t>of weight</w:t>
      </w:r>
      <w:r w:rsidR="00F41BE5">
        <w:rPr>
          <w:rFonts w:ascii="Aptos" w:eastAsia="Times New Roman" w:hAnsi="Aptos"/>
          <w:color w:val="000000"/>
        </w:rPr>
        <w:t xml:space="preserve"> loss? </w:t>
      </w:r>
    </w:p>
    <w:p w14:paraId="4504E65A" w14:textId="77777777" w:rsidR="00A331E4" w:rsidRDefault="00A331E4" w:rsidP="00A331E4">
      <w:pPr>
        <w:spacing w:after="0"/>
        <w:rPr>
          <w:rFonts w:ascii="Aptos" w:eastAsia="Times New Roman" w:hAnsi="Aptos"/>
          <w:color w:val="000000"/>
        </w:rPr>
      </w:pPr>
    </w:p>
    <w:p w14:paraId="748C29DE" w14:textId="32C981D8" w:rsidR="00A331E4" w:rsidRDefault="00A331E4" w:rsidP="00C7361D">
      <w:pPr>
        <w:spacing w:after="100" w:afterAutospacing="1"/>
        <w:rPr>
          <w:rFonts w:ascii="Aptos" w:eastAsia="Times New Roman" w:hAnsi="Aptos"/>
          <w:color w:val="000000"/>
          <w:u w:val="single"/>
        </w:rPr>
      </w:pPr>
      <w:r w:rsidRPr="00A331E4">
        <w:rPr>
          <w:rFonts w:ascii="Aptos" w:eastAsia="Times New Roman" w:hAnsi="Aptos"/>
          <w:color w:val="000000"/>
          <w:u w:val="single"/>
        </w:rPr>
        <w:t xml:space="preserve">Method: </w:t>
      </w:r>
    </w:p>
    <w:p w14:paraId="29FED3D6" w14:textId="64AAE31F" w:rsidR="00CC4D54" w:rsidRDefault="008B7538" w:rsidP="00A331E4">
      <w:pPr>
        <w:spacing w:after="0"/>
        <w:rPr>
          <w:rFonts w:ascii="Aptos" w:eastAsia="Times New Roman" w:hAnsi="Aptos"/>
          <w:color w:val="000000"/>
        </w:rPr>
      </w:pPr>
      <w:r w:rsidRPr="008B7538">
        <w:rPr>
          <w:rFonts w:ascii="Aptos" w:eastAsia="Times New Roman" w:hAnsi="Aptos"/>
          <w:color w:val="000000"/>
        </w:rPr>
        <w:t>The research question will be investigated and presented in the form of a narrative review.</w:t>
      </w:r>
      <w:r w:rsidR="00BA249F">
        <w:rPr>
          <w:rFonts w:ascii="Aptos" w:eastAsia="Times New Roman" w:hAnsi="Aptos"/>
          <w:color w:val="000000"/>
        </w:rPr>
        <w:t xml:space="preserve"> </w:t>
      </w:r>
      <w:r w:rsidR="001E0A0A">
        <w:rPr>
          <w:rFonts w:ascii="Aptos" w:eastAsia="Times New Roman" w:hAnsi="Aptos"/>
          <w:color w:val="000000"/>
        </w:rPr>
        <w:t xml:space="preserve">Narrative reviews </w:t>
      </w:r>
      <w:r w:rsidR="009B01C3">
        <w:rPr>
          <w:rFonts w:ascii="Aptos" w:eastAsia="Times New Roman" w:hAnsi="Aptos"/>
          <w:color w:val="000000"/>
        </w:rPr>
        <w:t>offer an</w:t>
      </w:r>
      <w:r w:rsidR="001E0A0A">
        <w:rPr>
          <w:rFonts w:ascii="Aptos" w:eastAsia="Times New Roman" w:hAnsi="Aptos"/>
          <w:color w:val="000000"/>
        </w:rPr>
        <w:t xml:space="preserve"> extensive des</w:t>
      </w:r>
      <w:r w:rsidR="00A61E08">
        <w:rPr>
          <w:rFonts w:ascii="Aptos" w:eastAsia="Times New Roman" w:hAnsi="Aptos"/>
          <w:color w:val="000000"/>
        </w:rPr>
        <w:t>cription</w:t>
      </w:r>
      <w:r w:rsidR="00CB1744">
        <w:rPr>
          <w:rFonts w:ascii="Aptos" w:eastAsia="Times New Roman" w:hAnsi="Aptos"/>
          <w:color w:val="000000"/>
        </w:rPr>
        <w:t xml:space="preserve"> of a topic</w:t>
      </w:r>
      <w:r w:rsidR="00A61E08">
        <w:rPr>
          <w:rFonts w:ascii="Aptos" w:eastAsia="Times New Roman" w:hAnsi="Aptos"/>
          <w:color w:val="000000"/>
        </w:rPr>
        <w:t xml:space="preserve"> by incorporating</w:t>
      </w:r>
      <w:r w:rsidR="008E6308">
        <w:rPr>
          <w:rFonts w:ascii="Aptos" w:eastAsia="Times New Roman" w:hAnsi="Aptos"/>
          <w:color w:val="000000"/>
        </w:rPr>
        <w:t xml:space="preserve"> multiple dimensions</w:t>
      </w:r>
      <w:r w:rsidR="00D72468">
        <w:rPr>
          <w:rFonts w:ascii="Aptos" w:eastAsia="Times New Roman" w:hAnsi="Aptos"/>
          <w:color w:val="000000"/>
        </w:rPr>
        <w:t>,</w:t>
      </w:r>
      <w:r w:rsidR="004823EC" w:rsidRPr="004823EC">
        <w:rPr>
          <w:rFonts w:ascii="Aptos" w:eastAsia="Times New Roman" w:hAnsi="Aptos"/>
          <w:color w:val="000000"/>
        </w:rPr>
        <w:t xml:space="preserve"> </w:t>
      </w:r>
      <w:r w:rsidR="004823EC" w:rsidRPr="004823EC">
        <w:rPr>
          <w:rFonts w:ascii="Aptos" w:eastAsia="Times New Roman" w:hAnsi="Aptos"/>
          <w:color w:val="000000"/>
        </w:rPr>
        <w:t>and enable a broad scope of research</w:t>
      </w:r>
      <w:r w:rsidR="00A268BE">
        <w:rPr>
          <w:rFonts w:ascii="Aptos" w:eastAsia="Times New Roman" w:hAnsi="Aptos"/>
          <w:color w:val="000000"/>
        </w:rPr>
        <w:t xml:space="preserve"> owing to the flexibility of </w:t>
      </w:r>
      <w:r w:rsidR="00F54CA5">
        <w:rPr>
          <w:rFonts w:ascii="Aptos" w:eastAsia="Times New Roman" w:hAnsi="Aptos"/>
          <w:color w:val="000000"/>
        </w:rPr>
        <w:t>their</w:t>
      </w:r>
      <w:r w:rsidR="00A268BE">
        <w:rPr>
          <w:rFonts w:ascii="Aptos" w:eastAsia="Times New Roman" w:hAnsi="Aptos"/>
          <w:color w:val="000000"/>
        </w:rPr>
        <w:t xml:space="preserve"> methodology</w:t>
      </w:r>
      <w:r w:rsidR="00771FB6">
        <w:rPr>
          <w:rFonts w:ascii="Aptos" w:eastAsia="Times New Roman" w:hAnsi="Aptos"/>
          <w:color w:val="000000"/>
        </w:rPr>
        <w:t xml:space="preserve"> </w:t>
      </w:r>
      <w:r w:rsidR="003B1D7C">
        <w:rPr>
          <w:rFonts w:ascii="Aptos" w:eastAsia="Times New Roman" w:hAnsi="Aptos"/>
          <w:color w:val="000000"/>
        </w:rPr>
        <w:t>(Greenhalgh</w:t>
      </w:r>
      <w:r w:rsidR="009E01B4">
        <w:rPr>
          <w:rFonts w:ascii="Aptos" w:eastAsia="Times New Roman" w:hAnsi="Aptos"/>
          <w:color w:val="000000"/>
        </w:rPr>
        <w:t xml:space="preserve"> </w:t>
      </w:r>
      <w:r w:rsidR="009E01B4">
        <w:rPr>
          <w:rFonts w:ascii="Aptos" w:eastAsia="Times New Roman" w:hAnsi="Aptos"/>
          <w:i/>
          <w:iCs/>
          <w:color w:val="000000"/>
        </w:rPr>
        <w:t>et al.</w:t>
      </w:r>
      <w:r w:rsidR="009E01B4">
        <w:rPr>
          <w:rFonts w:ascii="Aptos" w:eastAsia="Times New Roman" w:hAnsi="Aptos"/>
          <w:color w:val="000000"/>
        </w:rPr>
        <w:t>,</w:t>
      </w:r>
      <w:r w:rsidR="003B1D7C">
        <w:rPr>
          <w:rFonts w:ascii="Aptos" w:eastAsia="Times New Roman" w:hAnsi="Aptos"/>
          <w:color w:val="000000"/>
        </w:rPr>
        <w:t xml:space="preserve"> 2018)</w:t>
      </w:r>
      <w:r w:rsidR="009E01B4">
        <w:rPr>
          <w:rFonts w:ascii="Aptos" w:eastAsia="Times New Roman" w:hAnsi="Aptos"/>
          <w:color w:val="000000"/>
        </w:rPr>
        <w:t xml:space="preserve">. </w:t>
      </w:r>
      <w:r w:rsidR="00CB3A0D">
        <w:rPr>
          <w:rFonts w:ascii="Aptos" w:eastAsia="Times New Roman" w:hAnsi="Aptos"/>
          <w:color w:val="000000"/>
        </w:rPr>
        <w:t>They provide in-depth interpretation, contextual analysis and synthesis</w:t>
      </w:r>
      <w:r w:rsidR="00DD5B1D">
        <w:rPr>
          <w:rFonts w:ascii="Aptos" w:eastAsia="Times New Roman" w:hAnsi="Aptos"/>
          <w:color w:val="000000"/>
        </w:rPr>
        <w:t xml:space="preserve"> of evolving ev</w:t>
      </w:r>
      <w:r w:rsidR="00956EE7">
        <w:rPr>
          <w:rFonts w:ascii="Aptos" w:eastAsia="Times New Roman" w:hAnsi="Aptos"/>
          <w:color w:val="000000"/>
        </w:rPr>
        <w:t>idence</w:t>
      </w:r>
      <w:r w:rsidR="00D72468">
        <w:rPr>
          <w:rFonts w:ascii="Aptos" w:eastAsia="Times New Roman" w:hAnsi="Aptos"/>
          <w:color w:val="000000"/>
        </w:rPr>
        <w:t>,</w:t>
      </w:r>
      <w:r w:rsidR="00CB3A0D">
        <w:rPr>
          <w:rFonts w:ascii="Aptos" w:eastAsia="Times New Roman" w:hAnsi="Aptos"/>
          <w:color w:val="000000"/>
        </w:rPr>
        <w:t xml:space="preserve"> </w:t>
      </w:r>
      <w:r w:rsidR="00DE72B4">
        <w:rPr>
          <w:rFonts w:ascii="Aptos" w:eastAsia="Times New Roman" w:hAnsi="Aptos"/>
          <w:color w:val="000000"/>
        </w:rPr>
        <w:t xml:space="preserve">while presenting </w:t>
      </w:r>
      <w:r w:rsidR="003039EF">
        <w:rPr>
          <w:rFonts w:ascii="Aptos" w:eastAsia="Times New Roman" w:hAnsi="Aptos"/>
          <w:color w:val="000000"/>
        </w:rPr>
        <w:t>previous</w:t>
      </w:r>
      <w:r w:rsidR="00A913FF">
        <w:rPr>
          <w:rFonts w:ascii="Aptos" w:eastAsia="Times New Roman" w:hAnsi="Aptos"/>
          <w:color w:val="000000"/>
        </w:rPr>
        <w:t xml:space="preserve"> and current </w:t>
      </w:r>
      <w:r w:rsidR="00C03124">
        <w:rPr>
          <w:rFonts w:ascii="Aptos" w:eastAsia="Times New Roman" w:hAnsi="Aptos"/>
          <w:color w:val="000000"/>
        </w:rPr>
        <w:t xml:space="preserve">data </w:t>
      </w:r>
      <w:r w:rsidR="00DE72B4">
        <w:rPr>
          <w:rFonts w:ascii="Aptos" w:eastAsia="Times New Roman" w:hAnsi="Aptos"/>
          <w:color w:val="000000"/>
        </w:rPr>
        <w:t xml:space="preserve">on a topic </w:t>
      </w:r>
      <w:r w:rsidR="004A293F">
        <w:rPr>
          <w:rFonts w:ascii="Aptos" w:eastAsia="Times New Roman" w:hAnsi="Aptos"/>
          <w:color w:val="000000"/>
        </w:rPr>
        <w:t xml:space="preserve">to inform </w:t>
      </w:r>
      <w:r w:rsidR="005A4E08">
        <w:rPr>
          <w:rFonts w:ascii="Aptos" w:eastAsia="Times New Roman" w:hAnsi="Aptos"/>
          <w:color w:val="000000"/>
        </w:rPr>
        <w:t>the review’s conclusion</w:t>
      </w:r>
      <w:r w:rsidR="00253182">
        <w:rPr>
          <w:rFonts w:ascii="Aptos" w:eastAsia="Times New Roman" w:hAnsi="Aptos"/>
          <w:color w:val="000000"/>
        </w:rPr>
        <w:t xml:space="preserve"> and identify gaps in knowledge </w:t>
      </w:r>
      <w:r w:rsidR="004721E9">
        <w:rPr>
          <w:rFonts w:ascii="Aptos" w:eastAsia="Times New Roman" w:hAnsi="Aptos"/>
          <w:color w:val="000000"/>
        </w:rPr>
        <w:t>(Sukhera, 2022).</w:t>
      </w:r>
    </w:p>
    <w:p w14:paraId="5BD4FB1F" w14:textId="77777777" w:rsidR="00260EC3" w:rsidRDefault="00D765D3" w:rsidP="00260EC3">
      <w:pPr>
        <w:spacing w:after="0"/>
        <w:rPr>
          <w:rFonts w:ascii="Aptos" w:eastAsia="Times New Roman" w:hAnsi="Aptos"/>
          <w:color w:val="000000"/>
        </w:rPr>
      </w:pPr>
      <w:r>
        <w:rPr>
          <w:rFonts w:ascii="Aptos" w:eastAsia="Times New Roman" w:hAnsi="Aptos"/>
          <w:color w:val="000000"/>
        </w:rPr>
        <w:t>The literature search</w:t>
      </w:r>
      <w:r w:rsidR="00362CC6">
        <w:rPr>
          <w:rFonts w:ascii="Aptos" w:eastAsia="Times New Roman" w:hAnsi="Aptos"/>
          <w:color w:val="000000"/>
        </w:rPr>
        <w:t xml:space="preserve"> </w:t>
      </w:r>
      <w:r>
        <w:rPr>
          <w:rFonts w:ascii="Aptos" w:eastAsia="Times New Roman" w:hAnsi="Aptos"/>
          <w:color w:val="000000"/>
        </w:rPr>
        <w:t xml:space="preserve">for this narrative review will be </w:t>
      </w:r>
      <w:r w:rsidR="00D44514">
        <w:rPr>
          <w:rFonts w:ascii="Aptos" w:eastAsia="Times New Roman" w:hAnsi="Aptos"/>
          <w:color w:val="000000"/>
        </w:rPr>
        <w:t xml:space="preserve">conducted using </w:t>
      </w:r>
      <w:r w:rsidR="00D90B35">
        <w:rPr>
          <w:rFonts w:ascii="Aptos" w:eastAsia="Times New Roman" w:hAnsi="Aptos"/>
          <w:color w:val="000000"/>
        </w:rPr>
        <w:t xml:space="preserve">the following databases: </w:t>
      </w:r>
      <w:r w:rsidR="00D44514">
        <w:rPr>
          <w:rFonts w:ascii="Aptos" w:eastAsia="Times New Roman" w:hAnsi="Aptos"/>
          <w:color w:val="000000"/>
        </w:rPr>
        <w:t>PubMed</w:t>
      </w:r>
      <w:r w:rsidR="00B42A0B">
        <w:rPr>
          <w:rFonts w:ascii="Aptos" w:eastAsia="Times New Roman" w:hAnsi="Aptos"/>
          <w:color w:val="000000"/>
        </w:rPr>
        <w:t>, MedLine, Cochrane Library, Embase, Scopus, Web of Science, Science Direct</w:t>
      </w:r>
      <w:r w:rsidR="002C1FEB">
        <w:rPr>
          <w:rFonts w:ascii="Aptos" w:eastAsia="Times New Roman" w:hAnsi="Aptos"/>
          <w:color w:val="000000"/>
        </w:rPr>
        <w:t xml:space="preserve">, UWTSD Library resources and Google Scholar. </w:t>
      </w:r>
    </w:p>
    <w:p w14:paraId="284650AB" w14:textId="3B270E11" w:rsidR="00260EC3" w:rsidRDefault="00D90B35" w:rsidP="00260EC3">
      <w:pPr>
        <w:spacing w:after="0"/>
        <w:rPr>
          <w:rFonts w:ascii="Aptos" w:eastAsia="Times New Roman" w:hAnsi="Aptos"/>
          <w:color w:val="000000"/>
        </w:rPr>
      </w:pPr>
      <w:r w:rsidRPr="1EA9440A">
        <w:rPr>
          <w:rFonts w:ascii="Aptos" w:eastAsia="Times New Roman" w:hAnsi="Aptos"/>
          <w:color w:val="000000" w:themeColor="text1"/>
        </w:rPr>
        <w:t xml:space="preserve">The key words </w:t>
      </w:r>
      <w:r w:rsidR="00F61273" w:rsidRPr="1EA9440A">
        <w:rPr>
          <w:rFonts w:ascii="Aptos" w:eastAsia="Times New Roman" w:hAnsi="Aptos"/>
          <w:color w:val="000000" w:themeColor="text1"/>
        </w:rPr>
        <w:t xml:space="preserve">for the search will </w:t>
      </w:r>
      <w:r w:rsidR="00904180" w:rsidRPr="1EA9440A">
        <w:rPr>
          <w:rFonts w:ascii="Aptos" w:eastAsia="Times New Roman" w:hAnsi="Aptos"/>
          <w:color w:val="000000" w:themeColor="text1"/>
        </w:rPr>
        <w:t xml:space="preserve">include: </w:t>
      </w:r>
      <w:r w:rsidR="005D0182" w:rsidRPr="1EA9440A">
        <w:rPr>
          <w:rFonts w:ascii="Aptos" w:eastAsia="Times New Roman" w:hAnsi="Aptos"/>
          <w:i/>
          <w:color w:val="000000" w:themeColor="text1"/>
        </w:rPr>
        <w:t>"GLP-1 receptor agonists"</w:t>
      </w:r>
      <w:r w:rsidR="005D0182" w:rsidRPr="1EA9440A">
        <w:rPr>
          <w:rFonts w:ascii="Aptos" w:eastAsia="Times New Roman" w:hAnsi="Aptos"/>
          <w:color w:val="000000" w:themeColor="text1"/>
        </w:rPr>
        <w:t xml:space="preserve">, </w:t>
      </w:r>
      <w:r w:rsidR="005D0182" w:rsidRPr="1EA9440A">
        <w:rPr>
          <w:rFonts w:ascii="Aptos" w:eastAsia="Times New Roman" w:hAnsi="Aptos"/>
          <w:i/>
          <w:color w:val="000000" w:themeColor="text1"/>
        </w:rPr>
        <w:t>"overweight"</w:t>
      </w:r>
      <w:r w:rsidR="005D0182" w:rsidRPr="1EA9440A">
        <w:rPr>
          <w:rFonts w:ascii="Aptos" w:eastAsia="Times New Roman" w:hAnsi="Aptos"/>
          <w:color w:val="000000" w:themeColor="text1"/>
        </w:rPr>
        <w:t xml:space="preserve">, </w:t>
      </w:r>
      <w:r w:rsidR="005D0182" w:rsidRPr="1EA9440A">
        <w:rPr>
          <w:rFonts w:ascii="Aptos" w:eastAsia="Times New Roman" w:hAnsi="Aptos"/>
          <w:i/>
          <w:color w:val="000000" w:themeColor="text1"/>
        </w:rPr>
        <w:t>"obesity"</w:t>
      </w:r>
      <w:r w:rsidR="005D0182" w:rsidRPr="1EA9440A">
        <w:rPr>
          <w:rFonts w:ascii="Aptos" w:eastAsia="Times New Roman" w:hAnsi="Aptos"/>
          <w:color w:val="000000" w:themeColor="text1"/>
        </w:rPr>
        <w:t xml:space="preserve">, </w:t>
      </w:r>
      <w:r w:rsidR="005D0182" w:rsidRPr="1EA9440A">
        <w:rPr>
          <w:rFonts w:ascii="Aptos" w:eastAsia="Times New Roman" w:hAnsi="Aptos"/>
          <w:i/>
          <w:color w:val="000000" w:themeColor="text1"/>
        </w:rPr>
        <w:t>"weight loss"</w:t>
      </w:r>
      <w:r w:rsidR="005D0182" w:rsidRPr="1EA9440A">
        <w:rPr>
          <w:rFonts w:ascii="Aptos" w:eastAsia="Times New Roman" w:hAnsi="Aptos"/>
          <w:color w:val="000000" w:themeColor="text1"/>
        </w:rPr>
        <w:t xml:space="preserve">, </w:t>
      </w:r>
      <w:r w:rsidR="005D0182" w:rsidRPr="1EA9440A">
        <w:rPr>
          <w:rFonts w:ascii="Aptos" w:eastAsia="Times New Roman" w:hAnsi="Aptos"/>
          <w:i/>
          <w:color w:val="000000" w:themeColor="text1"/>
        </w:rPr>
        <w:t>"efficacy"</w:t>
      </w:r>
      <w:r w:rsidR="005D0182" w:rsidRPr="1EA9440A">
        <w:rPr>
          <w:rFonts w:ascii="Aptos" w:eastAsia="Times New Roman" w:hAnsi="Aptos"/>
          <w:color w:val="000000" w:themeColor="text1"/>
        </w:rPr>
        <w:t xml:space="preserve">, </w:t>
      </w:r>
      <w:r w:rsidR="005D0182" w:rsidRPr="1EA9440A">
        <w:rPr>
          <w:rFonts w:ascii="Aptos" w:eastAsia="Times New Roman" w:hAnsi="Aptos"/>
          <w:i/>
          <w:color w:val="000000" w:themeColor="text1"/>
        </w:rPr>
        <w:t>"safety"</w:t>
      </w:r>
      <w:r w:rsidR="005D0182" w:rsidRPr="1EA9440A">
        <w:rPr>
          <w:rFonts w:ascii="Aptos" w:eastAsia="Times New Roman" w:hAnsi="Aptos"/>
          <w:color w:val="000000" w:themeColor="text1"/>
        </w:rPr>
        <w:t xml:space="preserve">, </w:t>
      </w:r>
      <w:r w:rsidR="005D0182" w:rsidRPr="1EA9440A">
        <w:rPr>
          <w:rFonts w:ascii="Aptos" w:eastAsia="Times New Roman" w:hAnsi="Aptos"/>
          <w:i/>
          <w:color w:val="000000" w:themeColor="text1"/>
        </w:rPr>
        <w:t>"long-term outcomes"</w:t>
      </w:r>
      <w:r w:rsidR="005D0182" w:rsidRPr="1EA9440A">
        <w:rPr>
          <w:rFonts w:ascii="Aptos" w:eastAsia="Times New Roman" w:hAnsi="Aptos"/>
          <w:color w:val="000000" w:themeColor="text1"/>
        </w:rPr>
        <w:t xml:space="preserve">, </w:t>
      </w:r>
      <w:r w:rsidR="005D0182" w:rsidRPr="1EA9440A">
        <w:rPr>
          <w:rFonts w:ascii="Aptos" w:eastAsia="Times New Roman" w:hAnsi="Aptos"/>
          <w:i/>
          <w:color w:val="000000" w:themeColor="text1"/>
        </w:rPr>
        <w:t>"liraglutide"</w:t>
      </w:r>
      <w:r w:rsidR="005D0182" w:rsidRPr="1EA9440A">
        <w:rPr>
          <w:rFonts w:ascii="Aptos" w:eastAsia="Times New Roman" w:hAnsi="Aptos"/>
          <w:color w:val="000000" w:themeColor="text1"/>
        </w:rPr>
        <w:t xml:space="preserve">, </w:t>
      </w:r>
      <w:r w:rsidR="005D0182" w:rsidRPr="1EA9440A">
        <w:rPr>
          <w:rFonts w:ascii="Aptos" w:eastAsia="Times New Roman" w:hAnsi="Aptos"/>
          <w:i/>
          <w:color w:val="000000" w:themeColor="text1"/>
        </w:rPr>
        <w:t>"semaglutide"</w:t>
      </w:r>
      <w:r w:rsidR="005D0182" w:rsidRPr="1EA9440A">
        <w:rPr>
          <w:rFonts w:ascii="Aptos" w:eastAsia="Times New Roman" w:hAnsi="Aptos"/>
          <w:color w:val="000000" w:themeColor="text1"/>
        </w:rPr>
        <w:t>.</w:t>
      </w:r>
      <w:r w:rsidR="008E245A" w:rsidRPr="1EA9440A">
        <w:rPr>
          <w:rFonts w:ascii="Aptos" w:eastAsia="Times New Roman" w:hAnsi="Aptos"/>
          <w:color w:val="000000" w:themeColor="text1"/>
        </w:rPr>
        <w:t xml:space="preserve"> Key words </w:t>
      </w:r>
      <w:r w:rsidR="0080488F" w:rsidRPr="1EA9440A">
        <w:rPr>
          <w:rFonts w:ascii="Aptos" w:eastAsia="Times New Roman" w:hAnsi="Aptos"/>
          <w:color w:val="000000" w:themeColor="text1"/>
        </w:rPr>
        <w:t xml:space="preserve">and MeSH terms will be combined with Boolean operators </w:t>
      </w:r>
      <w:r w:rsidR="002A19E2">
        <w:rPr>
          <w:rFonts w:ascii="Aptos" w:eastAsia="Times New Roman" w:hAnsi="Aptos"/>
          <w:color w:val="000000" w:themeColor="text1"/>
        </w:rPr>
        <w:t>“</w:t>
      </w:r>
      <w:r w:rsidR="00840B6C">
        <w:rPr>
          <w:rFonts w:ascii="Aptos" w:eastAsia="Times New Roman" w:hAnsi="Aptos"/>
          <w:color w:val="000000" w:themeColor="text1"/>
        </w:rPr>
        <w:t>AND</w:t>
      </w:r>
      <w:r w:rsidR="002A19E2">
        <w:rPr>
          <w:rFonts w:ascii="Aptos" w:eastAsia="Times New Roman" w:hAnsi="Aptos"/>
          <w:color w:val="000000" w:themeColor="text1"/>
        </w:rPr>
        <w:t>”</w:t>
      </w:r>
      <w:r w:rsidR="00840B6C">
        <w:rPr>
          <w:rFonts w:ascii="Aptos" w:eastAsia="Times New Roman" w:hAnsi="Aptos"/>
          <w:color w:val="000000" w:themeColor="text1"/>
        </w:rPr>
        <w:t xml:space="preserve">, </w:t>
      </w:r>
      <w:r w:rsidR="002A19E2">
        <w:rPr>
          <w:rFonts w:ascii="Aptos" w:eastAsia="Times New Roman" w:hAnsi="Aptos"/>
          <w:color w:val="000000" w:themeColor="text1"/>
        </w:rPr>
        <w:t>“</w:t>
      </w:r>
      <w:r w:rsidR="00840B6C">
        <w:rPr>
          <w:rFonts w:ascii="Aptos" w:eastAsia="Times New Roman" w:hAnsi="Aptos"/>
          <w:color w:val="000000" w:themeColor="text1"/>
        </w:rPr>
        <w:t>OR</w:t>
      </w:r>
      <w:r w:rsidR="002A19E2">
        <w:rPr>
          <w:rFonts w:ascii="Aptos" w:eastAsia="Times New Roman" w:hAnsi="Aptos"/>
          <w:color w:val="000000" w:themeColor="text1"/>
        </w:rPr>
        <w:t>”</w:t>
      </w:r>
      <w:r w:rsidR="00840B6C">
        <w:rPr>
          <w:rFonts w:ascii="Aptos" w:eastAsia="Times New Roman" w:hAnsi="Aptos"/>
          <w:color w:val="000000" w:themeColor="text1"/>
        </w:rPr>
        <w:t>,</w:t>
      </w:r>
      <w:r w:rsidR="002A19E2">
        <w:rPr>
          <w:rFonts w:ascii="Aptos" w:eastAsia="Times New Roman" w:hAnsi="Aptos"/>
          <w:color w:val="000000" w:themeColor="text1"/>
        </w:rPr>
        <w:t xml:space="preserve"> and “</w:t>
      </w:r>
      <w:r w:rsidR="00840B6C">
        <w:rPr>
          <w:rFonts w:ascii="Aptos" w:eastAsia="Times New Roman" w:hAnsi="Aptos"/>
          <w:color w:val="000000" w:themeColor="text1"/>
        </w:rPr>
        <w:t>NOT</w:t>
      </w:r>
      <w:r w:rsidR="002A19E2">
        <w:rPr>
          <w:rFonts w:ascii="Aptos" w:eastAsia="Times New Roman" w:hAnsi="Aptos"/>
          <w:color w:val="000000" w:themeColor="text1"/>
        </w:rPr>
        <w:t xml:space="preserve">”, </w:t>
      </w:r>
      <w:r w:rsidR="0080488F" w:rsidRPr="1EA9440A">
        <w:rPr>
          <w:rFonts w:ascii="Aptos" w:eastAsia="Times New Roman" w:hAnsi="Aptos"/>
          <w:color w:val="000000" w:themeColor="text1"/>
        </w:rPr>
        <w:t>to filter relevant studies</w:t>
      </w:r>
      <w:r w:rsidR="00894FBF" w:rsidRPr="1EA9440A">
        <w:rPr>
          <w:rFonts w:ascii="Aptos" w:eastAsia="Times New Roman" w:hAnsi="Aptos"/>
          <w:color w:val="000000" w:themeColor="text1"/>
        </w:rPr>
        <w:t xml:space="preserve"> for this topic</w:t>
      </w:r>
      <w:r w:rsidR="008C0858">
        <w:rPr>
          <w:rFonts w:ascii="Aptos" w:eastAsia="Times New Roman" w:hAnsi="Aptos"/>
          <w:color w:val="000000" w:themeColor="text1"/>
        </w:rPr>
        <w:t xml:space="preserve"> </w:t>
      </w:r>
      <w:r w:rsidR="008C0858">
        <w:rPr>
          <w:rFonts w:ascii="Aptos" w:eastAsia="Times New Roman" w:hAnsi="Aptos"/>
          <w:color w:val="000000"/>
        </w:rPr>
        <w:t>(Aliyu, 2017)</w:t>
      </w:r>
      <w:r w:rsidR="00F8429B">
        <w:rPr>
          <w:rFonts w:ascii="Aptos" w:eastAsia="Times New Roman" w:hAnsi="Aptos"/>
          <w:color w:val="000000"/>
        </w:rPr>
        <w:t>.</w:t>
      </w:r>
    </w:p>
    <w:p w14:paraId="521CD435" w14:textId="7FA8A1AC" w:rsidR="005A7146" w:rsidRDefault="007E1938" w:rsidP="00260EC3">
      <w:pPr>
        <w:spacing w:after="0"/>
        <w:rPr>
          <w:rFonts w:ascii="Aptos" w:eastAsia="Times New Roman" w:hAnsi="Aptos"/>
          <w:color w:val="000000"/>
        </w:rPr>
      </w:pPr>
      <w:r>
        <w:rPr>
          <w:rFonts w:ascii="Aptos" w:eastAsia="Times New Roman" w:hAnsi="Aptos"/>
          <w:color w:val="000000"/>
        </w:rPr>
        <w:t xml:space="preserve">The inclusion criteria will </w:t>
      </w:r>
      <w:r w:rsidR="00245A1D">
        <w:rPr>
          <w:rFonts w:ascii="Aptos" w:eastAsia="Times New Roman" w:hAnsi="Aptos"/>
          <w:color w:val="000000"/>
        </w:rPr>
        <w:t xml:space="preserve">focus on overweight and obese </w:t>
      </w:r>
      <w:r w:rsidR="006B2F93">
        <w:rPr>
          <w:rFonts w:ascii="Aptos" w:eastAsia="Times New Roman" w:hAnsi="Aptos"/>
          <w:color w:val="000000"/>
        </w:rPr>
        <w:t>adults’</w:t>
      </w:r>
      <w:r w:rsidR="00A96CBF">
        <w:rPr>
          <w:rFonts w:ascii="Aptos" w:eastAsia="Times New Roman" w:hAnsi="Aptos"/>
          <w:color w:val="000000"/>
        </w:rPr>
        <w:t xml:space="preserve"> population</w:t>
      </w:r>
      <w:r w:rsidR="00BD563F">
        <w:rPr>
          <w:rFonts w:ascii="Aptos" w:eastAsia="Times New Roman" w:hAnsi="Aptos"/>
          <w:color w:val="000000"/>
        </w:rPr>
        <w:t>,</w:t>
      </w:r>
      <w:r w:rsidR="00084BB5">
        <w:rPr>
          <w:rFonts w:ascii="Aptos" w:eastAsia="Times New Roman" w:hAnsi="Aptos"/>
          <w:color w:val="000000"/>
        </w:rPr>
        <w:t xml:space="preserve"> GLP-1 agonists</w:t>
      </w:r>
      <w:r w:rsidR="00A96CBF" w:rsidRPr="00A96CBF">
        <w:rPr>
          <w:rFonts w:ascii="Aptos" w:eastAsia="Times New Roman" w:hAnsi="Aptos"/>
          <w:color w:val="000000"/>
        </w:rPr>
        <w:t xml:space="preserve"> intervention</w:t>
      </w:r>
      <w:r w:rsidR="00A96CBF">
        <w:rPr>
          <w:rFonts w:ascii="Aptos" w:eastAsia="Times New Roman" w:hAnsi="Aptos"/>
          <w:color w:val="000000"/>
        </w:rPr>
        <w:t>,</w:t>
      </w:r>
      <w:r w:rsidR="00084BB5">
        <w:rPr>
          <w:rFonts w:ascii="Aptos" w:eastAsia="Times New Roman" w:hAnsi="Aptos"/>
          <w:color w:val="000000"/>
        </w:rPr>
        <w:t xml:space="preserve"> </w:t>
      </w:r>
      <w:r w:rsidR="00463C88">
        <w:rPr>
          <w:rFonts w:ascii="Aptos" w:eastAsia="Times New Roman" w:hAnsi="Aptos"/>
          <w:color w:val="000000"/>
        </w:rPr>
        <w:t xml:space="preserve">and </w:t>
      </w:r>
      <w:r w:rsidR="00084BB5">
        <w:rPr>
          <w:rFonts w:ascii="Aptos" w:eastAsia="Times New Roman" w:hAnsi="Aptos"/>
          <w:color w:val="000000"/>
        </w:rPr>
        <w:t xml:space="preserve">the outcomes </w:t>
      </w:r>
      <w:r w:rsidR="00463C88">
        <w:rPr>
          <w:rFonts w:ascii="Aptos" w:eastAsia="Times New Roman" w:hAnsi="Aptos"/>
          <w:color w:val="000000"/>
        </w:rPr>
        <w:t xml:space="preserve">will include </w:t>
      </w:r>
      <w:r w:rsidR="00B62DB0">
        <w:rPr>
          <w:rFonts w:ascii="Aptos" w:eastAsia="Times New Roman" w:hAnsi="Aptos"/>
          <w:color w:val="000000"/>
        </w:rPr>
        <w:t>efficacy and safety</w:t>
      </w:r>
      <w:r w:rsidR="006B2F93">
        <w:rPr>
          <w:rFonts w:ascii="Aptos" w:eastAsia="Times New Roman" w:hAnsi="Aptos"/>
          <w:color w:val="000000"/>
        </w:rPr>
        <w:t>. T</w:t>
      </w:r>
      <w:r w:rsidR="00F2273D">
        <w:rPr>
          <w:rFonts w:ascii="Aptos" w:eastAsia="Times New Roman" w:hAnsi="Aptos"/>
          <w:color w:val="000000"/>
        </w:rPr>
        <w:t xml:space="preserve">he exclusion criteria will </w:t>
      </w:r>
      <w:r w:rsidR="00F6386E">
        <w:rPr>
          <w:rFonts w:ascii="Aptos" w:eastAsia="Times New Roman" w:hAnsi="Aptos"/>
          <w:color w:val="000000"/>
        </w:rPr>
        <w:t xml:space="preserve">be children and young people under 18 years old, </w:t>
      </w:r>
      <w:r w:rsidR="00AC7B27">
        <w:rPr>
          <w:rFonts w:ascii="Aptos" w:eastAsia="Times New Roman" w:hAnsi="Aptos"/>
          <w:color w:val="000000"/>
        </w:rPr>
        <w:t xml:space="preserve">adults without overweight </w:t>
      </w:r>
      <w:r w:rsidR="00AC7B27">
        <w:rPr>
          <w:rFonts w:ascii="Aptos" w:eastAsia="Times New Roman" w:hAnsi="Aptos"/>
          <w:color w:val="000000"/>
        </w:rPr>
        <w:lastRenderedPageBreak/>
        <w:t xml:space="preserve">or obesity, </w:t>
      </w:r>
      <w:r w:rsidR="00F6386E">
        <w:rPr>
          <w:rFonts w:ascii="Aptos" w:eastAsia="Times New Roman" w:hAnsi="Aptos"/>
          <w:color w:val="000000"/>
        </w:rPr>
        <w:t xml:space="preserve">populations with </w:t>
      </w:r>
      <w:r w:rsidR="00102181">
        <w:rPr>
          <w:rFonts w:ascii="Aptos" w:eastAsia="Times New Roman" w:hAnsi="Aptos"/>
          <w:color w:val="000000"/>
        </w:rPr>
        <w:t xml:space="preserve">overweight or obesity and </w:t>
      </w:r>
      <w:r w:rsidR="005446E1">
        <w:rPr>
          <w:rFonts w:ascii="Aptos" w:eastAsia="Times New Roman" w:hAnsi="Aptos"/>
          <w:color w:val="000000"/>
        </w:rPr>
        <w:t>comorbidities</w:t>
      </w:r>
      <w:r w:rsidR="00E501F2">
        <w:rPr>
          <w:rFonts w:ascii="Aptos" w:eastAsia="Times New Roman" w:hAnsi="Aptos"/>
          <w:color w:val="000000"/>
        </w:rPr>
        <w:t xml:space="preserve">, </w:t>
      </w:r>
      <w:r w:rsidR="00AC7B27">
        <w:rPr>
          <w:rFonts w:ascii="Aptos" w:eastAsia="Times New Roman" w:hAnsi="Aptos"/>
          <w:color w:val="000000"/>
        </w:rPr>
        <w:t xml:space="preserve">and </w:t>
      </w:r>
      <w:r w:rsidR="00102181">
        <w:rPr>
          <w:rFonts w:ascii="Aptos" w:eastAsia="Times New Roman" w:hAnsi="Aptos"/>
          <w:color w:val="000000"/>
        </w:rPr>
        <w:t>animal studies</w:t>
      </w:r>
      <w:r w:rsidR="00AC7B27">
        <w:rPr>
          <w:rFonts w:ascii="Aptos" w:eastAsia="Times New Roman" w:hAnsi="Aptos"/>
          <w:color w:val="000000"/>
        </w:rPr>
        <w:t>.</w:t>
      </w:r>
    </w:p>
    <w:p w14:paraId="0B673E6F" w14:textId="1C2FC53E" w:rsidR="001839C3" w:rsidRDefault="00D30506" w:rsidP="007A0C1F">
      <w:pPr>
        <w:spacing w:after="100" w:afterAutospacing="1"/>
        <w:rPr>
          <w:rFonts w:ascii="Aptos" w:eastAsia="Times New Roman" w:hAnsi="Aptos"/>
          <w:color w:val="000000"/>
        </w:rPr>
      </w:pPr>
      <w:r>
        <w:rPr>
          <w:rFonts w:ascii="Aptos" w:eastAsia="Times New Roman" w:hAnsi="Aptos"/>
          <w:color w:val="000000"/>
        </w:rPr>
        <w:t>T</w:t>
      </w:r>
      <w:r w:rsidRPr="00D30506">
        <w:rPr>
          <w:rFonts w:ascii="Aptos" w:eastAsia="Times New Roman" w:hAnsi="Aptos"/>
          <w:color w:val="000000"/>
        </w:rPr>
        <w:t xml:space="preserve">he study types </w:t>
      </w:r>
      <w:r w:rsidR="00E33E8E">
        <w:rPr>
          <w:rFonts w:ascii="Aptos" w:eastAsia="Times New Roman" w:hAnsi="Aptos"/>
          <w:color w:val="000000"/>
        </w:rPr>
        <w:t xml:space="preserve">used in this review </w:t>
      </w:r>
      <w:r w:rsidRPr="00D30506">
        <w:rPr>
          <w:rFonts w:ascii="Aptos" w:eastAsia="Times New Roman" w:hAnsi="Aptos"/>
          <w:color w:val="000000"/>
        </w:rPr>
        <w:t>will range from clinical trials, randomised control trials (RCTs), systematic reviews and meta-analysis, to peer-reviewed articles, observational studies, and real-world evidence (RWE) relating to GLP-1 RA</w:t>
      </w:r>
      <w:r w:rsidR="00207E1E">
        <w:rPr>
          <w:rFonts w:ascii="Aptos" w:eastAsia="Times New Roman" w:hAnsi="Aptos"/>
          <w:color w:val="000000"/>
        </w:rPr>
        <w:t>s</w:t>
      </w:r>
      <w:r w:rsidRPr="00D30506">
        <w:rPr>
          <w:rFonts w:ascii="Aptos" w:eastAsia="Times New Roman" w:hAnsi="Aptos"/>
          <w:color w:val="000000"/>
        </w:rPr>
        <w:t xml:space="preserve"> and overweight and obesity in adults</w:t>
      </w:r>
      <w:r w:rsidR="00E33E8E">
        <w:rPr>
          <w:rFonts w:ascii="Aptos" w:eastAsia="Times New Roman" w:hAnsi="Aptos"/>
          <w:color w:val="000000"/>
        </w:rPr>
        <w:t xml:space="preserve">, </w:t>
      </w:r>
      <w:r w:rsidR="004F211B">
        <w:rPr>
          <w:rFonts w:ascii="Aptos" w:eastAsia="Times New Roman" w:hAnsi="Aptos"/>
          <w:color w:val="000000"/>
        </w:rPr>
        <w:t>da</w:t>
      </w:r>
      <w:r w:rsidR="00E33E8E">
        <w:rPr>
          <w:rFonts w:ascii="Aptos" w:eastAsia="Times New Roman" w:hAnsi="Aptos"/>
          <w:color w:val="000000"/>
        </w:rPr>
        <w:t>ting back to 2010</w:t>
      </w:r>
      <w:r w:rsidR="004F211B">
        <w:rPr>
          <w:rFonts w:ascii="Aptos" w:eastAsia="Times New Roman" w:hAnsi="Aptos"/>
          <w:color w:val="000000"/>
        </w:rPr>
        <w:t xml:space="preserve"> onwards to ensure up-to-date relevance.</w:t>
      </w:r>
    </w:p>
    <w:p w14:paraId="34E6227A" w14:textId="6828A116" w:rsidR="004324EB" w:rsidRPr="004324EB" w:rsidRDefault="004324EB" w:rsidP="00D008A7">
      <w:pPr>
        <w:rPr>
          <w:rFonts w:ascii="Aptos" w:eastAsia="Times New Roman" w:hAnsi="Aptos"/>
          <w:color w:val="000000"/>
          <w:u w:val="single"/>
        </w:rPr>
      </w:pPr>
      <w:r w:rsidRPr="004324EB">
        <w:rPr>
          <w:rFonts w:ascii="Aptos" w:eastAsia="Times New Roman" w:hAnsi="Aptos"/>
          <w:color w:val="000000"/>
          <w:u w:val="single"/>
        </w:rPr>
        <w:t xml:space="preserve">Data Analysis: </w:t>
      </w:r>
    </w:p>
    <w:p w14:paraId="67982168" w14:textId="1FF58C53" w:rsidR="005B22DB" w:rsidRPr="001134B0" w:rsidRDefault="00C8476C" w:rsidP="005B22DB">
      <w:pPr>
        <w:spacing w:after="100" w:afterAutospacing="1"/>
        <w:rPr>
          <w:rFonts w:ascii="Aptos" w:eastAsia="Times New Roman" w:hAnsi="Aptos"/>
          <w:color w:val="000000"/>
        </w:rPr>
      </w:pPr>
      <w:r>
        <w:rPr>
          <w:rFonts w:ascii="Aptos" w:eastAsia="Times New Roman" w:hAnsi="Aptos"/>
          <w:color w:val="000000"/>
        </w:rPr>
        <w:t xml:space="preserve">The data </w:t>
      </w:r>
      <w:r w:rsidR="00023917">
        <w:rPr>
          <w:rFonts w:ascii="Aptos" w:eastAsia="Times New Roman" w:hAnsi="Aptos"/>
          <w:color w:val="000000"/>
        </w:rPr>
        <w:t xml:space="preserve">collected </w:t>
      </w:r>
      <w:r>
        <w:rPr>
          <w:rFonts w:ascii="Aptos" w:eastAsia="Times New Roman" w:hAnsi="Aptos"/>
          <w:color w:val="000000"/>
        </w:rPr>
        <w:t>from each study included in the review will be</w:t>
      </w:r>
      <w:r w:rsidR="00165481">
        <w:rPr>
          <w:rFonts w:ascii="Aptos" w:eastAsia="Times New Roman" w:hAnsi="Aptos"/>
          <w:color w:val="000000"/>
        </w:rPr>
        <w:t xml:space="preserve"> organised in a table </w:t>
      </w:r>
      <w:r w:rsidR="00B97337">
        <w:rPr>
          <w:rFonts w:ascii="Aptos" w:eastAsia="Times New Roman" w:hAnsi="Aptos"/>
          <w:color w:val="000000"/>
        </w:rPr>
        <w:t>according to</w:t>
      </w:r>
      <w:r w:rsidR="005F0595">
        <w:rPr>
          <w:rFonts w:ascii="Aptos" w:eastAsia="Times New Roman" w:hAnsi="Aptos"/>
          <w:color w:val="000000"/>
        </w:rPr>
        <w:t xml:space="preserve"> the study designs, population, intervention, outcomes</w:t>
      </w:r>
      <w:r w:rsidR="0049273B">
        <w:rPr>
          <w:rFonts w:ascii="Aptos" w:eastAsia="Times New Roman" w:hAnsi="Aptos"/>
          <w:color w:val="000000"/>
        </w:rPr>
        <w:t>, follow-up duration and statistical significance</w:t>
      </w:r>
      <w:r w:rsidR="00023917">
        <w:rPr>
          <w:rFonts w:ascii="Aptos" w:eastAsia="Times New Roman" w:hAnsi="Aptos"/>
          <w:color w:val="000000"/>
        </w:rPr>
        <w:t xml:space="preserve">. </w:t>
      </w:r>
      <w:r w:rsidR="00332185">
        <w:rPr>
          <w:rFonts w:ascii="Aptos" w:eastAsia="Times New Roman" w:hAnsi="Aptos"/>
          <w:color w:val="000000"/>
        </w:rPr>
        <w:t>T</w:t>
      </w:r>
      <w:r w:rsidR="004119E1">
        <w:rPr>
          <w:rFonts w:ascii="Aptos" w:eastAsia="Times New Roman" w:hAnsi="Aptos"/>
          <w:color w:val="000000"/>
        </w:rPr>
        <w:t xml:space="preserve">he data will be </w:t>
      </w:r>
      <w:r w:rsidR="00332185">
        <w:rPr>
          <w:rFonts w:ascii="Aptos" w:eastAsia="Times New Roman" w:hAnsi="Aptos"/>
          <w:color w:val="000000"/>
        </w:rPr>
        <w:t xml:space="preserve">analysed and </w:t>
      </w:r>
      <w:r w:rsidR="004119E1">
        <w:rPr>
          <w:rFonts w:ascii="Aptos" w:eastAsia="Times New Roman" w:hAnsi="Aptos"/>
          <w:color w:val="000000"/>
        </w:rPr>
        <w:t>synthesised in a narrative summary</w:t>
      </w:r>
      <w:r w:rsidR="00C2633C">
        <w:rPr>
          <w:rFonts w:ascii="Aptos" w:eastAsia="Times New Roman" w:hAnsi="Aptos"/>
          <w:color w:val="000000"/>
        </w:rPr>
        <w:t xml:space="preserve"> incorporating themes</w:t>
      </w:r>
      <w:r w:rsidR="004824B8">
        <w:rPr>
          <w:rFonts w:ascii="Aptos" w:eastAsia="Times New Roman" w:hAnsi="Aptos"/>
          <w:color w:val="000000"/>
        </w:rPr>
        <w:t>, comparing study results and identifying trends</w:t>
      </w:r>
      <w:r w:rsidR="001D2E54">
        <w:rPr>
          <w:rFonts w:ascii="Aptos" w:eastAsia="Times New Roman" w:hAnsi="Aptos"/>
          <w:color w:val="000000"/>
        </w:rPr>
        <w:t>, in order to present a critical appraisal of the stu</w:t>
      </w:r>
      <w:r w:rsidR="00A02F25">
        <w:rPr>
          <w:rFonts w:ascii="Aptos" w:eastAsia="Times New Roman" w:hAnsi="Aptos"/>
          <w:color w:val="000000"/>
        </w:rPr>
        <w:t>dies and findings.</w:t>
      </w:r>
    </w:p>
    <w:p w14:paraId="5E3A9E2B" w14:textId="4B704EBE" w:rsidR="00796058" w:rsidRDefault="00AC6D74" w:rsidP="005B22DB">
      <w:pPr>
        <w:spacing w:after="100" w:afterAutospacing="1"/>
        <w:rPr>
          <w:rFonts w:ascii="Aptos" w:eastAsia="Times New Roman" w:hAnsi="Aptos"/>
          <w:color w:val="000000"/>
          <w:u w:val="single"/>
        </w:rPr>
      </w:pPr>
      <w:r w:rsidRPr="00EF3F01">
        <w:rPr>
          <w:rFonts w:ascii="Aptos" w:eastAsia="Times New Roman" w:hAnsi="Aptos"/>
          <w:color w:val="000000"/>
          <w:u w:val="single"/>
        </w:rPr>
        <w:t xml:space="preserve">Research Timetable: </w:t>
      </w:r>
    </w:p>
    <w:p w14:paraId="57416F2D" w14:textId="77777777" w:rsidR="00A84F13" w:rsidRPr="00796058" w:rsidRDefault="00A84F13" w:rsidP="005B22DB">
      <w:pPr>
        <w:spacing w:after="100" w:afterAutospacing="1"/>
        <w:rPr>
          <w:rFonts w:ascii="Aptos" w:eastAsia="Times New Roman" w:hAnsi="Aptos"/>
          <w:color w:val="000000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397"/>
        <w:gridCol w:w="5619"/>
      </w:tblGrid>
      <w:tr w:rsidR="00796058" w:rsidRPr="00796058" w14:paraId="596128E0" w14:textId="77777777" w:rsidTr="006D1730">
        <w:tc>
          <w:tcPr>
            <w:tcW w:w="3397" w:type="dxa"/>
          </w:tcPr>
          <w:p w14:paraId="09D2D26F" w14:textId="77777777" w:rsidR="00796058" w:rsidRPr="00796058" w:rsidRDefault="00796058" w:rsidP="00EF3F01">
            <w:pPr>
              <w:spacing w:after="160" w:line="278" w:lineRule="auto"/>
              <w:jc w:val="center"/>
              <w:rPr>
                <w:rFonts w:ascii="Aptos" w:eastAsia="Times New Roman" w:hAnsi="Aptos"/>
                <w:b/>
                <w:bCs/>
                <w:color w:val="000000"/>
              </w:rPr>
            </w:pPr>
            <w:r w:rsidRPr="00796058">
              <w:rPr>
                <w:rFonts w:ascii="Aptos" w:eastAsia="Times New Roman" w:hAnsi="Aptos"/>
                <w:b/>
                <w:bCs/>
                <w:color w:val="000000"/>
              </w:rPr>
              <w:t>DATE</w:t>
            </w:r>
          </w:p>
        </w:tc>
        <w:tc>
          <w:tcPr>
            <w:tcW w:w="5619" w:type="dxa"/>
          </w:tcPr>
          <w:p w14:paraId="77DFA245" w14:textId="77777777" w:rsidR="00796058" w:rsidRPr="00796058" w:rsidRDefault="00796058" w:rsidP="00EF3F01">
            <w:pPr>
              <w:spacing w:after="160" w:line="278" w:lineRule="auto"/>
              <w:jc w:val="center"/>
              <w:rPr>
                <w:rFonts w:ascii="Aptos" w:eastAsia="Times New Roman" w:hAnsi="Aptos"/>
                <w:b/>
                <w:bCs/>
                <w:color w:val="000000"/>
              </w:rPr>
            </w:pPr>
            <w:r w:rsidRPr="00796058">
              <w:rPr>
                <w:rFonts w:ascii="Aptos" w:eastAsia="Times New Roman" w:hAnsi="Aptos"/>
                <w:b/>
                <w:bCs/>
                <w:color w:val="000000"/>
              </w:rPr>
              <w:t>OBJECTIVE</w:t>
            </w:r>
          </w:p>
        </w:tc>
      </w:tr>
      <w:tr w:rsidR="00796058" w:rsidRPr="00796058" w14:paraId="58536D47" w14:textId="77777777" w:rsidTr="006D1730">
        <w:tc>
          <w:tcPr>
            <w:tcW w:w="3397" w:type="dxa"/>
          </w:tcPr>
          <w:p w14:paraId="7F6A044B" w14:textId="77777777" w:rsidR="00796058" w:rsidRPr="00796058" w:rsidRDefault="00796058" w:rsidP="00796058">
            <w:pPr>
              <w:spacing w:after="160" w:line="278" w:lineRule="auto"/>
              <w:rPr>
                <w:rFonts w:ascii="Aptos" w:eastAsia="Times New Roman" w:hAnsi="Aptos"/>
                <w:color w:val="000000"/>
              </w:rPr>
            </w:pPr>
            <w:r w:rsidRPr="00796058">
              <w:rPr>
                <w:rFonts w:ascii="Aptos" w:eastAsia="Times New Roman" w:hAnsi="Aptos"/>
                <w:color w:val="000000"/>
              </w:rPr>
              <w:t>25</w:t>
            </w:r>
            <w:r w:rsidRPr="00796058">
              <w:rPr>
                <w:rFonts w:ascii="Aptos" w:eastAsia="Times New Roman" w:hAnsi="Aptos"/>
                <w:color w:val="000000"/>
                <w:vertAlign w:val="superscript"/>
              </w:rPr>
              <w:t>TH</w:t>
            </w:r>
            <w:r w:rsidRPr="00796058">
              <w:rPr>
                <w:rFonts w:ascii="Aptos" w:eastAsia="Times New Roman" w:hAnsi="Aptos"/>
                <w:color w:val="000000"/>
              </w:rPr>
              <w:t xml:space="preserve"> OCTOBER 2024</w:t>
            </w:r>
          </w:p>
        </w:tc>
        <w:tc>
          <w:tcPr>
            <w:tcW w:w="5619" w:type="dxa"/>
          </w:tcPr>
          <w:p w14:paraId="2133B92B" w14:textId="77777777" w:rsidR="00796058" w:rsidRPr="00796058" w:rsidRDefault="00796058" w:rsidP="00796058">
            <w:pPr>
              <w:spacing w:after="160" w:line="278" w:lineRule="auto"/>
              <w:rPr>
                <w:rFonts w:ascii="Aptos" w:eastAsia="Times New Roman" w:hAnsi="Aptos"/>
                <w:color w:val="000000"/>
              </w:rPr>
            </w:pPr>
            <w:r w:rsidRPr="00796058">
              <w:rPr>
                <w:rFonts w:ascii="Aptos" w:eastAsia="Times New Roman" w:hAnsi="Aptos"/>
                <w:color w:val="000000"/>
              </w:rPr>
              <w:t>Submit proposal.</w:t>
            </w:r>
          </w:p>
        </w:tc>
      </w:tr>
      <w:tr w:rsidR="00796058" w:rsidRPr="00796058" w14:paraId="691CB9FF" w14:textId="77777777" w:rsidTr="006D1730">
        <w:tc>
          <w:tcPr>
            <w:tcW w:w="3397" w:type="dxa"/>
          </w:tcPr>
          <w:p w14:paraId="139421A6" w14:textId="77777777" w:rsidR="00796058" w:rsidRPr="00796058" w:rsidRDefault="00796058" w:rsidP="00796058">
            <w:pPr>
              <w:spacing w:after="160" w:line="278" w:lineRule="auto"/>
              <w:rPr>
                <w:rFonts w:ascii="Aptos" w:eastAsia="Times New Roman" w:hAnsi="Aptos"/>
                <w:color w:val="000000"/>
              </w:rPr>
            </w:pPr>
            <w:r w:rsidRPr="00796058">
              <w:rPr>
                <w:rFonts w:ascii="Aptos" w:eastAsia="Times New Roman" w:hAnsi="Aptos"/>
                <w:color w:val="000000"/>
              </w:rPr>
              <w:t>NOVEMBER-DECEMBER 2024</w:t>
            </w:r>
          </w:p>
        </w:tc>
        <w:tc>
          <w:tcPr>
            <w:tcW w:w="5619" w:type="dxa"/>
          </w:tcPr>
          <w:p w14:paraId="34DBA383" w14:textId="77777777" w:rsidR="00796058" w:rsidRPr="00796058" w:rsidRDefault="00796058" w:rsidP="00796058">
            <w:pPr>
              <w:spacing w:after="160" w:line="278" w:lineRule="auto"/>
              <w:rPr>
                <w:rFonts w:ascii="Aptos" w:eastAsia="Times New Roman" w:hAnsi="Aptos"/>
                <w:color w:val="000000"/>
              </w:rPr>
            </w:pPr>
            <w:r w:rsidRPr="00796058">
              <w:rPr>
                <w:rFonts w:ascii="Aptos" w:eastAsia="Times New Roman" w:hAnsi="Aptos"/>
                <w:color w:val="000000"/>
              </w:rPr>
              <w:t>Gather research; select studies and papers.</w:t>
            </w:r>
          </w:p>
        </w:tc>
      </w:tr>
      <w:tr w:rsidR="00796058" w:rsidRPr="00796058" w14:paraId="54E84C3A" w14:textId="77777777" w:rsidTr="006D1730">
        <w:trPr>
          <w:trHeight w:val="655"/>
        </w:trPr>
        <w:tc>
          <w:tcPr>
            <w:tcW w:w="3397" w:type="dxa"/>
          </w:tcPr>
          <w:p w14:paraId="0E184A93" w14:textId="77777777" w:rsidR="00796058" w:rsidRPr="00796058" w:rsidRDefault="00796058" w:rsidP="00796058">
            <w:pPr>
              <w:spacing w:after="160" w:line="278" w:lineRule="auto"/>
              <w:rPr>
                <w:rFonts w:ascii="Aptos" w:eastAsia="Times New Roman" w:hAnsi="Aptos"/>
                <w:color w:val="000000"/>
              </w:rPr>
            </w:pPr>
            <w:r w:rsidRPr="00796058">
              <w:rPr>
                <w:rFonts w:ascii="Aptos" w:eastAsia="Times New Roman" w:hAnsi="Aptos"/>
                <w:color w:val="000000"/>
              </w:rPr>
              <w:t>JANUARY-FEBRUARY 2025</w:t>
            </w:r>
          </w:p>
        </w:tc>
        <w:tc>
          <w:tcPr>
            <w:tcW w:w="5619" w:type="dxa"/>
          </w:tcPr>
          <w:p w14:paraId="54F1A232" w14:textId="77777777" w:rsidR="00796058" w:rsidRPr="00796058" w:rsidRDefault="00796058" w:rsidP="00796058">
            <w:pPr>
              <w:spacing w:after="160" w:line="278" w:lineRule="auto"/>
              <w:rPr>
                <w:rFonts w:ascii="Aptos" w:eastAsia="Times New Roman" w:hAnsi="Aptos"/>
                <w:color w:val="000000"/>
              </w:rPr>
            </w:pPr>
            <w:r w:rsidRPr="00796058">
              <w:rPr>
                <w:rFonts w:ascii="Aptos" w:eastAsia="Times New Roman" w:hAnsi="Aptos"/>
                <w:color w:val="000000"/>
              </w:rPr>
              <w:t>Write Intro, Method, and Discussion.</w:t>
            </w:r>
          </w:p>
        </w:tc>
      </w:tr>
      <w:tr w:rsidR="00796058" w:rsidRPr="00796058" w14:paraId="2AEFA4AA" w14:textId="77777777" w:rsidTr="006D1730">
        <w:tc>
          <w:tcPr>
            <w:tcW w:w="3397" w:type="dxa"/>
          </w:tcPr>
          <w:p w14:paraId="6EC134C5" w14:textId="77777777" w:rsidR="00796058" w:rsidRPr="00796058" w:rsidRDefault="00796058" w:rsidP="00796058">
            <w:pPr>
              <w:spacing w:after="160" w:line="278" w:lineRule="auto"/>
              <w:rPr>
                <w:rFonts w:ascii="Aptos" w:eastAsia="Times New Roman" w:hAnsi="Aptos"/>
                <w:color w:val="000000"/>
              </w:rPr>
            </w:pPr>
            <w:r w:rsidRPr="00796058">
              <w:rPr>
                <w:rFonts w:ascii="Aptos" w:eastAsia="Times New Roman" w:hAnsi="Aptos"/>
                <w:color w:val="000000"/>
              </w:rPr>
              <w:t>MARCH 2025</w:t>
            </w:r>
          </w:p>
        </w:tc>
        <w:tc>
          <w:tcPr>
            <w:tcW w:w="5619" w:type="dxa"/>
          </w:tcPr>
          <w:p w14:paraId="05125265" w14:textId="7FBB7860" w:rsidR="00796058" w:rsidRPr="00796058" w:rsidRDefault="00796058" w:rsidP="00796058">
            <w:pPr>
              <w:spacing w:after="160" w:line="278" w:lineRule="auto"/>
              <w:rPr>
                <w:rFonts w:ascii="Aptos" w:eastAsia="Times New Roman" w:hAnsi="Aptos"/>
                <w:color w:val="000000"/>
              </w:rPr>
            </w:pPr>
            <w:r w:rsidRPr="00796058">
              <w:rPr>
                <w:rFonts w:ascii="Aptos" w:eastAsia="Times New Roman" w:hAnsi="Aptos"/>
                <w:color w:val="000000"/>
              </w:rPr>
              <w:t xml:space="preserve">Write Conclusion and Abstract; </w:t>
            </w:r>
            <w:r w:rsidRPr="00796058">
              <w:rPr>
                <w:rFonts w:ascii="Aptos" w:eastAsia="Times New Roman" w:hAnsi="Aptos"/>
                <w:color w:val="000000"/>
              </w:rPr>
              <w:t>proof</w:t>
            </w:r>
            <w:r w:rsidR="00EF3F01">
              <w:rPr>
                <w:rFonts w:ascii="Aptos" w:eastAsia="Times New Roman" w:hAnsi="Aptos"/>
                <w:color w:val="000000"/>
              </w:rPr>
              <w:t>-</w:t>
            </w:r>
            <w:r w:rsidRPr="00796058">
              <w:rPr>
                <w:rFonts w:ascii="Aptos" w:eastAsia="Times New Roman" w:hAnsi="Aptos"/>
                <w:color w:val="000000"/>
              </w:rPr>
              <w:t>read</w:t>
            </w:r>
            <w:r w:rsidRPr="00796058">
              <w:rPr>
                <w:rFonts w:ascii="Aptos" w:eastAsia="Times New Roman" w:hAnsi="Aptos"/>
                <w:color w:val="000000"/>
              </w:rPr>
              <w:t>.</w:t>
            </w:r>
          </w:p>
        </w:tc>
      </w:tr>
      <w:tr w:rsidR="00796058" w:rsidRPr="00796058" w14:paraId="2F50C09B" w14:textId="77777777" w:rsidTr="006D1730">
        <w:tc>
          <w:tcPr>
            <w:tcW w:w="3397" w:type="dxa"/>
          </w:tcPr>
          <w:p w14:paraId="468CDB89" w14:textId="1C140C4F" w:rsidR="00796058" w:rsidRPr="00796058" w:rsidRDefault="0077082E" w:rsidP="00796058">
            <w:pPr>
              <w:spacing w:after="160" w:line="278" w:lineRule="auto"/>
              <w:rPr>
                <w:rFonts w:ascii="Aptos" w:eastAsia="Times New Roman" w:hAnsi="Aptos"/>
                <w:color w:val="000000"/>
              </w:rPr>
            </w:pPr>
            <w:r>
              <w:rPr>
                <w:rFonts w:ascii="Aptos" w:eastAsia="Times New Roman" w:hAnsi="Aptos"/>
                <w:color w:val="000000"/>
              </w:rPr>
              <w:t>3</w:t>
            </w:r>
            <w:r w:rsidRPr="0077082E">
              <w:rPr>
                <w:rFonts w:ascii="Aptos" w:eastAsia="Times New Roman" w:hAnsi="Aptos"/>
                <w:color w:val="000000"/>
                <w:vertAlign w:val="superscript"/>
              </w:rPr>
              <w:t>rd</w:t>
            </w:r>
            <w:r>
              <w:rPr>
                <w:rFonts w:ascii="Aptos" w:eastAsia="Times New Roman" w:hAnsi="Aptos"/>
                <w:color w:val="000000"/>
              </w:rPr>
              <w:t xml:space="preserve"> </w:t>
            </w:r>
            <w:r w:rsidR="00796058" w:rsidRPr="00796058">
              <w:rPr>
                <w:rFonts w:ascii="Aptos" w:eastAsia="Times New Roman" w:hAnsi="Aptos"/>
                <w:color w:val="000000"/>
              </w:rPr>
              <w:t>APRIL 2025</w:t>
            </w:r>
          </w:p>
        </w:tc>
        <w:tc>
          <w:tcPr>
            <w:tcW w:w="5619" w:type="dxa"/>
          </w:tcPr>
          <w:p w14:paraId="24CEDF14" w14:textId="77777777" w:rsidR="00796058" w:rsidRPr="00796058" w:rsidRDefault="00796058" w:rsidP="00796058">
            <w:pPr>
              <w:spacing w:after="160" w:line="278" w:lineRule="auto"/>
              <w:rPr>
                <w:rFonts w:ascii="Aptos" w:eastAsia="Times New Roman" w:hAnsi="Aptos"/>
                <w:color w:val="000000"/>
              </w:rPr>
            </w:pPr>
            <w:r w:rsidRPr="00796058">
              <w:rPr>
                <w:rFonts w:ascii="Aptos" w:eastAsia="Times New Roman" w:hAnsi="Aptos"/>
                <w:color w:val="000000"/>
              </w:rPr>
              <w:t>Submit Dissertation.</w:t>
            </w:r>
          </w:p>
        </w:tc>
      </w:tr>
    </w:tbl>
    <w:p w14:paraId="6F1CC69A" w14:textId="608DAAA7" w:rsidR="00DA7092" w:rsidRDefault="00DA7092" w:rsidP="00D008A7">
      <w:pPr>
        <w:rPr>
          <w:rFonts w:ascii="Aptos" w:eastAsia="Times New Roman" w:hAnsi="Aptos"/>
          <w:color w:val="000000"/>
        </w:rPr>
      </w:pPr>
    </w:p>
    <w:p w14:paraId="3BD7622E" w14:textId="77777777" w:rsidR="001E0173" w:rsidRDefault="001E0173" w:rsidP="00D008A7">
      <w:pPr>
        <w:rPr>
          <w:rFonts w:ascii="Aptos" w:eastAsia="Times New Roman" w:hAnsi="Aptos"/>
          <w:color w:val="000000"/>
        </w:rPr>
      </w:pPr>
    </w:p>
    <w:p w14:paraId="58942556" w14:textId="77777777" w:rsidR="007E7BDC" w:rsidRDefault="007E7BDC" w:rsidP="00D008A7">
      <w:pPr>
        <w:rPr>
          <w:rFonts w:ascii="Aptos" w:eastAsia="Times New Roman" w:hAnsi="Aptos"/>
          <w:color w:val="000000"/>
        </w:rPr>
      </w:pPr>
    </w:p>
    <w:p w14:paraId="4F3BC039" w14:textId="77777777" w:rsidR="007E7BDC" w:rsidRDefault="007E7BDC" w:rsidP="00D008A7">
      <w:pPr>
        <w:rPr>
          <w:rFonts w:ascii="Aptos" w:eastAsia="Times New Roman" w:hAnsi="Aptos"/>
          <w:color w:val="000000"/>
        </w:rPr>
      </w:pPr>
    </w:p>
    <w:p w14:paraId="3026EF04" w14:textId="77777777" w:rsidR="007E7BDC" w:rsidRDefault="007E7BDC" w:rsidP="00D008A7">
      <w:pPr>
        <w:rPr>
          <w:rFonts w:ascii="Aptos" w:eastAsia="Times New Roman" w:hAnsi="Aptos"/>
          <w:color w:val="000000"/>
        </w:rPr>
      </w:pPr>
    </w:p>
    <w:p w14:paraId="4C2E3BA0" w14:textId="77777777" w:rsidR="007E7BDC" w:rsidRDefault="007E7BDC" w:rsidP="00D008A7">
      <w:pPr>
        <w:rPr>
          <w:rFonts w:ascii="Aptos" w:eastAsia="Times New Roman" w:hAnsi="Aptos"/>
          <w:color w:val="000000"/>
        </w:rPr>
      </w:pPr>
    </w:p>
    <w:p w14:paraId="65415517" w14:textId="77777777" w:rsidR="007E7BDC" w:rsidRDefault="007E7BDC" w:rsidP="00D008A7">
      <w:pPr>
        <w:rPr>
          <w:rFonts w:ascii="Aptos" w:eastAsia="Times New Roman" w:hAnsi="Aptos"/>
          <w:color w:val="000000"/>
        </w:rPr>
      </w:pPr>
    </w:p>
    <w:p w14:paraId="0670B982" w14:textId="77777777" w:rsidR="007E7BDC" w:rsidRDefault="007E7BDC" w:rsidP="00D008A7">
      <w:pPr>
        <w:rPr>
          <w:rFonts w:ascii="Aptos" w:eastAsia="Times New Roman" w:hAnsi="Aptos"/>
          <w:color w:val="000000"/>
        </w:rPr>
      </w:pPr>
    </w:p>
    <w:p w14:paraId="16C7C3A4" w14:textId="2247FE00" w:rsidR="00207E1E" w:rsidRPr="00A84F13" w:rsidRDefault="00CE04EF" w:rsidP="00A84F13">
      <w:pPr>
        <w:jc w:val="right"/>
        <w:rPr>
          <w:rFonts w:ascii="Aptos" w:eastAsia="Times New Roman" w:hAnsi="Aptos"/>
          <w:color w:val="000000"/>
        </w:rPr>
      </w:pPr>
      <w:r>
        <w:rPr>
          <w:rFonts w:ascii="Aptos" w:eastAsia="Times New Roman" w:hAnsi="Aptos"/>
          <w:color w:val="000000"/>
        </w:rPr>
        <w:t>(1495 words)</w:t>
      </w:r>
    </w:p>
    <w:p w14:paraId="3077C888" w14:textId="6FAE8F99" w:rsidR="0003221D" w:rsidRDefault="00421190" w:rsidP="00421190">
      <w:pPr>
        <w:jc w:val="center"/>
        <w:rPr>
          <w:rFonts w:ascii="Aptos" w:eastAsia="Times New Roman" w:hAnsi="Aptos"/>
          <w:color w:val="000000"/>
          <w:u w:val="single"/>
        </w:rPr>
      </w:pPr>
      <w:r w:rsidRPr="00421190">
        <w:rPr>
          <w:rFonts w:ascii="Aptos" w:eastAsia="Times New Roman" w:hAnsi="Aptos"/>
          <w:color w:val="000000"/>
          <w:u w:val="single"/>
        </w:rPr>
        <w:lastRenderedPageBreak/>
        <w:t xml:space="preserve">Reference </w:t>
      </w:r>
      <w:r w:rsidR="00234D19">
        <w:rPr>
          <w:rFonts w:ascii="Aptos" w:eastAsia="Times New Roman" w:hAnsi="Aptos"/>
          <w:color w:val="000000"/>
          <w:u w:val="single"/>
        </w:rPr>
        <w:t>L</w:t>
      </w:r>
      <w:r w:rsidRPr="00421190">
        <w:rPr>
          <w:rFonts w:ascii="Aptos" w:eastAsia="Times New Roman" w:hAnsi="Aptos"/>
          <w:color w:val="000000"/>
          <w:u w:val="single"/>
        </w:rPr>
        <w:t>ist</w:t>
      </w:r>
    </w:p>
    <w:p w14:paraId="491B82A6" w14:textId="77777777" w:rsidR="00234D19" w:rsidRDefault="00234D19" w:rsidP="00421190">
      <w:pPr>
        <w:jc w:val="center"/>
        <w:rPr>
          <w:rFonts w:ascii="Aptos" w:eastAsia="Times New Roman" w:hAnsi="Aptos"/>
          <w:color w:val="000000"/>
          <w:u w:val="single"/>
        </w:rPr>
      </w:pPr>
    </w:p>
    <w:p w14:paraId="7E7AEFA3" w14:textId="7FA646FA" w:rsidR="00CA3A27" w:rsidRDefault="00CA3A27" w:rsidP="00421190">
      <w:r w:rsidRPr="00CA3A27">
        <w:t>Aliyu, M.B. (2017) 'Efficiency of Boolean search strings for Information retrieval', </w:t>
      </w:r>
      <w:r w:rsidRPr="00CA3A27">
        <w:rPr>
          <w:i/>
          <w:iCs/>
        </w:rPr>
        <w:t>American Journal of Engineering Research, </w:t>
      </w:r>
      <w:r w:rsidRPr="00CA3A27">
        <w:t>6(11), pp. 216–222.</w:t>
      </w:r>
    </w:p>
    <w:p w14:paraId="450E5EEE" w14:textId="534B8437" w:rsidR="00F800C8" w:rsidRDefault="00CC76F3" w:rsidP="00421190">
      <w:r w:rsidRPr="00CC76F3">
        <w:t>Apovian, C.M. (2016) 'Obesity: definition, comorbidities, causes, and burden', </w:t>
      </w:r>
      <w:r w:rsidRPr="00CC76F3">
        <w:rPr>
          <w:i/>
          <w:iCs/>
        </w:rPr>
        <w:t>Am J Manag Care, </w:t>
      </w:r>
      <w:r w:rsidRPr="00CC76F3">
        <w:t>22(7 Suppl), pp. 176.</w:t>
      </w:r>
    </w:p>
    <w:p w14:paraId="7AF9ED45" w14:textId="2A0380AE" w:rsidR="0096362C" w:rsidRDefault="0096362C" w:rsidP="00421190">
      <w:r w:rsidRPr="0096362C">
        <w:t xml:space="preserve">Apovian, C.M., Aronne, L.J., </w:t>
      </w:r>
      <w:proofErr w:type="spellStart"/>
      <w:r w:rsidRPr="0096362C">
        <w:t>Bessesen</w:t>
      </w:r>
      <w:proofErr w:type="spellEnd"/>
      <w:r w:rsidRPr="0096362C">
        <w:t>, D.H., McDonnell, M.E., Murad, M.H., Pagotto, U., Ryan, D.H. and Still, C.D. (2015) 'Pharmacological management of obesity: an endocrine Society clinical practice guideline', </w:t>
      </w:r>
      <w:r w:rsidRPr="0096362C">
        <w:rPr>
          <w:i/>
          <w:iCs/>
        </w:rPr>
        <w:t>The Journal of Clinical Endocrinology &amp; Metabolism, </w:t>
      </w:r>
      <w:r w:rsidRPr="0096362C">
        <w:t>100(2), pp. 342–362.</w:t>
      </w:r>
    </w:p>
    <w:p w14:paraId="35886E44" w14:textId="186041CA" w:rsidR="00F800C8" w:rsidRDefault="00F800C8" w:rsidP="00421190">
      <w:r w:rsidRPr="00F800C8">
        <w:t>Ard, J., Fitch, A., Fruh, S. and Herman, L. (2021) 'Weight loss and maintenance related to the mechanism of action of glucagon-like peptide 1 receptor agonists', </w:t>
      </w:r>
      <w:r w:rsidRPr="00F800C8">
        <w:rPr>
          <w:i/>
          <w:iCs/>
        </w:rPr>
        <w:t>Advances in Therapy, </w:t>
      </w:r>
      <w:r w:rsidRPr="00F800C8">
        <w:t>38(6), pp. 2821–2839.</w:t>
      </w:r>
    </w:p>
    <w:p w14:paraId="3FF4D677" w14:textId="4D74C498" w:rsidR="001D4FDA" w:rsidRDefault="001D4FDA" w:rsidP="00421190">
      <w:r w:rsidRPr="001D4FDA">
        <w:t xml:space="preserve">Barroso, T.A., Marins, L.B., Alves, R., Gonçalves, A.C.S., Barroso, S.G. and Rocha, </w:t>
      </w:r>
      <w:proofErr w:type="spellStart"/>
      <w:r w:rsidRPr="001D4FDA">
        <w:t>G.d.S</w:t>
      </w:r>
      <w:proofErr w:type="spellEnd"/>
      <w:r w:rsidRPr="001D4FDA">
        <w:t>. (2017) 'Association of central obesity with the incidence of cardiovascular diseases and risk factors', </w:t>
      </w:r>
      <w:r w:rsidRPr="001D4FDA">
        <w:rPr>
          <w:i/>
          <w:iCs/>
        </w:rPr>
        <w:t>International Journal of Cardiovascular Sciences, </w:t>
      </w:r>
      <w:r w:rsidRPr="001D4FDA">
        <w:t>30, pp. 416–424.</w:t>
      </w:r>
    </w:p>
    <w:p w14:paraId="09B78ABF" w14:textId="310BBAE8" w:rsidR="00363AC1" w:rsidRDefault="00363AC1" w:rsidP="00421190">
      <w:r w:rsidRPr="00363AC1">
        <w:t>Beba, H., Ranns, C., Hambling, C., Diggle, J. and Brown, P. (2022) 'PCDS consensus statement: A strategy for managing the supply shortage of the GLP-1 RAs Ozempic and Trulicity', </w:t>
      </w:r>
      <w:r w:rsidRPr="00363AC1">
        <w:rPr>
          <w:i/>
          <w:iCs/>
        </w:rPr>
        <w:t>Diabetes &amp; Primary Care, </w:t>
      </w:r>
      <w:r w:rsidRPr="00363AC1">
        <w:t>24(5).</w:t>
      </w:r>
    </w:p>
    <w:p w14:paraId="2C868AF3" w14:textId="1DC6CD3C" w:rsidR="00CD7888" w:rsidRDefault="00CD7888" w:rsidP="00421190">
      <w:r w:rsidRPr="00CD7888">
        <w:t>Bettge, K., Kahle, M., Abd El Aziz, M.S., Meier, J.J. and Nauck, M.A. (2017) 'Occurrence of nausea, vomiting and diarrhoea reported as adverse events in clinical trials studying glucagon</w:t>
      </w:r>
      <w:r w:rsidRPr="00CD7888">
        <w:rPr>
          <w:rFonts w:ascii="Cambria Math" w:hAnsi="Cambria Math" w:cs="Cambria Math"/>
        </w:rPr>
        <w:t>‐</w:t>
      </w:r>
      <w:r w:rsidRPr="00CD7888">
        <w:t>like peptide</w:t>
      </w:r>
      <w:r w:rsidRPr="00CD7888">
        <w:rPr>
          <w:rFonts w:ascii="Cambria Math" w:hAnsi="Cambria Math" w:cs="Cambria Math"/>
        </w:rPr>
        <w:t>‐</w:t>
      </w:r>
      <w:r w:rsidRPr="00CD7888">
        <w:t>1 receptor agonists: a systematic analysis of published clinical trials',</w:t>
      </w:r>
      <w:r w:rsidRPr="00CD7888">
        <w:rPr>
          <w:rFonts w:ascii="Aptos" w:hAnsi="Aptos" w:cs="Aptos"/>
        </w:rPr>
        <w:t> </w:t>
      </w:r>
      <w:r w:rsidRPr="00CD7888">
        <w:rPr>
          <w:i/>
          <w:iCs/>
        </w:rPr>
        <w:t>Diabetes, Obesity and Metabolism, </w:t>
      </w:r>
      <w:r w:rsidRPr="00CD7888">
        <w:t>19(3), pp. 336–347.</w:t>
      </w:r>
    </w:p>
    <w:p w14:paraId="546234C3" w14:textId="06816183" w:rsidR="008A057A" w:rsidRDefault="008A057A" w:rsidP="00421190">
      <w:r w:rsidRPr="008A057A">
        <w:t>Cercato, C. and Fonseca, F.A. (2019) 'Cardiovascular risk and obesity', </w:t>
      </w:r>
      <w:r w:rsidRPr="008A057A">
        <w:rPr>
          <w:i/>
          <w:iCs/>
        </w:rPr>
        <w:t>Diabetology &amp; metabolic syndrome, </w:t>
      </w:r>
      <w:r w:rsidRPr="008A057A">
        <w:t>11, pp. 1–15.</w:t>
      </w:r>
    </w:p>
    <w:p w14:paraId="1C1738E9" w14:textId="679E8A4F" w:rsidR="004153F7" w:rsidRDefault="004153F7" w:rsidP="00421190">
      <w:r w:rsidRPr="004153F7">
        <w:t>Christensen, R.M., Juhl, C.R. and Torekov, S.S. (2019) 'Benefit-risk assessment of obesity drugs: focus on glucagon-like peptide-1 receptor agonists', </w:t>
      </w:r>
      <w:r w:rsidRPr="004153F7">
        <w:rPr>
          <w:i/>
          <w:iCs/>
        </w:rPr>
        <w:t>Drug safety, </w:t>
      </w:r>
      <w:r w:rsidRPr="004153F7">
        <w:t>42(8), pp. 957–971.</w:t>
      </w:r>
    </w:p>
    <w:p w14:paraId="29F7E8AB" w14:textId="2CA3AFF7" w:rsidR="00C41AD7" w:rsidRDefault="00C41AD7" w:rsidP="00421190">
      <w:r w:rsidRPr="00C41AD7">
        <w:t>Cornell, S. (2020) 'A review of GLP</w:t>
      </w:r>
      <w:r w:rsidRPr="00C41AD7">
        <w:rPr>
          <w:rFonts w:ascii="Cambria Math" w:hAnsi="Cambria Math" w:cs="Cambria Math"/>
        </w:rPr>
        <w:t>‐</w:t>
      </w:r>
      <w:r w:rsidRPr="00C41AD7">
        <w:t>1 receptor agonists in type 2 diabetes: a focus on the mechanism of action of once</w:t>
      </w:r>
      <w:r w:rsidRPr="00C41AD7">
        <w:rPr>
          <w:rFonts w:ascii="Cambria Math" w:hAnsi="Cambria Math" w:cs="Cambria Math"/>
        </w:rPr>
        <w:t>‐</w:t>
      </w:r>
      <w:r w:rsidRPr="00C41AD7">
        <w:t>weekly agents',</w:t>
      </w:r>
      <w:r w:rsidRPr="00C41AD7">
        <w:rPr>
          <w:rFonts w:ascii="Aptos" w:hAnsi="Aptos" w:cs="Aptos"/>
        </w:rPr>
        <w:t> </w:t>
      </w:r>
      <w:r w:rsidRPr="00C41AD7">
        <w:rPr>
          <w:i/>
          <w:iCs/>
        </w:rPr>
        <w:t>Journal of clinical pharmacy and therapeutics, </w:t>
      </w:r>
      <w:r w:rsidRPr="00C41AD7">
        <w:t>45, pp. 17–27.</w:t>
      </w:r>
    </w:p>
    <w:p w14:paraId="164C802A" w14:textId="73C8AE2D" w:rsidR="003D1550" w:rsidRDefault="003D1550" w:rsidP="00421190">
      <w:r w:rsidRPr="003D1550">
        <w:t>Deng, Y., Park, A., Zhu, L., Xie, W. and Pan, C.Q. (2022) 'Effect of semaglutide and liraglutide in individuals with obesity or overweight without diabetes: a systematic review', </w:t>
      </w:r>
      <w:r w:rsidRPr="003D1550">
        <w:rPr>
          <w:i/>
          <w:iCs/>
        </w:rPr>
        <w:t>Therapeutic advances in chronic disease, </w:t>
      </w:r>
      <w:r w:rsidRPr="003D1550">
        <w:t>13, pp. 20406223221108064.</w:t>
      </w:r>
    </w:p>
    <w:p w14:paraId="38804B57" w14:textId="1A3E7ED9" w:rsidR="00D82D2A" w:rsidRDefault="00D82D2A" w:rsidP="00421190">
      <w:r w:rsidRPr="00D82D2A">
        <w:lastRenderedPageBreak/>
        <w:t>Drucker, D.J. (2018) 'Mechanisms of action and therapeutic application of glucagon-like peptide-1', </w:t>
      </w:r>
      <w:r w:rsidRPr="00D82D2A">
        <w:rPr>
          <w:i/>
          <w:iCs/>
        </w:rPr>
        <w:t>Cell metabolism, </w:t>
      </w:r>
      <w:r w:rsidRPr="00D82D2A">
        <w:t>27(4), pp. 740–756.</w:t>
      </w:r>
    </w:p>
    <w:p w14:paraId="5E0BBF3E" w14:textId="18E7C7AE" w:rsidR="00EE6E4A" w:rsidRPr="00883892" w:rsidRDefault="00EE6E4A" w:rsidP="00421190">
      <w:r>
        <w:t xml:space="preserve">European </w:t>
      </w:r>
      <w:r w:rsidR="00081BEF">
        <w:t>M</w:t>
      </w:r>
      <w:r>
        <w:t>edicines Agency</w:t>
      </w:r>
      <w:r w:rsidR="00081BEF">
        <w:t xml:space="preserve"> (2023) </w:t>
      </w:r>
      <w:r w:rsidR="00081BEF">
        <w:rPr>
          <w:i/>
          <w:iCs/>
        </w:rPr>
        <w:t>EMA alerts EU patients and healthcare professionals to report fal</w:t>
      </w:r>
      <w:r w:rsidR="00883892">
        <w:rPr>
          <w:i/>
          <w:iCs/>
        </w:rPr>
        <w:t xml:space="preserve">sified Ozempic pens. </w:t>
      </w:r>
      <w:r w:rsidR="00883892">
        <w:t xml:space="preserve">Available at: </w:t>
      </w:r>
      <w:r w:rsidR="00883892" w:rsidRPr="00526FCD">
        <w:t>https://www.ema.europa.eu/en/news/ema-alerts-eu-patients-healthcare-professionals-reports-falsified-ozempic-pens</w:t>
      </w:r>
      <w:r w:rsidR="00883892">
        <w:t xml:space="preserve"> (Accessed: </w:t>
      </w:r>
      <w:r w:rsidR="00526FCD">
        <w:t>20 October 2024).</w:t>
      </w:r>
    </w:p>
    <w:p w14:paraId="6EC1D47C" w14:textId="3378EE27" w:rsidR="00FA2C72" w:rsidRDefault="00FA2C72" w:rsidP="00421190">
      <w:r w:rsidRPr="00FA2C72">
        <w:t xml:space="preserve">Friedrichsen, M., </w:t>
      </w:r>
      <w:proofErr w:type="spellStart"/>
      <w:r w:rsidRPr="00FA2C72">
        <w:t>Breitschaft</w:t>
      </w:r>
      <w:proofErr w:type="spellEnd"/>
      <w:r w:rsidRPr="00FA2C72">
        <w:t xml:space="preserve">, A., Tadayon, S., </w:t>
      </w:r>
      <w:proofErr w:type="spellStart"/>
      <w:r w:rsidRPr="00FA2C72">
        <w:t>Wizert</w:t>
      </w:r>
      <w:proofErr w:type="spellEnd"/>
      <w:r w:rsidRPr="00FA2C72">
        <w:t>, A. and Skovgaard, D. (2021) 'The effect of semaglutide 2.4 mg once weekly on energy intake, appetite, control of eating, and gastric emptying in adults with obesity', </w:t>
      </w:r>
      <w:r w:rsidRPr="00FA2C72">
        <w:rPr>
          <w:i/>
          <w:iCs/>
        </w:rPr>
        <w:t>Diabetes, Obesity and Metabolism, </w:t>
      </w:r>
      <w:r w:rsidRPr="00FA2C72">
        <w:t>23(3), pp. 754–762.</w:t>
      </w:r>
    </w:p>
    <w:p w14:paraId="4E122291" w14:textId="2F898BB9" w:rsidR="001217B0" w:rsidRDefault="001217B0" w:rsidP="00421190">
      <w:r w:rsidRPr="001217B0">
        <w:t xml:space="preserve">Garvey, W.T., </w:t>
      </w:r>
      <w:proofErr w:type="spellStart"/>
      <w:r w:rsidRPr="001217B0">
        <w:t>Batterham</w:t>
      </w:r>
      <w:proofErr w:type="spellEnd"/>
      <w:r w:rsidRPr="001217B0">
        <w:t>, R.L., Bhatta, M., Buscemi, S., Christensen, L.N., Frias, J.P., Jódar, E., Kandler, K., Rigas, G. and Wadden, T.A. (2022) 'Two-year effects of semaglutide in adults with overweight or obesity: the STEP 5 trial', </w:t>
      </w:r>
      <w:r w:rsidRPr="001217B0">
        <w:rPr>
          <w:i/>
          <w:iCs/>
        </w:rPr>
        <w:t>Nature medicine, </w:t>
      </w:r>
      <w:r w:rsidRPr="001217B0">
        <w:t>28(10), pp. 2083–2091.</w:t>
      </w:r>
    </w:p>
    <w:p w14:paraId="0E8FA02D" w14:textId="1309F422" w:rsidR="009E01B4" w:rsidRDefault="009E01B4" w:rsidP="00421190">
      <w:r w:rsidRPr="009E01B4">
        <w:t xml:space="preserve">Greenhalgh, T., Thorne, S. and </w:t>
      </w:r>
      <w:proofErr w:type="spellStart"/>
      <w:r w:rsidRPr="009E01B4">
        <w:t>Malterud</w:t>
      </w:r>
      <w:proofErr w:type="spellEnd"/>
      <w:r w:rsidRPr="009E01B4">
        <w:t>, K. (2018) 'Time to challenge the spurious hierarchy of systematic over narrative reviews?', </w:t>
      </w:r>
      <w:r w:rsidRPr="009E01B4">
        <w:rPr>
          <w:i/>
          <w:iCs/>
        </w:rPr>
        <w:t>European journal of clinical investigation, </w:t>
      </w:r>
      <w:r w:rsidRPr="009E01B4">
        <w:t>48(6).</w:t>
      </w:r>
    </w:p>
    <w:p w14:paraId="730DF3AA" w14:textId="600E0F0E" w:rsidR="008F5406" w:rsidRDefault="008F5406" w:rsidP="00421190">
      <w:r w:rsidRPr="008F5406">
        <w:t>Holst, J.J. (2019) 'From the incretin concept and the discovery of GLP-1 to today's diabetes therapy', </w:t>
      </w:r>
      <w:r w:rsidRPr="008F5406">
        <w:rPr>
          <w:i/>
          <w:iCs/>
        </w:rPr>
        <w:t>Frontiers in endocrinology, </w:t>
      </w:r>
      <w:r w:rsidRPr="008F5406">
        <w:t>10, pp. 260.</w:t>
      </w:r>
    </w:p>
    <w:p w14:paraId="49A36642" w14:textId="6FED20F7" w:rsidR="00D7787F" w:rsidRDefault="00D7787F" w:rsidP="00421190">
      <w:r w:rsidRPr="00D7787F">
        <w:t xml:space="preserve">Khan, S.S., Ning, H., Wilkins, J.T., Allen, N., </w:t>
      </w:r>
      <w:proofErr w:type="spellStart"/>
      <w:r w:rsidRPr="00D7787F">
        <w:t>Carnethon</w:t>
      </w:r>
      <w:proofErr w:type="spellEnd"/>
      <w:r w:rsidRPr="00D7787F">
        <w:t>, M., Berry, J.D., Sweis, R.N. and Lloyd-Jones, D.M. (2018) 'Association of body mass index with lifetime risk of cardiovascular disease and compression of morbidity', </w:t>
      </w:r>
      <w:r w:rsidRPr="00D7787F">
        <w:rPr>
          <w:i/>
          <w:iCs/>
        </w:rPr>
        <w:t>JAMA cardiology, </w:t>
      </w:r>
      <w:r w:rsidRPr="00D7787F">
        <w:t>3(4), pp. 280–287.</w:t>
      </w:r>
    </w:p>
    <w:p w14:paraId="19C879ED" w14:textId="14835CE6" w:rsidR="00421190" w:rsidRDefault="00421190" w:rsidP="00421190">
      <w:r w:rsidRPr="00421190">
        <w:t xml:space="preserve">Kushner, R.F., </w:t>
      </w:r>
      <w:proofErr w:type="spellStart"/>
      <w:r w:rsidRPr="00421190">
        <w:t>Calanna</w:t>
      </w:r>
      <w:proofErr w:type="spellEnd"/>
      <w:r w:rsidRPr="00421190">
        <w:t xml:space="preserve">, S., Davies, M., Dicker, D., Garvey, W.T., Goldman, B., </w:t>
      </w:r>
      <w:proofErr w:type="spellStart"/>
      <w:r w:rsidRPr="00421190">
        <w:t>Lingvay</w:t>
      </w:r>
      <w:proofErr w:type="spellEnd"/>
      <w:r w:rsidRPr="00421190">
        <w:t>, I., Thomsen, M., Wadden, T.A. and Wharton, S. (2020) 'Semaglutide 2.4 mg for the treatment of obesity: key elements of the STEP trials 1 to 5', </w:t>
      </w:r>
      <w:r w:rsidRPr="00421190">
        <w:rPr>
          <w:i/>
          <w:iCs/>
        </w:rPr>
        <w:t>Obesity, </w:t>
      </w:r>
      <w:r w:rsidRPr="00421190">
        <w:t>28(6), pp. 1050–1061.</w:t>
      </w:r>
    </w:p>
    <w:p w14:paraId="657BBBA9" w14:textId="4DF81BDE" w:rsidR="00FC4FBE" w:rsidRDefault="00FC4FBE" w:rsidP="00421190">
      <w:r w:rsidRPr="00FC4FBE">
        <w:t>Maciejewski, M.L., Arterburn, D.E., Van Scoyoc, L., Smith, V.A., Yancy, W.S., Weidenbacher, H.J., Livingston, E.H. and Olsen, M.K. (2016) 'Bariatric surgery and long-term durability of weight loss', </w:t>
      </w:r>
      <w:r w:rsidRPr="00FC4FBE">
        <w:rPr>
          <w:i/>
          <w:iCs/>
        </w:rPr>
        <w:t>JAMA surgery, </w:t>
      </w:r>
      <w:r w:rsidRPr="00FC4FBE">
        <w:t>151(11), pp. 1046–1055.</w:t>
      </w:r>
    </w:p>
    <w:p w14:paraId="2BE620E8" w14:textId="28E41031" w:rsidR="00ED17E5" w:rsidRDefault="00ED17E5" w:rsidP="00421190">
      <w:r w:rsidRPr="00ED17E5">
        <w:t>MacLean, P.S., Wing, R.R., Davidson, T., Epstein, L., Goodpaster, B., Hall, K.D., Levin, B.E., Perri, M.G., Rolls, B.J. and Rosenbaum, M. (2015) 'NIH working group report: innovative research to improve maintenance of weight loss', </w:t>
      </w:r>
      <w:r w:rsidRPr="00ED17E5">
        <w:rPr>
          <w:i/>
          <w:iCs/>
        </w:rPr>
        <w:t>Obesity, </w:t>
      </w:r>
      <w:r w:rsidRPr="00ED17E5">
        <w:t>23(1), pp. 7–15.</w:t>
      </w:r>
    </w:p>
    <w:p w14:paraId="07839763" w14:textId="1BB9DA72" w:rsidR="000F0032" w:rsidRDefault="000F0032" w:rsidP="00421190">
      <w:r w:rsidRPr="000F0032">
        <w:t>McGrice, M. and Don Paul, K. (2015) 'Interventions to improve long-term weight loss in patients following bariatric surgery: challenges and solutions', </w:t>
      </w:r>
      <w:r w:rsidRPr="000F0032">
        <w:rPr>
          <w:i/>
          <w:iCs/>
        </w:rPr>
        <w:t>Diabetes, metabolic syndrome and obesity: targets and therapy, </w:t>
      </w:r>
      <w:r w:rsidRPr="000F0032">
        <w:t>, pp. 263–274.</w:t>
      </w:r>
    </w:p>
    <w:p w14:paraId="40A39D65" w14:textId="285D3E59" w:rsidR="00DE4240" w:rsidRDefault="00DE4240" w:rsidP="00421190">
      <w:r w:rsidRPr="00DE4240">
        <w:lastRenderedPageBreak/>
        <w:t>Mikhail, N. (2021) 'Semaglutide versus liraglutide for treatment of obesity', </w:t>
      </w:r>
      <w:r w:rsidRPr="00DE4240">
        <w:rPr>
          <w:i/>
          <w:iCs/>
        </w:rPr>
        <w:t>Archives of Diabetes &amp; Obesity, </w:t>
      </w:r>
      <w:r w:rsidRPr="00DE4240">
        <w:t>3(3), pp. 314–319.</w:t>
      </w:r>
    </w:p>
    <w:p w14:paraId="70C5025F" w14:textId="33AE5998" w:rsidR="00ED17E5" w:rsidRDefault="00ED17E5" w:rsidP="00421190">
      <w:r w:rsidRPr="00ED17E5">
        <w:t xml:space="preserve">Montesi, L., El </w:t>
      </w:r>
      <w:proofErr w:type="spellStart"/>
      <w:r w:rsidRPr="00ED17E5">
        <w:t>Ghoch</w:t>
      </w:r>
      <w:proofErr w:type="spellEnd"/>
      <w:r w:rsidRPr="00ED17E5">
        <w:t xml:space="preserve">, M., </w:t>
      </w:r>
      <w:proofErr w:type="spellStart"/>
      <w:r w:rsidRPr="00ED17E5">
        <w:t>Brodosi</w:t>
      </w:r>
      <w:proofErr w:type="spellEnd"/>
      <w:r w:rsidRPr="00ED17E5">
        <w:t xml:space="preserve">, L., </w:t>
      </w:r>
      <w:proofErr w:type="spellStart"/>
      <w:r w:rsidRPr="00ED17E5">
        <w:t>Calugi</w:t>
      </w:r>
      <w:proofErr w:type="spellEnd"/>
      <w:r w:rsidRPr="00ED17E5">
        <w:t>, S., Marchesini, G. and Dalle Grave, R. (2016) 'Long-term weight loss maintenance for obesity: a multidisciplinary approach', </w:t>
      </w:r>
      <w:r w:rsidRPr="00ED17E5">
        <w:rPr>
          <w:i/>
          <w:iCs/>
        </w:rPr>
        <w:t>Diabetes, metabolic syndrome and obesity: targets and therapy, </w:t>
      </w:r>
      <w:r w:rsidRPr="00ED17E5">
        <w:t>, pp. 37–46.</w:t>
      </w:r>
    </w:p>
    <w:p w14:paraId="28C9CFE3" w14:textId="1A2D4F63" w:rsidR="00B37520" w:rsidRDefault="00C9139F" w:rsidP="00421190">
      <w:r w:rsidRPr="00C9139F">
        <w:t xml:space="preserve">O'Neil, P.M., Birkenfeld, A.L., McGowan, B., </w:t>
      </w:r>
      <w:proofErr w:type="spellStart"/>
      <w:r w:rsidRPr="00C9139F">
        <w:t>Mosenzon</w:t>
      </w:r>
      <w:proofErr w:type="spellEnd"/>
      <w:r w:rsidRPr="00C9139F">
        <w:t>, O., Pedersen, S.D., Wharton, S., Carson, C.G., Jepsen, C.H., Kabisch, M. and Wilding, J.P. (2018) 'Efficacy and safety of semaglutide compared with liraglutide and placebo for weight loss in patients with obesity: a randomised, double-blind, placebo and active controlled, dose-ranging, phase 2 trial', </w:t>
      </w:r>
      <w:r w:rsidRPr="00C9139F">
        <w:rPr>
          <w:i/>
          <w:iCs/>
        </w:rPr>
        <w:t>The Lancet, </w:t>
      </w:r>
      <w:r w:rsidRPr="00C9139F">
        <w:t>392(10148), pp. 637–649.</w:t>
      </w:r>
    </w:p>
    <w:p w14:paraId="636B4540" w14:textId="513C1140" w:rsidR="00B37520" w:rsidRDefault="00B37520" w:rsidP="00421190">
      <w:r w:rsidRPr="00B37520">
        <w:t>Park, S., Sadanala, K.C. and Kim, E. (2015) 'A metabolomic approach to understanding the metabolic link between obesity and diabetes', </w:t>
      </w:r>
      <w:r w:rsidRPr="00B37520">
        <w:rPr>
          <w:i/>
          <w:iCs/>
        </w:rPr>
        <w:t>Molecules and cells, </w:t>
      </w:r>
      <w:r w:rsidRPr="00B37520">
        <w:t>38(7), pp. 587–596.</w:t>
      </w:r>
    </w:p>
    <w:p w14:paraId="255D1681" w14:textId="6139046A" w:rsidR="001123D2" w:rsidRDefault="001123D2" w:rsidP="00421190">
      <w:r w:rsidRPr="001123D2">
        <w:t>Prospective Studies Collaboration (2009) 'Body-mass index and cause-specific mortality in 900 000 adults: collaborative analyses of 57 prospective studies', </w:t>
      </w:r>
      <w:r w:rsidRPr="001123D2">
        <w:rPr>
          <w:i/>
          <w:iCs/>
        </w:rPr>
        <w:t>The Lancet, </w:t>
      </w:r>
      <w:r w:rsidRPr="001123D2">
        <w:t>373(9669), pp. 1083–1096.</w:t>
      </w:r>
    </w:p>
    <w:p w14:paraId="59B36D2D" w14:textId="6E8BE397" w:rsidR="00527E57" w:rsidRDefault="00527E57" w:rsidP="00421190">
      <w:r w:rsidRPr="00527E57">
        <w:t>Ritchie, H. and Roser, M.</w:t>
      </w:r>
      <w:r w:rsidR="0089194A">
        <w:t xml:space="preserve"> (</w:t>
      </w:r>
      <w:r w:rsidRPr="00527E57">
        <w:t>2017</w:t>
      </w:r>
      <w:r w:rsidR="0089194A">
        <w:t>)</w:t>
      </w:r>
      <w:r w:rsidR="00981C18" w:rsidRPr="00981C18">
        <w:rPr>
          <w:rFonts w:ascii="Lato" w:hAnsi="Lato"/>
          <w:color w:val="1D3D63"/>
          <w:sz w:val="27"/>
          <w:szCs w:val="27"/>
          <w:shd w:val="clear" w:color="auto" w:fill="FFFFFF"/>
        </w:rPr>
        <w:t xml:space="preserve"> </w:t>
      </w:r>
      <w:r w:rsidR="000E62DA">
        <w:t xml:space="preserve">‘Obesity’ Available at: </w:t>
      </w:r>
      <w:r w:rsidR="009E6D86" w:rsidRPr="001F2897">
        <w:t>https://ourworldindata.org/obesity#</w:t>
      </w:r>
      <w:r w:rsidR="009E6D86">
        <w:t xml:space="preserve"> (Accessed 2 October 2024)</w:t>
      </w:r>
    </w:p>
    <w:p w14:paraId="2E7B25A9" w14:textId="422E4A4C" w:rsidR="00627F70" w:rsidRDefault="00627F70" w:rsidP="00421190">
      <w:r w:rsidRPr="00627F70">
        <w:t xml:space="preserve">Ruban, A., </w:t>
      </w:r>
      <w:proofErr w:type="spellStart"/>
      <w:r w:rsidRPr="00627F70">
        <w:t>Stoenchev</w:t>
      </w:r>
      <w:proofErr w:type="spellEnd"/>
      <w:r w:rsidRPr="00627F70">
        <w:t xml:space="preserve">, K., </w:t>
      </w:r>
      <w:proofErr w:type="spellStart"/>
      <w:r w:rsidRPr="00627F70">
        <w:t>Ashrafian</w:t>
      </w:r>
      <w:proofErr w:type="spellEnd"/>
      <w:r w:rsidRPr="00627F70">
        <w:t>, H. and Teare, J. (2019) 'Current treatments for obesity', </w:t>
      </w:r>
      <w:r w:rsidRPr="00627F70">
        <w:rPr>
          <w:i/>
          <w:iCs/>
        </w:rPr>
        <w:t>Clinical Medicine, </w:t>
      </w:r>
      <w:r w:rsidRPr="00627F70">
        <w:t>19(3), pp. 205–212.</w:t>
      </w:r>
    </w:p>
    <w:p w14:paraId="1BCE141C" w14:textId="7E616BFB" w:rsidR="00E73D50" w:rsidRDefault="00A8511E" w:rsidP="00421190">
      <w:r w:rsidRPr="00A8511E">
        <w:t xml:space="preserve">Rubino, D., Abrahamsson, N., Davies, M., Hesse, D., Greenway, F.L., Jensen, C., </w:t>
      </w:r>
      <w:proofErr w:type="spellStart"/>
      <w:r w:rsidRPr="00A8511E">
        <w:t>Lingvay</w:t>
      </w:r>
      <w:proofErr w:type="spellEnd"/>
      <w:r w:rsidRPr="00A8511E">
        <w:t xml:space="preserve">, I., </w:t>
      </w:r>
      <w:proofErr w:type="spellStart"/>
      <w:r w:rsidRPr="00A8511E">
        <w:t>Mosenzon</w:t>
      </w:r>
      <w:proofErr w:type="spellEnd"/>
      <w:r w:rsidRPr="00A8511E">
        <w:t>, O., Rosenstock, J. and Rubio, M.A. (2021) 'Effect of continued weekly subcutaneous semaglutide vs placebo on weight loss maintenance in adults with overweight or obesity: the STEP 4 randomized clinical trial', </w:t>
      </w:r>
      <w:r w:rsidRPr="00A8511E">
        <w:rPr>
          <w:i/>
          <w:iCs/>
        </w:rPr>
        <w:t>Jama, </w:t>
      </w:r>
      <w:r w:rsidRPr="00A8511E">
        <w:t>325(14), pp. 1414–1425.</w:t>
      </w:r>
    </w:p>
    <w:p w14:paraId="59D28037" w14:textId="6FF3FEAC" w:rsidR="00E73D50" w:rsidRDefault="00E73D50" w:rsidP="00421190">
      <w:r w:rsidRPr="00E73D50">
        <w:t xml:space="preserve">Rubino, D.M., Greenway, F.L., Khalid, U., O’Neil, P.M., Rosenstock, J., Sørrig, R., Wadden, T.A., </w:t>
      </w:r>
      <w:proofErr w:type="spellStart"/>
      <w:r w:rsidRPr="00E73D50">
        <w:t>Wizert</w:t>
      </w:r>
      <w:proofErr w:type="spellEnd"/>
      <w:r w:rsidRPr="00E73D50">
        <w:t>, A., Garvey, W.T. and Arauz-Pacheco, C. (2022) 'Effect of weekly subcutaneous semaglutide vs daily liraglutide on body weight in adults with overweight or obesity without diabetes: the STEP 8 randomized clinical trial', </w:t>
      </w:r>
      <w:r w:rsidRPr="00E73D50">
        <w:rPr>
          <w:i/>
          <w:iCs/>
        </w:rPr>
        <w:t>Jama, </w:t>
      </w:r>
      <w:r w:rsidRPr="00E73D50">
        <w:t>327(2), pp. 138–150.</w:t>
      </w:r>
    </w:p>
    <w:p w14:paraId="5A7C1C02" w14:textId="4BE636D6" w:rsidR="00B037E3" w:rsidRDefault="00B037E3" w:rsidP="00421190">
      <w:r w:rsidRPr="00B037E3">
        <w:t xml:space="preserve">Sarma, S., </w:t>
      </w:r>
      <w:proofErr w:type="spellStart"/>
      <w:r w:rsidRPr="00B037E3">
        <w:t>Sockalingam</w:t>
      </w:r>
      <w:proofErr w:type="spellEnd"/>
      <w:r w:rsidRPr="00B037E3">
        <w:t>, S. and Dash, S. (2021) 'Obesity as a multisystem disease: Trends in obesity rates and obesity</w:t>
      </w:r>
      <w:r w:rsidRPr="00B037E3">
        <w:rPr>
          <w:rFonts w:ascii="Cambria Math" w:hAnsi="Cambria Math" w:cs="Cambria Math"/>
        </w:rPr>
        <w:t>‐</w:t>
      </w:r>
      <w:r w:rsidRPr="00B037E3">
        <w:t>related complications',</w:t>
      </w:r>
      <w:r w:rsidRPr="00B037E3">
        <w:rPr>
          <w:rFonts w:ascii="Aptos" w:hAnsi="Aptos" w:cs="Aptos"/>
        </w:rPr>
        <w:t> </w:t>
      </w:r>
      <w:r w:rsidRPr="00B037E3">
        <w:rPr>
          <w:i/>
          <w:iCs/>
        </w:rPr>
        <w:t>Diabetes, Obesity and Metabolism, </w:t>
      </w:r>
      <w:r w:rsidRPr="00B037E3">
        <w:t>23, pp. 3–16.</w:t>
      </w:r>
    </w:p>
    <w:p w14:paraId="00F517B4" w14:textId="7C8CE00E" w:rsidR="00FD48FF" w:rsidRDefault="00FD48FF" w:rsidP="00421190">
      <w:r w:rsidRPr="00FD48FF">
        <w:t>Smits, M.M. and Van Raalte, D.H. (2021) 'Safety of semaglutide', </w:t>
      </w:r>
      <w:r w:rsidRPr="00FD48FF">
        <w:rPr>
          <w:i/>
          <w:iCs/>
        </w:rPr>
        <w:t>Frontiers in endocrinology, </w:t>
      </w:r>
      <w:r w:rsidRPr="00FD48FF">
        <w:t>12, pp. 645563.</w:t>
      </w:r>
    </w:p>
    <w:p w14:paraId="46FAD22C" w14:textId="5BD5EBE8" w:rsidR="004721E9" w:rsidRDefault="004721E9" w:rsidP="00421190">
      <w:r w:rsidRPr="004721E9">
        <w:lastRenderedPageBreak/>
        <w:t>Sukhera, J. (2022) 'Narrative reviews in medical education: key steps for researchers', </w:t>
      </w:r>
      <w:r w:rsidRPr="004721E9">
        <w:rPr>
          <w:i/>
          <w:iCs/>
        </w:rPr>
        <w:t>Journal of Graduate Medical Education, </w:t>
      </w:r>
      <w:r w:rsidRPr="004721E9">
        <w:t>14(4), pp. 418–419.</w:t>
      </w:r>
    </w:p>
    <w:p w14:paraId="7DBE1113" w14:textId="5D57791A" w:rsidR="0051396C" w:rsidRDefault="0051396C" w:rsidP="00421190">
      <w:r w:rsidRPr="0051396C">
        <w:t xml:space="preserve">Tolvanen, L., Christenson, A., </w:t>
      </w:r>
      <w:proofErr w:type="spellStart"/>
      <w:r w:rsidRPr="0051396C">
        <w:t>Surkan</w:t>
      </w:r>
      <w:proofErr w:type="spellEnd"/>
      <w:r w:rsidRPr="0051396C">
        <w:t xml:space="preserve">, P.J. and </w:t>
      </w:r>
      <w:proofErr w:type="spellStart"/>
      <w:r w:rsidRPr="0051396C">
        <w:t>Lagerros</w:t>
      </w:r>
      <w:proofErr w:type="spellEnd"/>
      <w:r w:rsidRPr="0051396C">
        <w:t>, Y.T. (2022) 'Patients’ experiences of weight regain after bariatric surgery', </w:t>
      </w:r>
      <w:r w:rsidRPr="0051396C">
        <w:rPr>
          <w:i/>
          <w:iCs/>
        </w:rPr>
        <w:t>Obesity Surgery, </w:t>
      </w:r>
      <w:r w:rsidRPr="0051396C">
        <w:t>32(5), pp. 1498–1507.</w:t>
      </w:r>
    </w:p>
    <w:p w14:paraId="068A3CBF" w14:textId="1DE4806E" w:rsidR="00E86946" w:rsidRDefault="00E86946" w:rsidP="00421190">
      <w:r w:rsidRPr="00E86946">
        <w:t xml:space="preserve">Wadden, T.A., Bailey, T.S., Billings, L.K., Davies, M., Frias, J.P., Koroleva, A., </w:t>
      </w:r>
      <w:proofErr w:type="spellStart"/>
      <w:r w:rsidRPr="00E86946">
        <w:t>Lingvay</w:t>
      </w:r>
      <w:proofErr w:type="spellEnd"/>
      <w:r w:rsidRPr="00E86946">
        <w:t xml:space="preserve">, I., O’Neil, P.M., Rubino, D.M. and Skovgaard, D. (2021) 'Effect of subcutaneous semaglutide vs placebo as an adjunct to intensive </w:t>
      </w:r>
      <w:proofErr w:type="spellStart"/>
      <w:r w:rsidRPr="00E86946">
        <w:t>behavioral</w:t>
      </w:r>
      <w:proofErr w:type="spellEnd"/>
      <w:r w:rsidRPr="00E86946">
        <w:t xml:space="preserve"> therapy on body weight in adults with overweight or obesity: the STEP 3 randomized clinical trial', </w:t>
      </w:r>
      <w:r w:rsidRPr="00E86946">
        <w:rPr>
          <w:i/>
          <w:iCs/>
        </w:rPr>
        <w:t>Jama, </w:t>
      </w:r>
      <w:r w:rsidRPr="00E86946">
        <w:t>325(14), pp. 1403–1413.</w:t>
      </w:r>
    </w:p>
    <w:p w14:paraId="4D841260" w14:textId="60ED1686" w:rsidR="00DC5323" w:rsidRDefault="00DC5323" w:rsidP="00421190">
      <w:r w:rsidRPr="00DC5323">
        <w:t>Whitley, H.P., Trujillo, J.M. and Neumiller, J.J. (2023) 'Special report: potential strategies for addressing GLP-1 and dual GLP-1/GIP receptor agonist shortages', </w:t>
      </w:r>
      <w:r w:rsidRPr="00DC5323">
        <w:rPr>
          <w:i/>
          <w:iCs/>
        </w:rPr>
        <w:t>Clinical Diabetes, </w:t>
      </w:r>
      <w:r w:rsidRPr="00DC5323">
        <w:t>41(3), pp. 467–473.</w:t>
      </w:r>
    </w:p>
    <w:p w14:paraId="69445C33" w14:textId="1FFE8509" w:rsidR="00234D19" w:rsidRDefault="00E9184D" w:rsidP="00234D19">
      <w:r>
        <w:t>W</w:t>
      </w:r>
      <w:r w:rsidR="0018419F">
        <w:t>H</w:t>
      </w:r>
      <w:r>
        <w:t>O (</w:t>
      </w:r>
      <w:r w:rsidR="0018419F">
        <w:t xml:space="preserve">2024) </w:t>
      </w:r>
      <w:r w:rsidR="0018419F">
        <w:rPr>
          <w:i/>
          <w:iCs/>
        </w:rPr>
        <w:t xml:space="preserve">Obesity and overweight. </w:t>
      </w:r>
      <w:r w:rsidR="0018419F">
        <w:t xml:space="preserve">Available at: </w:t>
      </w:r>
      <w:r w:rsidR="00234D19" w:rsidRPr="00234D19">
        <w:t xml:space="preserve">https://www.who.int/news-room/fact-sheets/detail/obesity-and-overweight. </w:t>
      </w:r>
      <w:r w:rsidR="00234D19">
        <w:t>(</w:t>
      </w:r>
      <w:r w:rsidR="00234D19" w:rsidRPr="00234D19">
        <w:t>Accessed: 25 September 2024).</w:t>
      </w:r>
    </w:p>
    <w:p w14:paraId="46EA68D5" w14:textId="21C046A8" w:rsidR="00EC76E3" w:rsidRDefault="00EC76E3" w:rsidP="00234D19">
      <w:r w:rsidRPr="00EC76E3">
        <w:t xml:space="preserve">Wilding, J.P., </w:t>
      </w:r>
      <w:proofErr w:type="spellStart"/>
      <w:r w:rsidRPr="00EC76E3">
        <w:t>Batterham</w:t>
      </w:r>
      <w:proofErr w:type="spellEnd"/>
      <w:r w:rsidRPr="00EC76E3">
        <w:t xml:space="preserve">, R.L., </w:t>
      </w:r>
      <w:proofErr w:type="spellStart"/>
      <w:r w:rsidRPr="00EC76E3">
        <w:t>Calanna</w:t>
      </w:r>
      <w:proofErr w:type="spellEnd"/>
      <w:r w:rsidRPr="00EC76E3">
        <w:t xml:space="preserve">, S., Davies, M., Van Gaal, L.F., </w:t>
      </w:r>
      <w:proofErr w:type="spellStart"/>
      <w:r w:rsidRPr="00EC76E3">
        <w:t>Lingvay</w:t>
      </w:r>
      <w:proofErr w:type="spellEnd"/>
      <w:r w:rsidRPr="00EC76E3">
        <w:t>, I., McGowan, B.M., Rosenstock, J., Tran, M.T. and Wadden, T.A. (2021) 'Once-weekly semaglutide in adults with overweight or obesity', </w:t>
      </w:r>
      <w:r w:rsidRPr="00EC76E3">
        <w:rPr>
          <w:i/>
          <w:iCs/>
        </w:rPr>
        <w:t>New England Journal of Medicine, </w:t>
      </w:r>
      <w:r w:rsidRPr="00EC76E3">
        <w:t>384(11), pp. 989–1002.</w:t>
      </w:r>
    </w:p>
    <w:p w14:paraId="638EA59E" w14:textId="2F2A58D8" w:rsidR="00A168A3" w:rsidRDefault="00A168A3" w:rsidP="00234D19">
      <w:r w:rsidRPr="00A168A3">
        <w:t xml:space="preserve">Wirth, A., </w:t>
      </w:r>
      <w:proofErr w:type="spellStart"/>
      <w:r w:rsidRPr="00A168A3">
        <w:t>Wabitsch</w:t>
      </w:r>
      <w:proofErr w:type="spellEnd"/>
      <w:r w:rsidRPr="00A168A3">
        <w:t>, M. and Hauner, H. (2014) 'The prevention and treatment of obesity', </w:t>
      </w:r>
      <w:proofErr w:type="spellStart"/>
      <w:r w:rsidRPr="00A168A3">
        <w:rPr>
          <w:i/>
          <w:iCs/>
        </w:rPr>
        <w:t>Deutsches</w:t>
      </w:r>
      <w:proofErr w:type="spellEnd"/>
      <w:r w:rsidRPr="00A168A3">
        <w:rPr>
          <w:i/>
          <w:iCs/>
        </w:rPr>
        <w:t xml:space="preserve"> </w:t>
      </w:r>
      <w:proofErr w:type="spellStart"/>
      <w:r w:rsidRPr="00A168A3">
        <w:rPr>
          <w:i/>
          <w:iCs/>
        </w:rPr>
        <w:t>Ärzteblatt</w:t>
      </w:r>
      <w:proofErr w:type="spellEnd"/>
      <w:r w:rsidRPr="00A168A3">
        <w:rPr>
          <w:i/>
          <w:iCs/>
        </w:rPr>
        <w:t xml:space="preserve"> International, </w:t>
      </w:r>
      <w:r w:rsidRPr="00A168A3">
        <w:t>111(42), pp. 705.</w:t>
      </w:r>
    </w:p>
    <w:p w14:paraId="4F439E53" w14:textId="7E3CF3F2" w:rsidR="00017FCD" w:rsidRDefault="00017FCD" w:rsidP="00234D19">
      <w:r w:rsidRPr="00017FCD">
        <w:t>World Obesity (2023).</w:t>
      </w:r>
      <w:r w:rsidR="000F31C4">
        <w:rPr>
          <w:i/>
          <w:iCs/>
        </w:rPr>
        <w:t xml:space="preserve"> World Obesity Atlas 2023.</w:t>
      </w:r>
      <w:r w:rsidRPr="00017FCD">
        <w:rPr>
          <w:i/>
          <w:iCs/>
        </w:rPr>
        <w:t> </w:t>
      </w:r>
      <w:r w:rsidRPr="00CF6502">
        <w:t>Available at:</w:t>
      </w:r>
      <w:r w:rsidR="00CF6502" w:rsidRPr="00CF6502">
        <w:t xml:space="preserve"> </w:t>
      </w:r>
      <w:r w:rsidRPr="00CF6502">
        <w:t>https://www.worldobesity.org/resources/resource-library/world-obesity-atlas-2023. (Accessed: 25</w:t>
      </w:r>
      <w:r w:rsidR="008504E1">
        <w:t xml:space="preserve"> September</w:t>
      </w:r>
      <w:r w:rsidRPr="00CF6502">
        <w:t xml:space="preserve"> 2024).</w:t>
      </w:r>
    </w:p>
    <w:p w14:paraId="58CB63C3" w14:textId="32BFBE3C" w:rsidR="00B86F3A" w:rsidRDefault="00B86F3A" w:rsidP="00234D19">
      <w:r w:rsidRPr="00B86F3A">
        <w:t>Xie, Z., Yang, S., Deng, W., Li, J. and Chen, J. (2022) 'Efficacy and safety of liraglutide and semaglutide on weight loss in people with obesity or overweight: a systematic review', </w:t>
      </w:r>
      <w:r w:rsidRPr="00B86F3A">
        <w:rPr>
          <w:i/>
          <w:iCs/>
        </w:rPr>
        <w:t>Clinical epidemiology, </w:t>
      </w:r>
      <w:r w:rsidRPr="00B86F3A">
        <w:t>, pp. 1463–1476.</w:t>
      </w:r>
    </w:p>
    <w:p w14:paraId="0F7679A3" w14:textId="0572326A" w:rsidR="001A40F7" w:rsidRDefault="001A40F7" w:rsidP="00234D19">
      <w:r w:rsidRPr="001A40F7">
        <w:t>Yang, M., Liu, S. and Zhang, C. (2022) </w:t>
      </w:r>
      <w:r w:rsidRPr="001A40F7">
        <w:rPr>
          <w:i/>
          <w:iCs/>
        </w:rPr>
        <w:t>The related metabolic diseases and treatments of obesity. </w:t>
      </w:r>
      <w:r w:rsidRPr="001A40F7">
        <w:t>MDPI, pp. 1616.</w:t>
      </w:r>
    </w:p>
    <w:p w14:paraId="2E2C8A2A" w14:textId="452A6528" w:rsidR="0028682B" w:rsidRPr="00CF6502" w:rsidRDefault="0028682B" w:rsidP="00234D19">
      <w:r w:rsidRPr="0028682B">
        <w:t xml:space="preserve">Yumuk, V., </w:t>
      </w:r>
      <w:proofErr w:type="spellStart"/>
      <w:r w:rsidRPr="0028682B">
        <w:t>Tsigos</w:t>
      </w:r>
      <w:proofErr w:type="spellEnd"/>
      <w:r w:rsidRPr="0028682B">
        <w:t xml:space="preserve">, C., Fried, M., Schindler, K., </w:t>
      </w:r>
      <w:proofErr w:type="spellStart"/>
      <w:r w:rsidRPr="0028682B">
        <w:t>Busetto</w:t>
      </w:r>
      <w:proofErr w:type="spellEnd"/>
      <w:r w:rsidRPr="0028682B">
        <w:t>, L., Micic, D. and Toplak, H. (2015) 'European guidelines for obesity management in adults', </w:t>
      </w:r>
      <w:r w:rsidRPr="0028682B">
        <w:rPr>
          <w:i/>
          <w:iCs/>
        </w:rPr>
        <w:t>Obesity facts, </w:t>
      </w:r>
      <w:r w:rsidRPr="0028682B">
        <w:t>8(6), pp. 402–424.</w:t>
      </w:r>
    </w:p>
    <w:p w14:paraId="6A7DDE9C" w14:textId="7E920D0E" w:rsidR="00E9184D" w:rsidRPr="00CF6502" w:rsidRDefault="00E9184D" w:rsidP="00421190"/>
    <w:sectPr w:rsidR="00E9184D" w:rsidRPr="00CF6502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1A54F9D" w14:textId="77777777" w:rsidR="00AB4C5F" w:rsidRDefault="00AB4C5F" w:rsidP="00D008A7">
      <w:pPr>
        <w:spacing w:after="0" w:line="240" w:lineRule="auto"/>
      </w:pPr>
      <w:r>
        <w:separator/>
      </w:r>
    </w:p>
  </w:endnote>
  <w:endnote w:type="continuationSeparator" w:id="0">
    <w:p w14:paraId="65478419" w14:textId="77777777" w:rsidR="00AB4C5F" w:rsidRDefault="00AB4C5F" w:rsidP="00D008A7">
      <w:pPr>
        <w:spacing w:after="0" w:line="240" w:lineRule="auto"/>
      </w:pPr>
      <w:r>
        <w:continuationSeparator/>
      </w:r>
    </w:p>
  </w:endnote>
  <w:endnote w:type="continuationNotice" w:id="1">
    <w:p w14:paraId="34A7084E" w14:textId="77777777" w:rsidR="00B62DC2" w:rsidRDefault="00B62DC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Lato">
    <w:charset w:val="00"/>
    <w:family w:val="swiss"/>
    <w:pitch w:val="variable"/>
    <w:sig w:usb0="E10002FF" w:usb1="5000ECFF" w:usb2="0000002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162156642"/>
      <w:docPartObj>
        <w:docPartGallery w:val="Page Numbers (Bottom of Page)"/>
        <w:docPartUnique/>
      </w:docPartObj>
    </w:sdtPr>
    <w:sdtEndPr/>
    <w:sdtContent>
      <w:p w14:paraId="31DB1330" w14:textId="7A8BB9A4" w:rsidR="008012A1" w:rsidRDefault="008012A1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14DEDD76" w14:textId="77777777" w:rsidR="008012A1" w:rsidRDefault="008012A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9F84CC5" w14:textId="77777777" w:rsidR="00AB4C5F" w:rsidRDefault="00AB4C5F" w:rsidP="00D008A7">
      <w:pPr>
        <w:spacing w:after="0" w:line="240" w:lineRule="auto"/>
      </w:pPr>
      <w:r>
        <w:separator/>
      </w:r>
    </w:p>
  </w:footnote>
  <w:footnote w:type="continuationSeparator" w:id="0">
    <w:p w14:paraId="25B71AFF" w14:textId="77777777" w:rsidR="00AB4C5F" w:rsidRDefault="00AB4C5F" w:rsidP="00D008A7">
      <w:pPr>
        <w:spacing w:after="0" w:line="240" w:lineRule="auto"/>
      </w:pPr>
      <w:r>
        <w:continuationSeparator/>
      </w:r>
    </w:p>
  </w:footnote>
  <w:footnote w:type="continuationNotice" w:id="1">
    <w:p w14:paraId="418E592A" w14:textId="77777777" w:rsidR="00B62DC2" w:rsidRDefault="00B62DC2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310561"/>
    <w:multiLevelType w:val="hybridMultilevel"/>
    <w:tmpl w:val="22EADC96"/>
    <w:lvl w:ilvl="0" w:tplc="C5D29DA4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770139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65A3"/>
    <w:rsid w:val="00003A34"/>
    <w:rsid w:val="0000542F"/>
    <w:rsid w:val="00006DC5"/>
    <w:rsid w:val="0001656B"/>
    <w:rsid w:val="00017F8C"/>
    <w:rsid w:val="00017FCD"/>
    <w:rsid w:val="000216BC"/>
    <w:rsid w:val="0002306F"/>
    <w:rsid w:val="00023652"/>
    <w:rsid w:val="000237FF"/>
    <w:rsid w:val="00023917"/>
    <w:rsid w:val="00023B6D"/>
    <w:rsid w:val="00024022"/>
    <w:rsid w:val="0003221D"/>
    <w:rsid w:val="000354C8"/>
    <w:rsid w:val="000362D1"/>
    <w:rsid w:val="00042B6E"/>
    <w:rsid w:val="000433A6"/>
    <w:rsid w:val="00056ED2"/>
    <w:rsid w:val="000631AB"/>
    <w:rsid w:val="00081BEF"/>
    <w:rsid w:val="00083A54"/>
    <w:rsid w:val="00084BB5"/>
    <w:rsid w:val="00093CCD"/>
    <w:rsid w:val="000968D0"/>
    <w:rsid w:val="000A1EAF"/>
    <w:rsid w:val="000A6E96"/>
    <w:rsid w:val="000B1A20"/>
    <w:rsid w:val="000B37A6"/>
    <w:rsid w:val="000B3853"/>
    <w:rsid w:val="000B53BF"/>
    <w:rsid w:val="000B5A95"/>
    <w:rsid w:val="000B6927"/>
    <w:rsid w:val="000C201E"/>
    <w:rsid w:val="000C2531"/>
    <w:rsid w:val="000C6360"/>
    <w:rsid w:val="000D0A65"/>
    <w:rsid w:val="000D2EFE"/>
    <w:rsid w:val="000D6DC3"/>
    <w:rsid w:val="000E1008"/>
    <w:rsid w:val="000E4226"/>
    <w:rsid w:val="000E62DA"/>
    <w:rsid w:val="000F0032"/>
    <w:rsid w:val="000F1849"/>
    <w:rsid w:val="000F2B5D"/>
    <w:rsid w:val="000F31C4"/>
    <w:rsid w:val="000F3D71"/>
    <w:rsid w:val="000F625C"/>
    <w:rsid w:val="00102181"/>
    <w:rsid w:val="00111BAD"/>
    <w:rsid w:val="001123D2"/>
    <w:rsid w:val="001134B0"/>
    <w:rsid w:val="00115F77"/>
    <w:rsid w:val="001209F1"/>
    <w:rsid w:val="001217B0"/>
    <w:rsid w:val="00127AF6"/>
    <w:rsid w:val="00130D2C"/>
    <w:rsid w:val="0013112A"/>
    <w:rsid w:val="001351B2"/>
    <w:rsid w:val="00136A60"/>
    <w:rsid w:val="001407FD"/>
    <w:rsid w:val="00150F2F"/>
    <w:rsid w:val="00155A81"/>
    <w:rsid w:val="00160705"/>
    <w:rsid w:val="00161A1A"/>
    <w:rsid w:val="0016474B"/>
    <w:rsid w:val="00165481"/>
    <w:rsid w:val="001711F6"/>
    <w:rsid w:val="00173CF4"/>
    <w:rsid w:val="00174B60"/>
    <w:rsid w:val="001770E1"/>
    <w:rsid w:val="00182DC4"/>
    <w:rsid w:val="001839C3"/>
    <w:rsid w:val="0018419F"/>
    <w:rsid w:val="00186FCA"/>
    <w:rsid w:val="00192ECF"/>
    <w:rsid w:val="001939D9"/>
    <w:rsid w:val="001A40F7"/>
    <w:rsid w:val="001B04D6"/>
    <w:rsid w:val="001B068C"/>
    <w:rsid w:val="001B19B0"/>
    <w:rsid w:val="001C05EB"/>
    <w:rsid w:val="001C2542"/>
    <w:rsid w:val="001C77C4"/>
    <w:rsid w:val="001D2E54"/>
    <w:rsid w:val="001D4FDA"/>
    <w:rsid w:val="001E0173"/>
    <w:rsid w:val="001E0A0A"/>
    <w:rsid w:val="001F0AF7"/>
    <w:rsid w:val="001F1A64"/>
    <w:rsid w:val="001F2897"/>
    <w:rsid w:val="001F2B58"/>
    <w:rsid w:val="001F389E"/>
    <w:rsid w:val="001F44DD"/>
    <w:rsid w:val="001F6FD5"/>
    <w:rsid w:val="0020293C"/>
    <w:rsid w:val="002058BD"/>
    <w:rsid w:val="00205A00"/>
    <w:rsid w:val="00206615"/>
    <w:rsid w:val="00207E1E"/>
    <w:rsid w:val="002218E3"/>
    <w:rsid w:val="002230A4"/>
    <w:rsid w:val="002263E6"/>
    <w:rsid w:val="00230CE3"/>
    <w:rsid w:val="00234D19"/>
    <w:rsid w:val="0024309C"/>
    <w:rsid w:val="00243BEF"/>
    <w:rsid w:val="00245A1D"/>
    <w:rsid w:val="00246567"/>
    <w:rsid w:val="00252EC1"/>
    <w:rsid w:val="00253182"/>
    <w:rsid w:val="00260EC3"/>
    <w:rsid w:val="00273231"/>
    <w:rsid w:val="00283510"/>
    <w:rsid w:val="00285BA1"/>
    <w:rsid w:val="0028682B"/>
    <w:rsid w:val="00287D2B"/>
    <w:rsid w:val="0029417B"/>
    <w:rsid w:val="002974A4"/>
    <w:rsid w:val="002A0A9E"/>
    <w:rsid w:val="002A19E2"/>
    <w:rsid w:val="002A5C3F"/>
    <w:rsid w:val="002A5F94"/>
    <w:rsid w:val="002B03BE"/>
    <w:rsid w:val="002B2104"/>
    <w:rsid w:val="002B45E1"/>
    <w:rsid w:val="002B60E0"/>
    <w:rsid w:val="002B7A20"/>
    <w:rsid w:val="002C1971"/>
    <w:rsid w:val="002C1FEB"/>
    <w:rsid w:val="002C3837"/>
    <w:rsid w:val="002D2A17"/>
    <w:rsid w:val="002E698D"/>
    <w:rsid w:val="002F0B4B"/>
    <w:rsid w:val="002F5979"/>
    <w:rsid w:val="00301D35"/>
    <w:rsid w:val="003039EF"/>
    <w:rsid w:val="003310A4"/>
    <w:rsid w:val="00332185"/>
    <w:rsid w:val="0033465E"/>
    <w:rsid w:val="003365B6"/>
    <w:rsid w:val="00340622"/>
    <w:rsid w:val="0034492E"/>
    <w:rsid w:val="003450E3"/>
    <w:rsid w:val="0034677B"/>
    <w:rsid w:val="0034682D"/>
    <w:rsid w:val="00347A34"/>
    <w:rsid w:val="003530BB"/>
    <w:rsid w:val="00353F9C"/>
    <w:rsid w:val="00354811"/>
    <w:rsid w:val="00362CC6"/>
    <w:rsid w:val="00363925"/>
    <w:rsid w:val="00363AC1"/>
    <w:rsid w:val="00377E29"/>
    <w:rsid w:val="0039103E"/>
    <w:rsid w:val="003928AC"/>
    <w:rsid w:val="00394974"/>
    <w:rsid w:val="00396B3F"/>
    <w:rsid w:val="00397E84"/>
    <w:rsid w:val="003B1D7C"/>
    <w:rsid w:val="003B7698"/>
    <w:rsid w:val="003D1550"/>
    <w:rsid w:val="003D2858"/>
    <w:rsid w:val="003D2A7A"/>
    <w:rsid w:val="003E5D83"/>
    <w:rsid w:val="003F0FB6"/>
    <w:rsid w:val="003F217E"/>
    <w:rsid w:val="003F7057"/>
    <w:rsid w:val="00402705"/>
    <w:rsid w:val="00402C14"/>
    <w:rsid w:val="00402C95"/>
    <w:rsid w:val="00404F2E"/>
    <w:rsid w:val="00405F78"/>
    <w:rsid w:val="00407B69"/>
    <w:rsid w:val="004119E1"/>
    <w:rsid w:val="00412808"/>
    <w:rsid w:val="004134D6"/>
    <w:rsid w:val="004153F7"/>
    <w:rsid w:val="00420FF5"/>
    <w:rsid w:val="00421190"/>
    <w:rsid w:val="00421BF6"/>
    <w:rsid w:val="00425EF4"/>
    <w:rsid w:val="00427E94"/>
    <w:rsid w:val="004324EB"/>
    <w:rsid w:val="00432712"/>
    <w:rsid w:val="00434882"/>
    <w:rsid w:val="00435F80"/>
    <w:rsid w:val="00445902"/>
    <w:rsid w:val="0045128E"/>
    <w:rsid w:val="00453D17"/>
    <w:rsid w:val="00453E10"/>
    <w:rsid w:val="0045702E"/>
    <w:rsid w:val="00460254"/>
    <w:rsid w:val="00463C88"/>
    <w:rsid w:val="004649D2"/>
    <w:rsid w:val="004721E9"/>
    <w:rsid w:val="0047618B"/>
    <w:rsid w:val="004823EC"/>
    <w:rsid w:val="004824B8"/>
    <w:rsid w:val="0049273B"/>
    <w:rsid w:val="00492A45"/>
    <w:rsid w:val="00492C9D"/>
    <w:rsid w:val="004A092F"/>
    <w:rsid w:val="004A293F"/>
    <w:rsid w:val="004B1157"/>
    <w:rsid w:val="004B1BA9"/>
    <w:rsid w:val="004B26FD"/>
    <w:rsid w:val="004B4CFB"/>
    <w:rsid w:val="004C15C7"/>
    <w:rsid w:val="004C3A01"/>
    <w:rsid w:val="004D3DC6"/>
    <w:rsid w:val="004E0544"/>
    <w:rsid w:val="004E118E"/>
    <w:rsid w:val="004E4083"/>
    <w:rsid w:val="004E5237"/>
    <w:rsid w:val="004F211B"/>
    <w:rsid w:val="004F3B41"/>
    <w:rsid w:val="00500EBC"/>
    <w:rsid w:val="005010AF"/>
    <w:rsid w:val="00511BAE"/>
    <w:rsid w:val="0051396C"/>
    <w:rsid w:val="00513C30"/>
    <w:rsid w:val="0051689E"/>
    <w:rsid w:val="00521054"/>
    <w:rsid w:val="00526FCD"/>
    <w:rsid w:val="00527B12"/>
    <w:rsid w:val="00527E57"/>
    <w:rsid w:val="00533B05"/>
    <w:rsid w:val="005406B8"/>
    <w:rsid w:val="005446E1"/>
    <w:rsid w:val="005461E9"/>
    <w:rsid w:val="00546BCE"/>
    <w:rsid w:val="00554AB8"/>
    <w:rsid w:val="00554B46"/>
    <w:rsid w:val="00555A59"/>
    <w:rsid w:val="00557714"/>
    <w:rsid w:val="0056294F"/>
    <w:rsid w:val="0056309E"/>
    <w:rsid w:val="005650DF"/>
    <w:rsid w:val="00566559"/>
    <w:rsid w:val="00571049"/>
    <w:rsid w:val="00576CE1"/>
    <w:rsid w:val="005862AF"/>
    <w:rsid w:val="00591220"/>
    <w:rsid w:val="00592433"/>
    <w:rsid w:val="005A0E34"/>
    <w:rsid w:val="005A4E08"/>
    <w:rsid w:val="005A6B5E"/>
    <w:rsid w:val="005A7146"/>
    <w:rsid w:val="005B013C"/>
    <w:rsid w:val="005B0AA8"/>
    <w:rsid w:val="005B22DB"/>
    <w:rsid w:val="005B4A62"/>
    <w:rsid w:val="005C4473"/>
    <w:rsid w:val="005C508C"/>
    <w:rsid w:val="005C5D8E"/>
    <w:rsid w:val="005D0182"/>
    <w:rsid w:val="005D1318"/>
    <w:rsid w:val="005D727F"/>
    <w:rsid w:val="005D7E5B"/>
    <w:rsid w:val="005E352A"/>
    <w:rsid w:val="005E6038"/>
    <w:rsid w:val="005E744A"/>
    <w:rsid w:val="005F0595"/>
    <w:rsid w:val="005F0991"/>
    <w:rsid w:val="005F1432"/>
    <w:rsid w:val="005F1EC7"/>
    <w:rsid w:val="005F2A65"/>
    <w:rsid w:val="00604071"/>
    <w:rsid w:val="00610479"/>
    <w:rsid w:val="00615307"/>
    <w:rsid w:val="0061718C"/>
    <w:rsid w:val="00622C45"/>
    <w:rsid w:val="00627F70"/>
    <w:rsid w:val="00630662"/>
    <w:rsid w:val="00644B48"/>
    <w:rsid w:val="00645CB9"/>
    <w:rsid w:val="00646BB3"/>
    <w:rsid w:val="00650CC8"/>
    <w:rsid w:val="006528E2"/>
    <w:rsid w:val="00663366"/>
    <w:rsid w:val="00663AAC"/>
    <w:rsid w:val="0067337F"/>
    <w:rsid w:val="00673B41"/>
    <w:rsid w:val="006802F4"/>
    <w:rsid w:val="00685DE6"/>
    <w:rsid w:val="00686456"/>
    <w:rsid w:val="006867A9"/>
    <w:rsid w:val="006A7CF1"/>
    <w:rsid w:val="006B0DB3"/>
    <w:rsid w:val="006B2729"/>
    <w:rsid w:val="006B2F93"/>
    <w:rsid w:val="006B3D07"/>
    <w:rsid w:val="006C0623"/>
    <w:rsid w:val="006C666C"/>
    <w:rsid w:val="006D2088"/>
    <w:rsid w:val="006D310A"/>
    <w:rsid w:val="006D73EE"/>
    <w:rsid w:val="006F460C"/>
    <w:rsid w:val="006F6258"/>
    <w:rsid w:val="006F7A8E"/>
    <w:rsid w:val="007009DA"/>
    <w:rsid w:val="007044A7"/>
    <w:rsid w:val="007075AA"/>
    <w:rsid w:val="00712C9C"/>
    <w:rsid w:val="00714776"/>
    <w:rsid w:val="0071534B"/>
    <w:rsid w:val="0072154D"/>
    <w:rsid w:val="00723D48"/>
    <w:rsid w:val="00743D83"/>
    <w:rsid w:val="00750D9E"/>
    <w:rsid w:val="00753BFD"/>
    <w:rsid w:val="00755867"/>
    <w:rsid w:val="00767704"/>
    <w:rsid w:val="0077082E"/>
    <w:rsid w:val="00770AE0"/>
    <w:rsid w:val="00771FB6"/>
    <w:rsid w:val="007721FC"/>
    <w:rsid w:val="00775002"/>
    <w:rsid w:val="00775825"/>
    <w:rsid w:val="0077682D"/>
    <w:rsid w:val="00780306"/>
    <w:rsid w:val="0078528C"/>
    <w:rsid w:val="00790BFE"/>
    <w:rsid w:val="00795C04"/>
    <w:rsid w:val="00796058"/>
    <w:rsid w:val="0079703C"/>
    <w:rsid w:val="007A0C1F"/>
    <w:rsid w:val="007A416A"/>
    <w:rsid w:val="007A6D0E"/>
    <w:rsid w:val="007B3ACD"/>
    <w:rsid w:val="007B3B44"/>
    <w:rsid w:val="007B3C2D"/>
    <w:rsid w:val="007D0B09"/>
    <w:rsid w:val="007D157F"/>
    <w:rsid w:val="007D63D4"/>
    <w:rsid w:val="007E007F"/>
    <w:rsid w:val="007E1938"/>
    <w:rsid w:val="007E426A"/>
    <w:rsid w:val="007E7BDC"/>
    <w:rsid w:val="007F577D"/>
    <w:rsid w:val="007F7C63"/>
    <w:rsid w:val="008012A1"/>
    <w:rsid w:val="0080488F"/>
    <w:rsid w:val="00817C5D"/>
    <w:rsid w:val="0082086D"/>
    <w:rsid w:val="008243B9"/>
    <w:rsid w:val="00830F29"/>
    <w:rsid w:val="00840B6C"/>
    <w:rsid w:val="00844DBD"/>
    <w:rsid w:val="008504E1"/>
    <w:rsid w:val="00850A28"/>
    <w:rsid w:val="0086716C"/>
    <w:rsid w:val="00870149"/>
    <w:rsid w:val="008737F4"/>
    <w:rsid w:val="008771C6"/>
    <w:rsid w:val="00877394"/>
    <w:rsid w:val="00883609"/>
    <w:rsid w:val="00883892"/>
    <w:rsid w:val="0089102B"/>
    <w:rsid w:val="0089194A"/>
    <w:rsid w:val="00894FBF"/>
    <w:rsid w:val="008A057A"/>
    <w:rsid w:val="008B5B32"/>
    <w:rsid w:val="008B5BB3"/>
    <w:rsid w:val="008B7538"/>
    <w:rsid w:val="008C0858"/>
    <w:rsid w:val="008C0ECB"/>
    <w:rsid w:val="008C307F"/>
    <w:rsid w:val="008C3B55"/>
    <w:rsid w:val="008E245A"/>
    <w:rsid w:val="008E6308"/>
    <w:rsid w:val="008F5406"/>
    <w:rsid w:val="009020C4"/>
    <w:rsid w:val="00902507"/>
    <w:rsid w:val="009025BC"/>
    <w:rsid w:val="00904180"/>
    <w:rsid w:val="0091687E"/>
    <w:rsid w:val="009247EA"/>
    <w:rsid w:val="00946D37"/>
    <w:rsid w:val="00955507"/>
    <w:rsid w:val="00956EE7"/>
    <w:rsid w:val="0096362C"/>
    <w:rsid w:val="00966951"/>
    <w:rsid w:val="00971C2D"/>
    <w:rsid w:val="00971D61"/>
    <w:rsid w:val="009736BA"/>
    <w:rsid w:val="00981C18"/>
    <w:rsid w:val="00986BFB"/>
    <w:rsid w:val="0099326E"/>
    <w:rsid w:val="00994050"/>
    <w:rsid w:val="009946FC"/>
    <w:rsid w:val="009965A3"/>
    <w:rsid w:val="009B01C3"/>
    <w:rsid w:val="009B0826"/>
    <w:rsid w:val="009B2892"/>
    <w:rsid w:val="009B4654"/>
    <w:rsid w:val="009B5EB2"/>
    <w:rsid w:val="009B6816"/>
    <w:rsid w:val="009C15E3"/>
    <w:rsid w:val="009C5924"/>
    <w:rsid w:val="009E01B4"/>
    <w:rsid w:val="009E4CFE"/>
    <w:rsid w:val="009E6D86"/>
    <w:rsid w:val="009F3701"/>
    <w:rsid w:val="00A014AB"/>
    <w:rsid w:val="00A02F25"/>
    <w:rsid w:val="00A05F50"/>
    <w:rsid w:val="00A11150"/>
    <w:rsid w:val="00A12725"/>
    <w:rsid w:val="00A168A3"/>
    <w:rsid w:val="00A1752C"/>
    <w:rsid w:val="00A20207"/>
    <w:rsid w:val="00A20F7E"/>
    <w:rsid w:val="00A22A5C"/>
    <w:rsid w:val="00A268BE"/>
    <w:rsid w:val="00A331E4"/>
    <w:rsid w:val="00A33A05"/>
    <w:rsid w:val="00A345C0"/>
    <w:rsid w:val="00A54271"/>
    <w:rsid w:val="00A61E08"/>
    <w:rsid w:val="00A620BE"/>
    <w:rsid w:val="00A626CF"/>
    <w:rsid w:val="00A750C1"/>
    <w:rsid w:val="00A76883"/>
    <w:rsid w:val="00A76F68"/>
    <w:rsid w:val="00A808E5"/>
    <w:rsid w:val="00A84F13"/>
    <w:rsid w:val="00A8511E"/>
    <w:rsid w:val="00A8785A"/>
    <w:rsid w:val="00A913FF"/>
    <w:rsid w:val="00A92C1F"/>
    <w:rsid w:val="00A9524B"/>
    <w:rsid w:val="00A96CBF"/>
    <w:rsid w:val="00AA216B"/>
    <w:rsid w:val="00AB4C5F"/>
    <w:rsid w:val="00AB5A69"/>
    <w:rsid w:val="00AC37E3"/>
    <w:rsid w:val="00AC6C84"/>
    <w:rsid w:val="00AC6D74"/>
    <w:rsid w:val="00AC7B27"/>
    <w:rsid w:val="00AD2798"/>
    <w:rsid w:val="00AD598A"/>
    <w:rsid w:val="00AD6B77"/>
    <w:rsid w:val="00AE1405"/>
    <w:rsid w:val="00AE5507"/>
    <w:rsid w:val="00AF71C8"/>
    <w:rsid w:val="00AF7B06"/>
    <w:rsid w:val="00B012BB"/>
    <w:rsid w:val="00B0208B"/>
    <w:rsid w:val="00B037E3"/>
    <w:rsid w:val="00B13ED7"/>
    <w:rsid w:val="00B24033"/>
    <w:rsid w:val="00B24617"/>
    <w:rsid w:val="00B329D3"/>
    <w:rsid w:val="00B33BC8"/>
    <w:rsid w:val="00B36655"/>
    <w:rsid w:val="00B37520"/>
    <w:rsid w:val="00B42A0B"/>
    <w:rsid w:val="00B44CB3"/>
    <w:rsid w:val="00B457C4"/>
    <w:rsid w:val="00B47BF4"/>
    <w:rsid w:val="00B47D42"/>
    <w:rsid w:val="00B512E9"/>
    <w:rsid w:val="00B51A1B"/>
    <w:rsid w:val="00B57623"/>
    <w:rsid w:val="00B60DE7"/>
    <w:rsid w:val="00B62DB0"/>
    <w:rsid w:val="00B62DC2"/>
    <w:rsid w:val="00B710D7"/>
    <w:rsid w:val="00B72E51"/>
    <w:rsid w:val="00B8627B"/>
    <w:rsid w:val="00B86F3A"/>
    <w:rsid w:val="00B92624"/>
    <w:rsid w:val="00B948A6"/>
    <w:rsid w:val="00B97337"/>
    <w:rsid w:val="00BA249F"/>
    <w:rsid w:val="00BA292F"/>
    <w:rsid w:val="00BA4ABE"/>
    <w:rsid w:val="00BA5BEB"/>
    <w:rsid w:val="00BB56A5"/>
    <w:rsid w:val="00BB5ADE"/>
    <w:rsid w:val="00BB5B12"/>
    <w:rsid w:val="00BB7E35"/>
    <w:rsid w:val="00BC76A0"/>
    <w:rsid w:val="00BD563F"/>
    <w:rsid w:val="00BE763F"/>
    <w:rsid w:val="00BF09AF"/>
    <w:rsid w:val="00BF0DA6"/>
    <w:rsid w:val="00BF6534"/>
    <w:rsid w:val="00BF727A"/>
    <w:rsid w:val="00C00892"/>
    <w:rsid w:val="00C03124"/>
    <w:rsid w:val="00C10B9B"/>
    <w:rsid w:val="00C125F5"/>
    <w:rsid w:val="00C2633C"/>
    <w:rsid w:val="00C2702D"/>
    <w:rsid w:val="00C349C3"/>
    <w:rsid w:val="00C35029"/>
    <w:rsid w:val="00C41AD7"/>
    <w:rsid w:val="00C443D2"/>
    <w:rsid w:val="00C504EC"/>
    <w:rsid w:val="00C50C2F"/>
    <w:rsid w:val="00C62149"/>
    <w:rsid w:val="00C62977"/>
    <w:rsid w:val="00C638ED"/>
    <w:rsid w:val="00C71DB2"/>
    <w:rsid w:val="00C7361D"/>
    <w:rsid w:val="00C77EDB"/>
    <w:rsid w:val="00C801F0"/>
    <w:rsid w:val="00C8476C"/>
    <w:rsid w:val="00C862AD"/>
    <w:rsid w:val="00C9139F"/>
    <w:rsid w:val="00C92233"/>
    <w:rsid w:val="00C94782"/>
    <w:rsid w:val="00C96A8A"/>
    <w:rsid w:val="00CA077D"/>
    <w:rsid w:val="00CA1AB0"/>
    <w:rsid w:val="00CA35D3"/>
    <w:rsid w:val="00CA3A27"/>
    <w:rsid w:val="00CB1744"/>
    <w:rsid w:val="00CB3A0D"/>
    <w:rsid w:val="00CB7AE0"/>
    <w:rsid w:val="00CC0467"/>
    <w:rsid w:val="00CC0E2B"/>
    <w:rsid w:val="00CC4D54"/>
    <w:rsid w:val="00CC5F4B"/>
    <w:rsid w:val="00CC76F3"/>
    <w:rsid w:val="00CD4918"/>
    <w:rsid w:val="00CD7888"/>
    <w:rsid w:val="00CD7BAB"/>
    <w:rsid w:val="00CE04EF"/>
    <w:rsid w:val="00CF2E1A"/>
    <w:rsid w:val="00CF6502"/>
    <w:rsid w:val="00D008A7"/>
    <w:rsid w:val="00D05345"/>
    <w:rsid w:val="00D05AE5"/>
    <w:rsid w:val="00D06957"/>
    <w:rsid w:val="00D07F8E"/>
    <w:rsid w:val="00D10B79"/>
    <w:rsid w:val="00D1754A"/>
    <w:rsid w:val="00D26F6F"/>
    <w:rsid w:val="00D30506"/>
    <w:rsid w:val="00D30A39"/>
    <w:rsid w:val="00D36F27"/>
    <w:rsid w:val="00D44514"/>
    <w:rsid w:val="00D45F56"/>
    <w:rsid w:val="00D47C8C"/>
    <w:rsid w:val="00D500A4"/>
    <w:rsid w:val="00D532EB"/>
    <w:rsid w:val="00D575CB"/>
    <w:rsid w:val="00D657D8"/>
    <w:rsid w:val="00D66F96"/>
    <w:rsid w:val="00D72468"/>
    <w:rsid w:val="00D729F6"/>
    <w:rsid w:val="00D72F05"/>
    <w:rsid w:val="00D75C2F"/>
    <w:rsid w:val="00D765D3"/>
    <w:rsid w:val="00D7787F"/>
    <w:rsid w:val="00D82D2A"/>
    <w:rsid w:val="00D83EF1"/>
    <w:rsid w:val="00D90B35"/>
    <w:rsid w:val="00D92013"/>
    <w:rsid w:val="00D92F89"/>
    <w:rsid w:val="00D94D3F"/>
    <w:rsid w:val="00D955FB"/>
    <w:rsid w:val="00DA46F2"/>
    <w:rsid w:val="00DA7092"/>
    <w:rsid w:val="00DB11DD"/>
    <w:rsid w:val="00DB6B93"/>
    <w:rsid w:val="00DC2451"/>
    <w:rsid w:val="00DC2520"/>
    <w:rsid w:val="00DC5323"/>
    <w:rsid w:val="00DD56F3"/>
    <w:rsid w:val="00DD5B1D"/>
    <w:rsid w:val="00DD739E"/>
    <w:rsid w:val="00DE4240"/>
    <w:rsid w:val="00DE50E4"/>
    <w:rsid w:val="00DE72B4"/>
    <w:rsid w:val="00DE7C1C"/>
    <w:rsid w:val="00DF1B7C"/>
    <w:rsid w:val="00DF2460"/>
    <w:rsid w:val="00DF6482"/>
    <w:rsid w:val="00DF7C63"/>
    <w:rsid w:val="00E05484"/>
    <w:rsid w:val="00E06AFF"/>
    <w:rsid w:val="00E06EC0"/>
    <w:rsid w:val="00E11AF3"/>
    <w:rsid w:val="00E15D40"/>
    <w:rsid w:val="00E16F5D"/>
    <w:rsid w:val="00E17EC4"/>
    <w:rsid w:val="00E27C67"/>
    <w:rsid w:val="00E3265F"/>
    <w:rsid w:val="00E32E01"/>
    <w:rsid w:val="00E33E8E"/>
    <w:rsid w:val="00E430C5"/>
    <w:rsid w:val="00E44E9A"/>
    <w:rsid w:val="00E4758D"/>
    <w:rsid w:val="00E501F2"/>
    <w:rsid w:val="00E512B8"/>
    <w:rsid w:val="00E56A2D"/>
    <w:rsid w:val="00E64B4E"/>
    <w:rsid w:val="00E7114B"/>
    <w:rsid w:val="00E72B7B"/>
    <w:rsid w:val="00E73BC5"/>
    <w:rsid w:val="00E73D50"/>
    <w:rsid w:val="00E75AD5"/>
    <w:rsid w:val="00E776F0"/>
    <w:rsid w:val="00E821D6"/>
    <w:rsid w:val="00E854AC"/>
    <w:rsid w:val="00E86946"/>
    <w:rsid w:val="00E8774D"/>
    <w:rsid w:val="00E87902"/>
    <w:rsid w:val="00E9184D"/>
    <w:rsid w:val="00E96556"/>
    <w:rsid w:val="00E9717C"/>
    <w:rsid w:val="00EA009F"/>
    <w:rsid w:val="00EA30D2"/>
    <w:rsid w:val="00EA3123"/>
    <w:rsid w:val="00EB35D8"/>
    <w:rsid w:val="00EB510D"/>
    <w:rsid w:val="00EB547F"/>
    <w:rsid w:val="00EC6DF8"/>
    <w:rsid w:val="00EC76E3"/>
    <w:rsid w:val="00ED17E5"/>
    <w:rsid w:val="00ED6823"/>
    <w:rsid w:val="00EE01F5"/>
    <w:rsid w:val="00EE3BBF"/>
    <w:rsid w:val="00EE6E4A"/>
    <w:rsid w:val="00EF2CD1"/>
    <w:rsid w:val="00EF3F01"/>
    <w:rsid w:val="00F00B8D"/>
    <w:rsid w:val="00F01238"/>
    <w:rsid w:val="00F02075"/>
    <w:rsid w:val="00F0571D"/>
    <w:rsid w:val="00F0649B"/>
    <w:rsid w:val="00F06FC5"/>
    <w:rsid w:val="00F21C24"/>
    <w:rsid w:val="00F2273D"/>
    <w:rsid w:val="00F3056A"/>
    <w:rsid w:val="00F32270"/>
    <w:rsid w:val="00F4015C"/>
    <w:rsid w:val="00F41BE5"/>
    <w:rsid w:val="00F42FDD"/>
    <w:rsid w:val="00F43CFC"/>
    <w:rsid w:val="00F469CD"/>
    <w:rsid w:val="00F523A3"/>
    <w:rsid w:val="00F54CA5"/>
    <w:rsid w:val="00F61273"/>
    <w:rsid w:val="00F6386E"/>
    <w:rsid w:val="00F63D26"/>
    <w:rsid w:val="00F70FD1"/>
    <w:rsid w:val="00F7204D"/>
    <w:rsid w:val="00F800C8"/>
    <w:rsid w:val="00F839D0"/>
    <w:rsid w:val="00F8429B"/>
    <w:rsid w:val="00F87A2E"/>
    <w:rsid w:val="00F901C9"/>
    <w:rsid w:val="00F97CCF"/>
    <w:rsid w:val="00FA2C72"/>
    <w:rsid w:val="00FA6155"/>
    <w:rsid w:val="00FB481F"/>
    <w:rsid w:val="00FB50C5"/>
    <w:rsid w:val="00FC43B6"/>
    <w:rsid w:val="00FC4FBE"/>
    <w:rsid w:val="00FD3947"/>
    <w:rsid w:val="00FD48FF"/>
    <w:rsid w:val="00FD501A"/>
    <w:rsid w:val="00FE0730"/>
    <w:rsid w:val="00FF1B5F"/>
    <w:rsid w:val="02A32EAF"/>
    <w:rsid w:val="04B99137"/>
    <w:rsid w:val="054F6BA9"/>
    <w:rsid w:val="05C34A45"/>
    <w:rsid w:val="0695228A"/>
    <w:rsid w:val="0768531D"/>
    <w:rsid w:val="07EF7216"/>
    <w:rsid w:val="08FE5D12"/>
    <w:rsid w:val="0A81022A"/>
    <w:rsid w:val="0AD2850E"/>
    <w:rsid w:val="0E544C2B"/>
    <w:rsid w:val="1016B65E"/>
    <w:rsid w:val="12204D05"/>
    <w:rsid w:val="12B77421"/>
    <w:rsid w:val="1417D2B1"/>
    <w:rsid w:val="168BE65C"/>
    <w:rsid w:val="172F82B1"/>
    <w:rsid w:val="1889D1D1"/>
    <w:rsid w:val="1BFDD5E6"/>
    <w:rsid w:val="1CDEC21F"/>
    <w:rsid w:val="1E95A530"/>
    <w:rsid w:val="1EA9440A"/>
    <w:rsid w:val="1EFEF2DF"/>
    <w:rsid w:val="23CBC57B"/>
    <w:rsid w:val="26596DCC"/>
    <w:rsid w:val="2B94F025"/>
    <w:rsid w:val="2BFF28CC"/>
    <w:rsid w:val="2D0069E3"/>
    <w:rsid w:val="2DB9287E"/>
    <w:rsid w:val="2E73D4E3"/>
    <w:rsid w:val="32DB6CA6"/>
    <w:rsid w:val="35773279"/>
    <w:rsid w:val="370DC126"/>
    <w:rsid w:val="38E22D7C"/>
    <w:rsid w:val="39D82A57"/>
    <w:rsid w:val="3A1E5186"/>
    <w:rsid w:val="3C8D29F6"/>
    <w:rsid w:val="403CA9D2"/>
    <w:rsid w:val="40932697"/>
    <w:rsid w:val="41CF9BA3"/>
    <w:rsid w:val="433A6E45"/>
    <w:rsid w:val="489DB677"/>
    <w:rsid w:val="4A601306"/>
    <w:rsid w:val="56857955"/>
    <w:rsid w:val="56CB3623"/>
    <w:rsid w:val="5A3B3809"/>
    <w:rsid w:val="62399B64"/>
    <w:rsid w:val="62559707"/>
    <w:rsid w:val="684371BC"/>
    <w:rsid w:val="6A430FAF"/>
    <w:rsid w:val="6BC0CB8D"/>
    <w:rsid w:val="70DFF211"/>
    <w:rsid w:val="718E5BB1"/>
    <w:rsid w:val="7200CBB9"/>
    <w:rsid w:val="73D092EC"/>
    <w:rsid w:val="7461D071"/>
    <w:rsid w:val="759EC2BE"/>
    <w:rsid w:val="7611CA94"/>
    <w:rsid w:val="775FFCFE"/>
    <w:rsid w:val="79C7DBEC"/>
    <w:rsid w:val="7C41A6EE"/>
    <w:rsid w:val="7E32A284"/>
    <w:rsid w:val="7FDA20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4D7A26"/>
  <w15:chartTrackingRefBased/>
  <w15:docId w15:val="{F2703405-3CEB-4CC8-B1AD-2642B03D39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965A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965A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965A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965A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965A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965A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965A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965A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965A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965A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965A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965A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965A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965A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965A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965A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965A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965A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965A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65A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965A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965A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965A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965A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965A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965A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965A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965A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965A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008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008A7"/>
  </w:style>
  <w:style w:type="paragraph" w:styleId="Footer">
    <w:name w:val="footer"/>
    <w:basedOn w:val="Normal"/>
    <w:link w:val="FooterChar"/>
    <w:uiPriority w:val="99"/>
    <w:unhideWhenUsed/>
    <w:rsid w:val="00D008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008A7"/>
  </w:style>
  <w:style w:type="character" w:styleId="PlaceholderText">
    <w:name w:val="Placeholder Text"/>
    <w:basedOn w:val="DefaultParagraphFont"/>
    <w:uiPriority w:val="99"/>
    <w:semiHidden/>
    <w:rsid w:val="0003221D"/>
    <w:rPr>
      <w:color w:val="666666"/>
    </w:rPr>
  </w:style>
  <w:style w:type="character" w:styleId="Hyperlink">
    <w:name w:val="Hyperlink"/>
    <w:basedOn w:val="DefaultParagraphFont"/>
    <w:uiPriority w:val="99"/>
    <w:unhideWhenUsed/>
    <w:rsid w:val="00234D1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34D19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79605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ommentText">
    <w:name w:val="annotation text"/>
    <w:basedOn w:val="Normal"/>
    <w:link w:val="CommentTextChar"/>
    <w:uiPriority w:val="99"/>
    <w:semiHidden/>
    <w:unhideWhenUsed/>
    <w:rsid w:val="00B33BC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33BC8"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sid w:val="00B33BC8"/>
    <w:rPr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5957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46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243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738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731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613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457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363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96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864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139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057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094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448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224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641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848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946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053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362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290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877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518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618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270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36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308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676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154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26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672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680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279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167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134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122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816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339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871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102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724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199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265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900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745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227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662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678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608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843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442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524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682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190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674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38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F43EC9AD-F229-4046-AB89-294B7590CD76}">
  <we:reference id="8c1c3d44-57e9-40d7-86e4-4adf61fea1dd" version="2.1.0.1" store="EXCatalog" storeType="EXCatalog"/>
  <we:alternateReferences>
    <we:reference id="WA104380122" version="2.1.0.1" store="en-GB" storeType="OMEX"/>
  </we:alternateReferences>
  <we:properties>
    <we:property name="citations" value="{&quot;1302185934&quot;:{&quot;referencesIds&quot;:[&quot;doc:671b956f34126d3d9a5275c5&quot;],&quot;referencesOptions&quot;:{&quot;doc:671b956f34126d3d9a5275c5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302185934,&quot;citationText&quot;:&quot;&lt;span style=\&quot;font-family:Aptos;font-size:16px;color:#000000\&quot;&gt;(Maciejewski&lt;i&gt; et al.,&lt;/i&gt; 2016)&lt;/span&gt;&quot;}}"/>
    <we:property name="currentFolder" value="{&quot;depth&quot;:0,&quot;id&quot;:&quot;LastImported&quot;,&quot;name&quot;:&quot;Last imported&quot;,&quot;parentId&quot;:null,&quot;position&quot;:-1,&quot;isShared&quot;:false}"/>
    <we:property name="currentStyle" value="{&quot;id&quot;:&quot;4389&quot;,&quot;styleType&quot;:&quot;refworks&quot;,&quot;name&quot;:&quot;Cite Them Right, 11th edition - Harvard&quot;,&quot;isInstitutional&quot;:false,&quot;citeStyle&quot;:&quot;INTEXT_AND_FOOTNOTE&quot;,&quot;isSorted&quot;:false,&quot;usesNumbers&quot;:false,&quot;authorDisambiguation&quot;:&quot;surname_firstname&quot;}"/>
    <we:property name="filterOptions" value="{&quot;fromIndex&quot;:0,&quot;pageSize&quot;:25,&quot;sortOrder&quot;:&quot;date-added&quot;,&quot;sortType&quot;:&quot;desc&quot;,&quot;searchBy&quot;:&quot;&quot;,&quot;folder&quot;:&quot;&quot;}"/>
    <we:property name="rcm.version" value="2"/>
    <we:property name="rw.officeVersion" value="&quot;1.3&quot;"/>
  </we:properties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6481</TotalTime>
  <Pages>9</Pages>
  <Words>2849</Words>
  <Characters>16724</Characters>
  <Application>Microsoft Office Word</Application>
  <DocSecurity>0</DocSecurity>
  <Lines>321</Lines>
  <Paragraphs>99</Paragraphs>
  <ScaleCrop>false</ScaleCrop>
  <Company/>
  <LinksUpToDate>false</LinksUpToDate>
  <CharactersWithSpaces>19474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 Kiefer (2215879)</dc:creator>
  <cp:keywords/>
  <dc:description/>
  <cp:lastModifiedBy>Steph Kiefer (2215879)</cp:lastModifiedBy>
  <cp:revision>646</cp:revision>
  <cp:lastPrinted>2024-10-25T13:41:00Z</cp:lastPrinted>
  <dcterms:created xsi:type="dcterms:W3CDTF">2024-10-05T10:36:00Z</dcterms:created>
  <dcterms:modified xsi:type="dcterms:W3CDTF">2024-10-25T13:56:00Z</dcterms:modified>
</cp:coreProperties>
</file>