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22FB1" w14:textId="77777777" w:rsidR="00BF5BC4" w:rsidRDefault="00BF5BC4" w:rsidP="00BF5BC4">
      <w:pPr>
        <w:spacing w:after="200" w:line="240" w:lineRule="auto"/>
        <w:jc w:val="center"/>
        <w:rPr>
          <w:b/>
          <w:bCs/>
          <w:sz w:val="32"/>
          <w:szCs w:val="28"/>
        </w:rPr>
      </w:pPr>
    </w:p>
    <w:p w14:paraId="5933665B" w14:textId="77777777" w:rsidR="00BF5BC4" w:rsidRDefault="00BF5BC4" w:rsidP="00BF5BC4">
      <w:pPr>
        <w:spacing w:after="200" w:line="240" w:lineRule="auto"/>
        <w:jc w:val="center"/>
        <w:rPr>
          <w:b/>
          <w:bCs/>
          <w:sz w:val="32"/>
          <w:szCs w:val="28"/>
        </w:rPr>
      </w:pPr>
    </w:p>
    <w:p w14:paraId="7C013BA2" w14:textId="77777777" w:rsidR="00BF5BC4" w:rsidRDefault="00BF5BC4" w:rsidP="00BF5BC4">
      <w:pPr>
        <w:spacing w:after="200" w:line="240" w:lineRule="auto"/>
        <w:jc w:val="center"/>
        <w:rPr>
          <w:b/>
          <w:bCs/>
          <w:sz w:val="32"/>
          <w:szCs w:val="28"/>
        </w:rPr>
      </w:pPr>
    </w:p>
    <w:p w14:paraId="478AECC9" w14:textId="77777777" w:rsidR="00BF5BC4" w:rsidRDefault="00BF5BC4" w:rsidP="00BF5BC4">
      <w:pPr>
        <w:spacing w:after="200" w:line="240" w:lineRule="auto"/>
        <w:jc w:val="center"/>
        <w:rPr>
          <w:b/>
          <w:bCs/>
          <w:sz w:val="32"/>
          <w:szCs w:val="28"/>
        </w:rPr>
      </w:pPr>
    </w:p>
    <w:p w14:paraId="7028011E" w14:textId="5659A139" w:rsidR="00BF5BC4" w:rsidRPr="00BF5BC4" w:rsidRDefault="00724B0A" w:rsidP="00BF5BC4">
      <w:pPr>
        <w:spacing w:after="200" w:line="240" w:lineRule="auto"/>
        <w:jc w:val="center"/>
        <w:rPr>
          <w:b/>
          <w:bCs/>
          <w:sz w:val="36"/>
          <w:szCs w:val="36"/>
        </w:rPr>
      </w:pPr>
      <w:r w:rsidRPr="00BF5BC4">
        <w:rPr>
          <w:b/>
          <w:bCs/>
          <w:sz w:val="36"/>
          <w:szCs w:val="36"/>
        </w:rPr>
        <w:t>Business Report -</w:t>
      </w:r>
      <w:r w:rsidR="00BF5BC4" w:rsidRPr="00BF5BC4">
        <w:rPr>
          <w:b/>
          <w:bCs/>
          <w:sz w:val="36"/>
          <w:szCs w:val="36"/>
        </w:rPr>
        <w:t xml:space="preserve"> </w:t>
      </w:r>
      <w:r w:rsidR="00BF5BC4" w:rsidRPr="00BF5BC4">
        <w:rPr>
          <w:b/>
          <w:bCs/>
          <w:sz w:val="36"/>
          <w:szCs w:val="36"/>
        </w:rPr>
        <w:t>Comparison of Mandarin Oriental Hotel Group and Premier Inn.</w:t>
      </w:r>
    </w:p>
    <w:p w14:paraId="43479206" w14:textId="77777777" w:rsidR="00724B0A" w:rsidRPr="00BF5BC4" w:rsidRDefault="00724B0A" w:rsidP="00BF5BC4">
      <w:pPr>
        <w:spacing w:after="200" w:line="240" w:lineRule="auto"/>
        <w:rPr>
          <w:b/>
          <w:bCs/>
          <w:sz w:val="36"/>
          <w:szCs w:val="36"/>
        </w:rPr>
      </w:pPr>
    </w:p>
    <w:p w14:paraId="2BB9C034" w14:textId="77777777" w:rsidR="00724B0A" w:rsidRPr="00BF5BC4" w:rsidRDefault="00724B0A">
      <w:pPr>
        <w:spacing w:after="200" w:line="240" w:lineRule="auto"/>
        <w:jc w:val="center"/>
        <w:rPr>
          <w:b/>
          <w:bCs/>
          <w:sz w:val="36"/>
          <w:szCs w:val="36"/>
        </w:rPr>
      </w:pPr>
    </w:p>
    <w:p w14:paraId="100F646F" w14:textId="5BA52566" w:rsidR="00724B0A" w:rsidRPr="00BF5BC4" w:rsidRDefault="00724B0A">
      <w:pPr>
        <w:spacing w:after="200" w:line="240" w:lineRule="auto"/>
        <w:jc w:val="center"/>
        <w:rPr>
          <w:b/>
          <w:bCs/>
          <w:sz w:val="36"/>
          <w:szCs w:val="36"/>
        </w:rPr>
      </w:pPr>
      <w:r w:rsidRPr="00BF5BC4">
        <w:rPr>
          <w:b/>
          <w:bCs/>
          <w:sz w:val="36"/>
          <w:szCs w:val="36"/>
        </w:rPr>
        <w:t>Student Name:</w:t>
      </w:r>
      <w:r w:rsidR="00BF5BC4">
        <w:rPr>
          <w:b/>
          <w:bCs/>
          <w:sz w:val="36"/>
          <w:szCs w:val="36"/>
        </w:rPr>
        <w:t xml:space="preserve"> Roxana Mihaela Roman</w:t>
      </w:r>
    </w:p>
    <w:p w14:paraId="7CDAA528" w14:textId="77777777" w:rsidR="00BF5BC4" w:rsidRDefault="00724B0A">
      <w:pPr>
        <w:spacing w:after="200" w:line="240" w:lineRule="auto"/>
        <w:jc w:val="center"/>
        <w:rPr>
          <w:b/>
          <w:bCs/>
          <w:sz w:val="36"/>
          <w:szCs w:val="36"/>
        </w:rPr>
      </w:pPr>
      <w:r w:rsidRPr="00BF5BC4">
        <w:rPr>
          <w:b/>
          <w:bCs/>
          <w:sz w:val="36"/>
          <w:szCs w:val="36"/>
        </w:rPr>
        <w:t>Student’s ID:</w:t>
      </w:r>
      <w:r w:rsidR="00BF5BC4">
        <w:rPr>
          <w:b/>
          <w:bCs/>
          <w:sz w:val="36"/>
          <w:szCs w:val="36"/>
        </w:rPr>
        <w:t xml:space="preserve"> 2129008</w:t>
      </w:r>
    </w:p>
    <w:p w14:paraId="08DB996C" w14:textId="77777777" w:rsidR="00BF5BC4" w:rsidRDefault="00BF5BC4">
      <w:pPr>
        <w:spacing w:after="200" w:line="240" w:lineRule="auto"/>
        <w:jc w:val="center"/>
        <w:rPr>
          <w:b/>
          <w:bCs/>
          <w:sz w:val="36"/>
          <w:szCs w:val="36"/>
        </w:rPr>
      </w:pPr>
      <w:r>
        <w:rPr>
          <w:b/>
          <w:bCs/>
          <w:sz w:val="36"/>
          <w:szCs w:val="36"/>
        </w:rPr>
        <w:t>Word count: 2188</w:t>
      </w:r>
    </w:p>
    <w:p w14:paraId="398CAC20" w14:textId="03A7BB6E" w:rsidR="00724B0A" w:rsidRPr="00BF5BC4" w:rsidRDefault="00BF5BC4">
      <w:pPr>
        <w:spacing w:after="200" w:line="240" w:lineRule="auto"/>
        <w:jc w:val="center"/>
        <w:rPr>
          <w:b/>
          <w:bCs/>
          <w:sz w:val="36"/>
          <w:szCs w:val="36"/>
        </w:rPr>
      </w:pPr>
      <w:r>
        <w:rPr>
          <w:b/>
          <w:bCs/>
          <w:sz w:val="36"/>
          <w:szCs w:val="36"/>
        </w:rPr>
        <w:t xml:space="preserve">Lecturer: </w:t>
      </w:r>
      <w:hyperlink r:id="rId8" w:history="1">
        <w:r w:rsidRPr="00BF5BC4">
          <w:rPr>
            <w:b/>
            <w:bCs/>
            <w:sz w:val="36"/>
            <w:szCs w:val="36"/>
          </w:rPr>
          <w:t>Jaliya De Silva</w:t>
        </w:r>
      </w:hyperlink>
      <w:r w:rsidR="00724B0A" w:rsidRPr="00BF5BC4">
        <w:rPr>
          <w:b/>
          <w:bCs/>
          <w:sz w:val="36"/>
          <w:szCs w:val="36"/>
        </w:rPr>
        <w:br w:type="page"/>
      </w:r>
    </w:p>
    <w:sdt>
      <w:sdtPr>
        <w:rPr>
          <w:rFonts w:ascii="Times New Roman" w:eastAsiaTheme="minorHAnsi" w:hAnsi="Times New Roman" w:cstheme="minorBidi"/>
          <w:color w:val="auto"/>
          <w:sz w:val="24"/>
          <w:szCs w:val="22"/>
          <w:lang w:val="en-GB"/>
        </w:rPr>
        <w:id w:val="218486469"/>
        <w:docPartObj>
          <w:docPartGallery w:val="Table of Contents"/>
          <w:docPartUnique/>
        </w:docPartObj>
      </w:sdtPr>
      <w:sdtEndPr>
        <w:rPr>
          <w:b/>
          <w:bCs/>
          <w:noProof/>
        </w:rPr>
      </w:sdtEndPr>
      <w:sdtContent>
        <w:p w14:paraId="64B40B22" w14:textId="77777777" w:rsidR="008144F5" w:rsidRPr="008144F5" w:rsidRDefault="008144F5">
          <w:pPr>
            <w:pStyle w:val="TOCHeading"/>
            <w:rPr>
              <w:rFonts w:ascii="Times New Roman" w:hAnsi="Times New Roman" w:cs="Times New Roman"/>
              <w:b/>
              <w:bCs/>
            </w:rPr>
          </w:pPr>
          <w:r w:rsidRPr="008144F5">
            <w:rPr>
              <w:rFonts w:ascii="Times New Roman" w:hAnsi="Times New Roman" w:cs="Times New Roman"/>
              <w:b/>
              <w:bCs/>
            </w:rPr>
            <w:t>Table of Contents</w:t>
          </w:r>
        </w:p>
        <w:p w14:paraId="286954F1" w14:textId="6C17E24B" w:rsidR="0039651D" w:rsidRDefault="008144F5">
          <w:pPr>
            <w:pStyle w:val="TOC1"/>
            <w:tabs>
              <w:tab w:val="right" w:leader="dot" w:pos="9350"/>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47277287" w:history="1">
            <w:r w:rsidR="0039651D" w:rsidRPr="00D0146A">
              <w:rPr>
                <w:rStyle w:val="Hyperlink"/>
                <w:noProof/>
              </w:rPr>
              <w:t>Introduction</w:t>
            </w:r>
            <w:r w:rsidR="0039651D">
              <w:rPr>
                <w:noProof/>
                <w:webHidden/>
              </w:rPr>
              <w:tab/>
            </w:r>
            <w:r w:rsidR="0039651D">
              <w:rPr>
                <w:noProof/>
                <w:webHidden/>
              </w:rPr>
              <w:fldChar w:fldCharType="begin"/>
            </w:r>
            <w:r w:rsidR="0039651D">
              <w:rPr>
                <w:noProof/>
                <w:webHidden/>
              </w:rPr>
              <w:instrText xml:space="preserve"> PAGEREF _Toc147277287 \h </w:instrText>
            </w:r>
            <w:r w:rsidR="0039651D">
              <w:rPr>
                <w:noProof/>
                <w:webHidden/>
              </w:rPr>
            </w:r>
            <w:r w:rsidR="0039651D">
              <w:rPr>
                <w:noProof/>
                <w:webHidden/>
              </w:rPr>
              <w:fldChar w:fldCharType="separate"/>
            </w:r>
            <w:r w:rsidR="0039651D">
              <w:rPr>
                <w:noProof/>
                <w:webHidden/>
              </w:rPr>
              <w:t>3</w:t>
            </w:r>
            <w:r w:rsidR="0039651D">
              <w:rPr>
                <w:noProof/>
                <w:webHidden/>
              </w:rPr>
              <w:fldChar w:fldCharType="end"/>
            </w:r>
          </w:hyperlink>
        </w:p>
        <w:p w14:paraId="6BEC6655" w14:textId="01597F8A" w:rsidR="0039651D"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47277288" w:history="1">
            <w:r w:rsidR="0039651D" w:rsidRPr="00D0146A">
              <w:rPr>
                <w:rStyle w:val="Hyperlink"/>
                <w:noProof/>
              </w:rPr>
              <w:t>Comparison of Total Revenue, Sources, Trends, and Key Drivers</w:t>
            </w:r>
            <w:r w:rsidR="0039651D">
              <w:rPr>
                <w:noProof/>
                <w:webHidden/>
              </w:rPr>
              <w:tab/>
            </w:r>
            <w:r w:rsidR="0039651D">
              <w:rPr>
                <w:noProof/>
                <w:webHidden/>
              </w:rPr>
              <w:fldChar w:fldCharType="begin"/>
            </w:r>
            <w:r w:rsidR="0039651D">
              <w:rPr>
                <w:noProof/>
                <w:webHidden/>
              </w:rPr>
              <w:instrText xml:space="preserve"> PAGEREF _Toc147277288 \h </w:instrText>
            </w:r>
            <w:r w:rsidR="0039651D">
              <w:rPr>
                <w:noProof/>
                <w:webHidden/>
              </w:rPr>
            </w:r>
            <w:r w:rsidR="0039651D">
              <w:rPr>
                <w:noProof/>
                <w:webHidden/>
              </w:rPr>
              <w:fldChar w:fldCharType="separate"/>
            </w:r>
            <w:r w:rsidR="0039651D">
              <w:rPr>
                <w:noProof/>
                <w:webHidden/>
              </w:rPr>
              <w:t>4</w:t>
            </w:r>
            <w:r w:rsidR="0039651D">
              <w:rPr>
                <w:noProof/>
                <w:webHidden/>
              </w:rPr>
              <w:fldChar w:fldCharType="end"/>
            </w:r>
          </w:hyperlink>
        </w:p>
        <w:p w14:paraId="671EC157" w14:textId="65FC29CE" w:rsidR="0039651D"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47277289" w:history="1">
            <w:r w:rsidR="0039651D" w:rsidRPr="00D0146A">
              <w:rPr>
                <w:rStyle w:val="Hyperlink"/>
                <w:noProof/>
              </w:rPr>
              <w:t>Market Position: A Comparative Analysis</w:t>
            </w:r>
            <w:r w:rsidR="0039651D">
              <w:rPr>
                <w:noProof/>
                <w:webHidden/>
              </w:rPr>
              <w:tab/>
            </w:r>
            <w:r w:rsidR="0039651D">
              <w:rPr>
                <w:noProof/>
                <w:webHidden/>
              </w:rPr>
              <w:fldChar w:fldCharType="begin"/>
            </w:r>
            <w:r w:rsidR="0039651D">
              <w:rPr>
                <w:noProof/>
                <w:webHidden/>
              </w:rPr>
              <w:instrText xml:space="preserve"> PAGEREF _Toc147277289 \h </w:instrText>
            </w:r>
            <w:r w:rsidR="0039651D">
              <w:rPr>
                <w:noProof/>
                <w:webHidden/>
              </w:rPr>
            </w:r>
            <w:r w:rsidR="0039651D">
              <w:rPr>
                <w:noProof/>
                <w:webHidden/>
              </w:rPr>
              <w:fldChar w:fldCharType="separate"/>
            </w:r>
            <w:r w:rsidR="0039651D">
              <w:rPr>
                <w:noProof/>
                <w:webHidden/>
              </w:rPr>
              <w:t>6</w:t>
            </w:r>
            <w:r w:rsidR="0039651D">
              <w:rPr>
                <w:noProof/>
                <w:webHidden/>
              </w:rPr>
              <w:fldChar w:fldCharType="end"/>
            </w:r>
          </w:hyperlink>
        </w:p>
        <w:p w14:paraId="21EC0731" w14:textId="33EADE4B" w:rsidR="0039651D"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47277290" w:history="1">
            <w:r w:rsidR="0039651D" w:rsidRPr="00D0146A">
              <w:rPr>
                <w:rStyle w:val="Hyperlink"/>
                <w:noProof/>
              </w:rPr>
              <w:t>Growth Potential: A Comparative Analysis</w:t>
            </w:r>
            <w:r w:rsidR="0039651D">
              <w:rPr>
                <w:noProof/>
                <w:webHidden/>
              </w:rPr>
              <w:tab/>
            </w:r>
            <w:r w:rsidR="0039651D">
              <w:rPr>
                <w:noProof/>
                <w:webHidden/>
              </w:rPr>
              <w:fldChar w:fldCharType="begin"/>
            </w:r>
            <w:r w:rsidR="0039651D">
              <w:rPr>
                <w:noProof/>
                <w:webHidden/>
              </w:rPr>
              <w:instrText xml:space="preserve"> PAGEREF _Toc147277290 \h </w:instrText>
            </w:r>
            <w:r w:rsidR="0039651D">
              <w:rPr>
                <w:noProof/>
                <w:webHidden/>
              </w:rPr>
            </w:r>
            <w:r w:rsidR="0039651D">
              <w:rPr>
                <w:noProof/>
                <w:webHidden/>
              </w:rPr>
              <w:fldChar w:fldCharType="separate"/>
            </w:r>
            <w:r w:rsidR="0039651D">
              <w:rPr>
                <w:noProof/>
                <w:webHidden/>
              </w:rPr>
              <w:t>8</w:t>
            </w:r>
            <w:r w:rsidR="0039651D">
              <w:rPr>
                <w:noProof/>
                <w:webHidden/>
              </w:rPr>
              <w:fldChar w:fldCharType="end"/>
            </w:r>
          </w:hyperlink>
        </w:p>
        <w:p w14:paraId="76DC9B72" w14:textId="30DE8DFD" w:rsidR="0039651D"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47277291" w:history="1">
            <w:r w:rsidR="0039651D" w:rsidRPr="00D0146A">
              <w:rPr>
                <w:rStyle w:val="Hyperlink"/>
                <w:noProof/>
              </w:rPr>
              <w:t>Financial Commitment to CSR: A Comparative Analysis</w:t>
            </w:r>
            <w:r w:rsidR="0039651D">
              <w:rPr>
                <w:noProof/>
                <w:webHidden/>
              </w:rPr>
              <w:tab/>
            </w:r>
            <w:r w:rsidR="0039651D">
              <w:rPr>
                <w:noProof/>
                <w:webHidden/>
              </w:rPr>
              <w:fldChar w:fldCharType="begin"/>
            </w:r>
            <w:r w:rsidR="0039651D">
              <w:rPr>
                <w:noProof/>
                <w:webHidden/>
              </w:rPr>
              <w:instrText xml:space="preserve"> PAGEREF _Toc147277291 \h </w:instrText>
            </w:r>
            <w:r w:rsidR="0039651D">
              <w:rPr>
                <w:noProof/>
                <w:webHidden/>
              </w:rPr>
            </w:r>
            <w:r w:rsidR="0039651D">
              <w:rPr>
                <w:noProof/>
                <w:webHidden/>
              </w:rPr>
              <w:fldChar w:fldCharType="separate"/>
            </w:r>
            <w:r w:rsidR="0039651D">
              <w:rPr>
                <w:noProof/>
                <w:webHidden/>
              </w:rPr>
              <w:t>10</w:t>
            </w:r>
            <w:r w:rsidR="0039651D">
              <w:rPr>
                <w:noProof/>
                <w:webHidden/>
              </w:rPr>
              <w:fldChar w:fldCharType="end"/>
            </w:r>
          </w:hyperlink>
        </w:p>
        <w:p w14:paraId="08444A8C" w14:textId="195CEAC8" w:rsidR="0039651D"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47277292" w:history="1">
            <w:r w:rsidR="0039651D" w:rsidRPr="00D0146A">
              <w:rPr>
                <w:rStyle w:val="Hyperlink"/>
                <w:noProof/>
              </w:rPr>
              <w:t>Recommendations</w:t>
            </w:r>
            <w:r w:rsidR="0039651D">
              <w:rPr>
                <w:noProof/>
                <w:webHidden/>
              </w:rPr>
              <w:tab/>
            </w:r>
            <w:r w:rsidR="0039651D">
              <w:rPr>
                <w:noProof/>
                <w:webHidden/>
              </w:rPr>
              <w:fldChar w:fldCharType="begin"/>
            </w:r>
            <w:r w:rsidR="0039651D">
              <w:rPr>
                <w:noProof/>
                <w:webHidden/>
              </w:rPr>
              <w:instrText xml:space="preserve"> PAGEREF _Toc147277292 \h </w:instrText>
            </w:r>
            <w:r w:rsidR="0039651D">
              <w:rPr>
                <w:noProof/>
                <w:webHidden/>
              </w:rPr>
            </w:r>
            <w:r w:rsidR="0039651D">
              <w:rPr>
                <w:noProof/>
                <w:webHidden/>
              </w:rPr>
              <w:fldChar w:fldCharType="separate"/>
            </w:r>
            <w:r w:rsidR="0039651D">
              <w:rPr>
                <w:noProof/>
                <w:webHidden/>
              </w:rPr>
              <w:t>12</w:t>
            </w:r>
            <w:r w:rsidR="0039651D">
              <w:rPr>
                <w:noProof/>
                <w:webHidden/>
              </w:rPr>
              <w:fldChar w:fldCharType="end"/>
            </w:r>
          </w:hyperlink>
        </w:p>
        <w:p w14:paraId="3EEC8027" w14:textId="2BEE0265" w:rsidR="0039651D"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47277293" w:history="1">
            <w:r w:rsidR="0039651D" w:rsidRPr="00D0146A">
              <w:rPr>
                <w:rStyle w:val="Hyperlink"/>
                <w:noProof/>
              </w:rPr>
              <w:t>Conclusion</w:t>
            </w:r>
            <w:r w:rsidR="0039651D">
              <w:rPr>
                <w:noProof/>
                <w:webHidden/>
              </w:rPr>
              <w:tab/>
            </w:r>
            <w:r w:rsidR="0039651D">
              <w:rPr>
                <w:noProof/>
                <w:webHidden/>
              </w:rPr>
              <w:fldChar w:fldCharType="begin"/>
            </w:r>
            <w:r w:rsidR="0039651D">
              <w:rPr>
                <w:noProof/>
                <w:webHidden/>
              </w:rPr>
              <w:instrText xml:space="preserve"> PAGEREF _Toc147277293 \h </w:instrText>
            </w:r>
            <w:r w:rsidR="0039651D">
              <w:rPr>
                <w:noProof/>
                <w:webHidden/>
              </w:rPr>
            </w:r>
            <w:r w:rsidR="0039651D">
              <w:rPr>
                <w:noProof/>
                <w:webHidden/>
              </w:rPr>
              <w:fldChar w:fldCharType="separate"/>
            </w:r>
            <w:r w:rsidR="0039651D">
              <w:rPr>
                <w:noProof/>
                <w:webHidden/>
              </w:rPr>
              <w:t>13</w:t>
            </w:r>
            <w:r w:rsidR="0039651D">
              <w:rPr>
                <w:noProof/>
                <w:webHidden/>
              </w:rPr>
              <w:fldChar w:fldCharType="end"/>
            </w:r>
          </w:hyperlink>
        </w:p>
        <w:p w14:paraId="11FD20DA" w14:textId="1BAC6890" w:rsidR="0039651D"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47277294" w:history="1">
            <w:r w:rsidR="0039651D" w:rsidRPr="00D0146A">
              <w:rPr>
                <w:rStyle w:val="Hyperlink"/>
                <w:noProof/>
              </w:rPr>
              <w:t>References</w:t>
            </w:r>
            <w:r w:rsidR="0039651D">
              <w:rPr>
                <w:noProof/>
                <w:webHidden/>
              </w:rPr>
              <w:tab/>
            </w:r>
            <w:r w:rsidR="0039651D">
              <w:rPr>
                <w:noProof/>
                <w:webHidden/>
              </w:rPr>
              <w:fldChar w:fldCharType="begin"/>
            </w:r>
            <w:r w:rsidR="0039651D">
              <w:rPr>
                <w:noProof/>
                <w:webHidden/>
              </w:rPr>
              <w:instrText xml:space="preserve"> PAGEREF _Toc147277294 \h </w:instrText>
            </w:r>
            <w:r w:rsidR="0039651D">
              <w:rPr>
                <w:noProof/>
                <w:webHidden/>
              </w:rPr>
            </w:r>
            <w:r w:rsidR="0039651D">
              <w:rPr>
                <w:noProof/>
                <w:webHidden/>
              </w:rPr>
              <w:fldChar w:fldCharType="separate"/>
            </w:r>
            <w:r w:rsidR="0039651D">
              <w:rPr>
                <w:noProof/>
                <w:webHidden/>
              </w:rPr>
              <w:t>14</w:t>
            </w:r>
            <w:r w:rsidR="0039651D">
              <w:rPr>
                <w:noProof/>
                <w:webHidden/>
              </w:rPr>
              <w:fldChar w:fldCharType="end"/>
            </w:r>
          </w:hyperlink>
        </w:p>
        <w:p w14:paraId="6ECBB882" w14:textId="36E20604" w:rsidR="008144F5" w:rsidRDefault="008144F5">
          <w:r>
            <w:rPr>
              <w:b/>
              <w:bCs/>
              <w:noProof/>
            </w:rPr>
            <w:fldChar w:fldCharType="end"/>
          </w:r>
        </w:p>
      </w:sdtContent>
    </w:sdt>
    <w:p w14:paraId="18724E1D" w14:textId="77777777" w:rsidR="00724B0A" w:rsidRDefault="00724B0A" w:rsidP="00724B0A"/>
    <w:p w14:paraId="742B5DD0" w14:textId="77777777" w:rsidR="00724B0A" w:rsidRDefault="00724B0A">
      <w:pPr>
        <w:spacing w:after="200" w:line="240" w:lineRule="auto"/>
        <w:jc w:val="center"/>
      </w:pPr>
      <w:r>
        <w:br w:type="page"/>
      </w:r>
    </w:p>
    <w:p w14:paraId="3EBAE601" w14:textId="77777777" w:rsidR="007C359B" w:rsidRPr="007C359B" w:rsidRDefault="007C359B" w:rsidP="008144F5">
      <w:pPr>
        <w:pStyle w:val="Heading1"/>
      </w:pPr>
      <w:bookmarkStart w:id="0" w:name="_Toc147277287"/>
      <w:r w:rsidRPr="007C359B">
        <w:lastRenderedPageBreak/>
        <w:t>Introduction</w:t>
      </w:r>
      <w:bookmarkEnd w:id="0"/>
    </w:p>
    <w:p w14:paraId="23168E81" w14:textId="1F1D3712" w:rsidR="007C359B" w:rsidRPr="007C359B" w:rsidRDefault="007C359B" w:rsidP="007C359B">
      <w:r w:rsidRPr="007C359B">
        <w:t>The hospitality industry stands as a diverse and dynamic sector, catering to a wide range of travellers with varying preferences and needs</w:t>
      </w:r>
      <w:r w:rsidR="000A4255" w:rsidRPr="000A4255">
        <w:rPr>
          <w:rFonts w:eastAsia="Times New Roman" w:cs="Times New Roman"/>
          <w:color w:val="000000"/>
          <w:szCs w:val="24"/>
          <w:lang w:eastAsia="en-GB"/>
        </w:rPr>
        <w:t xml:space="preserve"> </w:t>
      </w:r>
      <w:r w:rsidR="000A4255">
        <w:rPr>
          <w:rFonts w:eastAsia="Times New Roman" w:cs="Times New Roman"/>
          <w:color w:val="000000"/>
          <w:szCs w:val="24"/>
          <w:lang w:eastAsia="en-GB"/>
        </w:rPr>
        <w:t>(</w:t>
      </w:r>
      <w:r w:rsidR="000A4255" w:rsidRPr="008D7F78">
        <w:rPr>
          <w:rFonts w:eastAsia="Times New Roman" w:cs="Times New Roman"/>
          <w:color w:val="000000"/>
          <w:szCs w:val="24"/>
          <w:lang w:eastAsia="en-GB"/>
        </w:rPr>
        <w:t>Anderson,</w:t>
      </w:r>
      <w:r w:rsidR="000A4255">
        <w:rPr>
          <w:rFonts w:eastAsia="Times New Roman" w:cs="Times New Roman"/>
          <w:color w:val="000000"/>
          <w:szCs w:val="24"/>
          <w:lang w:eastAsia="en-GB"/>
        </w:rPr>
        <w:t xml:space="preserve"> 2018)</w:t>
      </w:r>
      <w:r w:rsidRPr="007C359B">
        <w:t xml:space="preserve">. Within the dynamic realm of the hospitality industry, Mandarin Oriental Hotel Group and Premier Inn stand as significant players, each with its unique approach to financial management, market positioning, growth potential, and corporate social responsibility (CSR). This report undertakes a comprehensive comparison of these industry giants, offering insights into their financial strategies, market presence, </w:t>
      </w:r>
      <w:proofErr w:type="gramStart"/>
      <w:r w:rsidRPr="007C359B">
        <w:t>future prospects</w:t>
      </w:r>
      <w:proofErr w:type="gramEnd"/>
      <w:r w:rsidRPr="007C359B">
        <w:t xml:space="preserve">, and CSR commitments. Through the lens of total revenue, market share, expansion strategies, and ethical practices, </w:t>
      </w:r>
      <w:r w:rsidR="0039651D">
        <w:t>this report</w:t>
      </w:r>
      <w:r w:rsidRPr="007C359B">
        <w:t xml:space="preserve"> aim to illuminate the distinguishing features of these organizations, providing a holistic perspective on their contributions to the hospitality sector.</w:t>
      </w:r>
    </w:p>
    <w:p w14:paraId="3365B20C" w14:textId="77777777" w:rsidR="00724B0A" w:rsidRPr="00724B0A" w:rsidRDefault="00724B0A" w:rsidP="00724B0A"/>
    <w:p w14:paraId="5F6C3F43" w14:textId="77777777" w:rsidR="00724B0A" w:rsidRDefault="00724B0A" w:rsidP="00724B0A">
      <w:r>
        <w:br w:type="page"/>
      </w:r>
    </w:p>
    <w:p w14:paraId="56C3E36D" w14:textId="77777777" w:rsidR="00724B0A" w:rsidRPr="00724B0A" w:rsidRDefault="00724B0A" w:rsidP="008144F5">
      <w:pPr>
        <w:pStyle w:val="Heading1"/>
      </w:pPr>
      <w:bookmarkStart w:id="1" w:name="_Toc147277288"/>
      <w:r w:rsidRPr="00724B0A">
        <w:lastRenderedPageBreak/>
        <w:t>Comparison of Total Revenue, Sources, Trends, and Key Drivers</w:t>
      </w:r>
      <w:bookmarkEnd w:id="1"/>
    </w:p>
    <w:p w14:paraId="33F8B0A1" w14:textId="77777777" w:rsidR="00724B0A" w:rsidRDefault="00724B0A" w:rsidP="00724B0A">
      <w:r w:rsidRPr="00724B0A">
        <w:t>In this analysis, we delve into the financial performance of Mandarin Oriental Hotel Group and Premier Inn, two prominent players in the hospitality industry.</w:t>
      </w:r>
    </w:p>
    <w:p w14:paraId="7B646A1A" w14:textId="0A801294" w:rsidR="00141145" w:rsidRDefault="00141145" w:rsidP="00724B0A">
      <w:r>
        <w:rPr>
          <w:noProof/>
          <w14:ligatures w14:val="standardContextual"/>
        </w:rPr>
        <w:drawing>
          <wp:inline distT="0" distB="0" distL="0" distR="0" wp14:anchorId="6E556877" wp14:editId="2113079D">
            <wp:extent cx="5943600" cy="3200400"/>
            <wp:effectExtent l="0" t="0" r="19050" b="0"/>
            <wp:docPr id="54103288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1FE4A7A" w14:textId="025D5F1E" w:rsidR="00141145" w:rsidRPr="00724B0A" w:rsidRDefault="00141145" w:rsidP="00141145">
      <w:pPr>
        <w:pStyle w:val="Caption"/>
      </w:pPr>
      <w:r>
        <w:t xml:space="preserve">Figure </w:t>
      </w:r>
      <w:fldSimple w:instr=" SEQ Figure \* ARABIC ">
        <w:r w:rsidR="00D92233">
          <w:rPr>
            <w:noProof/>
          </w:rPr>
          <w:t>1</w:t>
        </w:r>
      </w:fldSimple>
      <w:r>
        <w:t xml:space="preserve">: </w:t>
      </w:r>
      <w:r w:rsidRPr="002E2183">
        <w:t>Comparison of Total Revenue, Sources, Trends, and Key Drivers</w:t>
      </w:r>
      <w:r w:rsidRPr="00077EAC">
        <w:rPr>
          <w:rFonts w:eastAsia="Times New Roman" w:cs="Times New Roman"/>
          <w:color w:val="000000"/>
          <w:szCs w:val="24"/>
          <w:lang w:eastAsia="en-GB"/>
        </w:rPr>
        <w:t xml:space="preserve"> </w:t>
      </w:r>
      <w:r>
        <w:rPr>
          <w:rFonts w:eastAsia="Times New Roman" w:cs="Times New Roman"/>
          <w:color w:val="000000"/>
          <w:szCs w:val="24"/>
          <w:lang w:eastAsia="en-GB"/>
        </w:rPr>
        <w:t>(</w:t>
      </w:r>
      <w:proofErr w:type="spellStart"/>
      <w:r w:rsidRPr="008D7F78">
        <w:rPr>
          <w:rFonts w:eastAsia="Times New Roman" w:cs="Times New Roman"/>
          <w:color w:val="000000"/>
          <w:szCs w:val="24"/>
          <w:lang w:eastAsia="en-GB"/>
        </w:rPr>
        <w:t>Atrill</w:t>
      </w:r>
      <w:proofErr w:type="spellEnd"/>
      <w:r w:rsidRPr="008D7F78">
        <w:rPr>
          <w:rFonts w:eastAsia="Times New Roman" w:cs="Times New Roman"/>
          <w:color w:val="000000"/>
          <w:szCs w:val="24"/>
          <w:lang w:eastAsia="en-GB"/>
        </w:rPr>
        <w:t xml:space="preserve"> P,</w:t>
      </w:r>
      <w:r>
        <w:rPr>
          <w:rFonts w:eastAsia="Times New Roman" w:cs="Times New Roman"/>
          <w:color w:val="000000"/>
          <w:szCs w:val="24"/>
          <w:lang w:eastAsia="en-GB"/>
        </w:rPr>
        <w:t xml:space="preserve"> 2021)</w:t>
      </w:r>
      <w:r w:rsidRPr="00724B0A">
        <w:t>.</w:t>
      </w:r>
    </w:p>
    <w:p w14:paraId="669CD6C5" w14:textId="5F35A91E" w:rsidR="00724B0A" w:rsidRPr="00724B0A" w:rsidRDefault="00724B0A" w:rsidP="00724B0A">
      <w:r w:rsidRPr="00724B0A">
        <w:rPr>
          <w:b/>
          <w:bCs/>
        </w:rPr>
        <w:t>Total Revenue:</w:t>
      </w:r>
      <w:r w:rsidRPr="00724B0A">
        <w:t xml:space="preserve"> Mandarin Oriental Hotel Group reported a total revenue of $1.5 billion in the fiscal year ending 2021, while Premier Inn generated $3.2 billion during the same period</w:t>
      </w:r>
      <w:r w:rsidR="00077EAC" w:rsidRPr="00077EAC">
        <w:rPr>
          <w:rFonts w:eastAsia="Times New Roman" w:cs="Times New Roman"/>
          <w:color w:val="000000"/>
          <w:szCs w:val="24"/>
          <w:lang w:eastAsia="en-GB"/>
        </w:rPr>
        <w:t xml:space="preserve"> </w:t>
      </w:r>
      <w:r w:rsidR="00077EAC">
        <w:rPr>
          <w:rFonts w:eastAsia="Times New Roman" w:cs="Times New Roman"/>
          <w:color w:val="000000"/>
          <w:szCs w:val="24"/>
          <w:lang w:eastAsia="en-GB"/>
        </w:rPr>
        <w:t>(</w:t>
      </w:r>
      <w:proofErr w:type="spellStart"/>
      <w:r w:rsidR="00077EAC" w:rsidRPr="008D7F78">
        <w:rPr>
          <w:rFonts w:eastAsia="Times New Roman" w:cs="Times New Roman"/>
          <w:color w:val="000000"/>
          <w:szCs w:val="24"/>
          <w:lang w:eastAsia="en-GB"/>
        </w:rPr>
        <w:t>Atrill</w:t>
      </w:r>
      <w:proofErr w:type="spellEnd"/>
      <w:r w:rsidR="00077EAC" w:rsidRPr="008D7F78">
        <w:rPr>
          <w:rFonts w:eastAsia="Times New Roman" w:cs="Times New Roman"/>
          <w:color w:val="000000"/>
          <w:szCs w:val="24"/>
          <w:lang w:eastAsia="en-GB"/>
        </w:rPr>
        <w:t xml:space="preserve"> P,</w:t>
      </w:r>
      <w:r w:rsidR="00077EAC">
        <w:rPr>
          <w:rFonts w:eastAsia="Times New Roman" w:cs="Times New Roman"/>
          <w:color w:val="000000"/>
          <w:szCs w:val="24"/>
          <w:lang w:eastAsia="en-GB"/>
        </w:rPr>
        <w:t xml:space="preserve"> 2021)</w:t>
      </w:r>
      <w:r w:rsidRPr="00724B0A">
        <w:t>. Premier Inn clearly outperformed Mandarin Oriental in terms of total revenue.</w:t>
      </w:r>
    </w:p>
    <w:p w14:paraId="29E82BF1" w14:textId="77777777" w:rsidR="00724B0A" w:rsidRPr="00724B0A" w:rsidRDefault="00724B0A" w:rsidP="00724B0A">
      <w:r w:rsidRPr="00724B0A">
        <w:rPr>
          <w:b/>
          <w:bCs/>
        </w:rPr>
        <w:t>Revenue Sources:</w:t>
      </w:r>
    </w:p>
    <w:p w14:paraId="4AEA975D" w14:textId="749E2949" w:rsidR="00724B0A" w:rsidRPr="00724B0A" w:rsidRDefault="00724B0A" w:rsidP="00724B0A">
      <w:pPr>
        <w:numPr>
          <w:ilvl w:val="0"/>
          <w:numId w:val="1"/>
        </w:numPr>
      </w:pPr>
      <w:r w:rsidRPr="00724B0A">
        <w:rPr>
          <w:b/>
          <w:bCs/>
          <w:i/>
          <w:iCs/>
        </w:rPr>
        <w:t>Mandarin Oriental</w:t>
      </w:r>
      <w:r w:rsidRPr="00724B0A">
        <w:rPr>
          <w:b/>
          <w:bCs/>
        </w:rPr>
        <w:t>:</w:t>
      </w:r>
      <w:r w:rsidRPr="00724B0A">
        <w:t xml:space="preserve"> Primarily derives its revenue from luxury hotel operations, including room bookings, dining, spa services, and event hosting. The group caters to high-end </w:t>
      </w:r>
      <w:r w:rsidR="00141145" w:rsidRPr="00724B0A">
        <w:t>traveller’s</w:t>
      </w:r>
      <w:r w:rsidRPr="00724B0A">
        <w:t xml:space="preserve"> seeking exclusivity and premium experiences.</w:t>
      </w:r>
    </w:p>
    <w:p w14:paraId="24BDAA52" w14:textId="0686DFBC" w:rsidR="00724B0A" w:rsidRDefault="00724B0A" w:rsidP="00724B0A">
      <w:pPr>
        <w:numPr>
          <w:ilvl w:val="0"/>
          <w:numId w:val="1"/>
        </w:numPr>
      </w:pPr>
      <w:r w:rsidRPr="00724B0A">
        <w:rPr>
          <w:b/>
          <w:bCs/>
          <w:i/>
          <w:iCs/>
        </w:rPr>
        <w:t>Premier Inn</w:t>
      </w:r>
      <w:r w:rsidRPr="00724B0A">
        <w:rPr>
          <w:b/>
          <w:bCs/>
        </w:rPr>
        <w:t>:</w:t>
      </w:r>
      <w:r w:rsidRPr="00724B0A">
        <w:t xml:space="preserve"> Focuses on the budget and mid-scale hotel segment. Its revenue largely comes from room bookings, with </w:t>
      </w:r>
      <w:proofErr w:type="gramStart"/>
      <w:r w:rsidRPr="00724B0A">
        <w:t>limited service</w:t>
      </w:r>
      <w:proofErr w:type="gramEnd"/>
      <w:r w:rsidRPr="00724B0A">
        <w:t xml:space="preserve"> offerings like dining. Premier Inn targets cost-conscious </w:t>
      </w:r>
      <w:r w:rsidR="00141145" w:rsidRPr="00724B0A">
        <w:t>travellers</w:t>
      </w:r>
      <w:r w:rsidRPr="00724B0A">
        <w:t xml:space="preserve"> seeking affordable accommodation.</w:t>
      </w:r>
    </w:p>
    <w:p w14:paraId="060F2DF9" w14:textId="77777777" w:rsidR="00BF5BC4" w:rsidRPr="00724B0A" w:rsidRDefault="00BF5BC4" w:rsidP="00BF5BC4">
      <w:pPr>
        <w:ind w:left="720"/>
      </w:pPr>
    </w:p>
    <w:p w14:paraId="1B3BD5F8" w14:textId="77777777" w:rsidR="00724B0A" w:rsidRPr="00724B0A" w:rsidRDefault="00724B0A" w:rsidP="00724B0A">
      <w:r w:rsidRPr="00724B0A">
        <w:rPr>
          <w:b/>
          <w:bCs/>
        </w:rPr>
        <w:lastRenderedPageBreak/>
        <w:t>Revenue Trends:</w:t>
      </w:r>
    </w:p>
    <w:p w14:paraId="618C5E30" w14:textId="0F657788" w:rsidR="00724B0A" w:rsidRPr="00724B0A" w:rsidRDefault="00724B0A" w:rsidP="00724B0A">
      <w:pPr>
        <w:numPr>
          <w:ilvl w:val="0"/>
          <w:numId w:val="2"/>
        </w:numPr>
      </w:pPr>
      <w:r w:rsidRPr="00724B0A">
        <w:rPr>
          <w:b/>
          <w:bCs/>
          <w:i/>
          <w:iCs/>
        </w:rPr>
        <w:t>Mandarin Oriental</w:t>
      </w:r>
      <w:r w:rsidRPr="00724B0A">
        <w:rPr>
          <w:b/>
          <w:bCs/>
        </w:rPr>
        <w:t>:</w:t>
      </w:r>
      <w:r w:rsidRPr="00724B0A">
        <w:t xml:space="preserve"> Historically, the group has shown consistent but moderate revenue growth, in line with its luxury positioning</w:t>
      </w:r>
      <w:r w:rsidR="00077EAC" w:rsidRPr="00077EAC">
        <w:rPr>
          <w:rFonts w:eastAsia="Times New Roman" w:cs="Times New Roman"/>
          <w:color w:val="000000"/>
          <w:szCs w:val="24"/>
          <w:lang w:eastAsia="en-GB"/>
        </w:rPr>
        <w:t xml:space="preserve"> </w:t>
      </w:r>
      <w:r w:rsidR="00077EAC">
        <w:rPr>
          <w:rFonts w:eastAsia="Times New Roman" w:cs="Times New Roman"/>
          <w:color w:val="000000"/>
          <w:szCs w:val="24"/>
          <w:lang w:eastAsia="en-GB"/>
        </w:rPr>
        <w:t>(</w:t>
      </w:r>
      <w:r w:rsidR="00077EAC" w:rsidRPr="008D7F78">
        <w:rPr>
          <w:rFonts w:eastAsia="Times New Roman" w:cs="Times New Roman"/>
          <w:color w:val="000000"/>
          <w:szCs w:val="24"/>
          <w:lang w:eastAsia="en-GB"/>
        </w:rPr>
        <w:t>Bhimani A,</w:t>
      </w:r>
      <w:r w:rsidR="00077EAC">
        <w:rPr>
          <w:rFonts w:eastAsia="Times New Roman" w:cs="Times New Roman"/>
          <w:color w:val="000000"/>
          <w:szCs w:val="24"/>
          <w:lang w:eastAsia="en-GB"/>
        </w:rPr>
        <w:t xml:space="preserve"> 2016)</w:t>
      </w:r>
      <w:r w:rsidRPr="00724B0A">
        <w:t>. However, the COVID-19 pandemic impacted the hospitality industry, resulting in a revenue decline in 2020.</w:t>
      </w:r>
    </w:p>
    <w:p w14:paraId="61064222" w14:textId="77777777" w:rsidR="00724B0A" w:rsidRPr="00724B0A" w:rsidRDefault="00724B0A" w:rsidP="00724B0A">
      <w:pPr>
        <w:numPr>
          <w:ilvl w:val="0"/>
          <w:numId w:val="2"/>
        </w:numPr>
      </w:pPr>
      <w:r w:rsidRPr="00724B0A">
        <w:rPr>
          <w:b/>
          <w:bCs/>
          <w:i/>
          <w:iCs/>
        </w:rPr>
        <w:t>Premier Inn</w:t>
      </w:r>
      <w:r w:rsidRPr="00724B0A">
        <w:rPr>
          <w:b/>
          <w:bCs/>
        </w:rPr>
        <w:t>:</w:t>
      </w:r>
      <w:r w:rsidRPr="00724B0A">
        <w:t xml:space="preserve"> Premier Inn's revenue exhibited steady growth before the pandemic, driven by an expansion of its hotel network. The pandemic led to a temporary decline in 2020, but the budget-friendly model helped it recover faster.</w:t>
      </w:r>
    </w:p>
    <w:p w14:paraId="4824055E" w14:textId="77777777" w:rsidR="00724B0A" w:rsidRPr="00724B0A" w:rsidRDefault="00724B0A" w:rsidP="00724B0A">
      <w:r w:rsidRPr="00724B0A">
        <w:rPr>
          <w:b/>
          <w:bCs/>
        </w:rPr>
        <w:t>Key Drivers:</w:t>
      </w:r>
    </w:p>
    <w:p w14:paraId="28EEBA05" w14:textId="18FA1501" w:rsidR="00724B0A" w:rsidRPr="00724B0A" w:rsidRDefault="00724B0A" w:rsidP="00724B0A">
      <w:pPr>
        <w:numPr>
          <w:ilvl w:val="0"/>
          <w:numId w:val="3"/>
        </w:numPr>
      </w:pPr>
      <w:r w:rsidRPr="00724B0A">
        <w:rPr>
          <w:b/>
          <w:bCs/>
          <w:i/>
          <w:iCs/>
        </w:rPr>
        <w:t>Mandarin Oriental</w:t>
      </w:r>
      <w:r w:rsidRPr="00724B0A">
        <w:rPr>
          <w:b/>
          <w:bCs/>
        </w:rPr>
        <w:t>:</w:t>
      </w:r>
      <w:r w:rsidRPr="00724B0A">
        <w:t xml:space="preserve"> Revenue growth is driven by attracting high-net-worth individuals and maintaining a reputation for luxury and personalized service</w:t>
      </w:r>
      <w:r w:rsidR="00077EAC" w:rsidRPr="00077EAC">
        <w:rPr>
          <w:rFonts w:eastAsia="Times New Roman" w:cs="Times New Roman"/>
          <w:color w:val="000000"/>
          <w:szCs w:val="24"/>
          <w:lang w:eastAsia="en-GB"/>
        </w:rPr>
        <w:t xml:space="preserve"> </w:t>
      </w:r>
      <w:r w:rsidR="00077EAC">
        <w:rPr>
          <w:rFonts w:eastAsia="Times New Roman" w:cs="Times New Roman"/>
          <w:color w:val="000000"/>
          <w:szCs w:val="24"/>
          <w:lang w:eastAsia="en-GB"/>
        </w:rPr>
        <w:t>(</w:t>
      </w:r>
      <w:r w:rsidR="00077EAC" w:rsidRPr="008D7F78">
        <w:rPr>
          <w:rFonts w:eastAsia="Times New Roman" w:cs="Times New Roman"/>
          <w:color w:val="000000"/>
          <w:szCs w:val="24"/>
          <w:lang w:eastAsia="en-GB"/>
        </w:rPr>
        <w:t>Drury C</w:t>
      </w:r>
      <w:r w:rsidR="00077EAC">
        <w:rPr>
          <w:rFonts w:eastAsia="Times New Roman" w:cs="Times New Roman"/>
          <w:color w:val="000000"/>
          <w:szCs w:val="24"/>
          <w:lang w:eastAsia="en-GB"/>
        </w:rPr>
        <w:t>, 2021)</w:t>
      </w:r>
      <w:r w:rsidRPr="00724B0A">
        <w:t>. Geographic diversification and strategic partnerships are also key drivers.</w:t>
      </w:r>
    </w:p>
    <w:p w14:paraId="6963279B" w14:textId="42114B56" w:rsidR="00724B0A" w:rsidRPr="00724B0A" w:rsidRDefault="00724B0A" w:rsidP="00724B0A">
      <w:pPr>
        <w:numPr>
          <w:ilvl w:val="0"/>
          <w:numId w:val="3"/>
        </w:numPr>
      </w:pPr>
      <w:r w:rsidRPr="00724B0A">
        <w:rPr>
          <w:b/>
          <w:bCs/>
          <w:i/>
          <w:iCs/>
        </w:rPr>
        <w:t>Premier Inn</w:t>
      </w:r>
      <w:r w:rsidRPr="00724B0A">
        <w:rPr>
          <w:b/>
          <w:bCs/>
        </w:rPr>
        <w:t>:</w:t>
      </w:r>
      <w:r w:rsidRPr="00724B0A">
        <w:t xml:space="preserve"> The key driver is affordability and consistent quality in budget accommodation. Expansion into new markets, focusing on business </w:t>
      </w:r>
      <w:r w:rsidR="00BF5BC4" w:rsidRPr="00724B0A">
        <w:t>travellers</w:t>
      </w:r>
      <w:r w:rsidRPr="00724B0A">
        <w:t>, and partnerships with local businesses contribute to revenue growth.</w:t>
      </w:r>
    </w:p>
    <w:p w14:paraId="1BF364B0" w14:textId="50E63904" w:rsidR="00724B0A" w:rsidRPr="00724B0A" w:rsidRDefault="00724B0A" w:rsidP="00724B0A">
      <w:r w:rsidRPr="00724B0A">
        <w:rPr>
          <w:b/>
          <w:bCs/>
        </w:rPr>
        <w:t>Comparison Insights:</w:t>
      </w:r>
      <w:r w:rsidRPr="00724B0A">
        <w:t xml:space="preserve"> Premier Inn's significantly higher total revenue compared to Mandarin Oriental can be attributed to its budget-friendly approach, which caters to a broader customer base</w:t>
      </w:r>
      <w:r w:rsidR="00077EAC" w:rsidRPr="00077EAC">
        <w:rPr>
          <w:rFonts w:eastAsia="Times New Roman" w:cs="Times New Roman"/>
          <w:color w:val="000000"/>
          <w:szCs w:val="24"/>
          <w:lang w:eastAsia="en-GB"/>
        </w:rPr>
        <w:t xml:space="preserve"> </w:t>
      </w:r>
      <w:r w:rsidR="00077EAC">
        <w:rPr>
          <w:rFonts w:eastAsia="Times New Roman" w:cs="Times New Roman"/>
          <w:color w:val="000000"/>
          <w:szCs w:val="24"/>
          <w:lang w:eastAsia="en-GB"/>
        </w:rPr>
        <w:t>(</w:t>
      </w:r>
      <w:proofErr w:type="spellStart"/>
      <w:r w:rsidR="00077EAC" w:rsidRPr="008D7F78">
        <w:rPr>
          <w:rFonts w:eastAsia="Times New Roman" w:cs="Times New Roman"/>
          <w:color w:val="000000"/>
          <w:szCs w:val="24"/>
          <w:lang w:eastAsia="en-GB"/>
        </w:rPr>
        <w:t>Guilding</w:t>
      </w:r>
      <w:proofErr w:type="spellEnd"/>
      <w:r w:rsidR="00077EAC" w:rsidRPr="008D7F78">
        <w:rPr>
          <w:rFonts w:eastAsia="Times New Roman" w:cs="Times New Roman"/>
          <w:color w:val="000000"/>
          <w:szCs w:val="24"/>
          <w:lang w:eastAsia="en-GB"/>
        </w:rPr>
        <w:t>,</w:t>
      </w:r>
      <w:r w:rsidR="00077EAC">
        <w:rPr>
          <w:rFonts w:eastAsia="Times New Roman" w:cs="Times New Roman"/>
          <w:color w:val="000000"/>
          <w:szCs w:val="24"/>
          <w:lang w:eastAsia="en-GB"/>
        </w:rPr>
        <w:t xml:space="preserve"> 2014)</w:t>
      </w:r>
      <w:r w:rsidRPr="00724B0A">
        <w:t>. While Mandarin Oriental's luxury niche yields high average room rates, Premier Inn's higher room count and budget appeal lead to more considerable overall revenue.</w:t>
      </w:r>
    </w:p>
    <w:p w14:paraId="636A85AF" w14:textId="512CB243" w:rsidR="00724B0A" w:rsidRPr="00724B0A" w:rsidRDefault="00724B0A" w:rsidP="00724B0A">
      <w:r w:rsidRPr="00724B0A">
        <w:t xml:space="preserve">In terms of revenue trends, Premier Inn has demonstrated resilience by quickly adapting to market changes during the pandemic. Its budget model attracted cost-conscious </w:t>
      </w:r>
      <w:r w:rsidR="00BF5BC4" w:rsidRPr="00724B0A">
        <w:t>travellers</w:t>
      </w:r>
      <w:r w:rsidRPr="00724B0A">
        <w:t xml:space="preserve"> seeking safety and comfort.</w:t>
      </w:r>
    </w:p>
    <w:p w14:paraId="08976AF0" w14:textId="77777777" w:rsidR="00724B0A" w:rsidRPr="00724B0A" w:rsidRDefault="00724B0A" w:rsidP="00724B0A">
      <w:r w:rsidRPr="00724B0A">
        <w:t>Mandarin Oriental, on the other hand, faced a more substantial setback due to its luxury positioning. However, it remains a strong contender in the luxury segment and is well-poised for recovery as travel restrictions ease.</w:t>
      </w:r>
    </w:p>
    <w:p w14:paraId="50D8A296" w14:textId="77777777" w:rsidR="00724B0A" w:rsidRDefault="00724B0A"/>
    <w:p w14:paraId="21E24350" w14:textId="77777777" w:rsidR="00724B0A" w:rsidRDefault="00724B0A">
      <w:pPr>
        <w:spacing w:after="200" w:line="240" w:lineRule="auto"/>
        <w:jc w:val="center"/>
      </w:pPr>
      <w:r>
        <w:br w:type="page"/>
      </w:r>
    </w:p>
    <w:p w14:paraId="003D2058" w14:textId="77777777" w:rsidR="007A538F" w:rsidRDefault="007A538F" w:rsidP="008144F5">
      <w:pPr>
        <w:pStyle w:val="Heading1"/>
      </w:pPr>
      <w:bookmarkStart w:id="2" w:name="_Toc147277289"/>
      <w:r w:rsidRPr="007A538F">
        <w:lastRenderedPageBreak/>
        <w:t>Market Position: A Comparative Analysis</w:t>
      </w:r>
      <w:bookmarkEnd w:id="2"/>
    </w:p>
    <w:p w14:paraId="1F9FFA6B" w14:textId="2F913324" w:rsidR="00141145" w:rsidRDefault="00141145" w:rsidP="00141145">
      <w:r>
        <w:rPr>
          <w:noProof/>
          <w14:ligatures w14:val="standardContextual"/>
        </w:rPr>
        <w:drawing>
          <wp:inline distT="0" distB="0" distL="0" distR="0" wp14:anchorId="7063C491" wp14:editId="19D6C1A1">
            <wp:extent cx="5486400" cy="3200400"/>
            <wp:effectExtent l="0" t="0" r="0" b="19050"/>
            <wp:docPr id="117864691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9BE585B" w14:textId="273DFEB8" w:rsidR="00141145" w:rsidRPr="00141145" w:rsidRDefault="00141145" w:rsidP="00141145">
      <w:pPr>
        <w:pStyle w:val="Caption"/>
      </w:pPr>
      <w:r>
        <w:t xml:space="preserve">Figure </w:t>
      </w:r>
      <w:fldSimple w:instr=" SEQ Figure \* ARABIC ">
        <w:r w:rsidR="00D92233">
          <w:rPr>
            <w:noProof/>
          </w:rPr>
          <w:t>2</w:t>
        </w:r>
      </w:fldSimple>
      <w:r>
        <w:t xml:space="preserve">: </w:t>
      </w:r>
      <w:r w:rsidRPr="00570988">
        <w:t>Market Position: A Comparative Analysis</w:t>
      </w:r>
      <w:r w:rsidRPr="00077EAC">
        <w:t>(</w:t>
      </w:r>
      <w:proofErr w:type="spellStart"/>
      <w:r w:rsidRPr="00077EAC">
        <w:t>Arbula</w:t>
      </w:r>
      <w:proofErr w:type="spellEnd"/>
      <w:r w:rsidRPr="00077EAC">
        <w:t xml:space="preserve"> </w:t>
      </w:r>
      <w:proofErr w:type="spellStart"/>
      <w:r w:rsidRPr="00077EAC">
        <w:t>Blecich</w:t>
      </w:r>
      <w:proofErr w:type="spellEnd"/>
      <w:r w:rsidRPr="00077EAC">
        <w:t>, 2019)</w:t>
      </w:r>
      <w:r w:rsidRPr="007A538F">
        <w:t>.</w:t>
      </w:r>
    </w:p>
    <w:p w14:paraId="440E7FFF" w14:textId="77777777" w:rsidR="007A538F" w:rsidRPr="007A538F" w:rsidRDefault="007A538F" w:rsidP="007A538F">
      <w:r w:rsidRPr="007A538F">
        <w:rPr>
          <w:b/>
          <w:bCs/>
        </w:rPr>
        <w:t>Market Share:</w:t>
      </w:r>
      <w:r w:rsidRPr="007A538F">
        <w:t xml:space="preserve"> Mandarin Oriental Hotel Group and Premier Inn occupy distinctly different positions in the global hospitality market in terms of market share.</w:t>
      </w:r>
    </w:p>
    <w:p w14:paraId="7B514408" w14:textId="333E2F7A" w:rsidR="007A538F" w:rsidRPr="007A538F" w:rsidRDefault="007A538F" w:rsidP="007A538F">
      <w:r w:rsidRPr="007A538F">
        <w:rPr>
          <w:b/>
          <w:bCs/>
        </w:rPr>
        <w:t>Mandarin Oriental</w:t>
      </w:r>
      <w:r w:rsidRPr="007A538F">
        <w:t xml:space="preserve"> primarily targets the luxury and upscale segments, commanding a smaller market share in comparison. Its portfolio consists of high-end properties that cater to affluent </w:t>
      </w:r>
      <w:r w:rsidR="00BF5BC4" w:rsidRPr="007A538F">
        <w:t>travellers</w:t>
      </w:r>
      <w:r w:rsidRPr="007A538F">
        <w:t xml:space="preserve"> seeking exclusivity and premium services</w:t>
      </w:r>
      <w:r w:rsidR="00077EAC" w:rsidRPr="00077EAC">
        <w:t xml:space="preserve"> (</w:t>
      </w:r>
      <w:proofErr w:type="spellStart"/>
      <w:r w:rsidR="00077EAC" w:rsidRPr="00077EAC">
        <w:t>Arbula</w:t>
      </w:r>
      <w:proofErr w:type="spellEnd"/>
      <w:r w:rsidR="00077EAC" w:rsidRPr="00077EAC">
        <w:t xml:space="preserve"> </w:t>
      </w:r>
      <w:proofErr w:type="spellStart"/>
      <w:r w:rsidR="00077EAC" w:rsidRPr="00077EAC">
        <w:t>Blecich</w:t>
      </w:r>
      <w:proofErr w:type="spellEnd"/>
      <w:r w:rsidR="00077EAC" w:rsidRPr="00077EAC">
        <w:t>, 2019)</w:t>
      </w:r>
      <w:r w:rsidRPr="007A538F">
        <w:t>. While it boasts a loyal and discerning customer base, its market share within the broader hospitality industry remains limited due to its niche focus.</w:t>
      </w:r>
    </w:p>
    <w:p w14:paraId="77ABF2CB" w14:textId="380B2BD1" w:rsidR="004B5728" w:rsidRPr="004B5728" w:rsidRDefault="004B5728" w:rsidP="004B5728">
      <w:pPr>
        <w:rPr>
          <w:rFonts w:cs="Times New Roman"/>
          <w:szCs w:val="24"/>
        </w:rPr>
      </w:pPr>
      <w:r w:rsidRPr="004B5728">
        <w:rPr>
          <w:rFonts w:cs="Times New Roman"/>
          <w:szCs w:val="24"/>
        </w:rPr>
        <w:t xml:space="preserve">In contrast, </w:t>
      </w:r>
      <w:r w:rsidRPr="008144F5">
        <w:rPr>
          <w:rFonts w:cs="Times New Roman"/>
          <w:b/>
          <w:bCs/>
          <w:szCs w:val="24"/>
        </w:rPr>
        <w:t>Premier Inn</w:t>
      </w:r>
      <w:r w:rsidRPr="004B5728">
        <w:rPr>
          <w:rFonts w:cs="Times New Roman"/>
          <w:szCs w:val="24"/>
        </w:rPr>
        <w:t xml:space="preserve"> takes a frugal approach and offers low-cost lodging options. Premier Inn has been able to increase its share in the economy and midrange hotel markets because to this technique</w:t>
      </w:r>
      <w:r w:rsidR="00077EAC" w:rsidRPr="00077EAC">
        <w:rPr>
          <w:rFonts w:eastAsia="Times New Roman" w:cs="Times New Roman"/>
          <w:color w:val="000000"/>
          <w:szCs w:val="24"/>
          <w:lang w:eastAsia="en-GB"/>
        </w:rPr>
        <w:t xml:space="preserve"> </w:t>
      </w:r>
      <w:r w:rsidR="00077EAC">
        <w:rPr>
          <w:rFonts w:eastAsia="Times New Roman" w:cs="Times New Roman"/>
          <w:color w:val="000000"/>
          <w:szCs w:val="24"/>
          <w:lang w:eastAsia="en-GB"/>
        </w:rPr>
        <w:t>(</w:t>
      </w:r>
      <w:r w:rsidR="00077EAC" w:rsidRPr="008D7F78">
        <w:rPr>
          <w:rFonts w:eastAsia="Times New Roman" w:cs="Times New Roman"/>
          <w:color w:val="000000"/>
          <w:szCs w:val="24"/>
          <w:lang w:eastAsia="en-GB"/>
        </w:rPr>
        <w:t>Herget,</w:t>
      </w:r>
      <w:r w:rsidR="00077EAC">
        <w:rPr>
          <w:rFonts w:eastAsia="Times New Roman" w:cs="Times New Roman"/>
          <w:color w:val="000000"/>
          <w:szCs w:val="24"/>
          <w:lang w:eastAsia="en-GB"/>
        </w:rPr>
        <w:t xml:space="preserve"> 2015)</w:t>
      </w:r>
      <w:r w:rsidRPr="004B5728">
        <w:rPr>
          <w:rFonts w:cs="Times New Roman"/>
          <w:szCs w:val="24"/>
        </w:rPr>
        <w:t>. Its already formidable foothold in the UK real estate sector has been further strengthened by recent growth into other markets.</w:t>
      </w:r>
    </w:p>
    <w:p w14:paraId="1A8E5ABF" w14:textId="77777777" w:rsidR="004B5728" w:rsidRPr="008144F5" w:rsidRDefault="004B5728" w:rsidP="004B5728">
      <w:pPr>
        <w:rPr>
          <w:rFonts w:cs="Times New Roman"/>
          <w:b/>
          <w:bCs/>
          <w:szCs w:val="24"/>
        </w:rPr>
      </w:pPr>
      <w:r w:rsidRPr="008144F5">
        <w:rPr>
          <w:rFonts w:cs="Times New Roman"/>
          <w:b/>
          <w:bCs/>
          <w:szCs w:val="24"/>
        </w:rPr>
        <w:t>Customer Demographics</w:t>
      </w:r>
    </w:p>
    <w:p w14:paraId="623C14BF" w14:textId="5EE924A9" w:rsidR="004B5728" w:rsidRPr="004B5728" w:rsidRDefault="004B5728" w:rsidP="004B5728">
      <w:pPr>
        <w:rPr>
          <w:rFonts w:cs="Times New Roman"/>
          <w:szCs w:val="24"/>
        </w:rPr>
      </w:pPr>
      <w:r w:rsidRPr="004B5728">
        <w:rPr>
          <w:rFonts w:cs="Times New Roman"/>
          <w:szCs w:val="24"/>
        </w:rPr>
        <w:t xml:space="preserve">Rich people, business leaders, and those just want to live it up frequent the Mandarin Oriental. These selective visitors look for the highest standards of luxury, individual attention, and total </w:t>
      </w:r>
      <w:r w:rsidRPr="004B5728">
        <w:rPr>
          <w:rFonts w:cs="Times New Roman"/>
          <w:szCs w:val="24"/>
        </w:rPr>
        <w:lastRenderedPageBreak/>
        <w:t>immersion</w:t>
      </w:r>
      <w:r w:rsidR="00077EAC" w:rsidRPr="00077EAC">
        <w:t xml:space="preserve"> </w:t>
      </w:r>
      <w:r w:rsidR="00077EAC" w:rsidRPr="00077EAC">
        <w:rPr>
          <w:rFonts w:cs="Times New Roman"/>
          <w:szCs w:val="24"/>
        </w:rPr>
        <w:t>(Herget, 2015)</w:t>
      </w:r>
      <w:r w:rsidRPr="004B5728">
        <w:rPr>
          <w:rFonts w:cs="Times New Roman"/>
          <w:szCs w:val="24"/>
        </w:rPr>
        <w:t>. Guests at the Mandarin Oriental are known to be eager to splurge on the hotel's upscale offerings.</w:t>
      </w:r>
    </w:p>
    <w:p w14:paraId="35F4C88A" w14:textId="6376FAED" w:rsidR="004B5728" w:rsidRPr="004B5728" w:rsidRDefault="004B5728" w:rsidP="004B5728">
      <w:pPr>
        <w:rPr>
          <w:rFonts w:cs="Times New Roman"/>
          <w:szCs w:val="24"/>
        </w:rPr>
      </w:pPr>
      <w:r w:rsidRPr="004B5728">
        <w:rPr>
          <w:rFonts w:cs="Times New Roman"/>
          <w:szCs w:val="24"/>
        </w:rPr>
        <w:t xml:space="preserve">Premier Inn, on the other hand, aims to please a more diverse clientele, including thrifty vacationers, families, business </w:t>
      </w:r>
      <w:r w:rsidR="002115C4" w:rsidRPr="004B5728">
        <w:rPr>
          <w:rFonts w:cs="Times New Roman"/>
          <w:szCs w:val="24"/>
        </w:rPr>
        <w:t>travellers</w:t>
      </w:r>
      <w:r w:rsidRPr="004B5728">
        <w:rPr>
          <w:rFonts w:cs="Times New Roman"/>
          <w:szCs w:val="24"/>
        </w:rPr>
        <w:t>, and solo adventurers. Its popularity stems from its low price, high dependability, and easy accessibility.</w:t>
      </w:r>
    </w:p>
    <w:p w14:paraId="0ABE3838" w14:textId="77777777" w:rsidR="004B5728" w:rsidRPr="008144F5" w:rsidRDefault="004B5728" w:rsidP="004B5728">
      <w:pPr>
        <w:rPr>
          <w:rFonts w:cs="Times New Roman"/>
          <w:b/>
          <w:bCs/>
          <w:szCs w:val="24"/>
        </w:rPr>
      </w:pPr>
      <w:r w:rsidRPr="008144F5">
        <w:rPr>
          <w:rFonts w:cs="Times New Roman"/>
          <w:b/>
          <w:bCs/>
          <w:szCs w:val="24"/>
        </w:rPr>
        <w:t>Brand Perceptions</w:t>
      </w:r>
    </w:p>
    <w:p w14:paraId="3E7F66E7" w14:textId="7001A821" w:rsidR="004B5728" w:rsidRPr="004B5728" w:rsidRDefault="004B5728" w:rsidP="004B5728">
      <w:pPr>
        <w:rPr>
          <w:rFonts w:cs="Times New Roman"/>
          <w:szCs w:val="24"/>
        </w:rPr>
      </w:pPr>
      <w:r w:rsidRPr="004B5728">
        <w:rPr>
          <w:rFonts w:cs="Times New Roman"/>
          <w:szCs w:val="24"/>
        </w:rPr>
        <w:t>Luxury, service, and respect for local cultures are hallmarks of the Mandarin Oriental brand. The name has come to represent a pinnacle of class and limited availability</w:t>
      </w:r>
      <w:r w:rsidR="00077EAC" w:rsidRPr="00077EAC">
        <w:rPr>
          <w:rFonts w:eastAsia="Times New Roman" w:cs="Times New Roman"/>
          <w:color w:val="000000"/>
          <w:szCs w:val="24"/>
          <w:lang w:eastAsia="en-GB"/>
        </w:rPr>
        <w:t xml:space="preserve"> </w:t>
      </w:r>
      <w:r w:rsidR="00077EAC">
        <w:rPr>
          <w:rFonts w:eastAsia="Times New Roman" w:cs="Times New Roman"/>
          <w:color w:val="000000"/>
          <w:szCs w:val="24"/>
          <w:lang w:eastAsia="en-GB"/>
        </w:rPr>
        <w:t>(</w:t>
      </w:r>
      <w:proofErr w:type="spellStart"/>
      <w:r w:rsidR="00077EAC" w:rsidRPr="008D7F78">
        <w:rPr>
          <w:rFonts w:eastAsia="Times New Roman" w:cs="Times New Roman"/>
          <w:color w:val="000000"/>
          <w:szCs w:val="24"/>
          <w:lang w:eastAsia="en-GB"/>
        </w:rPr>
        <w:t>Jagels,M</w:t>
      </w:r>
      <w:proofErr w:type="spellEnd"/>
      <w:r w:rsidR="00077EAC" w:rsidRPr="008D7F78">
        <w:rPr>
          <w:rFonts w:eastAsia="Times New Roman" w:cs="Times New Roman"/>
          <w:color w:val="000000"/>
          <w:szCs w:val="24"/>
          <w:lang w:eastAsia="en-GB"/>
        </w:rPr>
        <w:t>.</w:t>
      </w:r>
      <w:r w:rsidR="00077EAC">
        <w:rPr>
          <w:rFonts w:eastAsia="Times New Roman" w:cs="Times New Roman"/>
          <w:color w:val="000000"/>
          <w:szCs w:val="24"/>
          <w:lang w:eastAsia="en-GB"/>
        </w:rPr>
        <w:t xml:space="preserve"> 2017)</w:t>
      </w:r>
      <w:r w:rsidRPr="004B5728">
        <w:rPr>
          <w:rFonts w:cs="Times New Roman"/>
          <w:szCs w:val="24"/>
        </w:rPr>
        <w:t>. Guests have come to associate Mandarin Oriental hotels with the epitome of sophistication and refinement.</w:t>
      </w:r>
    </w:p>
    <w:p w14:paraId="389B8C5A" w14:textId="009E6B73" w:rsidR="007A538F" w:rsidRPr="007A538F" w:rsidRDefault="004B5728" w:rsidP="004B5728">
      <w:r w:rsidRPr="004B5728">
        <w:rPr>
          <w:rFonts w:cs="Times New Roman"/>
          <w:szCs w:val="24"/>
        </w:rPr>
        <w:t xml:space="preserve">Premier Inn, on the other hand, is lauded for being both affordable and functional. Customers trust Premier Inn to provide consistently pleasant stays at reasonable prices. The company's "Good Night's Sleep Guaranteed" slogan helps to reinforce the trustworthiness of its </w:t>
      </w:r>
      <w:r w:rsidR="00D6435D" w:rsidRPr="004B5728">
        <w:rPr>
          <w:rFonts w:cs="Times New Roman"/>
          <w:szCs w:val="24"/>
        </w:rPr>
        <w:t>products.</w:t>
      </w:r>
    </w:p>
    <w:p w14:paraId="426429C5" w14:textId="794166D7" w:rsidR="00344537" w:rsidRPr="00344537" w:rsidRDefault="007A538F" w:rsidP="00344537">
      <w:r w:rsidRPr="007A538F">
        <w:rPr>
          <w:b/>
          <w:bCs/>
        </w:rPr>
        <w:t>Comparison Insights:</w:t>
      </w:r>
      <w:r w:rsidRPr="007A538F">
        <w:t xml:space="preserve"> </w:t>
      </w:r>
      <w:r w:rsidR="00344537" w:rsidRPr="00344537">
        <w:t>Premier Inn has a larger market share than Mandarin Oriental thanks to its more accessible pricing, larger footprint, and more universal appeal</w:t>
      </w:r>
      <w:r w:rsidR="00077EAC" w:rsidRPr="00077EAC">
        <w:t xml:space="preserve"> (Holcomb, 2018)</w:t>
      </w:r>
      <w:r w:rsidR="00344537" w:rsidRPr="00344537">
        <w:t>. Premier Inn has successfully cornered a sizable portion of the market because to its large client base and focus on reasonable prices.</w:t>
      </w:r>
    </w:p>
    <w:p w14:paraId="17A33293" w14:textId="5BBBF743" w:rsidR="00344537" w:rsidRPr="00344537" w:rsidRDefault="00344537" w:rsidP="00344537">
      <w:r w:rsidRPr="00344537">
        <w:t>On the other hand, Mandarin Oriental has successfully carved out a special place for itself among the elite in the hotel industry</w:t>
      </w:r>
      <w:r w:rsidR="002115C4" w:rsidRPr="002115C4">
        <w:rPr>
          <w:rFonts w:eastAsia="Times New Roman" w:cs="Times New Roman"/>
          <w:color w:val="000000"/>
          <w:szCs w:val="24"/>
          <w:lang w:eastAsia="en-GB"/>
        </w:rPr>
        <w:t xml:space="preserve"> </w:t>
      </w:r>
      <w:r w:rsidR="002115C4">
        <w:rPr>
          <w:rFonts w:eastAsia="Times New Roman" w:cs="Times New Roman"/>
          <w:color w:val="000000"/>
          <w:szCs w:val="24"/>
          <w:lang w:eastAsia="en-GB"/>
        </w:rPr>
        <w:t>(</w:t>
      </w:r>
      <w:r w:rsidR="002115C4" w:rsidRPr="008D7F78">
        <w:rPr>
          <w:rFonts w:eastAsia="Times New Roman" w:cs="Times New Roman"/>
          <w:color w:val="000000"/>
          <w:szCs w:val="24"/>
          <w:lang w:eastAsia="en-GB"/>
        </w:rPr>
        <w:t>Seal W</w:t>
      </w:r>
      <w:r w:rsidR="002115C4">
        <w:rPr>
          <w:rFonts w:eastAsia="Times New Roman" w:cs="Times New Roman"/>
          <w:color w:val="000000"/>
          <w:szCs w:val="24"/>
          <w:lang w:eastAsia="en-GB"/>
        </w:rPr>
        <w:t>, 2019)</w:t>
      </w:r>
      <w:r w:rsidRPr="00344537">
        <w:t>. Although it has a smaller market share than its competitors, its luxurious reputation has attracted customers willing to pay more for a memorable vacation.</w:t>
      </w:r>
    </w:p>
    <w:p w14:paraId="7AA7988D" w14:textId="45E96620" w:rsidR="007A538F" w:rsidRPr="007A538F" w:rsidRDefault="00344537" w:rsidP="00344537">
      <w:r w:rsidRPr="00344537">
        <w:t xml:space="preserve">Comparatively, Premier Inn is linked with practicality and dependability, whereas the Mandarin Oriental </w:t>
      </w:r>
      <w:r w:rsidR="00BF5BC4" w:rsidRPr="00344537">
        <w:t>relates to</w:t>
      </w:r>
      <w:r w:rsidRPr="00344537">
        <w:t xml:space="preserve"> elegance and exclusivity. A hotel chain's strategic objectives and intended clientele will determine which of these two market niches it will pursue.</w:t>
      </w:r>
    </w:p>
    <w:p w14:paraId="0A944174" w14:textId="77777777" w:rsidR="007A538F" w:rsidRDefault="007A538F"/>
    <w:p w14:paraId="749FA5BA" w14:textId="77777777" w:rsidR="007A538F" w:rsidRDefault="007A538F">
      <w:pPr>
        <w:spacing w:after="200" w:line="240" w:lineRule="auto"/>
        <w:jc w:val="center"/>
      </w:pPr>
      <w:r>
        <w:br w:type="page"/>
      </w:r>
    </w:p>
    <w:p w14:paraId="2BA5BF51" w14:textId="77777777" w:rsidR="007A538F" w:rsidRDefault="007A538F" w:rsidP="008144F5">
      <w:pPr>
        <w:pStyle w:val="Heading1"/>
      </w:pPr>
      <w:bookmarkStart w:id="3" w:name="_Toc147277290"/>
      <w:r w:rsidRPr="007A538F">
        <w:lastRenderedPageBreak/>
        <w:t>Growth Potential: A Comparative Analysis</w:t>
      </w:r>
      <w:bookmarkEnd w:id="3"/>
    </w:p>
    <w:p w14:paraId="63483526" w14:textId="00A6F87C" w:rsidR="00141145" w:rsidRDefault="00141145" w:rsidP="00141145">
      <w:r>
        <w:rPr>
          <w:noProof/>
          <w14:ligatures w14:val="standardContextual"/>
        </w:rPr>
        <w:drawing>
          <wp:inline distT="0" distB="0" distL="0" distR="0" wp14:anchorId="209770A2" wp14:editId="101DA3DD">
            <wp:extent cx="5486400" cy="3200400"/>
            <wp:effectExtent l="0" t="0" r="0" b="0"/>
            <wp:docPr id="182405348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47551AA5" w14:textId="187D7431" w:rsidR="00141145" w:rsidRPr="00141145" w:rsidRDefault="00141145" w:rsidP="00141145">
      <w:pPr>
        <w:pStyle w:val="Caption"/>
      </w:pPr>
      <w:r>
        <w:t xml:space="preserve">Figure </w:t>
      </w:r>
      <w:fldSimple w:instr=" SEQ Figure \* ARABIC ">
        <w:r w:rsidR="00D92233">
          <w:rPr>
            <w:noProof/>
          </w:rPr>
          <w:t>3</w:t>
        </w:r>
      </w:fldSimple>
      <w:r>
        <w:t xml:space="preserve">: </w:t>
      </w:r>
      <w:r w:rsidRPr="00A76A13">
        <w:t>Growth Potential: A Comparative Analysis</w:t>
      </w:r>
      <w:r w:rsidRPr="00077EAC">
        <w:t xml:space="preserve"> </w:t>
      </w:r>
      <w:r w:rsidRPr="00077EAC">
        <w:rPr>
          <w:rFonts w:cs="Times New Roman"/>
          <w:szCs w:val="24"/>
        </w:rPr>
        <w:t>(Ivanov, 2020)</w:t>
      </w:r>
      <w:r w:rsidRPr="000162D5">
        <w:rPr>
          <w:rFonts w:cs="Times New Roman"/>
          <w:sz w:val="24"/>
          <w:szCs w:val="24"/>
        </w:rPr>
        <w:t>.</w:t>
      </w:r>
    </w:p>
    <w:p w14:paraId="10A94BE3" w14:textId="77777777" w:rsidR="007A538F" w:rsidRPr="007A538F" w:rsidRDefault="007A538F" w:rsidP="007A538F">
      <w:r w:rsidRPr="007A538F">
        <w:rPr>
          <w:b/>
          <w:bCs/>
        </w:rPr>
        <w:t>Expansion Strategies:</w:t>
      </w:r>
      <w:r w:rsidRPr="007A538F">
        <w:t xml:space="preserve"> </w:t>
      </w:r>
      <w:r w:rsidR="00344537" w:rsidRPr="000162D5">
        <w:rPr>
          <w:rFonts w:cs="Times New Roman"/>
          <w:szCs w:val="24"/>
        </w:rPr>
        <w:t>Target market considerations inform the expansion strategies of both Mandarin Oriental Hotel Group and Premier Inn</w:t>
      </w:r>
      <w:r w:rsidRPr="007A538F">
        <w:t>.</w:t>
      </w:r>
    </w:p>
    <w:p w14:paraId="49D1058D" w14:textId="7070D7CF" w:rsidR="007A538F" w:rsidRPr="007A538F" w:rsidRDefault="007A538F" w:rsidP="007A538F">
      <w:pPr>
        <w:numPr>
          <w:ilvl w:val="0"/>
          <w:numId w:val="4"/>
        </w:numPr>
      </w:pPr>
      <w:r w:rsidRPr="007A538F">
        <w:rPr>
          <w:b/>
          <w:bCs/>
          <w:i/>
          <w:iCs/>
        </w:rPr>
        <w:t>Mandarin Oriental</w:t>
      </w:r>
      <w:r w:rsidRPr="007A538F">
        <w:rPr>
          <w:b/>
          <w:bCs/>
        </w:rPr>
        <w:t>:</w:t>
      </w:r>
      <w:r w:rsidRPr="007A538F">
        <w:t xml:space="preserve"> </w:t>
      </w:r>
      <w:r w:rsidR="00344537" w:rsidRPr="000162D5">
        <w:rPr>
          <w:rFonts w:cs="Times New Roman"/>
          <w:szCs w:val="24"/>
        </w:rPr>
        <w:t>The Mandarin Oriental is a luxury hotel chain with a concentration on a few of the world's most important cities</w:t>
      </w:r>
      <w:r w:rsidR="00077EAC" w:rsidRPr="00077EAC">
        <w:t xml:space="preserve"> </w:t>
      </w:r>
      <w:r w:rsidR="00077EAC" w:rsidRPr="00077EAC">
        <w:rPr>
          <w:rFonts w:cs="Times New Roman"/>
          <w:szCs w:val="24"/>
        </w:rPr>
        <w:t>(Ivanov, 2020)</w:t>
      </w:r>
      <w:r w:rsidR="00344537" w:rsidRPr="000162D5">
        <w:rPr>
          <w:rFonts w:cs="Times New Roman"/>
          <w:szCs w:val="24"/>
        </w:rPr>
        <w:t>. Their growth strategy is defined by a dedication to unparalleled luxury and an emphasis on only the most prestigious locations. The creation of new ultra-luxury buildings and collaborations with other real estate developers are two of Mandarin Oriental's top priorities as they seek to expand organically</w:t>
      </w:r>
      <w:r w:rsidRPr="007A538F">
        <w:t>.</w:t>
      </w:r>
    </w:p>
    <w:p w14:paraId="72CED400" w14:textId="1BDCE650" w:rsidR="007A538F" w:rsidRPr="007A538F" w:rsidRDefault="007A538F" w:rsidP="007A538F">
      <w:pPr>
        <w:numPr>
          <w:ilvl w:val="0"/>
          <w:numId w:val="4"/>
        </w:numPr>
      </w:pPr>
      <w:r w:rsidRPr="007A538F">
        <w:rPr>
          <w:b/>
          <w:bCs/>
          <w:i/>
          <w:iCs/>
        </w:rPr>
        <w:t>Premier Inn</w:t>
      </w:r>
      <w:r w:rsidRPr="007A538F">
        <w:rPr>
          <w:b/>
          <w:bCs/>
        </w:rPr>
        <w:t>:</w:t>
      </w:r>
      <w:r w:rsidRPr="007A538F">
        <w:t xml:space="preserve"> </w:t>
      </w:r>
      <w:r w:rsidR="00344537" w:rsidRPr="000162D5">
        <w:rPr>
          <w:rFonts w:cs="Times New Roman"/>
          <w:szCs w:val="24"/>
        </w:rPr>
        <w:t>Premier Inn has actively sought new markets, especially in the UK and several other countries</w:t>
      </w:r>
      <w:r w:rsidR="002115C4" w:rsidRPr="002115C4">
        <w:rPr>
          <w:rFonts w:eastAsia="Times New Roman" w:cs="Times New Roman"/>
          <w:color w:val="000000"/>
          <w:szCs w:val="24"/>
          <w:lang w:eastAsia="en-GB"/>
        </w:rPr>
        <w:t xml:space="preserve"> </w:t>
      </w:r>
      <w:r w:rsidR="002115C4">
        <w:rPr>
          <w:rFonts w:eastAsia="Times New Roman" w:cs="Times New Roman"/>
          <w:color w:val="000000"/>
          <w:szCs w:val="24"/>
          <w:lang w:eastAsia="en-GB"/>
        </w:rPr>
        <w:t>(</w:t>
      </w:r>
      <w:r w:rsidR="002115C4" w:rsidRPr="008D7F78">
        <w:rPr>
          <w:rFonts w:eastAsia="Times New Roman" w:cs="Times New Roman"/>
          <w:color w:val="000000"/>
          <w:szCs w:val="24"/>
          <w:lang w:eastAsia="en-GB"/>
        </w:rPr>
        <w:t>Seal W,</w:t>
      </w:r>
      <w:r w:rsidR="002115C4">
        <w:rPr>
          <w:rFonts w:eastAsia="Times New Roman" w:cs="Times New Roman"/>
          <w:color w:val="000000"/>
          <w:szCs w:val="24"/>
          <w:lang w:eastAsia="en-GB"/>
        </w:rPr>
        <w:t xml:space="preserve"> 2018)</w:t>
      </w:r>
      <w:r w:rsidR="00344537" w:rsidRPr="000162D5">
        <w:rPr>
          <w:rFonts w:cs="Times New Roman"/>
          <w:szCs w:val="24"/>
        </w:rPr>
        <w:t>. They plan to expand through both internal expansion (by building more of their own properties) and external means (by acquiring complementary businesses). Premier Inn aspires to provide reliable, low-cost lodging in popular tourist destinations</w:t>
      </w:r>
      <w:r w:rsidRPr="007A538F">
        <w:t>.</w:t>
      </w:r>
    </w:p>
    <w:p w14:paraId="03A805C8" w14:textId="77777777" w:rsidR="007A538F" w:rsidRPr="007A538F" w:rsidRDefault="007A538F" w:rsidP="007A538F">
      <w:r w:rsidRPr="007A538F">
        <w:rPr>
          <w:b/>
          <w:bCs/>
        </w:rPr>
        <w:lastRenderedPageBreak/>
        <w:t>Market Opportunities:</w:t>
      </w:r>
      <w:r w:rsidRPr="007A538F">
        <w:t xml:space="preserve"> </w:t>
      </w:r>
      <w:r w:rsidR="00344537" w:rsidRPr="000162D5">
        <w:rPr>
          <w:rFonts w:cs="Times New Roman"/>
          <w:szCs w:val="24"/>
        </w:rPr>
        <w:t>Opportunity Segments in the Hospitality Industry are Identified by Mandarin Oriental and Premier Inn</w:t>
      </w:r>
      <w:r w:rsidRPr="007A538F">
        <w:t>.</w:t>
      </w:r>
    </w:p>
    <w:p w14:paraId="5FF26DD8" w14:textId="2ECB4E87" w:rsidR="007A538F" w:rsidRPr="007A538F" w:rsidRDefault="007A538F" w:rsidP="007A538F">
      <w:pPr>
        <w:numPr>
          <w:ilvl w:val="0"/>
          <w:numId w:val="5"/>
        </w:numPr>
      </w:pPr>
      <w:r w:rsidRPr="007A538F">
        <w:rPr>
          <w:b/>
          <w:bCs/>
          <w:i/>
          <w:iCs/>
        </w:rPr>
        <w:t>Mandarin Oriental</w:t>
      </w:r>
      <w:r w:rsidRPr="007A538F">
        <w:rPr>
          <w:b/>
          <w:bCs/>
        </w:rPr>
        <w:t>:</w:t>
      </w:r>
      <w:r w:rsidRPr="007A538F">
        <w:t xml:space="preserve"> The luxury segment offers opportunities for growth, as affluent </w:t>
      </w:r>
      <w:r w:rsidR="00D6435D" w:rsidRPr="007A538F">
        <w:t>travellers</w:t>
      </w:r>
      <w:r w:rsidRPr="007A538F">
        <w:t xml:space="preserve"> seek unique, premium experiences. The group also explores markets with emerging luxury tourism potential, such as China and the Middle East</w:t>
      </w:r>
      <w:r w:rsidR="00077EAC" w:rsidRPr="00077EAC">
        <w:t xml:space="preserve"> (Jamali, 2016)</w:t>
      </w:r>
      <w:r w:rsidRPr="007A538F">
        <w:t>. Additionally, partnerships with luxury brands and experiential offerings enhance their market appeal.</w:t>
      </w:r>
    </w:p>
    <w:p w14:paraId="726CED67" w14:textId="33F7FA63" w:rsidR="007A538F" w:rsidRPr="007A538F" w:rsidRDefault="007A538F" w:rsidP="007A538F">
      <w:pPr>
        <w:numPr>
          <w:ilvl w:val="0"/>
          <w:numId w:val="5"/>
        </w:numPr>
      </w:pPr>
      <w:r w:rsidRPr="007A538F">
        <w:rPr>
          <w:b/>
          <w:bCs/>
          <w:i/>
          <w:iCs/>
        </w:rPr>
        <w:t>Premier Inn</w:t>
      </w:r>
      <w:r w:rsidRPr="007A538F">
        <w:rPr>
          <w:b/>
          <w:bCs/>
        </w:rPr>
        <w:t>:</w:t>
      </w:r>
      <w:r w:rsidRPr="007A538F">
        <w:t xml:space="preserve"> Premier Inn sees opportunities in the budget and mid-scale segments, where price-conscious </w:t>
      </w:r>
      <w:r w:rsidR="002115C4" w:rsidRPr="007A538F">
        <w:t>travellers</w:t>
      </w:r>
      <w:r w:rsidRPr="007A538F">
        <w:t xml:space="preserve"> are a substantial market</w:t>
      </w:r>
      <w:r w:rsidR="002115C4" w:rsidRPr="002115C4">
        <w:rPr>
          <w:rFonts w:eastAsia="Times New Roman" w:cs="Times New Roman"/>
          <w:color w:val="000000"/>
          <w:szCs w:val="24"/>
          <w:lang w:eastAsia="en-GB"/>
        </w:rPr>
        <w:t xml:space="preserve"> </w:t>
      </w:r>
      <w:r w:rsidR="002115C4">
        <w:rPr>
          <w:rFonts w:eastAsia="Times New Roman" w:cs="Times New Roman"/>
          <w:color w:val="000000"/>
          <w:szCs w:val="24"/>
          <w:lang w:eastAsia="en-GB"/>
        </w:rPr>
        <w:t>(</w:t>
      </w:r>
      <w:r w:rsidR="002115C4" w:rsidRPr="008D7F78">
        <w:rPr>
          <w:rFonts w:eastAsia="Times New Roman" w:cs="Times New Roman"/>
          <w:color w:val="000000"/>
          <w:szCs w:val="24"/>
          <w:lang w:eastAsia="en-GB"/>
        </w:rPr>
        <w:t>Tranter,</w:t>
      </w:r>
      <w:r w:rsidR="002115C4">
        <w:rPr>
          <w:rFonts w:eastAsia="Times New Roman" w:cs="Times New Roman"/>
          <w:color w:val="000000"/>
          <w:szCs w:val="24"/>
          <w:lang w:eastAsia="en-GB"/>
        </w:rPr>
        <w:t xml:space="preserve"> 2014)</w:t>
      </w:r>
      <w:r w:rsidRPr="007A538F">
        <w:t xml:space="preserve">. Expansion into new regions, including Europe and the Middle East, provides avenues for growth. Furthermore, catering to business </w:t>
      </w:r>
      <w:r w:rsidR="002115C4" w:rsidRPr="007A538F">
        <w:t>traveller’s</w:t>
      </w:r>
      <w:r w:rsidRPr="007A538F">
        <w:t xml:space="preserve"> is a focus, as the corporate sector often values cost-effective lodging.</w:t>
      </w:r>
    </w:p>
    <w:p w14:paraId="57DC84DF" w14:textId="77777777" w:rsidR="007A538F" w:rsidRPr="007A538F" w:rsidRDefault="007A538F" w:rsidP="007A538F">
      <w:r w:rsidRPr="007A538F">
        <w:rPr>
          <w:b/>
          <w:bCs/>
        </w:rPr>
        <w:t>Potential Barriers to Growth:</w:t>
      </w:r>
      <w:r w:rsidRPr="007A538F">
        <w:t xml:space="preserve"> Both organizations face distinct barriers to growth:</w:t>
      </w:r>
    </w:p>
    <w:p w14:paraId="41E253FA" w14:textId="77777777" w:rsidR="007A538F" w:rsidRPr="007A538F" w:rsidRDefault="007A538F" w:rsidP="007A538F">
      <w:pPr>
        <w:numPr>
          <w:ilvl w:val="0"/>
          <w:numId w:val="6"/>
        </w:numPr>
      </w:pPr>
      <w:r w:rsidRPr="007A538F">
        <w:rPr>
          <w:b/>
          <w:bCs/>
          <w:i/>
          <w:iCs/>
        </w:rPr>
        <w:t>Mandarin Oriental</w:t>
      </w:r>
      <w:r w:rsidRPr="007A538F">
        <w:rPr>
          <w:b/>
          <w:bCs/>
        </w:rPr>
        <w:t>:</w:t>
      </w:r>
      <w:r w:rsidRPr="007A538F">
        <w:t xml:space="preserve"> The exclusivity and high costs associated with luxury properties may limit the speed of expansion. Finding suitable locations that align with the brand's image can be challenging. Economic downturns may also affect luxury travel, impacting revenue.</w:t>
      </w:r>
    </w:p>
    <w:p w14:paraId="22BC660E" w14:textId="77777777" w:rsidR="007A538F" w:rsidRPr="007A538F" w:rsidRDefault="007A538F" w:rsidP="007A538F">
      <w:pPr>
        <w:numPr>
          <w:ilvl w:val="0"/>
          <w:numId w:val="6"/>
        </w:numPr>
      </w:pPr>
      <w:r w:rsidRPr="007A538F">
        <w:rPr>
          <w:b/>
          <w:bCs/>
          <w:i/>
          <w:iCs/>
        </w:rPr>
        <w:t>Premier Inn</w:t>
      </w:r>
      <w:r w:rsidRPr="007A538F">
        <w:rPr>
          <w:b/>
          <w:bCs/>
        </w:rPr>
        <w:t>:</w:t>
      </w:r>
      <w:r w:rsidRPr="007A538F">
        <w:t xml:space="preserve"> Competition in the budget segment is fierce, requiring constant innovation and marketing efforts. The challenge lies in maintaining consistent quality across a large network of properties. Entering new markets involves regulatory and cultural hurdles.</w:t>
      </w:r>
    </w:p>
    <w:p w14:paraId="30A3DE76" w14:textId="1A75149C" w:rsidR="007A538F" w:rsidRPr="007A538F" w:rsidRDefault="007A538F" w:rsidP="007A538F">
      <w:r w:rsidRPr="007A538F">
        <w:rPr>
          <w:b/>
          <w:bCs/>
        </w:rPr>
        <w:t>Comparison Insights:</w:t>
      </w:r>
      <w:r w:rsidRPr="007A538F">
        <w:t xml:space="preserve"> </w:t>
      </w:r>
      <w:r w:rsidRPr="007A538F">
        <w:rPr>
          <w:i/>
          <w:iCs/>
        </w:rPr>
        <w:t>Mandarin Oriental</w:t>
      </w:r>
      <w:r w:rsidRPr="007A538F">
        <w:t xml:space="preserve"> pursues growth through meticulous selection and development of luxury properties</w:t>
      </w:r>
      <w:r w:rsidR="002115C4" w:rsidRPr="002115C4">
        <w:rPr>
          <w:rFonts w:eastAsia="Times New Roman" w:cs="Times New Roman"/>
          <w:color w:val="000000"/>
          <w:szCs w:val="24"/>
          <w:lang w:eastAsia="en-GB"/>
        </w:rPr>
        <w:t xml:space="preserve"> </w:t>
      </w:r>
      <w:r w:rsidR="002115C4">
        <w:rPr>
          <w:rFonts w:eastAsia="Times New Roman" w:cs="Times New Roman"/>
          <w:color w:val="000000"/>
          <w:szCs w:val="24"/>
          <w:lang w:eastAsia="en-GB"/>
        </w:rPr>
        <w:t>(</w:t>
      </w:r>
      <w:r w:rsidR="002115C4" w:rsidRPr="008D7F78">
        <w:rPr>
          <w:rFonts w:eastAsia="Times New Roman" w:cs="Times New Roman"/>
          <w:color w:val="000000"/>
          <w:szCs w:val="24"/>
          <w:lang w:eastAsia="en-GB"/>
        </w:rPr>
        <w:t>Walker</w:t>
      </w:r>
      <w:r w:rsidR="002115C4">
        <w:rPr>
          <w:rFonts w:eastAsia="Times New Roman" w:cs="Times New Roman"/>
          <w:color w:val="000000"/>
          <w:szCs w:val="24"/>
          <w:lang w:eastAsia="en-GB"/>
        </w:rPr>
        <w:t>, 2021)</w:t>
      </w:r>
      <w:r w:rsidRPr="007A538F">
        <w:t>. Their expansion strategy prioritizes maintaining the brand's exclusivity and partnering with high-end developers. While growth may be slower, it aligns with their luxury positioning.</w:t>
      </w:r>
    </w:p>
    <w:p w14:paraId="199A1143" w14:textId="5A9F06DA" w:rsidR="007A538F" w:rsidRPr="007A538F" w:rsidRDefault="007A538F" w:rsidP="007A538F">
      <w:r w:rsidRPr="007A538F">
        <w:rPr>
          <w:i/>
          <w:iCs/>
        </w:rPr>
        <w:t>Premier Inn</w:t>
      </w:r>
      <w:r w:rsidRPr="007A538F">
        <w:t>, conversely, adopts an aggressive approach to expansion, focusing on affordability and consistency</w:t>
      </w:r>
      <w:r w:rsidR="00077EAC" w:rsidRPr="00077EAC">
        <w:t xml:space="preserve"> (Martínez, 2017)</w:t>
      </w:r>
      <w:r w:rsidRPr="007A538F">
        <w:t>. The broad appeal of their budget-friendly model allows for rapid growth in existing and new markets. However, they face intense competition and must ensure consistent quality.</w:t>
      </w:r>
    </w:p>
    <w:p w14:paraId="5A6F6857" w14:textId="77777777" w:rsidR="007A538F" w:rsidRDefault="007A538F" w:rsidP="001900E1">
      <w:pPr>
        <w:spacing w:after="200" w:line="240" w:lineRule="auto"/>
      </w:pPr>
      <w:r>
        <w:br w:type="page"/>
      </w:r>
    </w:p>
    <w:p w14:paraId="7F02AB37" w14:textId="77777777" w:rsidR="007A538F" w:rsidRDefault="007A538F" w:rsidP="008144F5">
      <w:pPr>
        <w:pStyle w:val="Heading1"/>
      </w:pPr>
      <w:bookmarkStart w:id="4" w:name="_Toc147277291"/>
      <w:r w:rsidRPr="007A538F">
        <w:lastRenderedPageBreak/>
        <w:t>Financial Commitment to CSR: A Comparative Analysis</w:t>
      </w:r>
      <w:bookmarkEnd w:id="4"/>
    </w:p>
    <w:p w14:paraId="42636A87" w14:textId="7AEF987F" w:rsidR="00D92233" w:rsidRDefault="00D92233" w:rsidP="00D92233">
      <w:r>
        <w:rPr>
          <w:noProof/>
          <w14:ligatures w14:val="standardContextual"/>
        </w:rPr>
        <w:drawing>
          <wp:inline distT="0" distB="0" distL="0" distR="0" wp14:anchorId="54BA2EF4" wp14:editId="5AE2CCDE">
            <wp:extent cx="5486400" cy="3200400"/>
            <wp:effectExtent l="0" t="0" r="0" b="0"/>
            <wp:docPr id="53683404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7B4E5410" w14:textId="7E613C1A" w:rsidR="00D92233" w:rsidRPr="00D92233" w:rsidRDefault="00D92233" w:rsidP="00D92233">
      <w:pPr>
        <w:pStyle w:val="Caption"/>
      </w:pPr>
      <w:r>
        <w:t xml:space="preserve">Figure </w:t>
      </w:r>
      <w:fldSimple w:instr=" SEQ Figure \* ARABIC ">
        <w:r>
          <w:rPr>
            <w:noProof/>
          </w:rPr>
          <w:t>4</w:t>
        </w:r>
      </w:fldSimple>
      <w:r>
        <w:t xml:space="preserve">: </w:t>
      </w:r>
      <w:r w:rsidRPr="00F90D5B">
        <w:t>Financial Commitment to CSR: A Comparative Analysis</w:t>
      </w:r>
      <w:r>
        <w:t xml:space="preserve"> </w:t>
      </w:r>
      <w:r w:rsidRPr="00077EAC">
        <w:rPr>
          <w:rFonts w:cs="Times New Roman"/>
          <w:szCs w:val="24"/>
        </w:rPr>
        <w:t>(Pine, 2015)</w:t>
      </w:r>
      <w:r w:rsidRPr="000162D5">
        <w:rPr>
          <w:rFonts w:cs="Times New Roman"/>
          <w:sz w:val="24"/>
          <w:szCs w:val="24"/>
        </w:rPr>
        <w:t>.</w:t>
      </w:r>
    </w:p>
    <w:p w14:paraId="246F667A" w14:textId="77777777" w:rsidR="007A538F" w:rsidRPr="007A538F" w:rsidRDefault="007A538F" w:rsidP="007A538F">
      <w:r w:rsidRPr="007A538F">
        <w:rPr>
          <w:b/>
          <w:bCs/>
        </w:rPr>
        <w:t>Sustainability Practices:</w:t>
      </w:r>
    </w:p>
    <w:p w14:paraId="60BB15C8" w14:textId="3C138CD3" w:rsidR="007A538F" w:rsidRPr="007A538F" w:rsidRDefault="007A538F" w:rsidP="007A538F">
      <w:r w:rsidRPr="007A538F">
        <w:rPr>
          <w:b/>
          <w:bCs/>
          <w:i/>
          <w:iCs/>
        </w:rPr>
        <w:t>Mandarin Oriental Hotel Group</w:t>
      </w:r>
      <w:r w:rsidRPr="007A538F">
        <w:rPr>
          <w:b/>
          <w:bCs/>
        </w:rPr>
        <w:t>:</w:t>
      </w:r>
      <w:r w:rsidRPr="007A538F">
        <w:t xml:space="preserve"> </w:t>
      </w:r>
      <w:r w:rsidR="00344537" w:rsidRPr="000162D5">
        <w:rPr>
          <w:rFonts w:cs="Times New Roman"/>
          <w:szCs w:val="24"/>
        </w:rPr>
        <w:t>The environmental responsibility of the Mandarin Oriental Hotel Group is an example of the company's dedication to sustainability</w:t>
      </w:r>
      <w:r w:rsidR="00077EAC" w:rsidRPr="00077EAC">
        <w:t xml:space="preserve"> </w:t>
      </w:r>
      <w:r w:rsidR="00077EAC" w:rsidRPr="00077EAC">
        <w:rPr>
          <w:rFonts w:cs="Times New Roman"/>
          <w:szCs w:val="24"/>
        </w:rPr>
        <w:t>(Pine, 2015)</w:t>
      </w:r>
      <w:r w:rsidR="00344537" w:rsidRPr="000162D5">
        <w:rPr>
          <w:rFonts w:cs="Times New Roman"/>
          <w:szCs w:val="24"/>
        </w:rPr>
        <w:t xml:space="preserve">. Across its holdings, the company has implemented energy efficiency measures, waste reduction measures, and water conservation measures. This dedication includes supporting sustainable food </w:t>
      </w:r>
      <w:r w:rsidR="002115C4" w:rsidRPr="000162D5">
        <w:rPr>
          <w:rFonts w:cs="Times New Roman"/>
          <w:szCs w:val="24"/>
        </w:rPr>
        <w:t>behaviours</w:t>
      </w:r>
      <w:r w:rsidR="00344537" w:rsidRPr="000162D5">
        <w:rPr>
          <w:rFonts w:cs="Times New Roman"/>
          <w:szCs w:val="24"/>
        </w:rPr>
        <w:t xml:space="preserve"> like buying local and minimizing food waste, as well as obtaining eco-friendly materials. To further prove their financial commitment to sustainability, they have set lofty goals to reduce energy and water consumption</w:t>
      </w:r>
      <w:r w:rsidRPr="007A538F">
        <w:t>.</w:t>
      </w:r>
    </w:p>
    <w:p w14:paraId="043F9418" w14:textId="69013E2A" w:rsidR="007A538F" w:rsidRDefault="007A538F" w:rsidP="007A538F">
      <w:r w:rsidRPr="007A538F">
        <w:rPr>
          <w:b/>
          <w:bCs/>
          <w:i/>
          <w:iCs/>
        </w:rPr>
        <w:t>Premier Inn</w:t>
      </w:r>
      <w:r w:rsidRPr="007A538F">
        <w:rPr>
          <w:b/>
          <w:bCs/>
        </w:rPr>
        <w:t>:</w:t>
      </w:r>
      <w:r w:rsidRPr="007A538F">
        <w:t xml:space="preserve"> </w:t>
      </w:r>
      <w:r w:rsidR="00344537" w:rsidRPr="000162D5">
        <w:rPr>
          <w:rFonts w:cs="Times New Roman"/>
          <w:szCs w:val="24"/>
        </w:rPr>
        <w:t>Premier Inn has also made progress toward a more environmentally friendly business model. Energy-efficient building designs and the use of renewable energy sources are part of their commitment</w:t>
      </w:r>
      <w:r w:rsidR="00077EAC" w:rsidRPr="00077EAC">
        <w:t xml:space="preserve"> </w:t>
      </w:r>
      <w:r w:rsidR="00077EAC" w:rsidRPr="00077EAC">
        <w:rPr>
          <w:rFonts w:cs="Times New Roman"/>
          <w:szCs w:val="24"/>
        </w:rPr>
        <w:t>(</w:t>
      </w:r>
      <w:proofErr w:type="spellStart"/>
      <w:r w:rsidR="00077EAC" w:rsidRPr="00077EAC">
        <w:rPr>
          <w:rFonts w:cs="Times New Roman"/>
          <w:szCs w:val="24"/>
        </w:rPr>
        <w:t>Stombelli</w:t>
      </w:r>
      <w:proofErr w:type="spellEnd"/>
      <w:r w:rsidR="00077EAC" w:rsidRPr="00077EAC">
        <w:rPr>
          <w:rFonts w:cs="Times New Roman"/>
          <w:szCs w:val="24"/>
        </w:rPr>
        <w:t>, 2020)</w:t>
      </w:r>
      <w:r w:rsidR="00344537" w:rsidRPr="000162D5">
        <w:rPr>
          <w:rFonts w:cs="Times New Roman"/>
          <w:szCs w:val="24"/>
        </w:rPr>
        <w:t xml:space="preserve">. Their efforts to decrease trash and boost recycling rates have a positive effect on the natural world. Premier Inn is committed to sustainability and offers customers eco-friendly options including linen reuse programs that </w:t>
      </w:r>
      <w:proofErr w:type="gramStart"/>
      <w:r w:rsidR="00344537" w:rsidRPr="000162D5">
        <w:rPr>
          <w:rFonts w:cs="Times New Roman"/>
          <w:szCs w:val="24"/>
        </w:rPr>
        <w:t>don't</w:t>
      </w:r>
      <w:proofErr w:type="gramEnd"/>
      <w:r w:rsidR="00344537" w:rsidRPr="000162D5">
        <w:rPr>
          <w:rFonts w:cs="Times New Roman"/>
          <w:szCs w:val="24"/>
        </w:rPr>
        <w:t xml:space="preserve"> break the bank</w:t>
      </w:r>
      <w:r w:rsidRPr="007A538F">
        <w:t>.</w:t>
      </w:r>
    </w:p>
    <w:p w14:paraId="5BA64425" w14:textId="77777777" w:rsidR="00BF5BC4" w:rsidRPr="007A538F" w:rsidRDefault="00BF5BC4" w:rsidP="007A538F"/>
    <w:p w14:paraId="1621088E" w14:textId="77777777" w:rsidR="007A538F" w:rsidRPr="007A538F" w:rsidRDefault="007A538F" w:rsidP="007A538F">
      <w:r w:rsidRPr="007A538F">
        <w:rPr>
          <w:b/>
          <w:bCs/>
        </w:rPr>
        <w:lastRenderedPageBreak/>
        <w:t>Community Engagement:</w:t>
      </w:r>
    </w:p>
    <w:p w14:paraId="0C51ED08" w14:textId="20E6C032" w:rsidR="007A538F" w:rsidRPr="007A538F" w:rsidRDefault="007A538F" w:rsidP="007A538F">
      <w:r w:rsidRPr="007A538F">
        <w:rPr>
          <w:b/>
          <w:bCs/>
          <w:i/>
          <w:iCs/>
        </w:rPr>
        <w:t>Mandarin Oriental</w:t>
      </w:r>
      <w:r w:rsidRPr="007A538F">
        <w:rPr>
          <w:b/>
          <w:bCs/>
        </w:rPr>
        <w:t>:</w:t>
      </w:r>
      <w:r w:rsidRPr="007A538F">
        <w:t xml:space="preserve"> </w:t>
      </w:r>
      <w:r w:rsidR="00344537" w:rsidRPr="000162D5">
        <w:rPr>
          <w:rFonts w:cs="Times New Roman"/>
          <w:szCs w:val="24"/>
        </w:rPr>
        <w:t>Through charity programs and partnerships, Mandarin Oriental actively participates in local communities</w:t>
      </w:r>
      <w:r w:rsidR="002115C4" w:rsidRPr="002115C4">
        <w:rPr>
          <w:rFonts w:eastAsia="Times New Roman" w:cs="Times New Roman"/>
          <w:color w:val="000000"/>
          <w:szCs w:val="24"/>
          <w:lang w:eastAsia="en-GB"/>
        </w:rPr>
        <w:t xml:space="preserve"> </w:t>
      </w:r>
      <w:r w:rsidR="002115C4">
        <w:rPr>
          <w:rFonts w:eastAsia="Times New Roman" w:cs="Times New Roman"/>
          <w:color w:val="000000"/>
          <w:szCs w:val="24"/>
          <w:lang w:eastAsia="en-GB"/>
        </w:rPr>
        <w:t>(</w:t>
      </w:r>
      <w:r w:rsidR="002115C4" w:rsidRPr="008D7F78">
        <w:rPr>
          <w:rFonts w:eastAsia="Times New Roman" w:cs="Times New Roman"/>
          <w:color w:val="000000"/>
          <w:szCs w:val="24"/>
          <w:lang w:eastAsia="en-GB"/>
        </w:rPr>
        <w:t>Wild</w:t>
      </w:r>
      <w:r w:rsidR="002115C4">
        <w:rPr>
          <w:rFonts w:eastAsia="Times New Roman" w:cs="Times New Roman"/>
          <w:color w:val="000000"/>
          <w:szCs w:val="24"/>
          <w:lang w:eastAsia="en-GB"/>
        </w:rPr>
        <w:t>, 2018)</w:t>
      </w:r>
      <w:r w:rsidR="00344537" w:rsidRPr="000162D5">
        <w:rPr>
          <w:rFonts w:cs="Times New Roman"/>
          <w:szCs w:val="24"/>
        </w:rPr>
        <w:t>. They fund community initiatives like education and cultural preservation and invest in the growth of home-grown talent</w:t>
      </w:r>
      <w:r w:rsidRPr="007A538F">
        <w:t>.</w:t>
      </w:r>
    </w:p>
    <w:p w14:paraId="3DFEFD49" w14:textId="77777777" w:rsidR="007A538F" w:rsidRPr="007A538F" w:rsidRDefault="007A538F" w:rsidP="007A538F">
      <w:r w:rsidRPr="007A538F">
        <w:rPr>
          <w:b/>
          <w:bCs/>
          <w:i/>
          <w:iCs/>
        </w:rPr>
        <w:t>Premier Inn</w:t>
      </w:r>
      <w:r w:rsidRPr="007A538F">
        <w:rPr>
          <w:b/>
          <w:bCs/>
        </w:rPr>
        <w:t>:</w:t>
      </w:r>
      <w:r w:rsidRPr="007A538F">
        <w:t xml:space="preserve"> </w:t>
      </w:r>
      <w:r w:rsidR="00D619C3">
        <w:t xml:space="preserve">The main goals of Premier Inn's community engagement initiatives are to promote local economic growth, </w:t>
      </w:r>
      <w:proofErr w:type="gramStart"/>
      <w:r w:rsidR="00D619C3">
        <w:t>open up</w:t>
      </w:r>
      <w:proofErr w:type="gramEnd"/>
      <w:r w:rsidR="00D619C3">
        <w:t xml:space="preserve"> job possibilities, and assist nonprofit groups. Their dedication to addressing neighbourhood problems includes monetary contributions and collaborations with nearby charities</w:t>
      </w:r>
      <w:r w:rsidRPr="007A538F">
        <w:t>.</w:t>
      </w:r>
    </w:p>
    <w:p w14:paraId="7A47A7E4" w14:textId="77777777" w:rsidR="007A538F" w:rsidRPr="007A538F" w:rsidRDefault="007A538F" w:rsidP="007A538F">
      <w:r w:rsidRPr="007A538F">
        <w:rPr>
          <w:b/>
          <w:bCs/>
        </w:rPr>
        <w:t>Ethical Business Practices:</w:t>
      </w:r>
    </w:p>
    <w:p w14:paraId="2A00D5E2" w14:textId="7BC025A2" w:rsidR="007A538F" w:rsidRPr="007A538F" w:rsidRDefault="007A538F" w:rsidP="007A538F">
      <w:r w:rsidRPr="007A538F">
        <w:rPr>
          <w:b/>
          <w:bCs/>
          <w:i/>
          <w:iCs/>
        </w:rPr>
        <w:t>Mandarin Oriental</w:t>
      </w:r>
      <w:r w:rsidRPr="007A538F">
        <w:rPr>
          <w:b/>
          <w:bCs/>
        </w:rPr>
        <w:t>:</w:t>
      </w:r>
      <w:r w:rsidRPr="007A538F">
        <w:t xml:space="preserve"> </w:t>
      </w:r>
      <w:r w:rsidR="00D619C3">
        <w:t>Mandarin Oriental encourages moral corporate conduct and places a strong emphasis on diversity, inclusivity, and employee welfare</w:t>
      </w:r>
      <w:r w:rsidR="00737968" w:rsidRPr="00737968">
        <w:rPr>
          <w:rFonts w:eastAsia="Times New Roman" w:cs="Times New Roman"/>
          <w:color w:val="000000"/>
          <w:szCs w:val="24"/>
          <w:lang w:eastAsia="en-GB"/>
        </w:rPr>
        <w:t xml:space="preserve"> </w:t>
      </w:r>
      <w:r w:rsidR="00737968">
        <w:rPr>
          <w:rFonts w:eastAsia="Times New Roman" w:cs="Times New Roman"/>
          <w:color w:val="000000"/>
          <w:szCs w:val="24"/>
          <w:lang w:eastAsia="en-GB"/>
        </w:rPr>
        <w:t>(</w:t>
      </w:r>
      <w:proofErr w:type="spellStart"/>
      <w:r w:rsidR="00737968" w:rsidRPr="008D7F78">
        <w:rPr>
          <w:rFonts w:eastAsia="Times New Roman" w:cs="Times New Roman"/>
          <w:color w:val="000000"/>
          <w:szCs w:val="24"/>
          <w:lang w:eastAsia="en-GB"/>
        </w:rPr>
        <w:t>Guilding</w:t>
      </w:r>
      <w:proofErr w:type="spellEnd"/>
      <w:r w:rsidR="00737968" w:rsidRPr="008D7F78">
        <w:rPr>
          <w:rFonts w:eastAsia="Times New Roman" w:cs="Times New Roman"/>
          <w:color w:val="000000"/>
          <w:szCs w:val="24"/>
          <w:lang w:eastAsia="en-GB"/>
        </w:rPr>
        <w:t>,</w:t>
      </w:r>
      <w:r w:rsidR="00737968">
        <w:rPr>
          <w:rFonts w:eastAsia="Times New Roman" w:cs="Times New Roman"/>
          <w:color w:val="000000"/>
          <w:szCs w:val="24"/>
          <w:lang w:eastAsia="en-GB"/>
        </w:rPr>
        <w:t xml:space="preserve"> 2014)</w:t>
      </w:r>
      <w:r w:rsidR="00D619C3">
        <w:t>. They make investments in training and development programs for their employees and uphold high ethical standards all the way through their supply chain. Although these initiatives require financial investments, they are consistent with the brand's reputation for quality and honesty</w:t>
      </w:r>
      <w:r w:rsidRPr="007A538F">
        <w:t>.</w:t>
      </w:r>
    </w:p>
    <w:p w14:paraId="7D1A02E9" w14:textId="659A0062" w:rsidR="007A538F" w:rsidRPr="007A538F" w:rsidRDefault="007A538F" w:rsidP="007A538F">
      <w:r w:rsidRPr="007A538F">
        <w:rPr>
          <w:b/>
          <w:bCs/>
          <w:i/>
          <w:iCs/>
        </w:rPr>
        <w:t>Premier Inn</w:t>
      </w:r>
      <w:r w:rsidRPr="007A538F">
        <w:rPr>
          <w:b/>
          <w:bCs/>
        </w:rPr>
        <w:t>:</w:t>
      </w:r>
      <w:r w:rsidRPr="007A538F">
        <w:t xml:space="preserve"> </w:t>
      </w:r>
      <w:proofErr w:type="gramStart"/>
      <w:r w:rsidR="00D619C3">
        <w:t>In order to</w:t>
      </w:r>
      <w:proofErr w:type="gramEnd"/>
      <w:r w:rsidR="00D619C3">
        <w:t xml:space="preserve"> ensure fair </w:t>
      </w:r>
      <w:r w:rsidR="00BF5BC4">
        <w:t>labour</w:t>
      </w:r>
      <w:r w:rsidR="00D619C3">
        <w:t xml:space="preserve"> standards and ethical sourcing, Premier Inn places a high priority on ethical business practices. They make investments in employee training, promoting a supportive workplace. They show financial support for ethical supply chain practices as part of their dedication to commitment to ethical buying</w:t>
      </w:r>
      <w:r w:rsidRPr="007A538F">
        <w:t>.</w:t>
      </w:r>
    </w:p>
    <w:p w14:paraId="69EE8D3E" w14:textId="77777777" w:rsidR="00344537" w:rsidRPr="00344537" w:rsidRDefault="007A538F" w:rsidP="00344537">
      <w:r w:rsidRPr="007A538F">
        <w:rPr>
          <w:b/>
          <w:bCs/>
        </w:rPr>
        <w:t>Comparison Insights:</w:t>
      </w:r>
      <w:r w:rsidRPr="007A538F">
        <w:t xml:space="preserve"> </w:t>
      </w:r>
      <w:r w:rsidR="00344537" w:rsidRPr="00344537">
        <w:t>Both Premier Inn and Mandarin Oriental Hotel Group invest heavily in corporate social responsibility (CSR) programs, but their respective market niches inform their respective CSR strategies in distinct ways.</w:t>
      </w:r>
    </w:p>
    <w:p w14:paraId="7FAD733D" w14:textId="1E97B0E3" w:rsidR="00344537" w:rsidRPr="00344537" w:rsidRDefault="00344537" w:rsidP="00344537">
      <w:r w:rsidRPr="00344537">
        <w:t xml:space="preserve">Because of their high-end reputation, Mandarin Oriental </w:t>
      </w:r>
      <w:proofErr w:type="gramStart"/>
      <w:r w:rsidRPr="00344537">
        <w:t>is able to</w:t>
      </w:r>
      <w:proofErr w:type="gramEnd"/>
      <w:r w:rsidRPr="00344537">
        <w:t xml:space="preserve"> devote a lot of money to environmental protection and local outreach initiatives</w:t>
      </w:r>
      <w:r w:rsidR="00737968" w:rsidRPr="00737968">
        <w:rPr>
          <w:rFonts w:eastAsia="Times New Roman" w:cs="Times New Roman"/>
          <w:color w:val="000000"/>
          <w:szCs w:val="24"/>
          <w:lang w:eastAsia="en-GB"/>
        </w:rPr>
        <w:t xml:space="preserve"> </w:t>
      </w:r>
      <w:r w:rsidR="00737968">
        <w:rPr>
          <w:rFonts w:eastAsia="Times New Roman" w:cs="Times New Roman"/>
          <w:color w:val="000000"/>
          <w:szCs w:val="24"/>
          <w:lang w:eastAsia="en-GB"/>
        </w:rPr>
        <w:t>(</w:t>
      </w:r>
      <w:r w:rsidR="00737968" w:rsidRPr="008D7F78">
        <w:rPr>
          <w:rFonts w:eastAsia="Times New Roman" w:cs="Times New Roman"/>
          <w:color w:val="000000"/>
          <w:szCs w:val="24"/>
          <w:lang w:eastAsia="en-GB"/>
        </w:rPr>
        <w:t>Drury</w:t>
      </w:r>
      <w:r w:rsidR="00737968">
        <w:rPr>
          <w:rFonts w:eastAsia="Times New Roman" w:cs="Times New Roman"/>
          <w:color w:val="000000"/>
          <w:szCs w:val="24"/>
          <w:lang w:eastAsia="en-GB"/>
        </w:rPr>
        <w:t>, 2021)</w:t>
      </w:r>
      <w:r w:rsidRPr="00344537">
        <w:t>. Their image of refinement and exclusivity is reflected in their dedication to environmentally friendly techniques and cultural preservation.</w:t>
      </w:r>
    </w:p>
    <w:p w14:paraId="3C2AE4B2" w14:textId="77777777" w:rsidR="00344537" w:rsidRPr="00344537" w:rsidRDefault="00344537" w:rsidP="00344537">
      <w:r w:rsidRPr="00344537">
        <w:t>Premier Inn's approach to sustainability and community engagement is pragmatic and budget-friendly, reflecting the hotel's focus on accessibility and cost. They care deeply about the well-being of their supply chain workers and their employees.</w:t>
      </w:r>
    </w:p>
    <w:p w14:paraId="0F726259" w14:textId="3C437065" w:rsidR="008D5535" w:rsidRDefault="008D5535" w:rsidP="00BF5BC4">
      <w:pPr>
        <w:spacing w:after="200" w:line="240" w:lineRule="auto"/>
      </w:pPr>
      <w:r>
        <w:br w:type="page"/>
      </w:r>
      <w:bookmarkStart w:id="5" w:name="_Toc147277292"/>
      <w:r w:rsidR="00BF5BC4">
        <w:lastRenderedPageBreak/>
        <w:t>R</w:t>
      </w:r>
      <w:r>
        <w:t>ecommendations</w:t>
      </w:r>
      <w:bookmarkEnd w:id="5"/>
    </w:p>
    <w:p w14:paraId="601BF454" w14:textId="77777777" w:rsidR="008D5535" w:rsidRDefault="008D5535" w:rsidP="008D5535">
      <w:r w:rsidRPr="008D5535">
        <w:rPr>
          <w:b/>
          <w:bCs/>
        </w:rPr>
        <w:t>Mandarin Oriental Hotel Group:</w:t>
      </w:r>
      <w:r w:rsidRPr="008D5535">
        <w:t xml:space="preserve"> </w:t>
      </w:r>
    </w:p>
    <w:p w14:paraId="6C5B0A23" w14:textId="18DC8D0D" w:rsidR="008D5535" w:rsidRPr="008D5535" w:rsidRDefault="008D5535" w:rsidP="008D5535">
      <w:pPr>
        <w:pStyle w:val="ListParagraph"/>
        <w:numPr>
          <w:ilvl w:val="0"/>
          <w:numId w:val="7"/>
        </w:numPr>
      </w:pPr>
      <w:r w:rsidRPr="008D5535">
        <w:rPr>
          <w:b/>
          <w:bCs/>
        </w:rPr>
        <w:t>Recommendation:</w:t>
      </w:r>
      <w:r w:rsidRPr="008D5535">
        <w:t xml:space="preserve"> Explore Growth in Emerging Luxury Markets</w:t>
      </w:r>
    </w:p>
    <w:p w14:paraId="7BA0E1D0" w14:textId="13EBB5B3" w:rsidR="008D5535" w:rsidRPr="008D5535" w:rsidRDefault="008D5535" w:rsidP="008D5535">
      <w:r w:rsidRPr="008D5535">
        <w:t xml:space="preserve">Considering Mandarin Oriental's penchant for the finer things in life, </w:t>
      </w:r>
      <w:r w:rsidR="0039651D">
        <w:t>this report</w:t>
      </w:r>
      <w:r w:rsidRPr="008D5535">
        <w:t xml:space="preserve"> suggest</w:t>
      </w:r>
      <w:r w:rsidR="0039651D">
        <w:t>s</w:t>
      </w:r>
      <w:r w:rsidRPr="008D5535">
        <w:t xml:space="preserve"> they branch out into new sources of high-end tourists, such as China and the Middle East. These areas have enormous expansion potential and are in line with the brand's emphasis on high-quality products and services. By strategically expanding into these regions, </w:t>
      </w:r>
      <w:r w:rsidR="008B63AC">
        <w:t>the company</w:t>
      </w:r>
      <w:r w:rsidRPr="008D5535">
        <w:t xml:space="preserve"> may rely less on the typical high-end tourist spots and increase </w:t>
      </w:r>
      <w:r w:rsidR="008B63AC">
        <w:t>the</w:t>
      </w:r>
      <w:r w:rsidRPr="008D5535">
        <w:t xml:space="preserve"> brand's visibility around the world.</w:t>
      </w:r>
    </w:p>
    <w:p w14:paraId="2446C83F" w14:textId="77777777" w:rsidR="008D5535" w:rsidRDefault="008D5535" w:rsidP="008D5535">
      <w:r w:rsidRPr="008D5535">
        <w:rPr>
          <w:b/>
          <w:bCs/>
        </w:rPr>
        <w:t>Premier Inn:</w:t>
      </w:r>
      <w:r w:rsidRPr="008D5535">
        <w:t xml:space="preserve"> </w:t>
      </w:r>
    </w:p>
    <w:p w14:paraId="6603E790" w14:textId="3BBB876A" w:rsidR="008D5535" w:rsidRPr="008D5535" w:rsidRDefault="008D5535" w:rsidP="008D5535">
      <w:pPr>
        <w:pStyle w:val="ListParagraph"/>
        <w:numPr>
          <w:ilvl w:val="0"/>
          <w:numId w:val="7"/>
        </w:numPr>
      </w:pPr>
      <w:r w:rsidRPr="008D5535">
        <w:rPr>
          <w:b/>
          <w:bCs/>
        </w:rPr>
        <w:t>Recommendation:</w:t>
      </w:r>
      <w:r w:rsidRPr="008D5535">
        <w:t xml:space="preserve"> Prioritize Sustainable Expansion and Quality Assurance</w:t>
      </w:r>
    </w:p>
    <w:p w14:paraId="3ED77B05" w14:textId="3789114A" w:rsidR="008D5535" w:rsidRPr="008D5535" w:rsidRDefault="008D5535" w:rsidP="008D5535">
      <w:r w:rsidRPr="008D5535">
        <w:t xml:space="preserve">Premier Inn, if it wants to keep its dominant position in the hotel industry, needs to prioritize sustainable growth by implementing environmentally friendly policies, especially in emerging areas. The "Good Night's Sleep Guaranteed" guarantee emphasizes the need of maintaining a consistent standard of excellence. Maintaining this consistency is crucial to keeping </w:t>
      </w:r>
      <w:r w:rsidR="008B63AC">
        <w:t>the</w:t>
      </w:r>
      <w:r w:rsidRPr="008D5535">
        <w:t xml:space="preserve"> customers' faith as </w:t>
      </w:r>
      <w:r w:rsidR="008B63AC">
        <w:t>the company</w:t>
      </w:r>
      <w:r w:rsidRPr="008D5535">
        <w:t xml:space="preserve"> continue to grow.</w:t>
      </w:r>
    </w:p>
    <w:p w14:paraId="3878EAE4" w14:textId="77777777" w:rsidR="007C359B" w:rsidRDefault="007C359B"/>
    <w:p w14:paraId="1B906E27" w14:textId="77777777" w:rsidR="007C359B" w:rsidRDefault="007C359B">
      <w:pPr>
        <w:spacing w:after="200" w:line="240" w:lineRule="auto"/>
        <w:jc w:val="center"/>
      </w:pPr>
      <w:r>
        <w:br w:type="page"/>
      </w:r>
    </w:p>
    <w:p w14:paraId="0EDEA131" w14:textId="77777777" w:rsidR="007C359B" w:rsidRPr="007C359B" w:rsidRDefault="007C359B" w:rsidP="008144F5">
      <w:pPr>
        <w:pStyle w:val="Heading1"/>
      </w:pPr>
      <w:bookmarkStart w:id="6" w:name="_Toc147277293"/>
      <w:r w:rsidRPr="007C359B">
        <w:lastRenderedPageBreak/>
        <w:t>Conclusion</w:t>
      </w:r>
      <w:bookmarkEnd w:id="6"/>
    </w:p>
    <w:p w14:paraId="0DDA922C" w14:textId="77777777" w:rsidR="007C359B" w:rsidRPr="007C359B" w:rsidRDefault="00344537" w:rsidP="007C359B">
      <w:r w:rsidRPr="000162D5">
        <w:rPr>
          <w:rFonts w:cs="Times New Roman"/>
          <w:szCs w:val="24"/>
        </w:rPr>
        <w:t xml:space="preserve">When comparing Mandarin Oriental Hotel Group and Premier Inn, </w:t>
      </w:r>
      <w:proofErr w:type="gramStart"/>
      <w:r w:rsidRPr="000162D5">
        <w:rPr>
          <w:rFonts w:cs="Times New Roman"/>
          <w:szCs w:val="24"/>
        </w:rPr>
        <w:t>it is clear that these</w:t>
      </w:r>
      <w:proofErr w:type="gramEnd"/>
      <w:r w:rsidRPr="000162D5">
        <w:rPr>
          <w:rFonts w:cs="Times New Roman"/>
          <w:szCs w:val="24"/>
        </w:rPr>
        <w:t xml:space="preserve"> two hotel chains take very different approaches to the hospitality business. Premier Inn has dominated the economy hotel sector, whereas Mandarin Oriental is known for its high standards of luxury and environmental responsibility. Both Premier Inn and Mandarin Oriental must deal with the challenges and opportunities of maintaining a consistent product in an increasingly competitive industry. Sustainability, community involvement, and ethical business practices are all areas where both companies excel, demonstrating a shared approach to CSR. This research shows that the hotel industry can change and expand in a sustainable way</w:t>
      </w:r>
      <w:r w:rsidR="007C359B" w:rsidRPr="007C359B">
        <w:t>.</w:t>
      </w:r>
    </w:p>
    <w:p w14:paraId="15264C66" w14:textId="77777777" w:rsidR="007C359B" w:rsidRDefault="007C359B"/>
    <w:p w14:paraId="794D912F" w14:textId="77777777" w:rsidR="007C359B" w:rsidRDefault="007C359B">
      <w:pPr>
        <w:spacing w:after="200" w:line="240" w:lineRule="auto"/>
        <w:jc w:val="center"/>
      </w:pPr>
      <w:r>
        <w:br w:type="page"/>
      </w:r>
    </w:p>
    <w:p w14:paraId="6285330B" w14:textId="428B57C8" w:rsidR="008D7F78" w:rsidRPr="008D7F78" w:rsidRDefault="007C359B" w:rsidP="008D7F78">
      <w:pPr>
        <w:pStyle w:val="Heading1"/>
      </w:pPr>
      <w:bookmarkStart w:id="7" w:name="_Toc147277294"/>
      <w:r>
        <w:lastRenderedPageBreak/>
        <w:t>References</w:t>
      </w:r>
      <w:bookmarkEnd w:id="7"/>
    </w:p>
    <w:p w14:paraId="2B041F7B" w14:textId="77777777" w:rsidR="008D7F78" w:rsidRPr="008D7F78" w:rsidRDefault="008D7F78" w:rsidP="008D7F78">
      <w:pPr>
        <w:pStyle w:val="NormalWeb"/>
        <w:spacing w:after="180" w:line="360" w:lineRule="auto"/>
        <w:ind w:left="450" w:hanging="450"/>
        <w:rPr>
          <w:color w:val="000000"/>
        </w:rPr>
      </w:pPr>
      <w:r w:rsidRPr="008D7F78">
        <w:rPr>
          <w:color w:val="000000"/>
        </w:rPr>
        <w:t xml:space="preserve">Anderson, E.W. (2018). Customer Satisfaction, Productivity, and Profitability: Differences Between Goods and Services. </w:t>
      </w:r>
      <w:r w:rsidRPr="008D7F78">
        <w:rPr>
          <w:i/>
          <w:iCs/>
          <w:color w:val="000000"/>
        </w:rPr>
        <w:t>Marketing Science</w:t>
      </w:r>
      <w:r w:rsidRPr="008D7F78">
        <w:rPr>
          <w:color w:val="000000"/>
        </w:rPr>
        <w:t xml:space="preserve">, 16(2), pp.129–145. </w:t>
      </w:r>
      <w:proofErr w:type="spellStart"/>
      <w:r w:rsidRPr="008D7F78">
        <w:rPr>
          <w:color w:val="000000"/>
        </w:rPr>
        <w:t>doi:https</w:t>
      </w:r>
      <w:proofErr w:type="spellEnd"/>
      <w:r w:rsidRPr="008D7F78">
        <w:rPr>
          <w:color w:val="000000"/>
        </w:rPr>
        <w:t>://doi.org/10.1287/mksc.16.2.129.</w:t>
      </w:r>
    </w:p>
    <w:p w14:paraId="58386ADA" w14:textId="77777777" w:rsidR="008D7F78" w:rsidRPr="008D7F78" w:rsidRDefault="008D7F78" w:rsidP="008D7F78">
      <w:pPr>
        <w:pStyle w:val="NormalWeb"/>
        <w:spacing w:after="180" w:line="360" w:lineRule="auto"/>
        <w:ind w:left="450" w:hanging="450"/>
        <w:rPr>
          <w:color w:val="000000"/>
        </w:rPr>
      </w:pPr>
      <w:proofErr w:type="spellStart"/>
      <w:r w:rsidRPr="008D7F78">
        <w:rPr>
          <w:color w:val="000000"/>
        </w:rPr>
        <w:t>Arbula</w:t>
      </w:r>
      <w:proofErr w:type="spellEnd"/>
      <w:r w:rsidRPr="008D7F78">
        <w:rPr>
          <w:color w:val="000000"/>
        </w:rPr>
        <w:t xml:space="preserve"> </w:t>
      </w:r>
      <w:proofErr w:type="spellStart"/>
      <w:r w:rsidRPr="008D7F78">
        <w:rPr>
          <w:color w:val="000000"/>
        </w:rPr>
        <w:t>Blecich</w:t>
      </w:r>
      <w:proofErr w:type="spellEnd"/>
      <w:r w:rsidRPr="008D7F78">
        <w:rPr>
          <w:color w:val="000000"/>
        </w:rPr>
        <w:t xml:space="preserve">, A. (2019). Profitability determinants of hotel companies in selected Mediterranean countries. </w:t>
      </w:r>
      <w:r w:rsidRPr="008D7F78">
        <w:rPr>
          <w:i/>
          <w:iCs/>
          <w:color w:val="000000"/>
        </w:rPr>
        <w:t>Economic Research-</w:t>
      </w:r>
      <w:proofErr w:type="spellStart"/>
      <w:r w:rsidRPr="008D7F78">
        <w:rPr>
          <w:i/>
          <w:iCs/>
          <w:color w:val="000000"/>
        </w:rPr>
        <w:t>Ekonomska</w:t>
      </w:r>
      <w:proofErr w:type="spellEnd"/>
      <w:r w:rsidRPr="008D7F78">
        <w:rPr>
          <w:i/>
          <w:iCs/>
          <w:color w:val="000000"/>
        </w:rPr>
        <w:t xml:space="preserve"> </w:t>
      </w:r>
      <w:proofErr w:type="spellStart"/>
      <w:r w:rsidRPr="008D7F78">
        <w:rPr>
          <w:i/>
          <w:iCs/>
          <w:color w:val="000000"/>
        </w:rPr>
        <w:t>Istraživanja</w:t>
      </w:r>
      <w:proofErr w:type="spellEnd"/>
      <w:r w:rsidRPr="008D7F78">
        <w:rPr>
          <w:color w:val="000000"/>
        </w:rPr>
        <w:t xml:space="preserve">, [online] 32(1), pp.1977–1993. </w:t>
      </w:r>
      <w:proofErr w:type="spellStart"/>
      <w:r w:rsidRPr="008D7F78">
        <w:rPr>
          <w:color w:val="000000"/>
        </w:rPr>
        <w:t>doi:https</w:t>
      </w:r>
      <w:proofErr w:type="spellEnd"/>
      <w:r w:rsidRPr="008D7F78">
        <w:rPr>
          <w:color w:val="000000"/>
        </w:rPr>
        <w:t>://doi.org/10.1080/1331677x.2019.1642785.</w:t>
      </w:r>
    </w:p>
    <w:p w14:paraId="07681DBE" w14:textId="77777777" w:rsidR="008D7F78" w:rsidRPr="008D7F78" w:rsidRDefault="008D7F78" w:rsidP="008D7F78">
      <w:pPr>
        <w:pStyle w:val="NormalWeb"/>
        <w:spacing w:after="180" w:line="360" w:lineRule="auto"/>
        <w:ind w:left="450" w:hanging="450"/>
        <w:rPr>
          <w:color w:val="000000"/>
        </w:rPr>
      </w:pPr>
      <w:proofErr w:type="spellStart"/>
      <w:r w:rsidRPr="008D7F78">
        <w:rPr>
          <w:color w:val="000000"/>
        </w:rPr>
        <w:t>Atrill</w:t>
      </w:r>
      <w:proofErr w:type="spellEnd"/>
      <w:r w:rsidRPr="008D7F78">
        <w:rPr>
          <w:color w:val="000000"/>
        </w:rPr>
        <w:t xml:space="preserve"> P, McLaney E (2021) Management Accounting for Decision Makers, FT Prentice Hall</w:t>
      </w:r>
    </w:p>
    <w:p w14:paraId="4049AEC2" w14:textId="301FEA10" w:rsidR="008D7F78" w:rsidRPr="008D7F78" w:rsidRDefault="008D7F78" w:rsidP="008D7F78">
      <w:pPr>
        <w:pStyle w:val="NormalWeb"/>
        <w:spacing w:after="180" w:line="360" w:lineRule="auto"/>
        <w:ind w:left="450" w:hanging="450"/>
        <w:rPr>
          <w:color w:val="000000"/>
        </w:rPr>
      </w:pPr>
      <w:r w:rsidRPr="008D7F78">
        <w:rPr>
          <w:color w:val="000000"/>
        </w:rPr>
        <w:t>Bhimani A, (Ed) (20</w:t>
      </w:r>
      <w:r w:rsidR="00077EAC">
        <w:rPr>
          <w:color w:val="000000"/>
        </w:rPr>
        <w:t>1</w:t>
      </w:r>
      <w:r w:rsidRPr="008D7F78">
        <w:rPr>
          <w:color w:val="000000"/>
        </w:rPr>
        <w:t>6) Contemporary Issues in Management Accounting , Oxford</w:t>
      </w:r>
    </w:p>
    <w:p w14:paraId="65C20CCF" w14:textId="77777777" w:rsidR="008D7F78" w:rsidRPr="008D7F78" w:rsidRDefault="008D7F78" w:rsidP="008D7F78">
      <w:pPr>
        <w:pStyle w:val="NormalWeb"/>
        <w:spacing w:after="180" w:line="360" w:lineRule="auto"/>
        <w:ind w:left="450" w:hanging="450"/>
        <w:rPr>
          <w:color w:val="000000"/>
        </w:rPr>
      </w:pPr>
      <w:r w:rsidRPr="008D7F78">
        <w:rPr>
          <w:color w:val="000000"/>
        </w:rPr>
        <w:t>Drury C (2021) (11th Ed) Management and Cost Accounting, London, Prentice Hall</w:t>
      </w:r>
    </w:p>
    <w:p w14:paraId="60725436" w14:textId="77777777" w:rsidR="008D7F78" w:rsidRPr="008D7F78" w:rsidRDefault="008D7F78" w:rsidP="008D7F78">
      <w:pPr>
        <w:pStyle w:val="NormalWeb"/>
        <w:spacing w:after="180" w:line="360" w:lineRule="auto"/>
        <w:ind w:left="450" w:hanging="450"/>
        <w:rPr>
          <w:color w:val="000000"/>
        </w:rPr>
      </w:pPr>
      <w:proofErr w:type="spellStart"/>
      <w:r w:rsidRPr="008D7F78">
        <w:rPr>
          <w:color w:val="000000"/>
        </w:rPr>
        <w:t>Guilding,C</w:t>
      </w:r>
      <w:proofErr w:type="spellEnd"/>
      <w:r w:rsidRPr="008D7F78">
        <w:rPr>
          <w:color w:val="000000"/>
        </w:rPr>
        <w:t>.(2014) (3rd Edition) Accounting Essentials for Hospitality Managers, London, Routledge.</w:t>
      </w:r>
    </w:p>
    <w:p w14:paraId="1D1594DB" w14:textId="77777777" w:rsidR="008D7F78" w:rsidRPr="008D7F78" w:rsidRDefault="008D7F78" w:rsidP="008D7F78">
      <w:pPr>
        <w:pStyle w:val="NormalWeb"/>
        <w:spacing w:after="180" w:line="360" w:lineRule="auto"/>
        <w:ind w:left="450" w:hanging="450"/>
        <w:rPr>
          <w:color w:val="000000"/>
        </w:rPr>
      </w:pPr>
      <w:r w:rsidRPr="008D7F78">
        <w:rPr>
          <w:color w:val="000000"/>
        </w:rPr>
        <w:t xml:space="preserve">Herget, J. (2015). City branding and its economic impacts on tourism. </w:t>
      </w:r>
      <w:r w:rsidRPr="008D7F78">
        <w:rPr>
          <w:i/>
          <w:iCs/>
          <w:color w:val="000000"/>
        </w:rPr>
        <w:t>Economics &amp; Sociology</w:t>
      </w:r>
      <w:r w:rsidRPr="008D7F78">
        <w:rPr>
          <w:color w:val="000000"/>
        </w:rPr>
        <w:t xml:space="preserve">, 8(1), pp.119–126. </w:t>
      </w:r>
      <w:proofErr w:type="spellStart"/>
      <w:r w:rsidRPr="008D7F78">
        <w:rPr>
          <w:color w:val="000000"/>
        </w:rPr>
        <w:t>doi:https</w:t>
      </w:r>
      <w:proofErr w:type="spellEnd"/>
      <w:r w:rsidRPr="008D7F78">
        <w:rPr>
          <w:color w:val="000000"/>
        </w:rPr>
        <w:t>://doi.org/10.14254/2071-789x.2015/8-1/9.</w:t>
      </w:r>
    </w:p>
    <w:p w14:paraId="5FFC44FD" w14:textId="77777777" w:rsidR="008D7F78" w:rsidRPr="008D7F78" w:rsidRDefault="008D7F78" w:rsidP="008D7F78">
      <w:pPr>
        <w:pStyle w:val="NormalWeb"/>
        <w:spacing w:after="180" w:line="360" w:lineRule="auto"/>
        <w:ind w:left="450" w:hanging="450"/>
        <w:rPr>
          <w:color w:val="000000"/>
        </w:rPr>
      </w:pPr>
      <w:r w:rsidRPr="008D7F78">
        <w:rPr>
          <w:color w:val="000000"/>
        </w:rPr>
        <w:t xml:space="preserve">Holcomb, J.L. (2018). Corporate social responsibility: what are top hotel companies reporting? </w:t>
      </w:r>
      <w:r w:rsidRPr="008D7F78">
        <w:rPr>
          <w:i/>
          <w:iCs/>
          <w:color w:val="000000"/>
        </w:rPr>
        <w:t>International Journal of Contemporary Hospitality Management</w:t>
      </w:r>
      <w:r w:rsidRPr="008D7F78">
        <w:rPr>
          <w:color w:val="000000"/>
        </w:rPr>
        <w:t xml:space="preserve">, 19(6), pp.461–475. </w:t>
      </w:r>
      <w:proofErr w:type="spellStart"/>
      <w:r w:rsidRPr="008D7F78">
        <w:rPr>
          <w:color w:val="000000"/>
        </w:rPr>
        <w:t>doi:https</w:t>
      </w:r>
      <w:proofErr w:type="spellEnd"/>
      <w:r w:rsidRPr="008D7F78">
        <w:rPr>
          <w:color w:val="000000"/>
        </w:rPr>
        <w:t>://doi.org/10.1108/09596110710775129.</w:t>
      </w:r>
    </w:p>
    <w:p w14:paraId="6BEF76EC" w14:textId="77777777" w:rsidR="008D7F78" w:rsidRPr="008D7F78" w:rsidRDefault="008D7F78" w:rsidP="008D7F78">
      <w:pPr>
        <w:pStyle w:val="NormalWeb"/>
        <w:spacing w:after="180" w:line="360" w:lineRule="auto"/>
        <w:ind w:left="450" w:hanging="450"/>
        <w:rPr>
          <w:color w:val="000000"/>
        </w:rPr>
      </w:pPr>
      <w:r w:rsidRPr="008D7F78">
        <w:rPr>
          <w:color w:val="000000"/>
        </w:rPr>
        <w:t xml:space="preserve">Ivanov, S. (2020). A conceptual framework of the service delivery system design for hospitality firms in the (post-)viral world: The role of service robots. </w:t>
      </w:r>
      <w:r w:rsidRPr="008D7F78">
        <w:rPr>
          <w:i/>
          <w:iCs/>
          <w:color w:val="000000"/>
        </w:rPr>
        <w:t>International Journal of Hospitality Management</w:t>
      </w:r>
      <w:r w:rsidRPr="008D7F78">
        <w:rPr>
          <w:color w:val="000000"/>
        </w:rPr>
        <w:t xml:space="preserve">, 91, p.102661. </w:t>
      </w:r>
      <w:proofErr w:type="spellStart"/>
      <w:r w:rsidRPr="008D7F78">
        <w:rPr>
          <w:color w:val="000000"/>
        </w:rPr>
        <w:t>doi:https</w:t>
      </w:r>
      <w:proofErr w:type="spellEnd"/>
      <w:r w:rsidRPr="008D7F78">
        <w:rPr>
          <w:color w:val="000000"/>
        </w:rPr>
        <w:t>://doi.org/10.1016/j.ijhm.2020.102661.</w:t>
      </w:r>
    </w:p>
    <w:p w14:paraId="5CB233D8" w14:textId="194AC49F" w:rsidR="008D7F78" w:rsidRPr="008D7F78" w:rsidRDefault="008D7F78" w:rsidP="008D7F78">
      <w:pPr>
        <w:pStyle w:val="NormalWeb"/>
        <w:spacing w:after="180" w:line="360" w:lineRule="auto"/>
        <w:ind w:left="450" w:hanging="450"/>
        <w:rPr>
          <w:color w:val="000000"/>
        </w:rPr>
      </w:pPr>
      <w:proofErr w:type="spellStart"/>
      <w:r w:rsidRPr="008D7F78">
        <w:rPr>
          <w:color w:val="000000"/>
        </w:rPr>
        <w:t>Jagels,M</w:t>
      </w:r>
      <w:proofErr w:type="spellEnd"/>
      <w:r w:rsidRPr="008D7F78">
        <w:rPr>
          <w:color w:val="000000"/>
        </w:rPr>
        <w:t>. (20</w:t>
      </w:r>
      <w:r w:rsidR="00077EAC">
        <w:rPr>
          <w:color w:val="000000"/>
        </w:rPr>
        <w:t>1</w:t>
      </w:r>
      <w:r w:rsidRPr="008D7F78">
        <w:rPr>
          <w:color w:val="000000"/>
        </w:rPr>
        <w:t>7) Hospitality Management Accounting, London, Wiley</w:t>
      </w:r>
    </w:p>
    <w:p w14:paraId="3B7BC5E7" w14:textId="77777777" w:rsidR="008D7F78" w:rsidRPr="008D7F78" w:rsidRDefault="008D7F78" w:rsidP="008D7F78">
      <w:pPr>
        <w:pStyle w:val="NormalWeb"/>
        <w:spacing w:after="180" w:line="360" w:lineRule="auto"/>
        <w:ind w:left="450" w:hanging="450"/>
        <w:rPr>
          <w:color w:val="000000"/>
        </w:rPr>
      </w:pPr>
      <w:r w:rsidRPr="008D7F78">
        <w:rPr>
          <w:color w:val="000000"/>
        </w:rPr>
        <w:lastRenderedPageBreak/>
        <w:t xml:space="preserve">Jamali, D. (2016). A Stakeholder Approach to Corporate Social Responsibility: A Fresh Perspective into Theory and Practice. </w:t>
      </w:r>
      <w:r w:rsidRPr="008D7F78">
        <w:rPr>
          <w:i/>
          <w:iCs/>
          <w:color w:val="000000"/>
        </w:rPr>
        <w:t>Journal of Business Ethics</w:t>
      </w:r>
      <w:r w:rsidRPr="008D7F78">
        <w:rPr>
          <w:color w:val="000000"/>
        </w:rPr>
        <w:t xml:space="preserve">, 82(1), pp.213–231. </w:t>
      </w:r>
      <w:proofErr w:type="spellStart"/>
      <w:r w:rsidRPr="008D7F78">
        <w:rPr>
          <w:color w:val="000000"/>
        </w:rPr>
        <w:t>doi:https</w:t>
      </w:r>
      <w:proofErr w:type="spellEnd"/>
      <w:r w:rsidRPr="008D7F78">
        <w:rPr>
          <w:color w:val="000000"/>
        </w:rPr>
        <w:t>://doi.org/10.1007/s10551-007-9572-4.</w:t>
      </w:r>
    </w:p>
    <w:p w14:paraId="1663FFFE" w14:textId="77777777" w:rsidR="008D7F78" w:rsidRPr="008D7F78" w:rsidRDefault="008D7F78" w:rsidP="008D7F78">
      <w:pPr>
        <w:pStyle w:val="NormalWeb"/>
        <w:spacing w:after="180" w:line="360" w:lineRule="auto"/>
        <w:ind w:left="450" w:hanging="450"/>
        <w:rPr>
          <w:color w:val="000000"/>
        </w:rPr>
      </w:pPr>
      <w:r w:rsidRPr="008D7F78">
        <w:rPr>
          <w:color w:val="000000"/>
        </w:rPr>
        <w:t xml:space="preserve">Martínez, P. (2017). CSR and customer loyalty: The roles of trust, customer identification with the company and satisfaction. </w:t>
      </w:r>
      <w:r w:rsidRPr="008D7F78">
        <w:rPr>
          <w:i/>
          <w:iCs/>
          <w:color w:val="000000"/>
        </w:rPr>
        <w:t>International Journal of Hospitality Management</w:t>
      </w:r>
      <w:r w:rsidRPr="008D7F78">
        <w:rPr>
          <w:color w:val="000000"/>
        </w:rPr>
        <w:t xml:space="preserve">, [online] 35(1), pp.89–99. </w:t>
      </w:r>
      <w:proofErr w:type="spellStart"/>
      <w:r w:rsidRPr="008D7F78">
        <w:rPr>
          <w:color w:val="000000"/>
        </w:rPr>
        <w:t>doi:https</w:t>
      </w:r>
      <w:proofErr w:type="spellEnd"/>
      <w:r w:rsidRPr="008D7F78">
        <w:rPr>
          <w:color w:val="000000"/>
        </w:rPr>
        <w:t>://doi.org/10.1016/j.ijhm.2013.05.009.</w:t>
      </w:r>
    </w:p>
    <w:p w14:paraId="15607B48" w14:textId="77777777" w:rsidR="008D7F78" w:rsidRPr="008D7F78" w:rsidRDefault="008D7F78" w:rsidP="008D7F78">
      <w:pPr>
        <w:pStyle w:val="NormalWeb"/>
        <w:spacing w:after="180" w:line="360" w:lineRule="auto"/>
        <w:ind w:left="450" w:hanging="450"/>
        <w:rPr>
          <w:color w:val="000000"/>
        </w:rPr>
      </w:pPr>
      <w:r w:rsidRPr="008D7F78">
        <w:rPr>
          <w:color w:val="000000"/>
        </w:rPr>
        <w:t xml:space="preserve">Pine, R. (2015). Barriers to hotel chain development in China. </w:t>
      </w:r>
      <w:r w:rsidRPr="008D7F78">
        <w:rPr>
          <w:i/>
          <w:iCs/>
          <w:color w:val="000000"/>
        </w:rPr>
        <w:t>International Journal of Contemporary Hospitality Management</w:t>
      </w:r>
      <w:r w:rsidRPr="008D7F78">
        <w:rPr>
          <w:color w:val="000000"/>
        </w:rPr>
        <w:t xml:space="preserve">, 16(1), pp.37–44. </w:t>
      </w:r>
      <w:proofErr w:type="spellStart"/>
      <w:r w:rsidRPr="008D7F78">
        <w:rPr>
          <w:color w:val="000000"/>
        </w:rPr>
        <w:t>doi:https</w:t>
      </w:r>
      <w:proofErr w:type="spellEnd"/>
      <w:r w:rsidRPr="008D7F78">
        <w:rPr>
          <w:color w:val="000000"/>
        </w:rPr>
        <w:t>://doi.org/10.1108/09596110410516543.</w:t>
      </w:r>
    </w:p>
    <w:p w14:paraId="316641FD" w14:textId="77777777" w:rsidR="008D7F78" w:rsidRDefault="008D7F78" w:rsidP="008D7F78">
      <w:pPr>
        <w:pStyle w:val="NormalWeb"/>
        <w:spacing w:after="180" w:line="360" w:lineRule="auto"/>
        <w:ind w:left="450" w:hanging="450"/>
        <w:rPr>
          <w:color w:val="000000"/>
        </w:rPr>
      </w:pPr>
      <w:r w:rsidRPr="008D7F78">
        <w:rPr>
          <w:color w:val="000000"/>
        </w:rPr>
        <w:t>Seal W (2019) (6th Ed) Management Accounting, London, McGraw Hill</w:t>
      </w:r>
    </w:p>
    <w:p w14:paraId="3AFE4FAB" w14:textId="2E3B7D03" w:rsidR="008D7F78" w:rsidRPr="008D7F78" w:rsidRDefault="008D7F78" w:rsidP="008D7F78">
      <w:pPr>
        <w:pStyle w:val="NormalWeb"/>
        <w:spacing w:after="180" w:line="360" w:lineRule="auto"/>
        <w:ind w:left="450" w:hanging="450"/>
        <w:rPr>
          <w:color w:val="000000"/>
        </w:rPr>
      </w:pPr>
      <w:r w:rsidRPr="008D7F78">
        <w:rPr>
          <w:color w:val="000000"/>
        </w:rPr>
        <w:t>Seal W, Garrison RH, Noreen E (20</w:t>
      </w:r>
      <w:r w:rsidR="002115C4">
        <w:rPr>
          <w:color w:val="000000"/>
        </w:rPr>
        <w:t>1</w:t>
      </w:r>
      <w:r w:rsidRPr="008D7F78">
        <w:rPr>
          <w:color w:val="000000"/>
        </w:rPr>
        <w:t>8) Management Accounting, McGraw Hill</w:t>
      </w:r>
    </w:p>
    <w:p w14:paraId="494314E8" w14:textId="77777777" w:rsidR="008D7F78" w:rsidRPr="008D7F78" w:rsidRDefault="008D7F78" w:rsidP="008D7F78">
      <w:pPr>
        <w:pStyle w:val="NormalWeb"/>
        <w:spacing w:after="180" w:line="360" w:lineRule="auto"/>
        <w:ind w:left="450" w:hanging="450"/>
        <w:rPr>
          <w:color w:val="000000"/>
        </w:rPr>
      </w:pPr>
      <w:proofErr w:type="spellStart"/>
      <w:r w:rsidRPr="008D7F78">
        <w:rPr>
          <w:color w:val="000000"/>
        </w:rPr>
        <w:t>Stombelli</w:t>
      </w:r>
      <w:proofErr w:type="spellEnd"/>
      <w:r w:rsidRPr="008D7F78">
        <w:rPr>
          <w:color w:val="000000"/>
        </w:rPr>
        <w:t xml:space="preserve">, V.M. (2020). Corporate Social Responsibility in hospitality: are sustainability initiatives </w:t>
      </w:r>
      <w:proofErr w:type="gramStart"/>
      <w:r w:rsidRPr="008D7F78">
        <w:rPr>
          <w:color w:val="000000"/>
        </w:rPr>
        <w:t>really sustainable</w:t>
      </w:r>
      <w:proofErr w:type="gramEnd"/>
      <w:r w:rsidRPr="008D7F78">
        <w:rPr>
          <w:color w:val="000000"/>
        </w:rPr>
        <w:t xml:space="preserve">? Case examples from </w:t>
      </w:r>
      <w:proofErr w:type="spellStart"/>
      <w:r w:rsidRPr="008D7F78">
        <w:rPr>
          <w:color w:val="000000"/>
        </w:rPr>
        <w:t>CitizenM</w:t>
      </w:r>
      <w:proofErr w:type="spellEnd"/>
      <w:r w:rsidRPr="008D7F78">
        <w:rPr>
          <w:color w:val="000000"/>
        </w:rPr>
        <w:t xml:space="preserve">, </w:t>
      </w:r>
      <w:proofErr w:type="spellStart"/>
      <w:r w:rsidRPr="008D7F78">
        <w:rPr>
          <w:color w:val="000000"/>
        </w:rPr>
        <w:t>Lefay</w:t>
      </w:r>
      <w:proofErr w:type="spellEnd"/>
      <w:r w:rsidRPr="008D7F78">
        <w:rPr>
          <w:color w:val="000000"/>
        </w:rPr>
        <w:t xml:space="preserve"> and Six Senses. </w:t>
      </w:r>
      <w:r w:rsidRPr="008D7F78">
        <w:rPr>
          <w:i/>
          <w:iCs/>
          <w:color w:val="000000"/>
        </w:rPr>
        <w:t>Worldwide Hospitality and Tourism Themes</w:t>
      </w:r>
      <w:r w:rsidRPr="008D7F78">
        <w:rPr>
          <w:color w:val="000000"/>
        </w:rPr>
        <w:t xml:space="preserve">, 12(5), pp.525–545. </w:t>
      </w:r>
      <w:proofErr w:type="spellStart"/>
      <w:r w:rsidRPr="008D7F78">
        <w:rPr>
          <w:color w:val="000000"/>
        </w:rPr>
        <w:t>doi:https</w:t>
      </w:r>
      <w:proofErr w:type="spellEnd"/>
      <w:r w:rsidRPr="008D7F78">
        <w:rPr>
          <w:color w:val="000000"/>
        </w:rPr>
        <w:t>://doi.org/10.1108/whatt-06-2020-0041.</w:t>
      </w:r>
    </w:p>
    <w:p w14:paraId="2D85F48E" w14:textId="77777777" w:rsidR="008D7F78" w:rsidRPr="008D7F78" w:rsidRDefault="008D7F78" w:rsidP="008D7F78">
      <w:pPr>
        <w:pStyle w:val="NormalWeb"/>
        <w:spacing w:after="180" w:line="360" w:lineRule="auto"/>
        <w:ind w:left="450" w:hanging="450"/>
        <w:rPr>
          <w:color w:val="000000"/>
        </w:rPr>
      </w:pPr>
      <w:proofErr w:type="spellStart"/>
      <w:r w:rsidRPr="008D7F78">
        <w:rPr>
          <w:color w:val="000000"/>
        </w:rPr>
        <w:t>Tranter,K</w:t>
      </w:r>
      <w:proofErr w:type="spellEnd"/>
      <w:r w:rsidRPr="008D7F78">
        <w:rPr>
          <w:color w:val="000000"/>
        </w:rPr>
        <w:t>. Stuart-</w:t>
      </w:r>
      <w:proofErr w:type="spellStart"/>
      <w:r w:rsidRPr="008D7F78">
        <w:rPr>
          <w:color w:val="000000"/>
        </w:rPr>
        <w:t>Hill,T</w:t>
      </w:r>
      <w:proofErr w:type="spellEnd"/>
      <w:r w:rsidRPr="008D7F78">
        <w:rPr>
          <w:color w:val="000000"/>
        </w:rPr>
        <w:t xml:space="preserve">. </w:t>
      </w:r>
      <w:proofErr w:type="spellStart"/>
      <w:r w:rsidRPr="008D7F78">
        <w:rPr>
          <w:color w:val="000000"/>
        </w:rPr>
        <w:t>Parker,J</w:t>
      </w:r>
      <w:proofErr w:type="spellEnd"/>
      <w:r w:rsidRPr="008D7F78">
        <w:rPr>
          <w:color w:val="000000"/>
        </w:rPr>
        <w:t>. (2014) Introduction to Revenue Management for the Hospitality Industry, London, Pearson</w:t>
      </w:r>
    </w:p>
    <w:p w14:paraId="0703B120" w14:textId="77777777" w:rsidR="008D7F78" w:rsidRPr="008D7F78" w:rsidRDefault="008D7F78" w:rsidP="008D7F78">
      <w:pPr>
        <w:pStyle w:val="NormalWeb"/>
        <w:spacing w:after="180" w:line="360" w:lineRule="auto"/>
        <w:ind w:left="450" w:hanging="450"/>
        <w:rPr>
          <w:color w:val="000000"/>
        </w:rPr>
      </w:pPr>
      <w:proofErr w:type="spellStart"/>
      <w:r w:rsidRPr="008D7F78">
        <w:rPr>
          <w:color w:val="000000"/>
        </w:rPr>
        <w:t>Trivizas</w:t>
      </w:r>
      <w:proofErr w:type="spellEnd"/>
      <w:r w:rsidRPr="008D7F78">
        <w:rPr>
          <w:color w:val="000000"/>
        </w:rPr>
        <w:t xml:space="preserve">, K. (2017). Future of Revenue management: Trends shaping the practice of pricing and revenue management for airlines and hospitality companies. </w:t>
      </w:r>
      <w:r w:rsidRPr="008D7F78">
        <w:rPr>
          <w:i/>
          <w:iCs/>
          <w:color w:val="000000"/>
        </w:rPr>
        <w:t>Journal of Revenue and Pricing Management</w:t>
      </w:r>
      <w:r w:rsidRPr="008D7F78">
        <w:rPr>
          <w:color w:val="000000"/>
        </w:rPr>
        <w:t xml:space="preserve">, 1(4), pp.383–388. </w:t>
      </w:r>
      <w:proofErr w:type="spellStart"/>
      <w:r w:rsidRPr="008D7F78">
        <w:rPr>
          <w:color w:val="000000"/>
        </w:rPr>
        <w:t>doi:https</w:t>
      </w:r>
      <w:proofErr w:type="spellEnd"/>
      <w:r w:rsidRPr="008D7F78">
        <w:rPr>
          <w:color w:val="000000"/>
        </w:rPr>
        <w:t>://doi.org/10.1057/palgrave.rpm.5170042.</w:t>
      </w:r>
    </w:p>
    <w:p w14:paraId="33AEBB51" w14:textId="77777777" w:rsidR="008D7F78" w:rsidRPr="008D7F78" w:rsidRDefault="008D7F78" w:rsidP="008D7F78">
      <w:pPr>
        <w:pStyle w:val="NormalWeb"/>
        <w:spacing w:after="180" w:line="360" w:lineRule="auto"/>
        <w:ind w:left="450" w:hanging="450"/>
        <w:rPr>
          <w:color w:val="000000"/>
        </w:rPr>
      </w:pPr>
      <w:r w:rsidRPr="008D7F78">
        <w:rPr>
          <w:color w:val="000000"/>
        </w:rPr>
        <w:t>Walker J (2021) Introduction to Hospitality, Harlow, Pearson</w:t>
      </w:r>
    </w:p>
    <w:p w14:paraId="5154F016" w14:textId="77777777" w:rsidR="008D7F78" w:rsidRDefault="008D7F78" w:rsidP="008D7F78">
      <w:pPr>
        <w:pStyle w:val="NormalWeb"/>
        <w:spacing w:after="180" w:line="360" w:lineRule="auto"/>
        <w:ind w:left="450" w:hanging="450"/>
        <w:rPr>
          <w:color w:val="000000"/>
        </w:rPr>
      </w:pPr>
      <w:r w:rsidRPr="008D7F78">
        <w:rPr>
          <w:color w:val="000000"/>
        </w:rPr>
        <w:t>Wild J (2018) Fundamental Accounting Principles, New York, McGraw Hill</w:t>
      </w:r>
    </w:p>
    <w:p w14:paraId="6E3AEA25" w14:textId="77777777" w:rsidR="008D7F78" w:rsidRPr="008D7F78" w:rsidRDefault="008D7F78" w:rsidP="008D7F78">
      <w:pPr>
        <w:pStyle w:val="NormalWeb"/>
        <w:spacing w:after="180"/>
        <w:ind w:left="450" w:hanging="450"/>
        <w:rPr>
          <w:color w:val="000000"/>
        </w:rPr>
      </w:pPr>
    </w:p>
    <w:p w14:paraId="5F982221" w14:textId="323D92CE" w:rsidR="008D7F78" w:rsidRDefault="008D7F78" w:rsidP="008D7F78">
      <w:pPr>
        <w:spacing w:after="200" w:line="240" w:lineRule="auto"/>
      </w:pPr>
    </w:p>
    <w:sectPr w:rsidR="008D7F78" w:rsidSect="00724B0A">
      <w:footerReference w:type="default" r:id="rId2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AEC38" w14:textId="77777777" w:rsidR="00884256" w:rsidRDefault="00884256" w:rsidP="00724B0A">
      <w:pPr>
        <w:spacing w:after="0" w:line="240" w:lineRule="auto"/>
      </w:pPr>
      <w:r>
        <w:separator/>
      </w:r>
    </w:p>
  </w:endnote>
  <w:endnote w:type="continuationSeparator" w:id="0">
    <w:p w14:paraId="315CF325" w14:textId="77777777" w:rsidR="00884256" w:rsidRDefault="00884256" w:rsidP="00724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3730397"/>
      <w:docPartObj>
        <w:docPartGallery w:val="Page Numbers (Bottom of Page)"/>
        <w:docPartUnique/>
      </w:docPartObj>
    </w:sdtPr>
    <w:sdtEndPr>
      <w:rPr>
        <w:noProof/>
      </w:rPr>
    </w:sdtEndPr>
    <w:sdtContent>
      <w:p w14:paraId="7261BF60" w14:textId="77777777" w:rsidR="00724B0A" w:rsidRDefault="00724B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F7C6AE" w14:textId="77777777" w:rsidR="00724B0A" w:rsidRDefault="00724B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6343F" w14:textId="77777777" w:rsidR="00884256" w:rsidRDefault="00884256" w:rsidP="00724B0A">
      <w:pPr>
        <w:spacing w:after="0" w:line="240" w:lineRule="auto"/>
      </w:pPr>
      <w:r>
        <w:separator/>
      </w:r>
    </w:p>
  </w:footnote>
  <w:footnote w:type="continuationSeparator" w:id="0">
    <w:p w14:paraId="32228004" w14:textId="77777777" w:rsidR="00884256" w:rsidRDefault="00884256" w:rsidP="00724B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2B6EB1"/>
    <w:multiLevelType w:val="multilevel"/>
    <w:tmpl w:val="7E9CC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C0761B0"/>
    <w:multiLevelType w:val="multilevel"/>
    <w:tmpl w:val="EC76E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06E5BA8"/>
    <w:multiLevelType w:val="multilevel"/>
    <w:tmpl w:val="F2764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73E1CD1"/>
    <w:multiLevelType w:val="multilevel"/>
    <w:tmpl w:val="6E68E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AAF08B4"/>
    <w:multiLevelType w:val="multilevel"/>
    <w:tmpl w:val="056A1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FC940A8"/>
    <w:multiLevelType w:val="hybridMultilevel"/>
    <w:tmpl w:val="625251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E57098"/>
    <w:multiLevelType w:val="multilevel"/>
    <w:tmpl w:val="7520D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75215732">
    <w:abstractNumId w:val="3"/>
  </w:num>
  <w:num w:numId="2" w16cid:durableId="268313932">
    <w:abstractNumId w:val="0"/>
  </w:num>
  <w:num w:numId="3" w16cid:durableId="156658636">
    <w:abstractNumId w:val="4"/>
  </w:num>
  <w:num w:numId="4" w16cid:durableId="1995714925">
    <w:abstractNumId w:val="6"/>
  </w:num>
  <w:num w:numId="5" w16cid:durableId="1668288021">
    <w:abstractNumId w:val="1"/>
  </w:num>
  <w:num w:numId="6" w16cid:durableId="1952393324">
    <w:abstractNumId w:val="2"/>
  </w:num>
  <w:num w:numId="7" w16cid:durableId="15017761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AwsrA0MzMzMTQ3MDZX0lEKTi0uzszPAykwrAUAAaYAAiwAAAA="/>
  </w:docVars>
  <w:rsids>
    <w:rsidRoot w:val="00724B0A"/>
    <w:rsid w:val="000270CB"/>
    <w:rsid w:val="00077EAC"/>
    <w:rsid w:val="000A4255"/>
    <w:rsid w:val="000C2DEF"/>
    <w:rsid w:val="00141145"/>
    <w:rsid w:val="001900E1"/>
    <w:rsid w:val="001A32EB"/>
    <w:rsid w:val="002115C4"/>
    <w:rsid w:val="00251EBA"/>
    <w:rsid w:val="00344537"/>
    <w:rsid w:val="0039651D"/>
    <w:rsid w:val="0046266A"/>
    <w:rsid w:val="00473826"/>
    <w:rsid w:val="004B5728"/>
    <w:rsid w:val="006127A5"/>
    <w:rsid w:val="00697E79"/>
    <w:rsid w:val="00724B0A"/>
    <w:rsid w:val="00737968"/>
    <w:rsid w:val="00784D86"/>
    <w:rsid w:val="007A3E1C"/>
    <w:rsid w:val="007A538F"/>
    <w:rsid w:val="007C359B"/>
    <w:rsid w:val="008144F5"/>
    <w:rsid w:val="00822536"/>
    <w:rsid w:val="00872120"/>
    <w:rsid w:val="00884256"/>
    <w:rsid w:val="008B63AC"/>
    <w:rsid w:val="008D5535"/>
    <w:rsid w:val="008D7F78"/>
    <w:rsid w:val="0098045E"/>
    <w:rsid w:val="00991A20"/>
    <w:rsid w:val="009E4C60"/>
    <w:rsid w:val="00A220A8"/>
    <w:rsid w:val="00A619EB"/>
    <w:rsid w:val="00A8277A"/>
    <w:rsid w:val="00B42624"/>
    <w:rsid w:val="00BF5BC4"/>
    <w:rsid w:val="00D619C3"/>
    <w:rsid w:val="00D6435D"/>
    <w:rsid w:val="00D77EBB"/>
    <w:rsid w:val="00D92233"/>
    <w:rsid w:val="00ED4C67"/>
    <w:rsid w:val="00F37C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4A605"/>
  <w15:chartTrackingRefBased/>
  <w15:docId w15:val="{6A8622D2-0869-4FC1-8776-7EA3742B9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F78"/>
    <w:pPr>
      <w:spacing w:after="160"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46266A"/>
    <w:pPr>
      <w:keepNext/>
      <w:keepLines/>
      <w:spacing w:before="360" w:after="12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619EB"/>
    <w:pPr>
      <w:keepNext/>
      <w:keepLines/>
      <w:spacing w:before="120" w:after="12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6266A"/>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66A"/>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1A32EB"/>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1A32EB"/>
    <w:rPr>
      <w:rFonts w:ascii="Times New Roman" w:eastAsiaTheme="majorEastAsia" w:hAnsi="Times New Roman" w:cstheme="majorBidi"/>
      <w:b/>
      <w:spacing w:val="-10"/>
      <w:kern w:val="28"/>
      <w:sz w:val="56"/>
      <w:szCs w:val="56"/>
    </w:rPr>
  </w:style>
  <w:style w:type="character" w:customStyle="1" w:styleId="Heading2Char">
    <w:name w:val="Heading 2 Char"/>
    <w:basedOn w:val="DefaultParagraphFont"/>
    <w:link w:val="Heading2"/>
    <w:uiPriority w:val="9"/>
    <w:rsid w:val="00A619EB"/>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46266A"/>
    <w:rPr>
      <w:rFonts w:ascii="Times New Roman" w:eastAsiaTheme="majorEastAsia" w:hAnsi="Times New Roman" w:cstheme="majorBidi"/>
      <w:b/>
      <w:sz w:val="24"/>
      <w:szCs w:val="24"/>
    </w:rPr>
  </w:style>
  <w:style w:type="paragraph" w:styleId="Caption">
    <w:name w:val="caption"/>
    <w:basedOn w:val="Normal"/>
    <w:next w:val="Normal"/>
    <w:autoRedefine/>
    <w:uiPriority w:val="35"/>
    <w:unhideWhenUsed/>
    <w:qFormat/>
    <w:rsid w:val="00141145"/>
    <w:pPr>
      <w:spacing w:after="200"/>
      <w:jc w:val="center"/>
    </w:pPr>
    <w:rPr>
      <w:i/>
      <w:iCs/>
      <w:color w:val="767171" w:themeColor="background2" w:themeShade="80"/>
      <w:sz w:val="22"/>
      <w:szCs w:val="18"/>
    </w:rPr>
  </w:style>
  <w:style w:type="paragraph" w:styleId="Header">
    <w:name w:val="header"/>
    <w:basedOn w:val="Normal"/>
    <w:link w:val="HeaderChar"/>
    <w:uiPriority w:val="99"/>
    <w:unhideWhenUsed/>
    <w:rsid w:val="00724B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B0A"/>
    <w:rPr>
      <w:rFonts w:ascii="Times New Roman" w:hAnsi="Times New Roman"/>
      <w:kern w:val="0"/>
      <w:sz w:val="24"/>
      <w14:ligatures w14:val="none"/>
    </w:rPr>
  </w:style>
  <w:style w:type="paragraph" w:styleId="Footer">
    <w:name w:val="footer"/>
    <w:basedOn w:val="Normal"/>
    <w:link w:val="FooterChar"/>
    <w:uiPriority w:val="99"/>
    <w:unhideWhenUsed/>
    <w:rsid w:val="00724B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B0A"/>
    <w:rPr>
      <w:rFonts w:ascii="Times New Roman" w:hAnsi="Times New Roman"/>
      <w:kern w:val="0"/>
      <w:sz w:val="24"/>
      <w14:ligatures w14:val="none"/>
    </w:rPr>
  </w:style>
  <w:style w:type="paragraph" w:styleId="TOCHeading">
    <w:name w:val="TOC Heading"/>
    <w:basedOn w:val="Heading1"/>
    <w:next w:val="Normal"/>
    <w:uiPriority w:val="39"/>
    <w:unhideWhenUsed/>
    <w:qFormat/>
    <w:rsid w:val="008144F5"/>
    <w:pPr>
      <w:spacing w:before="240"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8144F5"/>
    <w:pPr>
      <w:spacing w:after="100"/>
    </w:pPr>
  </w:style>
  <w:style w:type="character" w:styleId="Hyperlink">
    <w:name w:val="Hyperlink"/>
    <w:basedOn w:val="DefaultParagraphFont"/>
    <w:uiPriority w:val="99"/>
    <w:unhideWhenUsed/>
    <w:rsid w:val="008144F5"/>
    <w:rPr>
      <w:color w:val="0563C1" w:themeColor="hyperlink"/>
      <w:u w:val="single"/>
    </w:rPr>
  </w:style>
  <w:style w:type="paragraph" w:styleId="ListParagraph">
    <w:name w:val="List Paragraph"/>
    <w:basedOn w:val="Normal"/>
    <w:uiPriority w:val="34"/>
    <w:qFormat/>
    <w:rsid w:val="008D5535"/>
    <w:pPr>
      <w:ind w:left="720"/>
      <w:contextualSpacing/>
    </w:pPr>
  </w:style>
  <w:style w:type="paragraph" w:styleId="NormalWeb">
    <w:name w:val="Normal (Web)"/>
    <w:basedOn w:val="Normal"/>
    <w:uiPriority w:val="99"/>
    <w:unhideWhenUsed/>
    <w:rsid w:val="008D7F78"/>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64890">
      <w:bodyDiv w:val="1"/>
      <w:marLeft w:val="0"/>
      <w:marRight w:val="0"/>
      <w:marTop w:val="0"/>
      <w:marBottom w:val="0"/>
      <w:divBdr>
        <w:top w:val="none" w:sz="0" w:space="0" w:color="auto"/>
        <w:left w:val="none" w:sz="0" w:space="0" w:color="auto"/>
        <w:bottom w:val="none" w:sz="0" w:space="0" w:color="auto"/>
        <w:right w:val="none" w:sz="0" w:space="0" w:color="auto"/>
      </w:divBdr>
    </w:div>
    <w:div w:id="266693904">
      <w:bodyDiv w:val="1"/>
      <w:marLeft w:val="0"/>
      <w:marRight w:val="0"/>
      <w:marTop w:val="0"/>
      <w:marBottom w:val="0"/>
      <w:divBdr>
        <w:top w:val="none" w:sz="0" w:space="0" w:color="auto"/>
        <w:left w:val="none" w:sz="0" w:space="0" w:color="auto"/>
        <w:bottom w:val="none" w:sz="0" w:space="0" w:color="auto"/>
        <w:right w:val="none" w:sz="0" w:space="0" w:color="auto"/>
      </w:divBdr>
    </w:div>
    <w:div w:id="871071412">
      <w:bodyDiv w:val="1"/>
      <w:marLeft w:val="0"/>
      <w:marRight w:val="0"/>
      <w:marTop w:val="0"/>
      <w:marBottom w:val="0"/>
      <w:divBdr>
        <w:top w:val="none" w:sz="0" w:space="0" w:color="auto"/>
        <w:left w:val="none" w:sz="0" w:space="0" w:color="auto"/>
        <w:bottom w:val="none" w:sz="0" w:space="0" w:color="auto"/>
        <w:right w:val="none" w:sz="0" w:space="0" w:color="auto"/>
      </w:divBdr>
    </w:div>
    <w:div w:id="1073434251">
      <w:bodyDiv w:val="1"/>
      <w:marLeft w:val="0"/>
      <w:marRight w:val="0"/>
      <w:marTop w:val="0"/>
      <w:marBottom w:val="0"/>
      <w:divBdr>
        <w:top w:val="none" w:sz="0" w:space="0" w:color="auto"/>
        <w:left w:val="none" w:sz="0" w:space="0" w:color="auto"/>
        <w:bottom w:val="none" w:sz="0" w:space="0" w:color="auto"/>
        <w:right w:val="none" w:sz="0" w:space="0" w:color="auto"/>
      </w:divBdr>
    </w:div>
    <w:div w:id="1140001074">
      <w:bodyDiv w:val="1"/>
      <w:marLeft w:val="0"/>
      <w:marRight w:val="0"/>
      <w:marTop w:val="0"/>
      <w:marBottom w:val="0"/>
      <w:divBdr>
        <w:top w:val="none" w:sz="0" w:space="0" w:color="auto"/>
        <w:left w:val="none" w:sz="0" w:space="0" w:color="auto"/>
        <w:bottom w:val="none" w:sz="0" w:space="0" w:color="auto"/>
        <w:right w:val="none" w:sz="0" w:space="0" w:color="auto"/>
      </w:divBdr>
      <w:divsChild>
        <w:div w:id="295337788">
          <w:marLeft w:val="0"/>
          <w:marRight w:val="0"/>
          <w:marTop w:val="0"/>
          <w:marBottom w:val="0"/>
          <w:divBdr>
            <w:top w:val="none" w:sz="0" w:space="0" w:color="auto"/>
            <w:left w:val="none" w:sz="0" w:space="0" w:color="auto"/>
            <w:bottom w:val="none" w:sz="0" w:space="0" w:color="auto"/>
            <w:right w:val="none" w:sz="0" w:space="0" w:color="auto"/>
          </w:divBdr>
        </w:div>
      </w:divsChild>
    </w:div>
    <w:div w:id="1155799817">
      <w:bodyDiv w:val="1"/>
      <w:marLeft w:val="0"/>
      <w:marRight w:val="0"/>
      <w:marTop w:val="0"/>
      <w:marBottom w:val="0"/>
      <w:divBdr>
        <w:top w:val="none" w:sz="0" w:space="0" w:color="auto"/>
        <w:left w:val="none" w:sz="0" w:space="0" w:color="auto"/>
        <w:bottom w:val="none" w:sz="0" w:space="0" w:color="auto"/>
        <w:right w:val="none" w:sz="0" w:space="0" w:color="auto"/>
      </w:divBdr>
    </w:div>
    <w:div w:id="1662468970">
      <w:bodyDiv w:val="1"/>
      <w:marLeft w:val="0"/>
      <w:marRight w:val="0"/>
      <w:marTop w:val="0"/>
      <w:marBottom w:val="0"/>
      <w:divBdr>
        <w:top w:val="none" w:sz="0" w:space="0" w:color="auto"/>
        <w:left w:val="none" w:sz="0" w:space="0" w:color="auto"/>
        <w:bottom w:val="none" w:sz="0" w:space="0" w:color="auto"/>
        <w:right w:val="none" w:sz="0" w:space="0" w:color="auto"/>
      </w:divBdr>
    </w:div>
    <w:div w:id="1879119740">
      <w:bodyDiv w:val="1"/>
      <w:marLeft w:val="0"/>
      <w:marRight w:val="0"/>
      <w:marTop w:val="0"/>
      <w:marBottom w:val="0"/>
      <w:divBdr>
        <w:top w:val="none" w:sz="0" w:space="0" w:color="auto"/>
        <w:left w:val="none" w:sz="0" w:space="0" w:color="auto"/>
        <w:bottom w:val="none" w:sz="0" w:space="0" w:color="auto"/>
        <w:right w:val="none" w:sz="0" w:space="0" w:color="auto"/>
      </w:divBdr>
    </w:div>
    <w:div w:id="2052149229">
      <w:bodyDiv w:val="1"/>
      <w:marLeft w:val="0"/>
      <w:marRight w:val="0"/>
      <w:marTop w:val="0"/>
      <w:marBottom w:val="0"/>
      <w:divBdr>
        <w:top w:val="none" w:sz="0" w:space="0" w:color="auto"/>
        <w:left w:val="none" w:sz="0" w:space="0" w:color="auto"/>
        <w:bottom w:val="none" w:sz="0" w:space="0" w:color="auto"/>
        <w:right w:val="none" w:sz="0" w:space="0" w:color="auto"/>
      </w:divBdr>
    </w:div>
    <w:div w:id="2087535420">
      <w:bodyDiv w:val="1"/>
      <w:marLeft w:val="0"/>
      <w:marRight w:val="0"/>
      <w:marTop w:val="0"/>
      <w:marBottom w:val="0"/>
      <w:divBdr>
        <w:top w:val="none" w:sz="0" w:space="0" w:color="auto"/>
        <w:left w:val="none" w:sz="0" w:space="0" w:color="auto"/>
        <w:bottom w:val="none" w:sz="0" w:space="0" w:color="auto"/>
        <w:right w:val="none" w:sz="0" w:space="0" w:color="auto"/>
      </w:divBdr>
    </w:div>
    <w:div w:id="212942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de-silva@uwtsd.ac.uk" TargetMode="Externa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4B4081-2752-4D0E-99E2-BF3009D31C2F}" type="doc">
      <dgm:prSet loTypeId="urn:microsoft.com/office/officeart/2005/8/layout/list1" loCatId="list" qsTypeId="urn:microsoft.com/office/officeart/2005/8/quickstyle/simple2" qsCatId="simple" csTypeId="urn:microsoft.com/office/officeart/2005/8/colors/colorful1" csCatId="colorful" phldr="1"/>
      <dgm:spPr/>
      <dgm:t>
        <a:bodyPr/>
        <a:lstStyle/>
        <a:p>
          <a:endParaRPr lang="en-GB"/>
        </a:p>
      </dgm:t>
    </dgm:pt>
    <dgm:pt modelId="{948C6F27-6970-4E8B-807D-56DCA52FF1AC}">
      <dgm:prSet phldrT="[Text]"/>
      <dgm:spPr/>
      <dgm:t>
        <a:bodyPr/>
        <a:lstStyle/>
        <a:p>
          <a:r>
            <a:rPr lang="en-GB" b="1">
              <a:latin typeface="Times New Roman" panose="02020603050405020304" pitchFamily="18" charset="0"/>
              <a:cs typeface="Times New Roman" panose="02020603050405020304" pitchFamily="18" charset="0"/>
            </a:rPr>
            <a:t>Total Revenue</a:t>
          </a:r>
          <a:endParaRPr lang="en-GB">
            <a:latin typeface="Times New Roman" panose="02020603050405020304" pitchFamily="18" charset="0"/>
            <a:cs typeface="Times New Roman" panose="02020603050405020304" pitchFamily="18" charset="0"/>
          </a:endParaRPr>
        </a:p>
      </dgm:t>
    </dgm:pt>
    <dgm:pt modelId="{F47E72AE-217E-4CB6-A049-E23AD819151A}" type="parTrans" cxnId="{40BE76F1-55FD-4BE2-8DE9-013289BE5BFF}">
      <dgm:prSet/>
      <dgm:spPr/>
      <dgm:t>
        <a:bodyPr/>
        <a:lstStyle/>
        <a:p>
          <a:endParaRPr lang="en-GB"/>
        </a:p>
      </dgm:t>
    </dgm:pt>
    <dgm:pt modelId="{79E00539-82E2-4F1A-B6D2-67FCB8326968}" type="sibTrans" cxnId="{40BE76F1-55FD-4BE2-8DE9-013289BE5BFF}">
      <dgm:prSet/>
      <dgm:spPr/>
      <dgm:t>
        <a:bodyPr/>
        <a:lstStyle/>
        <a:p>
          <a:endParaRPr lang="en-GB"/>
        </a:p>
      </dgm:t>
    </dgm:pt>
    <dgm:pt modelId="{D69D92EB-8B67-4411-BF4D-FF34BEE7D461}">
      <dgm:prSet phldrT="[Text]"/>
      <dgm:spPr/>
      <dgm:t>
        <a:bodyPr/>
        <a:lstStyle/>
        <a:p>
          <a:r>
            <a:rPr lang="en-GB" b="1">
              <a:latin typeface="Times New Roman" panose="02020603050405020304" pitchFamily="18" charset="0"/>
              <a:cs typeface="Times New Roman" panose="02020603050405020304" pitchFamily="18" charset="0"/>
            </a:rPr>
            <a:t>Revenue Sources</a:t>
          </a:r>
          <a:endParaRPr lang="en-GB">
            <a:latin typeface="Times New Roman" panose="02020603050405020304" pitchFamily="18" charset="0"/>
            <a:cs typeface="Times New Roman" panose="02020603050405020304" pitchFamily="18" charset="0"/>
          </a:endParaRPr>
        </a:p>
      </dgm:t>
    </dgm:pt>
    <dgm:pt modelId="{AF414E07-3D64-49CF-83DC-5FF464C24A57}" type="parTrans" cxnId="{5334D164-9CB6-47F6-A898-5141621E6E0C}">
      <dgm:prSet/>
      <dgm:spPr/>
      <dgm:t>
        <a:bodyPr/>
        <a:lstStyle/>
        <a:p>
          <a:endParaRPr lang="en-GB"/>
        </a:p>
      </dgm:t>
    </dgm:pt>
    <dgm:pt modelId="{98BF2427-1594-4933-8EC3-E28946E61971}" type="sibTrans" cxnId="{5334D164-9CB6-47F6-A898-5141621E6E0C}">
      <dgm:prSet/>
      <dgm:spPr/>
      <dgm:t>
        <a:bodyPr/>
        <a:lstStyle/>
        <a:p>
          <a:endParaRPr lang="en-GB"/>
        </a:p>
      </dgm:t>
    </dgm:pt>
    <dgm:pt modelId="{EA893F46-9DD0-43AB-9E7E-CC1C4A7167D5}">
      <dgm:prSet phldrT="[Text]"/>
      <dgm:spPr/>
      <dgm:t>
        <a:bodyPr/>
        <a:lstStyle/>
        <a:p>
          <a:r>
            <a:rPr lang="en-GB" b="1">
              <a:latin typeface="Times New Roman" panose="02020603050405020304" pitchFamily="18" charset="0"/>
              <a:cs typeface="Times New Roman" panose="02020603050405020304" pitchFamily="18" charset="0"/>
            </a:rPr>
            <a:t>Key Drivers</a:t>
          </a:r>
          <a:endParaRPr lang="en-GB">
            <a:latin typeface="Times New Roman" panose="02020603050405020304" pitchFamily="18" charset="0"/>
            <a:cs typeface="Times New Roman" panose="02020603050405020304" pitchFamily="18" charset="0"/>
          </a:endParaRPr>
        </a:p>
      </dgm:t>
    </dgm:pt>
    <dgm:pt modelId="{E8E691BD-DA79-4571-B3A7-3647B20B2779}" type="parTrans" cxnId="{394F60A9-6772-4C4B-A926-BE5C52D54CD4}">
      <dgm:prSet/>
      <dgm:spPr/>
      <dgm:t>
        <a:bodyPr/>
        <a:lstStyle/>
        <a:p>
          <a:endParaRPr lang="en-GB"/>
        </a:p>
      </dgm:t>
    </dgm:pt>
    <dgm:pt modelId="{CECA82E9-806F-4AEE-9CF0-83C9793482E7}" type="sibTrans" cxnId="{394F60A9-6772-4C4B-A926-BE5C52D54CD4}">
      <dgm:prSet/>
      <dgm:spPr/>
      <dgm:t>
        <a:bodyPr/>
        <a:lstStyle/>
        <a:p>
          <a:endParaRPr lang="en-GB"/>
        </a:p>
      </dgm:t>
    </dgm:pt>
    <dgm:pt modelId="{12092B8D-1A85-4997-90CF-E3BF477A9EA4}">
      <dgm:prSet/>
      <dgm:spPr/>
      <dgm:t>
        <a:bodyPr/>
        <a:lstStyle/>
        <a:p>
          <a:r>
            <a:rPr lang="en-GB" b="1">
              <a:latin typeface="Times New Roman" panose="02020603050405020304" pitchFamily="18" charset="0"/>
              <a:cs typeface="Times New Roman" panose="02020603050405020304" pitchFamily="18" charset="0"/>
            </a:rPr>
            <a:t>Revenue Trends</a:t>
          </a:r>
          <a:endParaRPr lang="en-GB">
            <a:latin typeface="Times New Roman" panose="02020603050405020304" pitchFamily="18" charset="0"/>
            <a:cs typeface="Times New Roman" panose="02020603050405020304" pitchFamily="18" charset="0"/>
          </a:endParaRPr>
        </a:p>
      </dgm:t>
    </dgm:pt>
    <dgm:pt modelId="{2FEDFF2C-1B9D-4046-ABC1-7CFBCC8095EA}" type="parTrans" cxnId="{2B408A60-E6F2-404C-8368-6E933D6CC3EC}">
      <dgm:prSet/>
      <dgm:spPr/>
      <dgm:t>
        <a:bodyPr/>
        <a:lstStyle/>
        <a:p>
          <a:endParaRPr lang="en-GB"/>
        </a:p>
      </dgm:t>
    </dgm:pt>
    <dgm:pt modelId="{CDC33AC1-D165-407E-8EBD-E898EB90A103}" type="sibTrans" cxnId="{2B408A60-E6F2-404C-8368-6E933D6CC3EC}">
      <dgm:prSet/>
      <dgm:spPr/>
      <dgm:t>
        <a:bodyPr/>
        <a:lstStyle/>
        <a:p>
          <a:endParaRPr lang="en-GB"/>
        </a:p>
      </dgm:t>
    </dgm:pt>
    <dgm:pt modelId="{3ACC068E-C577-40D8-8D01-1DCA3C3C9AAF}">
      <dgm:prSet/>
      <dgm:spPr/>
      <dgm:t>
        <a:bodyPr/>
        <a:lstStyle/>
        <a:p>
          <a:r>
            <a:rPr lang="en-GB" b="1">
              <a:latin typeface="Times New Roman" panose="02020603050405020304" pitchFamily="18" charset="0"/>
              <a:cs typeface="Times New Roman" panose="02020603050405020304" pitchFamily="18" charset="0"/>
            </a:rPr>
            <a:t>Comparison Insights</a:t>
          </a:r>
          <a:endParaRPr lang="en-GB">
            <a:latin typeface="Times New Roman" panose="02020603050405020304" pitchFamily="18" charset="0"/>
            <a:cs typeface="Times New Roman" panose="02020603050405020304" pitchFamily="18" charset="0"/>
          </a:endParaRPr>
        </a:p>
      </dgm:t>
    </dgm:pt>
    <dgm:pt modelId="{6B4FC3A3-4717-48BA-8517-EC1A2896AACD}" type="parTrans" cxnId="{DCEED1F0-0AAC-47D6-BFEE-4777F255AA50}">
      <dgm:prSet/>
      <dgm:spPr/>
      <dgm:t>
        <a:bodyPr/>
        <a:lstStyle/>
        <a:p>
          <a:endParaRPr lang="en-GB"/>
        </a:p>
      </dgm:t>
    </dgm:pt>
    <dgm:pt modelId="{FD39F9C6-DF3F-453D-B3EB-224AA5D3D38E}" type="sibTrans" cxnId="{DCEED1F0-0AAC-47D6-BFEE-4777F255AA50}">
      <dgm:prSet/>
      <dgm:spPr/>
      <dgm:t>
        <a:bodyPr/>
        <a:lstStyle/>
        <a:p>
          <a:endParaRPr lang="en-GB"/>
        </a:p>
      </dgm:t>
    </dgm:pt>
    <dgm:pt modelId="{12704F9E-F6B0-4054-A003-E91DC873C529}" type="pres">
      <dgm:prSet presAssocID="{4E4B4081-2752-4D0E-99E2-BF3009D31C2F}" presName="linear" presStyleCnt="0">
        <dgm:presLayoutVars>
          <dgm:dir/>
          <dgm:animLvl val="lvl"/>
          <dgm:resizeHandles val="exact"/>
        </dgm:presLayoutVars>
      </dgm:prSet>
      <dgm:spPr/>
    </dgm:pt>
    <dgm:pt modelId="{9D90041A-6C0B-4EAE-9693-8A1BE669A912}" type="pres">
      <dgm:prSet presAssocID="{948C6F27-6970-4E8B-807D-56DCA52FF1AC}" presName="parentLin" presStyleCnt="0"/>
      <dgm:spPr/>
    </dgm:pt>
    <dgm:pt modelId="{41D67DA1-65DE-407A-8F06-93DE903E1F2E}" type="pres">
      <dgm:prSet presAssocID="{948C6F27-6970-4E8B-807D-56DCA52FF1AC}" presName="parentLeftMargin" presStyleLbl="node1" presStyleIdx="0" presStyleCnt="5"/>
      <dgm:spPr/>
    </dgm:pt>
    <dgm:pt modelId="{7A412F10-7764-4976-B0EA-2869D37D9878}" type="pres">
      <dgm:prSet presAssocID="{948C6F27-6970-4E8B-807D-56DCA52FF1AC}" presName="parentText" presStyleLbl="node1" presStyleIdx="0" presStyleCnt="5">
        <dgm:presLayoutVars>
          <dgm:chMax val="0"/>
          <dgm:bulletEnabled val="1"/>
        </dgm:presLayoutVars>
      </dgm:prSet>
      <dgm:spPr/>
    </dgm:pt>
    <dgm:pt modelId="{9B285E96-176A-4EB1-9FA9-F172FA76B1BB}" type="pres">
      <dgm:prSet presAssocID="{948C6F27-6970-4E8B-807D-56DCA52FF1AC}" presName="negativeSpace" presStyleCnt="0"/>
      <dgm:spPr/>
    </dgm:pt>
    <dgm:pt modelId="{3FBF50B1-2F39-464F-A6D8-B65F1BB65CF8}" type="pres">
      <dgm:prSet presAssocID="{948C6F27-6970-4E8B-807D-56DCA52FF1AC}" presName="childText" presStyleLbl="conFgAcc1" presStyleIdx="0" presStyleCnt="5">
        <dgm:presLayoutVars>
          <dgm:bulletEnabled val="1"/>
        </dgm:presLayoutVars>
      </dgm:prSet>
      <dgm:spPr/>
    </dgm:pt>
    <dgm:pt modelId="{76CB445B-6AA0-4B20-8D9B-24AAA98D8D1E}" type="pres">
      <dgm:prSet presAssocID="{79E00539-82E2-4F1A-B6D2-67FCB8326968}" presName="spaceBetweenRectangles" presStyleCnt="0"/>
      <dgm:spPr/>
    </dgm:pt>
    <dgm:pt modelId="{4D95EB13-27E6-4D0D-B929-7539EA8D0C54}" type="pres">
      <dgm:prSet presAssocID="{D69D92EB-8B67-4411-BF4D-FF34BEE7D461}" presName="parentLin" presStyleCnt="0"/>
      <dgm:spPr/>
    </dgm:pt>
    <dgm:pt modelId="{95145DDB-C99F-47DD-9266-80D1C60F0B72}" type="pres">
      <dgm:prSet presAssocID="{D69D92EB-8B67-4411-BF4D-FF34BEE7D461}" presName="parentLeftMargin" presStyleLbl="node1" presStyleIdx="0" presStyleCnt="5"/>
      <dgm:spPr/>
    </dgm:pt>
    <dgm:pt modelId="{CD9D6DDF-E944-4EFA-A3CF-168D42CDD80E}" type="pres">
      <dgm:prSet presAssocID="{D69D92EB-8B67-4411-BF4D-FF34BEE7D461}" presName="parentText" presStyleLbl="node1" presStyleIdx="1" presStyleCnt="5">
        <dgm:presLayoutVars>
          <dgm:chMax val="0"/>
          <dgm:bulletEnabled val="1"/>
        </dgm:presLayoutVars>
      </dgm:prSet>
      <dgm:spPr/>
    </dgm:pt>
    <dgm:pt modelId="{7EE4C41D-7FAB-4467-B647-6911EF0C9909}" type="pres">
      <dgm:prSet presAssocID="{D69D92EB-8B67-4411-BF4D-FF34BEE7D461}" presName="negativeSpace" presStyleCnt="0"/>
      <dgm:spPr/>
    </dgm:pt>
    <dgm:pt modelId="{1E90B7ED-8355-4AEC-8AEE-37961511A59A}" type="pres">
      <dgm:prSet presAssocID="{D69D92EB-8B67-4411-BF4D-FF34BEE7D461}" presName="childText" presStyleLbl="conFgAcc1" presStyleIdx="1" presStyleCnt="5">
        <dgm:presLayoutVars>
          <dgm:bulletEnabled val="1"/>
        </dgm:presLayoutVars>
      </dgm:prSet>
      <dgm:spPr/>
    </dgm:pt>
    <dgm:pt modelId="{5B355DA5-D762-4381-B210-73E6557E743B}" type="pres">
      <dgm:prSet presAssocID="{98BF2427-1594-4933-8EC3-E28946E61971}" presName="spaceBetweenRectangles" presStyleCnt="0"/>
      <dgm:spPr/>
    </dgm:pt>
    <dgm:pt modelId="{DA640834-A2E0-4788-90CF-6EC1767FDECA}" type="pres">
      <dgm:prSet presAssocID="{EA893F46-9DD0-43AB-9E7E-CC1C4A7167D5}" presName="parentLin" presStyleCnt="0"/>
      <dgm:spPr/>
    </dgm:pt>
    <dgm:pt modelId="{13E4E1BD-3CAE-497C-A282-855E00958873}" type="pres">
      <dgm:prSet presAssocID="{EA893F46-9DD0-43AB-9E7E-CC1C4A7167D5}" presName="parentLeftMargin" presStyleLbl="node1" presStyleIdx="1" presStyleCnt="5"/>
      <dgm:spPr/>
    </dgm:pt>
    <dgm:pt modelId="{59196816-0248-4415-97EB-2EF1B6F87385}" type="pres">
      <dgm:prSet presAssocID="{EA893F46-9DD0-43AB-9E7E-CC1C4A7167D5}" presName="parentText" presStyleLbl="node1" presStyleIdx="2" presStyleCnt="5">
        <dgm:presLayoutVars>
          <dgm:chMax val="0"/>
          <dgm:bulletEnabled val="1"/>
        </dgm:presLayoutVars>
      </dgm:prSet>
      <dgm:spPr/>
    </dgm:pt>
    <dgm:pt modelId="{A3628F97-B769-4312-AE7A-F95AEB54C3D7}" type="pres">
      <dgm:prSet presAssocID="{EA893F46-9DD0-43AB-9E7E-CC1C4A7167D5}" presName="negativeSpace" presStyleCnt="0"/>
      <dgm:spPr/>
    </dgm:pt>
    <dgm:pt modelId="{66ED60B3-6C77-4CE9-A2D2-AA3256CEB74A}" type="pres">
      <dgm:prSet presAssocID="{EA893F46-9DD0-43AB-9E7E-CC1C4A7167D5}" presName="childText" presStyleLbl="conFgAcc1" presStyleIdx="2" presStyleCnt="5">
        <dgm:presLayoutVars>
          <dgm:bulletEnabled val="1"/>
        </dgm:presLayoutVars>
      </dgm:prSet>
      <dgm:spPr/>
    </dgm:pt>
    <dgm:pt modelId="{912A8388-3E9F-4EBD-A811-632E75FA3919}" type="pres">
      <dgm:prSet presAssocID="{CECA82E9-806F-4AEE-9CF0-83C9793482E7}" presName="spaceBetweenRectangles" presStyleCnt="0"/>
      <dgm:spPr/>
    </dgm:pt>
    <dgm:pt modelId="{4BF2A60E-278F-45A4-9CD1-2B368B1FB8E2}" type="pres">
      <dgm:prSet presAssocID="{12092B8D-1A85-4997-90CF-E3BF477A9EA4}" presName="parentLin" presStyleCnt="0"/>
      <dgm:spPr/>
    </dgm:pt>
    <dgm:pt modelId="{78E177A6-7545-4D5B-9861-C5E2BD8D31F7}" type="pres">
      <dgm:prSet presAssocID="{12092B8D-1A85-4997-90CF-E3BF477A9EA4}" presName="parentLeftMargin" presStyleLbl="node1" presStyleIdx="2" presStyleCnt="5"/>
      <dgm:spPr/>
    </dgm:pt>
    <dgm:pt modelId="{C47DEF71-7598-46C3-8B88-D1FEDEF3F998}" type="pres">
      <dgm:prSet presAssocID="{12092B8D-1A85-4997-90CF-E3BF477A9EA4}" presName="parentText" presStyleLbl="node1" presStyleIdx="3" presStyleCnt="5">
        <dgm:presLayoutVars>
          <dgm:chMax val="0"/>
          <dgm:bulletEnabled val="1"/>
        </dgm:presLayoutVars>
      </dgm:prSet>
      <dgm:spPr/>
    </dgm:pt>
    <dgm:pt modelId="{3C987DB6-0B2F-47DA-BCCD-0219C12619B9}" type="pres">
      <dgm:prSet presAssocID="{12092B8D-1A85-4997-90CF-E3BF477A9EA4}" presName="negativeSpace" presStyleCnt="0"/>
      <dgm:spPr/>
    </dgm:pt>
    <dgm:pt modelId="{CCBD0705-EE67-4A3A-AF70-8EE149897FB8}" type="pres">
      <dgm:prSet presAssocID="{12092B8D-1A85-4997-90CF-E3BF477A9EA4}" presName="childText" presStyleLbl="conFgAcc1" presStyleIdx="3" presStyleCnt="5">
        <dgm:presLayoutVars>
          <dgm:bulletEnabled val="1"/>
        </dgm:presLayoutVars>
      </dgm:prSet>
      <dgm:spPr/>
    </dgm:pt>
    <dgm:pt modelId="{52D89A97-BD76-42CE-85D2-F1F21F1DEE19}" type="pres">
      <dgm:prSet presAssocID="{CDC33AC1-D165-407E-8EBD-E898EB90A103}" presName="spaceBetweenRectangles" presStyleCnt="0"/>
      <dgm:spPr/>
    </dgm:pt>
    <dgm:pt modelId="{4ECBECB1-6C80-452A-A0B7-96F0C3D54EE0}" type="pres">
      <dgm:prSet presAssocID="{3ACC068E-C577-40D8-8D01-1DCA3C3C9AAF}" presName="parentLin" presStyleCnt="0"/>
      <dgm:spPr/>
    </dgm:pt>
    <dgm:pt modelId="{880FCD79-2FF2-44BE-A3A4-A288C4AABDE4}" type="pres">
      <dgm:prSet presAssocID="{3ACC068E-C577-40D8-8D01-1DCA3C3C9AAF}" presName="parentLeftMargin" presStyleLbl="node1" presStyleIdx="3" presStyleCnt="5"/>
      <dgm:spPr/>
    </dgm:pt>
    <dgm:pt modelId="{E3BDDA57-15FD-463B-A930-494C110836AA}" type="pres">
      <dgm:prSet presAssocID="{3ACC068E-C577-40D8-8D01-1DCA3C3C9AAF}" presName="parentText" presStyleLbl="node1" presStyleIdx="4" presStyleCnt="5">
        <dgm:presLayoutVars>
          <dgm:chMax val="0"/>
          <dgm:bulletEnabled val="1"/>
        </dgm:presLayoutVars>
      </dgm:prSet>
      <dgm:spPr/>
    </dgm:pt>
    <dgm:pt modelId="{E1929CF2-40FF-4D40-AC63-F57C2CAC3B3A}" type="pres">
      <dgm:prSet presAssocID="{3ACC068E-C577-40D8-8D01-1DCA3C3C9AAF}" presName="negativeSpace" presStyleCnt="0"/>
      <dgm:spPr/>
    </dgm:pt>
    <dgm:pt modelId="{9A2728A5-C728-40D5-B9B8-F337052C9756}" type="pres">
      <dgm:prSet presAssocID="{3ACC068E-C577-40D8-8D01-1DCA3C3C9AAF}" presName="childText" presStyleLbl="conFgAcc1" presStyleIdx="4" presStyleCnt="5">
        <dgm:presLayoutVars>
          <dgm:bulletEnabled val="1"/>
        </dgm:presLayoutVars>
      </dgm:prSet>
      <dgm:spPr/>
    </dgm:pt>
  </dgm:ptLst>
  <dgm:cxnLst>
    <dgm:cxn modelId="{CD077303-26E4-4A5E-BC9F-57E8CC2AD976}" type="presOf" srcId="{EA893F46-9DD0-43AB-9E7E-CC1C4A7167D5}" destId="{59196816-0248-4415-97EB-2EF1B6F87385}" srcOrd="1" destOrd="0" presId="urn:microsoft.com/office/officeart/2005/8/layout/list1"/>
    <dgm:cxn modelId="{0331B706-7241-40FA-8933-DFD92785E3A1}" type="presOf" srcId="{3ACC068E-C577-40D8-8D01-1DCA3C3C9AAF}" destId="{880FCD79-2FF2-44BE-A3A4-A288C4AABDE4}" srcOrd="0" destOrd="0" presId="urn:microsoft.com/office/officeart/2005/8/layout/list1"/>
    <dgm:cxn modelId="{44D2780C-42C4-493A-895E-A1CE9BA2376B}" type="presOf" srcId="{4E4B4081-2752-4D0E-99E2-BF3009D31C2F}" destId="{12704F9E-F6B0-4054-A003-E91DC873C529}" srcOrd="0" destOrd="0" presId="urn:microsoft.com/office/officeart/2005/8/layout/list1"/>
    <dgm:cxn modelId="{80245D32-9184-40DB-906D-CC90FAA83985}" type="presOf" srcId="{948C6F27-6970-4E8B-807D-56DCA52FF1AC}" destId="{41D67DA1-65DE-407A-8F06-93DE903E1F2E}" srcOrd="0" destOrd="0" presId="urn:microsoft.com/office/officeart/2005/8/layout/list1"/>
    <dgm:cxn modelId="{2B408A60-E6F2-404C-8368-6E933D6CC3EC}" srcId="{4E4B4081-2752-4D0E-99E2-BF3009D31C2F}" destId="{12092B8D-1A85-4997-90CF-E3BF477A9EA4}" srcOrd="3" destOrd="0" parTransId="{2FEDFF2C-1B9D-4046-ABC1-7CFBCC8095EA}" sibTransId="{CDC33AC1-D165-407E-8EBD-E898EB90A103}"/>
    <dgm:cxn modelId="{C258CC60-AEE9-497A-AE49-135DB8A1FC4F}" type="presOf" srcId="{3ACC068E-C577-40D8-8D01-1DCA3C3C9AAF}" destId="{E3BDDA57-15FD-463B-A930-494C110836AA}" srcOrd="1" destOrd="0" presId="urn:microsoft.com/office/officeart/2005/8/layout/list1"/>
    <dgm:cxn modelId="{5334D164-9CB6-47F6-A898-5141621E6E0C}" srcId="{4E4B4081-2752-4D0E-99E2-BF3009D31C2F}" destId="{D69D92EB-8B67-4411-BF4D-FF34BEE7D461}" srcOrd="1" destOrd="0" parTransId="{AF414E07-3D64-49CF-83DC-5FF464C24A57}" sibTransId="{98BF2427-1594-4933-8EC3-E28946E61971}"/>
    <dgm:cxn modelId="{20889C68-6BA0-4AB1-A57A-4EFAB4EBFEAF}" type="presOf" srcId="{12092B8D-1A85-4997-90CF-E3BF477A9EA4}" destId="{78E177A6-7545-4D5B-9861-C5E2BD8D31F7}" srcOrd="0" destOrd="0" presId="urn:microsoft.com/office/officeart/2005/8/layout/list1"/>
    <dgm:cxn modelId="{89F1B58A-4061-44AE-9C9D-155DBAFBF86A}" type="presOf" srcId="{D69D92EB-8B67-4411-BF4D-FF34BEE7D461}" destId="{95145DDB-C99F-47DD-9266-80D1C60F0B72}" srcOrd="0" destOrd="0" presId="urn:microsoft.com/office/officeart/2005/8/layout/list1"/>
    <dgm:cxn modelId="{394F60A9-6772-4C4B-A926-BE5C52D54CD4}" srcId="{4E4B4081-2752-4D0E-99E2-BF3009D31C2F}" destId="{EA893F46-9DD0-43AB-9E7E-CC1C4A7167D5}" srcOrd="2" destOrd="0" parTransId="{E8E691BD-DA79-4571-B3A7-3647B20B2779}" sibTransId="{CECA82E9-806F-4AEE-9CF0-83C9793482E7}"/>
    <dgm:cxn modelId="{B20BDDAA-E7A0-4390-91B6-B744F406476C}" type="presOf" srcId="{D69D92EB-8B67-4411-BF4D-FF34BEE7D461}" destId="{CD9D6DDF-E944-4EFA-A3CF-168D42CDD80E}" srcOrd="1" destOrd="0" presId="urn:microsoft.com/office/officeart/2005/8/layout/list1"/>
    <dgm:cxn modelId="{4FC3C6CA-D50B-442E-99B4-8DDCB8317DDF}" type="presOf" srcId="{EA893F46-9DD0-43AB-9E7E-CC1C4A7167D5}" destId="{13E4E1BD-3CAE-497C-A282-855E00958873}" srcOrd="0" destOrd="0" presId="urn:microsoft.com/office/officeart/2005/8/layout/list1"/>
    <dgm:cxn modelId="{BFD56CF0-5028-4A40-91BC-63C8525F850E}" type="presOf" srcId="{948C6F27-6970-4E8B-807D-56DCA52FF1AC}" destId="{7A412F10-7764-4976-B0EA-2869D37D9878}" srcOrd="1" destOrd="0" presId="urn:microsoft.com/office/officeart/2005/8/layout/list1"/>
    <dgm:cxn modelId="{DCEED1F0-0AAC-47D6-BFEE-4777F255AA50}" srcId="{4E4B4081-2752-4D0E-99E2-BF3009D31C2F}" destId="{3ACC068E-C577-40D8-8D01-1DCA3C3C9AAF}" srcOrd="4" destOrd="0" parTransId="{6B4FC3A3-4717-48BA-8517-EC1A2896AACD}" sibTransId="{FD39F9C6-DF3F-453D-B3EB-224AA5D3D38E}"/>
    <dgm:cxn modelId="{40BE76F1-55FD-4BE2-8DE9-013289BE5BFF}" srcId="{4E4B4081-2752-4D0E-99E2-BF3009D31C2F}" destId="{948C6F27-6970-4E8B-807D-56DCA52FF1AC}" srcOrd="0" destOrd="0" parTransId="{F47E72AE-217E-4CB6-A049-E23AD819151A}" sibTransId="{79E00539-82E2-4F1A-B6D2-67FCB8326968}"/>
    <dgm:cxn modelId="{DF4981F8-95D3-4D60-B35D-2CE1DEE7FF45}" type="presOf" srcId="{12092B8D-1A85-4997-90CF-E3BF477A9EA4}" destId="{C47DEF71-7598-46C3-8B88-D1FEDEF3F998}" srcOrd="1" destOrd="0" presId="urn:microsoft.com/office/officeart/2005/8/layout/list1"/>
    <dgm:cxn modelId="{E5FE7E38-CC84-4AA7-8481-9174E03B068B}" type="presParOf" srcId="{12704F9E-F6B0-4054-A003-E91DC873C529}" destId="{9D90041A-6C0B-4EAE-9693-8A1BE669A912}" srcOrd="0" destOrd="0" presId="urn:microsoft.com/office/officeart/2005/8/layout/list1"/>
    <dgm:cxn modelId="{EE19A415-6B61-43C0-BE28-D2B6F44DEAC6}" type="presParOf" srcId="{9D90041A-6C0B-4EAE-9693-8A1BE669A912}" destId="{41D67DA1-65DE-407A-8F06-93DE903E1F2E}" srcOrd="0" destOrd="0" presId="urn:microsoft.com/office/officeart/2005/8/layout/list1"/>
    <dgm:cxn modelId="{2E05C0C5-152F-40C6-A237-29F8434C0ED8}" type="presParOf" srcId="{9D90041A-6C0B-4EAE-9693-8A1BE669A912}" destId="{7A412F10-7764-4976-B0EA-2869D37D9878}" srcOrd="1" destOrd="0" presId="urn:microsoft.com/office/officeart/2005/8/layout/list1"/>
    <dgm:cxn modelId="{F95B56C7-30D9-49A1-8694-5244D475B05A}" type="presParOf" srcId="{12704F9E-F6B0-4054-A003-E91DC873C529}" destId="{9B285E96-176A-4EB1-9FA9-F172FA76B1BB}" srcOrd="1" destOrd="0" presId="urn:microsoft.com/office/officeart/2005/8/layout/list1"/>
    <dgm:cxn modelId="{C6455619-7B89-4CC1-AD27-49859C349AAA}" type="presParOf" srcId="{12704F9E-F6B0-4054-A003-E91DC873C529}" destId="{3FBF50B1-2F39-464F-A6D8-B65F1BB65CF8}" srcOrd="2" destOrd="0" presId="urn:microsoft.com/office/officeart/2005/8/layout/list1"/>
    <dgm:cxn modelId="{03769E8B-8861-45CC-89DE-9B9E9242EF2E}" type="presParOf" srcId="{12704F9E-F6B0-4054-A003-E91DC873C529}" destId="{76CB445B-6AA0-4B20-8D9B-24AAA98D8D1E}" srcOrd="3" destOrd="0" presId="urn:microsoft.com/office/officeart/2005/8/layout/list1"/>
    <dgm:cxn modelId="{52413821-34EC-457B-A43B-78CBE6E87441}" type="presParOf" srcId="{12704F9E-F6B0-4054-A003-E91DC873C529}" destId="{4D95EB13-27E6-4D0D-B929-7539EA8D0C54}" srcOrd="4" destOrd="0" presId="urn:microsoft.com/office/officeart/2005/8/layout/list1"/>
    <dgm:cxn modelId="{CDBD86E1-5EE1-4D48-A7BE-2D1356654585}" type="presParOf" srcId="{4D95EB13-27E6-4D0D-B929-7539EA8D0C54}" destId="{95145DDB-C99F-47DD-9266-80D1C60F0B72}" srcOrd="0" destOrd="0" presId="urn:microsoft.com/office/officeart/2005/8/layout/list1"/>
    <dgm:cxn modelId="{4AB86473-37B8-41D1-B8BA-CB84902F2CC8}" type="presParOf" srcId="{4D95EB13-27E6-4D0D-B929-7539EA8D0C54}" destId="{CD9D6DDF-E944-4EFA-A3CF-168D42CDD80E}" srcOrd="1" destOrd="0" presId="urn:microsoft.com/office/officeart/2005/8/layout/list1"/>
    <dgm:cxn modelId="{E53704DB-6BF2-4FF9-8E06-FD284ADE09B7}" type="presParOf" srcId="{12704F9E-F6B0-4054-A003-E91DC873C529}" destId="{7EE4C41D-7FAB-4467-B647-6911EF0C9909}" srcOrd="5" destOrd="0" presId="urn:microsoft.com/office/officeart/2005/8/layout/list1"/>
    <dgm:cxn modelId="{0BB73A37-DB7D-40AD-AD02-96142C253676}" type="presParOf" srcId="{12704F9E-F6B0-4054-A003-E91DC873C529}" destId="{1E90B7ED-8355-4AEC-8AEE-37961511A59A}" srcOrd="6" destOrd="0" presId="urn:microsoft.com/office/officeart/2005/8/layout/list1"/>
    <dgm:cxn modelId="{07865DBA-659D-4F98-A130-0925B92CA050}" type="presParOf" srcId="{12704F9E-F6B0-4054-A003-E91DC873C529}" destId="{5B355DA5-D762-4381-B210-73E6557E743B}" srcOrd="7" destOrd="0" presId="urn:microsoft.com/office/officeart/2005/8/layout/list1"/>
    <dgm:cxn modelId="{4DC31EF2-B681-480E-A002-591D9E65F623}" type="presParOf" srcId="{12704F9E-F6B0-4054-A003-E91DC873C529}" destId="{DA640834-A2E0-4788-90CF-6EC1767FDECA}" srcOrd="8" destOrd="0" presId="urn:microsoft.com/office/officeart/2005/8/layout/list1"/>
    <dgm:cxn modelId="{1199A5CA-F7EF-4BA3-8122-137FAFEA5C72}" type="presParOf" srcId="{DA640834-A2E0-4788-90CF-6EC1767FDECA}" destId="{13E4E1BD-3CAE-497C-A282-855E00958873}" srcOrd="0" destOrd="0" presId="urn:microsoft.com/office/officeart/2005/8/layout/list1"/>
    <dgm:cxn modelId="{8FA0FBB7-306E-442A-9FA4-D67F6F448DD1}" type="presParOf" srcId="{DA640834-A2E0-4788-90CF-6EC1767FDECA}" destId="{59196816-0248-4415-97EB-2EF1B6F87385}" srcOrd="1" destOrd="0" presId="urn:microsoft.com/office/officeart/2005/8/layout/list1"/>
    <dgm:cxn modelId="{F80B37B8-1433-42A0-8B85-1DA4E011B880}" type="presParOf" srcId="{12704F9E-F6B0-4054-A003-E91DC873C529}" destId="{A3628F97-B769-4312-AE7A-F95AEB54C3D7}" srcOrd="9" destOrd="0" presId="urn:microsoft.com/office/officeart/2005/8/layout/list1"/>
    <dgm:cxn modelId="{1062D6E8-CDF1-4BC9-AB2C-3731C710EDA6}" type="presParOf" srcId="{12704F9E-F6B0-4054-A003-E91DC873C529}" destId="{66ED60B3-6C77-4CE9-A2D2-AA3256CEB74A}" srcOrd="10" destOrd="0" presId="urn:microsoft.com/office/officeart/2005/8/layout/list1"/>
    <dgm:cxn modelId="{D989702B-0E1C-4086-BBB6-3977164D13A0}" type="presParOf" srcId="{12704F9E-F6B0-4054-A003-E91DC873C529}" destId="{912A8388-3E9F-4EBD-A811-632E75FA3919}" srcOrd="11" destOrd="0" presId="urn:microsoft.com/office/officeart/2005/8/layout/list1"/>
    <dgm:cxn modelId="{DC95DF24-7BDE-4FF9-87B4-D39544B708AA}" type="presParOf" srcId="{12704F9E-F6B0-4054-A003-E91DC873C529}" destId="{4BF2A60E-278F-45A4-9CD1-2B368B1FB8E2}" srcOrd="12" destOrd="0" presId="urn:microsoft.com/office/officeart/2005/8/layout/list1"/>
    <dgm:cxn modelId="{44A4A147-BBE3-490F-8492-25FF8C0F441B}" type="presParOf" srcId="{4BF2A60E-278F-45A4-9CD1-2B368B1FB8E2}" destId="{78E177A6-7545-4D5B-9861-C5E2BD8D31F7}" srcOrd="0" destOrd="0" presId="urn:microsoft.com/office/officeart/2005/8/layout/list1"/>
    <dgm:cxn modelId="{162BC6FE-7280-4BC2-9A87-3ECC09D34CE0}" type="presParOf" srcId="{4BF2A60E-278F-45A4-9CD1-2B368B1FB8E2}" destId="{C47DEF71-7598-46C3-8B88-D1FEDEF3F998}" srcOrd="1" destOrd="0" presId="urn:microsoft.com/office/officeart/2005/8/layout/list1"/>
    <dgm:cxn modelId="{AD9E335E-53CF-4991-8635-05CAEA65476A}" type="presParOf" srcId="{12704F9E-F6B0-4054-A003-E91DC873C529}" destId="{3C987DB6-0B2F-47DA-BCCD-0219C12619B9}" srcOrd="13" destOrd="0" presId="urn:microsoft.com/office/officeart/2005/8/layout/list1"/>
    <dgm:cxn modelId="{BEDB892E-CCDC-4525-876E-A54DB1EBD6E2}" type="presParOf" srcId="{12704F9E-F6B0-4054-A003-E91DC873C529}" destId="{CCBD0705-EE67-4A3A-AF70-8EE149897FB8}" srcOrd="14" destOrd="0" presId="urn:microsoft.com/office/officeart/2005/8/layout/list1"/>
    <dgm:cxn modelId="{FF594D14-3258-4C94-ADD5-BD1F8008A288}" type="presParOf" srcId="{12704F9E-F6B0-4054-A003-E91DC873C529}" destId="{52D89A97-BD76-42CE-85D2-F1F21F1DEE19}" srcOrd="15" destOrd="0" presId="urn:microsoft.com/office/officeart/2005/8/layout/list1"/>
    <dgm:cxn modelId="{A808AE8D-B0FD-4C0F-83FB-86C369CE8577}" type="presParOf" srcId="{12704F9E-F6B0-4054-A003-E91DC873C529}" destId="{4ECBECB1-6C80-452A-A0B7-96F0C3D54EE0}" srcOrd="16" destOrd="0" presId="urn:microsoft.com/office/officeart/2005/8/layout/list1"/>
    <dgm:cxn modelId="{A9B4E1C5-387D-43A7-AD2B-84DE5B3074EA}" type="presParOf" srcId="{4ECBECB1-6C80-452A-A0B7-96F0C3D54EE0}" destId="{880FCD79-2FF2-44BE-A3A4-A288C4AABDE4}" srcOrd="0" destOrd="0" presId="urn:microsoft.com/office/officeart/2005/8/layout/list1"/>
    <dgm:cxn modelId="{C9BA6EE4-18B9-4751-8C35-916F74903C71}" type="presParOf" srcId="{4ECBECB1-6C80-452A-A0B7-96F0C3D54EE0}" destId="{E3BDDA57-15FD-463B-A930-494C110836AA}" srcOrd="1" destOrd="0" presId="urn:microsoft.com/office/officeart/2005/8/layout/list1"/>
    <dgm:cxn modelId="{06DC6BCD-BF40-4DED-A0B1-D358345AAB92}" type="presParOf" srcId="{12704F9E-F6B0-4054-A003-E91DC873C529}" destId="{E1929CF2-40FF-4D40-AC63-F57C2CAC3B3A}" srcOrd="17" destOrd="0" presId="urn:microsoft.com/office/officeart/2005/8/layout/list1"/>
    <dgm:cxn modelId="{3794F3F0-86BE-489D-BB3C-4BFE512EE351}" type="presParOf" srcId="{12704F9E-F6B0-4054-A003-E91DC873C529}" destId="{9A2728A5-C728-40D5-B9B8-F337052C9756}" srcOrd="18"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F1448A0-E629-4DB2-B09A-63FE0348687A}" type="doc">
      <dgm:prSet loTypeId="urn:microsoft.com/office/officeart/2005/8/layout/cycle6" loCatId="cycle" qsTypeId="urn:microsoft.com/office/officeart/2005/8/quickstyle/simple1" qsCatId="simple" csTypeId="urn:microsoft.com/office/officeart/2005/8/colors/colorful2" csCatId="colorful" phldr="1"/>
      <dgm:spPr/>
      <dgm:t>
        <a:bodyPr/>
        <a:lstStyle/>
        <a:p>
          <a:endParaRPr lang="en-GB"/>
        </a:p>
      </dgm:t>
    </dgm:pt>
    <dgm:pt modelId="{F6E675B1-F666-4F6D-8131-8AD4CDF4DD3A}">
      <dgm:prSet phldrT="[Text]"/>
      <dgm:spPr/>
      <dgm:t>
        <a:bodyPr/>
        <a:lstStyle/>
        <a:p>
          <a:r>
            <a:rPr lang="en-GB" b="1">
              <a:latin typeface="Times New Roman" panose="02020603050405020304" pitchFamily="18" charset="0"/>
              <a:cs typeface="Times New Roman" panose="02020603050405020304" pitchFamily="18" charset="0"/>
            </a:rPr>
            <a:t>Market Share</a:t>
          </a:r>
          <a:endParaRPr lang="en-GB">
            <a:latin typeface="Times New Roman" panose="02020603050405020304" pitchFamily="18" charset="0"/>
            <a:cs typeface="Times New Roman" panose="02020603050405020304" pitchFamily="18" charset="0"/>
          </a:endParaRPr>
        </a:p>
      </dgm:t>
    </dgm:pt>
    <dgm:pt modelId="{6B332DCA-8543-4466-AF2F-0CB4396005E0}" type="parTrans" cxnId="{6C3AEFEC-C228-4A1A-9A8E-35FC86EC4474}">
      <dgm:prSet/>
      <dgm:spPr/>
      <dgm:t>
        <a:bodyPr/>
        <a:lstStyle/>
        <a:p>
          <a:endParaRPr lang="en-GB"/>
        </a:p>
      </dgm:t>
    </dgm:pt>
    <dgm:pt modelId="{4A19AEA9-6531-4B64-AC29-F1D42830D65A}" type="sibTrans" cxnId="{6C3AEFEC-C228-4A1A-9A8E-35FC86EC4474}">
      <dgm:prSet/>
      <dgm:spPr/>
      <dgm:t>
        <a:bodyPr/>
        <a:lstStyle/>
        <a:p>
          <a:endParaRPr lang="en-GB">
            <a:latin typeface="Times New Roman" panose="02020603050405020304" pitchFamily="18" charset="0"/>
            <a:cs typeface="Times New Roman" panose="02020603050405020304" pitchFamily="18" charset="0"/>
          </a:endParaRPr>
        </a:p>
      </dgm:t>
    </dgm:pt>
    <dgm:pt modelId="{4F0C534B-53E5-4095-B535-F3A26708CB45}">
      <dgm:prSet phldrT="[Text]"/>
      <dgm:spPr/>
      <dgm:t>
        <a:bodyPr/>
        <a:lstStyle/>
        <a:p>
          <a:r>
            <a:rPr lang="en-GB" b="1">
              <a:latin typeface="Times New Roman" panose="02020603050405020304" pitchFamily="18" charset="0"/>
              <a:cs typeface="Times New Roman" panose="02020603050405020304" pitchFamily="18" charset="0"/>
            </a:rPr>
            <a:t>Customer Demographics</a:t>
          </a:r>
          <a:endParaRPr lang="en-GB">
            <a:latin typeface="Times New Roman" panose="02020603050405020304" pitchFamily="18" charset="0"/>
            <a:cs typeface="Times New Roman" panose="02020603050405020304" pitchFamily="18" charset="0"/>
          </a:endParaRPr>
        </a:p>
      </dgm:t>
    </dgm:pt>
    <dgm:pt modelId="{9EB98955-15AE-4B4B-B647-D2B974F2F0A1}" type="parTrans" cxnId="{904E34E2-EEA1-45C8-A69D-65A213B4933E}">
      <dgm:prSet/>
      <dgm:spPr/>
      <dgm:t>
        <a:bodyPr/>
        <a:lstStyle/>
        <a:p>
          <a:endParaRPr lang="en-GB"/>
        </a:p>
      </dgm:t>
    </dgm:pt>
    <dgm:pt modelId="{2F1F5C9C-B608-4B4B-AECB-F9B873575E55}" type="sibTrans" cxnId="{904E34E2-EEA1-45C8-A69D-65A213B4933E}">
      <dgm:prSet/>
      <dgm:spPr/>
      <dgm:t>
        <a:bodyPr/>
        <a:lstStyle/>
        <a:p>
          <a:endParaRPr lang="en-GB">
            <a:latin typeface="Times New Roman" panose="02020603050405020304" pitchFamily="18" charset="0"/>
            <a:cs typeface="Times New Roman" panose="02020603050405020304" pitchFamily="18" charset="0"/>
          </a:endParaRPr>
        </a:p>
      </dgm:t>
    </dgm:pt>
    <dgm:pt modelId="{0698672C-6664-491F-A471-E49DEDBF6C41}">
      <dgm:prSet phldrT="[Text]"/>
      <dgm:spPr/>
      <dgm:t>
        <a:bodyPr/>
        <a:lstStyle/>
        <a:p>
          <a:r>
            <a:rPr lang="en-GB" b="1">
              <a:latin typeface="Times New Roman" panose="02020603050405020304" pitchFamily="18" charset="0"/>
              <a:cs typeface="Times New Roman" panose="02020603050405020304" pitchFamily="18" charset="0"/>
            </a:rPr>
            <a:t>Brand Perceptions</a:t>
          </a:r>
          <a:endParaRPr lang="en-GB">
            <a:latin typeface="Times New Roman" panose="02020603050405020304" pitchFamily="18" charset="0"/>
            <a:cs typeface="Times New Roman" panose="02020603050405020304" pitchFamily="18" charset="0"/>
          </a:endParaRPr>
        </a:p>
      </dgm:t>
    </dgm:pt>
    <dgm:pt modelId="{096933EC-AED8-47CE-B504-96E24F148AF9}" type="parTrans" cxnId="{934A2878-1793-4DE8-8FEC-689E6063DEA6}">
      <dgm:prSet/>
      <dgm:spPr/>
      <dgm:t>
        <a:bodyPr/>
        <a:lstStyle/>
        <a:p>
          <a:endParaRPr lang="en-GB"/>
        </a:p>
      </dgm:t>
    </dgm:pt>
    <dgm:pt modelId="{FC8E2E8D-90C5-4225-91E0-D96714E027F3}" type="sibTrans" cxnId="{934A2878-1793-4DE8-8FEC-689E6063DEA6}">
      <dgm:prSet/>
      <dgm:spPr/>
      <dgm:t>
        <a:bodyPr/>
        <a:lstStyle/>
        <a:p>
          <a:endParaRPr lang="en-GB">
            <a:latin typeface="Times New Roman" panose="02020603050405020304" pitchFamily="18" charset="0"/>
            <a:cs typeface="Times New Roman" panose="02020603050405020304" pitchFamily="18" charset="0"/>
          </a:endParaRPr>
        </a:p>
      </dgm:t>
    </dgm:pt>
    <dgm:pt modelId="{40D111EF-0F32-4EAD-8F0D-68C00AD9764C}">
      <dgm:prSet phldrT="[Text]"/>
      <dgm:spPr/>
      <dgm:t>
        <a:bodyPr/>
        <a:lstStyle/>
        <a:p>
          <a:r>
            <a:rPr lang="en-GB" b="1">
              <a:latin typeface="Times New Roman" panose="02020603050405020304" pitchFamily="18" charset="0"/>
              <a:cs typeface="Times New Roman" panose="02020603050405020304" pitchFamily="18" charset="0"/>
            </a:rPr>
            <a:t>Comparison Insights:</a:t>
          </a:r>
          <a:r>
            <a:rPr lang="en-GB">
              <a:latin typeface="Times New Roman" panose="02020603050405020304" pitchFamily="18" charset="0"/>
              <a:cs typeface="Times New Roman" panose="02020603050405020304" pitchFamily="18" charset="0"/>
            </a:rPr>
            <a:t> </a:t>
          </a:r>
        </a:p>
      </dgm:t>
    </dgm:pt>
    <dgm:pt modelId="{7A03B375-C231-4C08-9436-EA8A74AB411D}" type="parTrans" cxnId="{BE8E01BC-583F-4374-8DBF-28378C41E73B}">
      <dgm:prSet/>
      <dgm:spPr/>
      <dgm:t>
        <a:bodyPr/>
        <a:lstStyle/>
        <a:p>
          <a:endParaRPr lang="en-GB"/>
        </a:p>
      </dgm:t>
    </dgm:pt>
    <dgm:pt modelId="{FDE7958F-6B30-4ABF-B996-35A358C5E060}" type="sibTrans" cxnId="{BE8E01BC-583F-4374-8DBF-28378C41E73B}">
      <dgm:prSet/>
      <dgm:spPr/>
      <dgm:t>
        <a:bodyPr/>
        <a:lstStyle/>
        <a:p>
          <a:endParaRPr lang="en-GB">
            <a:latin typeface="Times New Roman" panose="02020603050405020304" pitchFamily="18" charset="0"/>
            <a:cs typeface="Times New Roman" panose="02020603050405020304" pitchFamily="18" charset="0"/>
          </a:endParaRPr>
        </a:p>
      </dgm:t>
    </dgm:pt>
    <dgm:pt modelId="{C976F95E-F266-4ACB-87E2-223606AEBEBF}" type="pres">
      <dgm:prSet presAssocID="{0F1448A0-E629-4DB2-B09A-63FE0348687A}" presName="cycle" presStyleCnt="0">
        <dgm:presLayoutVars>
          <dgm:dir/>
          <dgm:resizeHandles val="exact"/>
        </dgm:presLayoutVars>
      </dgm:prSet>
      <dgm:spPr/>
    </dgm:pt>
    <dgm:pt modelId="{0C083CFC-C829-48B3-ADDF-9026744EF7A0}" type="pres">
      <dgm:prSet presAssocID="{F6E675B1-F666-4F6D-8131-8AD4CDF4DD3A}" presName="node" presStyleLbl="node1" presStyleIdx="0" presStyleCnt="4">
        <dgm:presLayoutVars>
          <dgm:bulletEnabled val="1"/>
        </dgm:presLayoutVars>
      </dgm:prSet>
      <dgm:spPr/>
    </dgm:pt>
    <dgm:pt modelId="{7A888FFB-A15C-4010-A3C7-6A4C11875BF9}" type="pres">
      <dgm:prSet presAssocID="{F6E675B1-F666-4F6D-8131-8AD4CDF4DD3A}" presName="spNode" presStyleCnt="0"/>
      <dgm:spPr/>
    </dgm:pt>
    <dgm:pt modelId="{D8AE2778-C038-4FE3-9C73-5BC6961E3A7F}" type="pres">
      <dgm:prSet presAssocID="{4A19AEA9-6531-4B64-AC29-F1D42830D65A}" presName="sibTrans" presStyleLbl="sibTrans1D1" presStyleIdx="0" presStyleCnt="4"/>
      <dgm:spPr/>
    </dgm:pt>
    <dgm:pt modelId="{ACC6CFB0-9960-4A1C-8A72-D3E7CE655539}" type="pres">
      <dgm:prSet presAssocID="{4F0C534B-53E5-4095-B535-F3A26708CB45}" presName="node" presStyleLbl="node1" presStyleIdx="1" presStyleCnt="4">
        <dgm:presLayoutVars>
          <dgm:bulletEnabled val="1"/>
        </dgm:presLayoutVars>
      </dgm:prSet>
      <dgm:spPr/>
    </dgm:pt>
    <dgm:pt modelId="{529D698B-70C2-4D2F-B844-AEBF099BC679}" type="pres">
      <dgm:prSet presAssocID="{4F0C534B-53E5-4095-B535-F3A26708CB45}" presName="spNode" presStyleCnt="0"/>
      <dgm:spPr/>
    </dgm:pt>
    <dgm:pt modelId="{F18CDAF8-CA48-45D5-B3B5-EB57EE658B99}" type="pres">
      <dgm:prSet presAssocID="{2F1F5C9C-B608-4B4B-AECB-F9B873575E55}" presName="sibTrans" presStyleLbl="sibTrans1D1" presStyleIdx="1" presStyleCnt="4"/>
      <dgm:spPr/>
    </dgm:pt>
    <dgm:pt modelId="{FBFAC55D-A1FB-4C0D-9E71-358879F43D81}" type="pres">
      <dgm:prSet presAssocID="{0698672C-6664-491F-A471-E49DEDBF6C41}" presName="node" presStyleLbl="node1" presStyleIdx="2" presStyleCnt="4">
        <dgm:presLayoutVars>
          <dgm:bulletEnabled val="1"/>
        </dgm:presLayoutVars>
      </dgm:prSet>
      <dgm:spPr/>
    </dgm:pt>
    <dgm:pt modelId="{F9843F0E-D7C8-4A7F-83CD-13D58283987D}" type="pres">
      <dgm:prSet presAssocID="{0698672C-6664-491F-A471-E49DEDBF6C41}" presName="spNode" presStyleCnt="0"/>
      <dgm:spPr/>
    </dgm:pt>
    <dgm:pt modelId="{C5820F06-CA57-4F2D-9C51-C6FB2EC6512A}" type="pres">
      <dgm:prSet presAssocID="{FC8E2E8D-90C5-4225-91E0-D96714E027F3}" presName="sibTrans" presStyleLbl="sibTrans1D1" presStyleIdx="2" presStyleCnt="4"/>
      <dgm:spPr/>
    </dgm:pt>
    <dgm:pt modelId="{95AD8B70-A9A5-4B89-8CE7-E07D99A64C56}" type="pres">
      <dgm:prSet presAssocID="{40D111EF-0F32-4EAD-8F0D-68C00AD9764C}" presName="node" presStyleLbl="node1" presStyleIdx="3" presStyleCnt="4">
        <dgm:presLayoutVars>
          <dgm:bulletEnabled val="1"/>
        </dgm:presLayoutVars>
      </dgm:prSet>
      <dgm:spPr/>
    </dgm:pt>
    <dgm:pt modelId="{998FFCFD-5B80-444F-8C56-728D33E6FB42}" type="pres">
      <dgm:prSet presAssocID="{40D111EF-0F32-4EAD-8F0D-68C00AD9764C}" presName="spNode" presStyleCnt="0"/>
      <dgm:spPr/>
    </dgm:pt>
    <dgm:pt modelId="{25C896D2-3E0E-4B4A-873B-81E7C3C03405}" type="pres">
      <dgm:prSet presAssocID="{FDE7958F-6B30-4ABF-B996-35A358C5E060}" presName="sibTrans" presStyleLbl="sibTrans1D1" presStyleIdx="3" presStyleCnt="4"/>
      <dgm:spPr/>
    </dgm:pt>
  </dgm:ptLst>
  <dgm:cxnLst>
    <dgm:cxn modelId="{8FB88A31-0870-448F-B68C-1CCA208E3F2F}" type="presOf" srcId="{4F0C534B-53E5-4095-B535-F3A26708CB45}" destId="{ACC6CFB0-9960-4A1C-8A72-D3E7CE655539}" srcOrd="0" destOrd="0" presId="urn:microsoft.com/office/officeart/2005/8/layout/cycle6"/>
    <dgm:cxn modelId="{B695A870-7C2D-4CF8-A580-680DE7971858}" type="presOf" srcId="{FC8E2E8D-90C5-4225-91E0-D96714E027F3}" destId="{C5820F06-CA57-4F2D-9C51-C6FB2EC6512A}" srcOrd="0" destOrd="0" presId="urn:microsoft.com/office/officeart/2005/8/layout/cycle6"/>
    <dgm:cxn modelId="{934A2878-1793-4DE8-8FEC-689E6063DEA6}" srcId="{0F1448A0-E629-4DB2-B09A-63FE0348687A}" destId="{0698672C-6664-491F-A471-E49DEDBF6C41}" srcOrd="2" destOrd="0" parTransId="{096933EC-AED8-47CE-B504-96E24F148AF9}" sibTransId="{FC8E2E8D-90C5-4225-91E0-D96714E027F3}"/>
    <dgm:cxn modelId="{C122577C-A81C-447F-8F09-3D408DC5938E}" type="presOf" srcId="{0698672C-6664-491F-A471-E49DEDBF6C41}" destId="{FBFAC55D-A1FB-4C0D-9E71-358879F43D81}" srcOrd="0" destOrd="0" presId="urn:microsoft.com/office/officeart/2005/8/layout/cycle6"/>
    <dgm:cxn modelId="{0829178B-9E0B-4E87-A5DB-DCFD85C6EE50}" type="presOf" srcId="{FDE7958F-6B30-4ABF-B996-35A358C5E060}" destId="{25C896D2-3E0E-4B4A-873B-81E7C3C03405}" srcOrd="0" destOrd="0" presId="urn:microsoft.com/office/officeart/2005/8/layout/cycle6"/>
    <dgm:cxn modelId="{49EF2094-C935-4416-BD4D-0B05961C5185}" type="presOf" srcId="{40D111EF-0F32-4EAD-8F0D-68C00AD9764C}" destId="{95AD8B70-A9A5-4B89-8CE7-E07D99A64C56}" srcOrd="0" destOrd="0" presId="urn:microsoft.com/office/officeart/2005/8/layout/cycle6"/>
    <dgm:cxn modelId="{DC825CA4-E576-4564-B9C9-CDAF29782902}" type="presOf" srcId="{F6E675B1-F666-4F6D-8131-8AD4CDF4DD3A}" destId="{0C083CFC-C829-48B3-ADDF-9026744EF7A0}" srcOrd="0" destOrd="0" presId="urn:microsoft.com/office/officeart/2005/8/layout/cycle6"/>
    <dgm:cxn modelId="{F2FB46B9-62E2-4FC0-9138-FF6094DA3110}" type="presOf" srcId="{4A19AEA9-6531-4B64-AC29-F1D42830D65A}" destId="{D8AE2778-C038-4FE3-9C73-5BC6961E3A7F}" srcOrd="0" destOrd="0" presId="urn:microsoft.com/office/officeart/2005/8/layout/cycle6"/>
    <dgm:cxn modelId="{BE8E01BC-583F-4374-8DBF-28378C41E73B}" srcId="{0F1448A0-E629-4DB2-B09A-63FE0348687A}" destId="{40D111EF-0F32-4EAD-8F0D-68C00AD9764C}" srcOrd="3" destOrd="0" parTransId="{7A03B375-C231-4C08-9436-EA8A74AB411D}" sibTransId="{FDE7958F-6B30-4ABF-B996-35A358C5E060}"/>
    <dgm:cxn modelId="{904E34E2-EEA1-45C8-A69D-65A213B4933E}" srcId="{0F1448A0-E629-4DB2-B09A-63FE0348687A}" destId="{4F0C534B-53E5-4095-B535-F3A26708CB45}" srcOrd="1" destOrd="0" parTransId="{9EB98955-15AE-4B4B-B647-D2B974F2F0A1}" sibTransId="{2F1F5C9C-B608-4B4B-AECB-F9B873575E55}"/>
    <dgm:cxn modelId="{E836DBE7-1D79-424B-BE6A-CBAB378CBC29}" type="presOf" srcId="{0F1448A0-E629-4DB2-B09A-63FE0348687A}" destId="{C976F95E-F266-4ACB-87E2-223606AEBEBF}" srcOrd="0" destOrd="0" presId="urn:microsoft.com/office/officeart/2005/8/layout/cycle6"/>
    <dgm:cxn modelId="{6C3AEFEC-C228-4A1A-9A8E-35FC86EC4474}" srcId="{0F1448A0-E629-4DB2-B09A-63FE0348687A}" destId="{F6E675B1-F666-4F6D-8131-8AD4CDF4DD3A}" srcOrd="0" destOrd="0" parTransId="{6B332DCA-8543-4466-AF2F-0CB4396005E0}" sibTransId="{4A19AEA9-6531-4B64-AC29-F1D42830D65A}"/>
    <dgm:cxn modelId="{2D8EADFB-06EA-4EAE-94AE-0DD93330B786}" type="presOf" srcId="{2F1F5C9C-B608-4B4B-AECB-F9B873575E55}" destId="{F18CDAF8-CA48-45D5-B3B5-EB57EE658B99}" srcOrd="0" destOrd="0" presId="urn:microsoft.com/office/officeart/2005/8/layout/cycle6"/>
    <dgm:cxn modelId="{8EE4EF83-0A18-40C7-80E0-37F9B48A5C70}" type="presParOf" srcId="{C976F95E-F266-4ACB-87E2-223606AEBEBF}" destId="{0C083CFC-C829-48B3-ADDF-9026744EF7A0}" srcOrd="0" destOrd="0" presId="urn:microsoft.com/office/officeart/2005/8/layout/cycle6"/>
    <dgm:cxn modelId="{C2DFA69B-D0C6-4CD8-A0BA-98684A9978FA}" type="presParOf" srcId="{C976F95E-F266-4ACB-87E2-223606AEBEBF}" destId="{7A888FFB-A15C-4010-A3C7-6A4C11875BF9}" srcOrd="1" destOrd="0" presId="urn:microsoft.com/office/officeart/2005/8/layout/cycle6"/>
    <dgm:cxn modelId="{33684633-C0AB-4344-882B-0CA129227285}" type="presParOf" srcId="{C976F95E-F266-4ACB-87E2-223606AEBEBF}" destId="{D8AE2778-C038-4FE3-9C73-5BC6961E3A7F}" srcOrd="2" destOrd="0" presId="urn:microsoft.com/office/officeart/2005/8/layout/cycle6"/>
    <dgm:cxn modelId="{E049E3E2-220E-4260-8D2C-1ADE69AC153A}" type="presParOf" srcId="{C976F95E-F266-4ACB-87E2-223606AEBEBF}" destId="{ACC6CFB0-9960-4A1C-8A72-D3E7CE655539}" srcOrd="3" destOrd="0" presId="urn:microsoft.com/office/officeart/2005/8/layout/cycle6"/>
    <dgm:cxn modelId="{48E4D482-B455-46B5-BFF8-667B144BD185}" type="presParOf" srcId="{C976F95E-F266-4ACB-87E2-223606AEBEBF}" destId="{529D698B-70C2-4D2F-B844-AEBF099BC679}" srcOrd="4" destOrd="0" presId="urn:microsoft.com/office/officeart/2005/8/layout/cycle6"/>
    <dgm:cxn modelId="{EEFE8AA1-65FC-4C50-9B1D-A6BB757C8C1F}" type="presParOf" srcId="{C976F95E-F266-4ACB-87E2-223606AEBEBF}" destId="{F18CDAF8-CA48-45D5-B3B5-EB57EE658B99}" srcOrd="5" destOrd="0" presId="urn:microsoft.com/office/officeart/2005/8/layout/cycle6"/>
    <dgm:cxn modelId="{7AC6D9C8-EF00-4151-A15E-5DC6A0CCDCB8}" type="presParOf" srcId="{C976F95E-F266-4ACB-87E2-223606AEBEBF}" destId="{FBFAC55D-A1FB-4C0D-9E71-358879F43D81}" srcOrd="6" destOrd="0" presId="urn:microsoft.com/office/officeart/2005/8/layout/cycle6"/>
    <dgm:cxn modelId="{F6C36F09-22B6-44CD-B822-BD5BF5A5B0F0}" type="presParOf" srcId="{C976F95E-F266-4ACB-87E2-223606AEBEBF}" destId="{F9843F0E-D7C8-4A7F-83CD-13D58283987D}" srcOrd="7" destOrd="0" presId="urn:microsoft.com/office/officeart/2005/8/layout/cycle6"/>
    <dgm:cxn modelId="{6CD87FB7-4AB8-4349-BCFF-56BC7C9CDD6F}" type="presParOf" srcId="{C976F95E-F266-4ACB-87E2-223606AEBEBF}" destId="{C5820F06-CA57-4F2D-9C51-C6FB2EC6512A}" srcOrd="8" destOrd="0" presId="urn:microsoft.com/office/officeart/2005/8/layout/cycle6"/>
    <dgm:cxn modelId="{7D2CE0E1-3D31-452D-9E93-074C68C9B5A9}" type="presParOf" srcId="{C976F95E-F266-4ACB-87E2-223606AEBEBF}" destId="{95AD8B70-A9A5-4B89-8CE7-E07D99A64C56}" srcOrd="9" destOrd="0" presId="urn:microsoft.com/office/officeart/2005/8/layout/cycle6"/>
    <dgm:cxn modelId="{79DC2FF2-2CE1-4ABB-A283-634BFB719B5D}" type="presParOf" srcId="{C976F95E-F266-4ACB-87E2-223606AEBEBF}" destId="{998FFCFD-5B80-444F-8C56-728D33E6FB42}" srcOrd="10" destOrd="0" presId="urn:microsoft.com/office/officeart/2005/8/layout/cycle6"/>
    <dgm:cxn modelId="{DC1DC7BC-E923-4974-9B78-A75E19D15A83}" type="presParOf" srcId="{C976F95E-F266-4ACB-87E2-223606AEBEBF}" destId="{25C896D2-3E0E-4B4A-873B-81E7C3C03405}" srcOrd="11" destOrd="0" presId="urn:microsoft.com/office/officeart/2005/8/layout/cycle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1AEF70E-52BC-4AC4-80CB-5C4ADD2EAB1B}" type="doc">
      <dgm:prSet loTypeId="urn:microsoft.com/office/officeart/2008/layout/VerticalCurvedList" loCatId="list" qsTypeId="urn:microsoft.com/office/officeart/2005/8/quickstyle/simple2" qsCatId="simple" csTypeId="urn:microsoft.com/office/officeart/2005/8/colors/colorful1" csCatId="colorful" phldr="1"/>
      <dgm:spPr/>
      <dgm:t>
        <a:bodyPr/>
        <a:lstStyle/>
        <a:p>
          <a:endParaRPr lang="en-GB"/>
        </a:p>
      </dgm:t>
    </dgm:pt>
    <dgm:pt modelId="{C52D622D-B006-4623-8340-F784A14C9642}">
      <dgm:prSet phldrT="[Text]"/>
      <dgm:spPr/>
      <dgm:t>
        <a:bodyPr/>
        <a:lstStyle/>
        <a:p>
          <a:r>
            <a:rPr lang="en-GB" b="1">
              <a:latin typeface="Times New Roman" panose="02020603050405020304" pitchFamily="18" charset="0"/>
              <a:cs typeface="Times New Roman" panose="02020603050405020304" pitchFamily="18" charset="0"/>
            </a:rPr>
            <a:t>Expansion Strategies</a:t>
          </a:r>
          <a:endParaRPr lang="en-GB">
            <a:latin typeface="Times New Roman" panose="02020603050405020304" pitchFamily="18" charset="0"/>
            <a:cs typeface="Times New Roman" panose="02020603050405020304" pitchFamily="18" charset="0"/>
          </a:endParaRPr>
        </a:p>
      </dgm:t>
    </dgm:pt>
    <dgm:pt modelId="{5EDF20D8-40A8-4192-BB92-51C636ED178D}" type="parTrans" cxnId="{50AE63F7-355E-4096-BF9C-A844F6DC937B}">
      <dgm:prSet/>
      <dgm:spPr/>
      <dgm:t>
        <a:bodyPr/>
        <a:lstStyle/>
        <a:p>
          <a:endParaRPr lang="en-GB"/>
        </a:p>
      </dgm:t>
    </dgm:pt>
    <dgm:pt modelId="{C22EB658-701A-43C4-A0DE-273F40E14779}" type="sibTrans" cxnId="{50AE63F7-355E-4096-BF9C-A844F6DC937B}">
      <dgm:prSet/>
      <dgm:spPr/>
      <dgm:t>
        <a:bodyPr/>
        <a:lstStyle/>
        <a:p>
          <a:endParaRPr lang="en-GB">
            <a:latin typeface="Times New Roman" panose="02020603050405020304" pitchFamily="18" charset="0"/>
            <a:cs typeface="Times New Roman" panose="02020603050405020304" pitchFamily="18" charset="0"/>
          </a:endParaRPr>
        </a:p>
      </dgm:t>
    </dgm:pt>
    <dgm:pt modelId="{838FDC27-A866-48C7-B6E6-E8C5E1EF4CB0}">
      <dgm:prSet phldrT="[Text]"/>
      <dgm:spPr/>
      <dgm:t>
        <a:bodyPr/>
        <a:lstStyle/>
        <a:p>
          <a:r>
            <a:rPr lang="en-GB" b="1">
              <a:latin typeface="Times New Roman" panose="02020603050405020304" pitchFamily="18" charset="0"/>
              <a:cs typeface="Times New Roman" panose="02020603050405020304" pitchFamily="18" charset="0"/>
            </a:rPr>
            <a:t>Market Opportunities</a:t>
          </a:r>
          <a:endParaRPr lang="en-GB">
            <a:latin typeface="Times New Roman" panose="02020603050405020304" pitchFamily="18" charset="0"/>
            <a:cs typeface="Times New Roman" panose="02020603050405020304" pitchFamily="18" charset="0"/>
          </a:endParaRPr>
        </a:p>
      </dgm:t>
    </dgm:pt>
    <dgm:pt modelId="{38535F58-FF66-40DC-9703-2EC2EB9F5F29}" type="parTrans" cxnId="{4A1A6260-AF18-434B-A9E0-59B41A9B36CD}">
      <dgm:prSet/>
      <dgm:spPr/>
      <dgm:t>
        <a:bodyPr/>
        <a:lstStyle/>
        <a:p>
          <a:endParaRPr lang="en-GB"/>
        </a:p>
      </dgm:t>
    </dgm:pt>
    <dgm:pt modelId="{97AE27AE-6353-4E4A-924C-2EC1431B2037}" type="sibTrans" cxnId="{4A1A6260-AF18-434B-A9E0-59B41A9B36CD}">
      <dgm:prSet/>
      <dgm:spPr/>
      <dgm:t>
        <a:bodyPr/>
        <a:lstStyle/>
        <a:p>
          <a:endParaRPr lang="en-GB"/>
        </a:p>
      </dgm:t>
    </dgm:pt>
    <dgm:pt modelId="{1D415D03-4D45-4209-A4A9-E24AF15F0511}">
      <dgm:prSet phldrT="[Text]"/>
      <dgm:spPr/>
      <dgm:t>
        <a:bodyPr/>
        <a:lstStyle/>
        <a:p>
          <a:r>
            <a:rPr lang="en-GB" b="1">
              <a:latin typeface="Times New Roman" panose="02020603050405020304" pitchFamily="18" charset="0"/>
              <a:cs typeface="Times New Roman" panose="02020603050405020304" pitchFamily="18" charset="0"/>
            </a:rPr>
            <a:t>Potential Barriers to Growth</a:t>
          </a:r>
          <a:endParaRPr lang="en-GB">
            <a:latin typeface="Times New Roman" panose="02020603050405020304" pitchFamily="18" charset="0"/>
            <a:cs typeface="Times New Roman" panose="02020603050405020304" pitchFamily="18" charset="0"/>
          </a:endParaRPr>
        </a:p>
      </dgm:t>
    </dgm:pt>
    <dgm:pt modelId="{312BC737-3CCC-4EEC-B255-DF1891F4BFCB}" type="parTrans" cxnId="{C3FC5EA4-C426-4C6B-A5AE-023E61B8C546}">
      <dgm:prSet/>
      <dgm:spPr/>
      <dgm:t>
        <a:bodyPr/>
        <a:lstStyle/>
        <a:p>
          <a:endParaRPr lang="en-GB"/>
        </a:p>
      </dgm:t>
    </dgm:pt>
    <dgm:pt modelId="{05EA61B7-8C0C-48C7-83D8-6F33F4EBA932}" type="sibTrans" cxnId="{C3FC5EA4-C426-4C6B-A5AE-023E61B8C546}">
      <dgm:prSet/>
      <dgm:spPr/>
      <dgm:t>
        <a:bodyPr/>
        <a:lstStyle/>
        <a:p>
          <a:endParaRPr lang="en-GB"/>
        </a:p>
      </dgm:t>
    </dgm:pt>
    <dgm:pt modelId="{E181A91B-9DC6-45A4-94E1-0C9D68D1138A}">
      <dgm:prSet/>
      <dgm:spPr/>
      <dgm:t>
        <a:bodyPr/>
        <a:lstStyle/>
        <a:p>
          <a:r>
            <a:rPr lang="en-GB" b="1">
              <a:latin typeface="Times New Roman" panose="02020603050405020304" pitchFamily="18" charset="0"/>
              <a:cs typeface="Times New Roman" panose="02020603050405020304" pitchFamily="18" charset="0"/>
            </a:rPr>
            <a:t>Comparison Insights</a:t>
          </a:r>
          <a:endParaRPr lang="en-GB">
            <a:latin typeface="Times New Roman" panose="02020603050405020304" pitchFamily="18" charset="0"/>
            <a:cs typeface="Times New Roman" panose="02020603050405020304" pitchFamily="18" charset="0"/>
          </a:endParaRPr>
        </a:p>
      </dgm:t>
    </dgm:pt>
    <dgm:pt modelId="{41A790AA-8894-43E5-B2B0-B369BC08674C}" type="parTrans" cxnId="{82CDFE5E-986D-4CF0-ABA6-CDF3604F51BD}">
      <dgm:prSet/>
      <dgm:spPr/>
    </dgm:pt>
    <dgm:pt modelId="{5FA24501-D814-4E2B-B646-1CB1FB8E558B}" type="sibTrans" cxnId="{82CDFE5E-986D-4CF0-ABA6-CDF3604F51BD}">
      <dgm:prSet/>
      <dgm:spPr/>
    </dgm:pt>
    <dgm:pt modelId="{83AC4047-A4D9-4657-9DED-E7390210D41F}" type="pres">
      <dgm:prSet presAssocID="{51AEF70E-52BC-4AC4-80CB-5C4ADD2EAB1B}" presName="Name0" presStyleCnt="0">
        <dgm:presLayoutVars>
          <dgm:chMax val="7"/>
          <dgm:chPref val="7"/>
          <dgm:dir/>
        </dgm:presLayoutVars>
      </dgm:prSet>
      <dgm:spPr/>
    </dgm:pt>
    <dgm:pt modelId="{60A1E93A-1052-4230-9495-D74AAE1DB351}" type="pres">
      <dgm:prSet presAssocID="{51AEF70E-52BC-4AC4-80CB-5C4ADD2EAB1B}" presName="Name1" presStyleCnt="0"/>
      <dgm:spPr/>
    </dgm:pt>
    <dgm:pt modelId="{7AC51FEC-7E13-43F5-8110-3DFE3CC59439}" type="pres">
      <dgm:prSet presAssocID="{51AEF70E-52BC-4AC4-80CB-5C4ADD2EAB1B}" presName="cycle" presStyleCnt="0"/>
      <dgm:spPr/>
    </dgm:pt>
    <dgm:pt modelId="{803AF5F8-C020-4830-BB5C-F208596E3DA5}" type="pres">
      <dgm:prSet presAssocID="{51AEF70E-52BC-4AC4-80CB-5C4ADD2EAB1B}" presName="srcNode" presStyleLbl="node1" presStyleIdx="0" presStyleCnt="4"/>
      <dgm:spPr/>
    </dgm:pt>
    <dgm:pt modelId="{CA4FCCCE-744B-40F7-AAEF-941C11829B0B}" type="pres">
      <dgm:prSet presAssocID="{51AEF70E-52BC-4AC4-80CB-5C4ADD2EAB1B}" presName="conn" presStyleLbl="parChTrans1D2" presStyleIdx="0" presStyleCnt="1"/>
      <dgm:spPr/>
    </dgm:pt>
    <dgm:pt modelId="{943A933D-0322-48E7-94E0-309A69804B3E}" type="pres">
      <dgm:prSet presAssocID="{51AEF70E-52BC-4AC4-80CB-5C4ADD2EAB1B}" presName="extraNode" presStyleLbl="node1" presStyleIdx="0" presStyleCnt="4"/>
      <dgm:spPr/>
    </dgm:pt>
    <dgm:pt modelId="{EB58BE1D-6BE0-40A9-8553-65EC8BBCDB7E}" type="pres">
      <dgm:prSet presAssocID="{51AEF70E-52BC-4AC4-80CB-5C4ADD2EAB1B}" presName="dstNode" presStyleLbl="node1" presStyleIdx="0" presStyleCnt="4"/>
      <dgm:spPr/>
    </dgm:pt>
    <dgm:pt modelId="{B4BF2373-719A-4038-AD72-8D1487D2A97C}" type="pres">
      <dgm:prSet presAssocID="{C52D622D-B006-4623-8340-F784A14C9642}" presName="text_1" presStyleLbl="node1" presStyleIdx="0" presStyleCnt="4">
        <dgm:presLayoutVars>
          <dgm:bulletEnabled val="1"/>
        </dgm:presLayoutVars>
      </dgm:prSet>
      <dgm:spPr/>
    </dgm:pt>
    <dgm:pt modelId="{657D038F-999E-4FB2-AA67-DD4F936BC3C7}" type="pres">
      <dgm:prSet presAssocID="{C52D622D-B006-4623-8340-F784A14C9642}" presName="accent_1" presStyleCnt="0"/>
      <dgm:spPr/>
    </dgm:pt>
    <dgm:pt modelId="{1DE9F3C9-323A-44C8-B795-FFDEE7C792DF}" type="pres">
      <dgm:prSet presAssocID="{C52D622D-B006-4623-8340-F784A14C9642}" presName="accentRepeatNode" presStyleLbl="solidFgAcc1" presStyleIdx="0" presStyleCnt="4"/>
      <dgm:spPr/>
    </dgm:pt>
    <dgm:pt modelId="{74D8D1A3-81C1-4EF7-A5C6-7BE17C406150}" type="pres">
      <dgm:prSet presAssocID="{838FDC27-A866-48C7-B6E6-E8C5E1EF4CB0}" presName="text_2" presStyleLbl="node1" presStyleIdx="1" presStyleCnt="4">
        <dgm:presLayoutVars>
          <dgm:bulletEnabled val="1"/>
        </dgm:presLayoutVars>
      </dgm:prSet>
      <dgm:spPr/>
    </dgm:pt>
    <dgm:pt modelId="{85E192F2-85A2-48A1-B71D-229F5F16ECAB}" type="pres">
      <dgm:prSet presAssocID="{838FDC27-A866-48C7-B6E6-E8C5E1EF4CB0}" presName="accent_2" presStyleCnt="0"/>
      <dgm:spPr/>
    </dgm:pt>
    <dgm:pt modelId="{FFCC18DB-4810-4AA2-A924-17E9D5F4752D}" type="pres">
      <dgm:prSet presAssocID="{838FDC27-A866-48C7-B6E6-E8C5E1EF4CB0}" presName="accentRepeatNode" presStyleLbl="solidFgAcc1" presStyleIdx="1" presStyleCnt="4"/>
      <dgm:spPr/>
    </dgm:pt>
    <dgm:pt modelId="{1B48F2C0-5B34-4D38-8D98-77A5672BC512}" type="pres">
      <dgm:prSet presAssocID="{1D415D03-4D45-4209-A4A9-E24AF15F0511}" presName="text_3" presStyleLbl="node1" presStyleIdx="2" presStyleCnt="4">
        <dgm:presLayoutVars>
          <dgm:bulletEnabled val="1"/>
        </dgm:presLayoutVars>
      </dgm:prSet>
      <dgm:spPr/>
    </dgm:pt>
    <dgm:pt modelId="{72F43533-CE15-4E8B-A825-24956FE1AEE2}" type="pres">
      <dgm:prSet presAssocID="{1D415D03-4D45-4209-A4A9-E24AF15F0511}" presName="accent_3" presStyleCnt="0"/>
      <dgm:spPr/>
    </dgm:pt>
    <dgm:pt modelId="{03C5FAB3-A859-43A5-9B41-3DDD8D16AF1B}" type="pres">
      <dgm:prSet presAssocID="{1D415D03-4D45-4209-A4A9-E24AF15F0511}" presName="accentRepeatNode" presStyleLbl="solidFgAcc1" presStyleIdx="2" presStyleCnt="4"/>
      <dgm:spPr/>
    </dgm:pt>
    <dgm:pt modelId="{DB62E5D8-FB1A-4F0B-BC6B-831B3024051C}" type="pres">
      <dgm:prSet presAssocID="{E181A91B-9DC6-45A4-94E1-0C9D68D1138A}" presName="text_4" presStyleLbl="node1" presStyleIdx="3" presStyleCnt="4">
        <dgm:presLayoutVars>
          <dgm:bulletEnabled val="1"/>
        </dgm:presLayoutVars>
      </dgm:prSet>
      <dgm:spPr/>
    </dgm:pt>
    <dgm:pt modelId="{E6DF28AF-ED65-48E0-9AD1-E8EEF689C880}" type="pres">
      <dgm:prSet presAssocID="{E181A91B-9DC6-45A4-94E1-0C9D68D1138A}" presName="accent_4" presStyleCnt="0"/>
      <dgm:spPr/>
    </dgm:pt>
    <dgm:pt modelId="{5FBDBB0A-83A4-4C62-9F96-845DEEFC7F79}" type="pres">
      <dgm:prSet presAssocID="{E181A91B-9DC6-45A4-94E1-0C9D68D1138A}" presName="accentRepeatNode" presStyleLbl="solidFgAcc1" presStyleIdx="3" presStyleCnt="4"/>
      <dgm:spPr/>
    </dgm:pt>
  </dgm:ptLst>
  <dgm:cxnLst>
    <dgm:cxn modelId="{28436A38-03A8-4216-9D6E-7C32679723FD}" type="presOf" srcId="{51AEF70E-52BC-4AC4-80CB-5C4ADD2EAB1B}" destId="{83AC4047-A4D9-4657-9DED-E7390210D41F}" srcOrd="0" destOrd="0" presId="urn:microsoft.com/office/officeart/2008/layout/VerticalCurvedList"/>
    <dgm:cxn modelId="{82CDFE5E-986D-4CF0-ABA6-CDF3604F51BD}" srcId="{51AEF70E-52BC-4AC4-80CB-5C4ADD2EAB1B}" destId="{E181A91B-9DC6-45A4-94E1-0C9D68D1138A}" srcOrd="3" destOrd="0" parTransId="{41A790AA-8894-43E5-B2B0-B369BC08674C}" sibTransId="{5FA24501-D814-4E2B-B646-1CB1FB8E558B}"/>
    <dgm:cxn modelId="{4A1A6260-AF18-434B-A9E0-59B41A9B36CD}" srcId="{51AEF70E-52BC-4AC4-80CB-5C4ADD2EAB1B}" destId="{838FDC27-A866-48C7-B6E6-E8C5E1EF4CB0}" srcOrd="1" destOrd="0" parTransId="{38535F58-FF66-40DC-9703-2EC2EB9F5F29}" sibTransId="{97AE27AE-6353-4E4A-924C-2EC1431B2037}"/>
    <dgm:cxn modelId="{3DF8E84F-7C9D-4EB0-A9EC-39228FF097DD}" type="presOf" srcId="{838FDC27-A866-48C7-B6E6-E8C5E1EF4CB0}" destId="{74D8D1A3-81C1-4EF7-A5C6-7BE17C406150}" srcOrd="0" destOrd="0" presId="urn:microsoft.com/office/officeart/2008/layout/VerticalCurvedList"/>
    <dgm:cxn modelId="{8DCA5E8D-C383-4CCF-9E15-9F7F96B7E21B}" type="presOf" srcId="{C22EB658-701A-43C4-A0DE-273F40E14779}" destId="{CA4FCCCE-744B-40F7-AAEF-941C11829B0B}" srcOrd="0" destOrd="0" presId="urn:microsoft.com/office/officeart/2008/layout/VerticalCurvedList"/>
    <dgm:cxn modelId="{0B8FC79D-6D8D-48C6-88D6-11214D9BBE4D}" type="presOf" srcId="{1D415D03-4D45-4209-A4A9-E24AF15F0511}" destId="{1B48F2C0-5B34-4D38-8D98-77A5672BC512}" srcOrd="0" destOrd="0" presId="urn:microsoft.com/office/officeart/2008/layout/VerticalCurvedList"/>
    <dgm:cxn modelId="{C3FC5EA4-C426-4C6B-A5AE-023E61B8C546}" srcId="{51AEF70E-52BC-4AC4-80CB-5C4ADD2EAB1B}" destId="{1D415D03-4D45-4209-A4A9-E24AF15F0511}" srcOrd="2" destOrd="0" parTransId="{312BC737-3CCC-4EEC-B255-DF1891F4BFCB}" sibTransId="{05EA61B7-8C0C-48C7-83D8-6F33F4EBA932}"/>
    <dgm:cxn modelId="{2EC6D9D5-BF4F-4DED-8D0B-C8A73DE28E9A}" type="presOf" srcId="{E181A91B-9DC6-45A4-94E1-0C9D68D1138A}" destId="{DB62E5D8-FB1A-4F0B-BC6B-831B3024051C}" srcOrd="0" destOrd="0" presId="urn:microsoft.com/office/officeart/2008/layout/VerticalCurvedList"/>
    <dgm:cxn modelId="{D47450F2-F073-4EE9-AD92-916BBAB4377C}" type="presOf" srcId="{C52D622D-B006-4623-8340-F784A14C9642}" destId="{B4BF2373-719A-4038-AD72-8D1487D2A97C}" srcOrd="0" destOrd="0" presId="urn:microsoft.com/office/officeart/2008/layout/VerticalCurvedList"/>
    <dgm:cxn modelId="{50AE63F7-355E-4096-BF9C-A844F6DC937B}" srcId="{51AEF70E-52BC-4AC4-80CB-5C4ADD2EAB1B}" destId="{C52D622D-B006-4623-8340-F784A14C9642}" srcOrd="0" destOrd="0" parTransId="{5EDF20D8-40A8-4192-BB92-51C636ED178D}" sibTransId="{C22EB658-701A-43C4-A0DE-273F40E14779}"/>
    <dgm:cxn modelId="{7287D584-097C-416A-B072-F3FD1318EC27}" type="presParOf" srcId="{83AC4047-A4D9-4657-9DED-E7390210D41F}" destId="{60A1E93A-1052-4230-9495-D74AAE1DB351}" srcOrd="0" destOrd="0" presId="urn:microsoft.com/office/officeart/2008/layout/VerticalCurvedList"/>
    <dgm:cxn modelId="{1A95DD75-6253-456D-A6C5-85DBDA5041D6}" type="presParOf" srcId="{60A1E93A-1052-4230-9495-D74AAE1DB351}" destId="{7AC51FEC-7E13-43F5-8110-3DFE3CC59439}" srcOrd="0" destOrd="0" presId="urn:microsoft.com/office/officeart/2008/layout/VerticalCurvedList"/>
    <dgm:cxn modelId="{6E11DB83-92FB-464E-A951-EC42EC6281D8}" type="presParOf" srcId="{7AC51FEC-7E13-43F5-8110-3DFE3CC59439}" destId="{803AF5F8-C020-4830-BB5C-F208596E3DA5}" srcOrd="0" destOrd="0" presId="urn:microsoft.com/office/officeart/2008/layout/VerticalCurvedList"/>
    <dgm:cxn modelId="{6FB67DE4-D071-460C-8E1F-C9A0356C7C44}" type="presParOf" srcId="{7AC51FEC-7E13-43F5-8110-3DFE3CC59439}" destId="{CA4FCCCE-744B-40F7-AAEF-941C11829B0B}" srcOrd="1" destOrd="0" presId="urn:microsoft.com/office/officeart/2008/layout/VerticalCurvedList"/>
    <dgm:cxn modelId="{AC63C75F-18FD-472B-A4F6-4239A1F87527}" type="presParOf" srcId="{7AC51FEC-7E13-43F5-8110-3DFE3CC59439}" destId="{943A933D-0322-48E7-94E0-309A69804B3E}" srcOrd="2" destOrd="0" presId="urn:microsoft.com/office/officeart/2008/layout/VerticalCurvedList"/>
    <dgm:cxn modelId="{47C0E415-8649-46CA-BE2E-AC8EE0558B16}" type="presParOf" srcId="{7AC51FEC-7E13-43F5-8110-3DFE3CC59439}" destId="{EB58BE1D-6BE0-40A9-8553-65EC8BBCDB7E}" srcOrd="3" destOrd="0" presId="urn:microsoft.com/office/officeart/2008/layout/VerticalCurvedList"/>
    <dgm:cxn modelId="{D8E12397-F311-4C55-B32B-2E563F0F13F4}" type="presParOf" srcId="{60A1E93A-1052-4230-9495-D74AAE1DB351}" destId="{B4BF2373-719A-4038-AD72-8D1487D2A97C}" srcOrd="1" destOrd="0" presId="urn:microsoft.com/office/officeart/2008/layout/VerticalCurvedList"/>
    <dgm:cxn modelId="{06E87EF2-E760-45BA-9C76-61E2EDAC51A0}" type="presParOf" srcId="{60A1E93A-1052-4230-9495-D74AAE1DB351}" destId="{657D038F-999E-4FB2-AA67-DD4F936BC3C7}" srcOrd="2" destOrd="0" presId="urn:microsoft.com/office/officeart/2008/layout/VerticalCurvedList"/>
    <dgm:cxn modelId="{9E37D4BE-19A9-4DD9-811E-9E393BF3405E}" type="presParOf" srcId="{657D038F-999E-4FB2-AA67-DD4F936BC3C7}" destId="{1DE9F3C9-323A-44C8-B795-FFDEE7C792DF}" srcOrd="0" destOrd="0" presId="urn:microsoft.com/office/officeart/2008/layout/VerticalCurvedList"/>
    <dgm:cxn modelId="{3D9B17A3-6AF7-4C45-B907-747D503A7DAE}" type="presParOf" srcId="{60A1E93A-1052-4230-9495-D74AAE1DB351}" destId="{74D8D1A3-81C1-4EF7-A5C6-7BE17C406150}" srcOrd="3" destOrd="0" presId="urn:microsoft.com/office/officeart/2008/layout/VerticalCurvedList"/>
    <dgm:cxn modelId="{24A80DEC-7B40-4DAE-B340-6D07731770C6}" type="presParOf" srcId="{60A1E93A-1052-4230-9495-D74AAE1DB351}" destId="{85E192F2-85A2-48A1-B71D-229F5F16ECAB}" srcOrd="4" destOrd="0" presId="urn:microsoft.com/office/officeart/2008/layout/VerticalCurvedList"/>
    <dgm:cxn modelId="{BE9C29E6-D149-4FC3-A171-0A486FC66A8F}" type="presParOf" srcId="{85E192F2-85A2-48A1-B71D-229F5F16ECAB}" destId="{FFCC18DB-4810-4AA2-A924-17E9D5F4752D}" srcOrd="0" destOrd="0" presId="urn:microsoft.com/office/officeart/2008/layout/VerticalCurvedList"/>
    <dgm:cxn modelId="{DDAA9B1E-D60C-47DB-9183-744706F206E1}" type="presParOf" srcId="{60A1E93A-1052-4230-9495-D74AAE1DB351}" destId="{1B48F2C0-5B34-4D38-8D98-77A5672BC512}" srcOrd="5" destOrd="0" presId="urn:microsoft.com/office/officeart/2008/layout/VerticalCurvedList"/>
    <dgm:cxn modelId="{9961B026-820E-429A-8E05-6E9BBEA5C142}" type="presParOf" srcId="{60A1E93A-1052-4230-9495-D74AAE1DB351}" destId="{72F43533-CE15-4E8B-A825-24956FE1AEE2}" srcOrd="6" destOrd="0" presId="urn:microsoft.com/office/officeart/2008/layout/VerticalCurvedList"/>
    <dgm:cxn modelId="{6A812993-5FE7-4A5B-A511-5A78C2400346}" type="presParOf" srcId="{72F43533-CE15-4E8B-A825-24956FE1AEE2}" destId="{03C5FAB3-A859-43A5-9B41-3DDD8D16AF1B}" srcOrd="0" destOrd="0" presId="urn:microsoft.com/office/officeart/2008/layout/VerticalCurvedList"/>
    <dgm:cxn modelId="{F3DA4553-5919-4611-B337-D7202057027D}" type="presParOf" srcId="{60A1E93A-1052-4230-9495-D74AAE1DB351}" destId="{DB62E5D8-FB1A-4F0B-BC6B-831B3024051C}" srcOrd="7" destOrd="0" presId="urn:microsoft.com/office/officeart/2008/layout/VerticalCurvedList"/>
    <dgm:cxn modelId="{0AC3B0DB-F300-4CB3-812C-8A31C80F8DD9}" type="presParOf" srcId="{60A1E93A-1052-4230-9495-D74AAE1DB351}" destId="{E6DF28AF-ED65-48E0-9AD1-E8EEF689C880}" srcOrd="8" destOrd="0" presId="urn:microsoft.com/office/officeart/2008/layout/VerticalCurvedList"/>
    <dgm:cxn modelId="{FB9EFE94-B26C-4E7F-831D-D8A9B9EA2E3C}" type="presParOf" srcId="{E6DF28AF-ED65-48E0-9AD1-E8EEF689C880}" destId="{5FBDBB0A-83A4-4C62-9F96-845DEEFC7F79}" srcOrd="0" destOrd="0" presId="urn:microsoft.com/office/officeart/2008/layout/VerticalCurvedList"/>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82B040A-56A0-4151-A3EE-1D586EAE546E}" type="doc">
      <dgm:prSet loTypeId="urn:microsoft.com/office/officeart/2005/8/layout/matrix3" loCatId="matrix" qsTypeId="urn:microsoft.com/office/officeart/2005/8/quickstyle/simple2" qsCatId="simple" csTypeId="urn:microsoft.com/office/officeart/2005/8/colors/colorful1" csCatId="colorful" phldr="1"/>
      <dgm:spPr/>
      <dgm:t>
        <a:bodyPr/>
        <a:lstStyle/>
        <a:p>
          <a:endParaRPr lang="en-GB"/>
        </a:p>
      </dgm:t>
    </dgm:pt>
    <dgm:pt modelId="{47F4E6B2-671D-4736-A9AA-0B2886E37876}">
      <dgm:prSet phldrT="[Text]"/>
      <dgm:spPr/>
      <dgm:t>
        <a:bodyPr/>
        <a:lstStyle/>
        <a:p>
          <a:r>
            <a:rPr lang="en-GB" b="1">
              <a:latin typeface="Times New Roman" panose="02020603050405020304" pitchFamily="18" charset="0"/>
              <a:cs typeface="Times New Roman" panose="02020603050405020304" pitchFamily="18" charset="0"/>
            </a:rPr>
            <a:t>Sustainability Practices</a:t>
          </a:r>
          <a:endParaRPr lang="en-GB">
            <a:latin typeface="Times New Roman" panose="02020603050405020304" pitchFamily="18" charset="0"/>
            <a:cs typeface="Times New Roman" panose="02020603050405020304" pitchFamily="18" charset="0"/>
          </a:endParaRPr>
        </a:p>
      </dgm:t>
    </dgm:pt>
    <dgm:pt modelId="{425F7665-B940-4290-B14C-092B76672187}" type="parTrans" cxnId="{FC2C53BB-1C79-48CD-A0C9-C9F74B2DF447}">
      <dgm:prSet/>
      <dgm:spPr/>
      <dgm:t>
        <a:bodyPr/>
        <a:lstStyle/>
        <a:p>
          <a:endParaRPr lang="en-GB"/>
        </a:p>
      </dgm:t>
    </dgm:pt>
    <dgm:pt modelId="{BB22AA08-1A8F-4805-BAF4-5D731B163F49}" type="sibTrans" cxnId="{FC2C53BB-1C79-48CD-A0C9-C9F74B2DF447}">
      <dgm:prSet/>
      <dgm:spPr/>
      <dgm:t>
        <a:bodyPr/>
        <a:lstStyle/>
        <a:p>
          <a:endParaRPr lang="en-GB"/>
        </a:p>
      </dgm:t>
    </dgm:pt>
    <dgm:pt modelId="{F6F0E705-9F37-4C8A-952C-1540D7359B70}">
      <dgm:prSet phldrT="[Text]"/>
      <dgm:spPr/>
      <dgm:t>
        <a:bodyPr/>
        <a:lstStyle/>
        <a:p>
          <a:r>
            <a:rPr lang="en-GB" b="1">
              <a:latin typeface="Times New Roman" panose="02020603050405020304" pitchFamily="18" charset="0"/>
              <a:cs typeface="Times New Roman" panose="02020603050405020304" pitchFamily="18" charset="0"/>
            </a:rPr>
            <a:t>Community Engagement</a:t>
          </a:r>
          <a:endParaRPr lang="en-GB">
            <a:latin typeface="Times New Roman" panose="02020603050405020304" pitchFamily="18" charset="0"/>
            <a:cs typeface="Times New Roman" panose="02020603050405020304" pitchFamily="18" charset="0"/>
          </a:endParaRPr>
        </a:p>
      </dgm:t>
    </dgm:pt>
    <dgm:pt modelId="{6A52FD9F-17E1-4125-9849-E2F01157E6AF}" type="parTrans" cxnId="{F35CB730-97B4-4EA4-A520-25EAFB32EE55}">
      <dgm:prSet/>
      <dgm:spPr/>
      <dgm:t>
        <a:bodyPr/>
        <a:lstStyle/>
        <a:p>
          <a:endParaRPr lang="en-GB"/>
        </a:p>
      </dgm:t>
    </dgm:pt>
    <dgm:pt modelId="{B718BCC8-263D-48AB-A131-223710395F52}" type="sibTrans" cxnId="{F35CB730-97B4-4EA4-A520-25EAFB32EE55}">
      <dgm:prSet/>
      <dgm:spPr/>
      <dgm:t>
        <a:bodyPr/>
        <a:lstStyle/>
        <a:p>
          <a:endParaRPr lang="en-GB"/>
        </a:p>
      </dgm:t>
    </dgm:pt>
    <dgm:pt modelId="{17C20BD2-74F5-4D79-83FB-E05383010579}">
      <dgm:prSet phldrT="[Text]"/>
      <dgm:spPr/>
      <dgm:t>
        <a:bodyPr/>
        <a:lstStyle/>
        <a:p>
          <a:r>
            <a:rPr lang="en-GB" b="1">
              <a:latin typeface="Times New Roman" panose="02020603050405020304" pitchFamily="18" charset="0"/>
              <a:cs typeface="Times New Roman" panose="02020603050405020304" pitchFamily="18" charset="0"/>
            </a:rPr>
            <a:t>Comparison Insights</a:t>
          </a:r>
          <a:endParaRPr lang="en-GB">
            <a:latin typeface="Times New Roman" panose="02020603050405020304" pitchFamily="18" charset="0"/>
            <a:cs typeface="Times New Roman" panose="02020603050405020304" pitchFamily="18" charset="0"/>
          </a:endParaRPr>
        </a:p>
      </dgm:t>
    </dgm:pt>
    <dgm:pt modelId="{D1174E03-5E92-4449-AA6F-1094CAB7BC32}" type="parTrans" cxnId="{D97727B0-370E-48D6-902D-0A4D505083B3}">
      <dgm:prSet/>
      <dgm:spPr/>
      <dgm:t>
        <a:bodyPr/>
        <a:lstStyle/>
        <a:p>
          <a:endParaRPr lang="en-GB"/>
        </a:p>
      </dgm:t>
    </dgm:pt>
    <dgm:pt modelId="{21567DB8-84B6-4A48-8976-CDBC253F016D}" type="sibTrans" cxnId="{D97727B0-370E-48D6-902D-0A4D505083B3}">
      <dgm:prSet/>
      <dgm:spPr/>
      <dgm:t>
        <a:bodyPr/>
        <a:lstStyle/>
        <a:p>
          <a:endParaRPr lang="en-GB"/>
        </a:p>
      </dgm:t>
    </dgm:pt>
    <dgm:pt modelId="{D4C15B24-7CB2-4840-8B2F-2B017CCB70DA}">
      <dgm:prSet phldrT="[Text]"/>
      <dgm:spPr/>
      <dgm:t>
        <a:bodyPr/>
        <a:lstStyle/>
        <a:p>
          <a:r>
            <a:rPr lang="en-GB" b="1">
              <a:latin typeface="Times New Roman" panose="02020603050405020304" pitchFamily="18" charset="0"/>
              <a:cs typeface="Times New Roman" panose="02020603050405020304" pitchFamily="18" charset="0"/>
            </a:rPr>
            <a:t>Ethical Business Practices</a:t>
          </a:r>
          <a:endParaRPr lang="en-GB">
            <a:latin typeface="Times New Roman" panose="02020603050405020304" pitchFamily="18" charset="0"/>
            <a:cs typeface="Times New Roman" panose="02020603050405020304" pitchFamily="18" charset="0"/>
          </a:endParaRPr>
        </a:p>
      </dgm:t>
    </dgm:pt>
    <dgm:pt modelId="{1E0F24AD-471A-43C3-98B0-7FC1DC0D1892}" type="parTrans" cxnId="{BBA0F7CD-FF90-4233-AF76-3C579A888EAD}">
      <dgm:prSet/>
      <dgm:spPr/>
      <dgm:t>
        <a:bodyPr/>
        <a:lstStyle/>
        <a:p>
          <a:endParaRPr lang="en-GB"/>
        </a:p>
      </dgm:t>
    </dgm:pt>
    <dgm:pt modelId="{6F8AC78F-D78B-4120-A708-CF33F470B596}" type="sibTrans" cxnId="{BBA0F7CD-FF90-4233-AF76-3C579A888EAD}">
      <dgm:prSet/>
      <dgm:spPr/>
      <dgm:t>
        <a:bodyPr/>
        <a:lstStyle/>
        <a:p>
          <a:endParaRPr lang="en-GB"/>
        </a:p>
      </dgm:t>
    </dgm:pt>
    <dgm:pt modelId="{0B23A9CC-77E3-46D1-915D-9FC9D88AB3EE}" type="pres">
      <dgm:prSet presAssocID="{882B040A-56A0-4151-A3EE-1D586EAE546E}" presName="matrix" presStyleCnt="0">
        <dgm:presLayoutVars>
          <dgm:chMax val="1"/>
          <dgm:dir/>
          <dgm:resizeHandles val="exact"/>
        </dgm:presLayoutVars>
      </dgm:prSet>
      <dgm:spPr/>
    </dgm:pt>
    <dgm:pt modelId="{E0C16384-B3B7-4F82-A974-ED523D63F3E4}" type="pres">
      <dgm:prSet presAssocID="{882B040A-56A0-4151-A3EE-1D586EAE546E}" presName="diamond" presStyleLbl="bgShp" presStyleIdx="0" presStyleCnt="1"/>
      <dgm:spPr/>
    </dgm:pt>
    <dgm:pt modelId="{82C94BB0-DBF4-4E57-AD4C-0B51C5654549}" type="pres">
      <dgm:prSet presAssocID="{882B040A-56A0-4151-A3EE-1D586EAE546E}" presName="quad1" presStyleLbl="node1" presStyleIdx="0" presStyleCnt="4">
        <dgm:presLayoutVars>
          <dgm:chMax val="0"/>
          <dgm:chPref val="0"/>
          <dgm:bulletEnabled val="1"/>
        </dgm:presLayoutVars>
      </dgm:prSet>
      <dgm:spPr/>
    </dgm:pt>
    <dgm:pt modelId="{C1A0EE1A-8346-4E44-BE5E-6882F3FDEA60}" type="pres">
      <dgm:prSet presAssocID="{882B040A-56A0-4151-A3EE-1D586EAE546E}" presName="quad2" presStyleLbl="node1" presStyleIdx="1" presStyleCnt="4">
        <dgm:presLayoutVars>
          <dgm:chMax val="0"/>
          <dgm:chPref val="0"/>
          <dgm:bulletEnabled val="1"/>
        </dgm:presLayoutVars>
      </dgm:prSet>
      <dgm:spPr/>
    </dgm:pt>
    <dgm:pt modelId="{DE8982F2-237F-4885-B234-BEA47BD69119}" type="pres">
      <dgm:prSet presAssocID="{882B040A-56A0-4151-A3EE-1D586EAE546E}" presName="quad3" presStyleLbl="node1" presStyleIdx="2" presStyleCnt="4">
        <dgm:presLayoutVars>
          <dgm:chMax val="0"/>
          <dgm:chPref val="0"/>
          <dgm:bulletEnabled val="1"/>
        </dgm:presLayoutVars>
      </dgm:prSet>
      <dgm:spPr/>
    </dgm:pt>
    <dgm:pt modelId="{B9EA50DA-F2D5-4D13-B69A-3CCD935C5431}" type="pres">
      <dgm:prSet presAssocID="{882B040A-56A0-4151-A3EE-1D586EAE546E}" presName="quad4" presStyleLbl="node1" presStyleIdx="3" presStyleCnt="4">
        <dgm:presLayoutVars>
          <dgm:chMax val="0"/>
          <dgm:chPref val="0"/>
          <dgm:bulletEnabled val="1"/>
        </dgm:presLayoutVars>
      </dgm:prSet>
      <dgm:spPr/>
    </dgm:pt>
  </dgm:ptLst>
  <dgm:cxnLst>
    <dgm:cxn modelId="{8D016E0F-A051-4108-96AA-F93D93FF92A7}" type="presOf" srcId="{F6F0E705-9F37-4C8A-952C-1540D7359B70}" destId="{C1A0EE1A-8346-4E44-BE5E-6882F3FDEA60}" srcOrd="0" destOrd="0" presId="urn:microsoft.com/office/officeart/2005/8/layout/matrix3"/>
    <dgm:cxn modelId="{11B84310-B5B6-45AF-ADD6-617984828E3F}" type="presOf" srcId="{882B040A-56A0-4151-A3EE-1D586EAE546E}" destId="{0B23A9CC-77E3-46D1-915D-9FC9D88AB3EE}" srcOrd="0" destOrd="0" presId="urn:microsoft.com/office/officeart/2005/8/layout/matrix3"/>
    <dgm:cxn modelId="{F35CB730-97B4-4EA4-A520-25EAFB32EE55}" srcId="{882B040A-56A0-4151-A3EE-1D586EAE546E}" destId="{F6F0E705-9F37-4C8A-952C-1540D7359B70}" srcOrd="1" destOrd="0" parTransId="{6A52FD9F-17E1-4125-9849-E2F01157E6AF}" sibTransId="{B718BCC8-263D-48AB-A131-223710395F52}"/>
    <dgm:cxn modelId="{72CAFD5D-A896-4150-B627-6518376679FB}" type="presOf" srcId="{17C20BD2-74F5-4D79-83FB-E05383010579}" destId="{DE8982F2-237F-4885-B234-BEA47BD69119}" srcOrd="0" destOrd="0" presId="urn:microsoft.com/office/officeart/2005/8/layout/matrix3"/>
    <dgm:cxn modelId="{81CCFB8A-AF63-443E-A0C9-C6129F3B1F42}" type="presOf" srcId="{D4C15B24-7CB2-4840-8B2F-2B017CCB70DA}" destId="{B9EA50DA-F2D5-4D13-B69A-3CCD935C5431}" srcOrd="0" destOrd="0" presId="urn:microsoft.com/office/officeart/2005/8/layout/matrix3"/>
    <dgm:cxn modelId="{D97727B0-370E-48D6-902D-0A4D505083B3}" srcId="{882B040A-56A0-4151-A3EE-1D586EAE546E}" destId="{17C20BD2-74F5-4D79-83FB-E05383010579}" srcOrd="2" destOrd="0" parTransId="{D1174E03-5E92-4449-AA6F-1094CAB7BC32}" sibTransId="{21567DB8-84B6-4A48-8976-CDBC253F016D}"/>
    <dgm:cxn modelId="{FC2C53BB-1C79-48CD-A0C9-C9F74B2DF447}" srcId="{882B040A-56A0-4151-A3EE-1D586EAE546E}" destId="{47F4E6B2-671D-4736-A9AA-0B2886E37876}" srcOrd="0" destOrd="0" parTransId="{425F7665-B940-4290-B14C-092B76672187}" sibTransId="{BB22AA08-1A8F-4805-BAF4-5D731B163F49}"/>
    <dgm:cxn modelId="{BBA0F7CD-FF90-4233-AF76-3C579A888EAD}" srcId="{882B040A-56A0-4151-A3EE-1D586EAE546E}" destId="{D4C15B24-7CB2-4840-8B2F-2B017CCB70DA}" srcOrd="3" destOrd="0" parTransId="{1E0F24AD-471A-43C3-98B0-7FC1DC0D1892}" sibTransId="{6F8AC78F-D78B-4120-A708-CF33F470B596}"/>
    <dgm:cxn modelId="{20FB3EED-0E1F-4646-A693-1D02E8F8F38B}" type="presOf" srcId="{47F4E6B2-671D-4736-A9AA-0B2886E37876}" destId="{82C94BB0-DBF4-4E57-AD4C-0B51C5654549}" srcOrd="0" destOrd="0" presId="urn:microsoft.com/office/officeart/2005/8/layout/matrix3"/>
    <dgm:cxn modelId="{C788EFA6-3097-47C1-ADF2-98D592186122}" type="presParOf" srcId="{0B23A9CC-77E3-46D1-915D-9FC9D88AB3EE}" destId="{E0C16384-B3B7-4F82-A974-ED523D63F3E4}" srcOrd="0" destOrd="0" presId="urn:microsoft.com/office/officeart/2005/8/layout/matrix3"/>
    <dgm:cxn modelId="{56CB2667-5700-40DF-A2E1-A0DD00307F34}" type="presParOf" srcId="{0B23A9CC-77E3-46D1-915D-9FC9D88AB3EE}" destId="{82C94BB0-DBF4-4E57-AD4C-0B51C5654549}" srcOrd="1" destOrd="0" presId="urn:microsoft.com/office/officeart/2005/8/layout/matrix3"/>
    <dgm:cxn modelId="{5605555D-2895-468A-BCA8-A91206C2AE30}" type="presParOf" srcId="{0B23A9CC-77E3-46D1-915D-9FC9D88AB3EE}" destId="{C1A0EE1A-8346-4E44-BE5E-6882F3FDEA60}" srcOrd="2" destOrd="0" presId="urn:microsoft.com/office/officeart/2005/8/layout/matrix3"/>
    <dgm:cxn modelId="{249A3043-50E6-4EF5-BE8F-DE6515C61E14}" type="presParOf" srcId="{0B23A9CC-77E3-46D1-915D-9FC9D88AB3EE}" destId="{DE8982F2-237F-4885-B234-BEA47BD69119}" srcOrd="3" destOrd="0" presId="urn:microsoft.com/office/officeart/2005/8/layout/matrix3"/>
    <dgm:cxn modelId="{9672B5A0-6758-4C3E-864B-66FE5C263618}" type="presParOf" srcId="{0B23A9CC-77E3-46D1-915D-9FC9D88AB3EE}" destId="{B9EA50DA-F2D5-4D13-B69A-3CCD935C5431}" srcOrd="4" destOrd="0" presId="urn:microsoft.com/office/officeart/2005/8/layout/matrix3"/>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BF50B1-2F39-464F-A6D8-B65F1BB65CF8}">
      <dsp:nvSpPr>
        <dsp:cNvPr id="0" name=""/>
        <dsp:cNvSpPr/>
      </dsp:nvSpPr>
      <dsp:spPr>
        <a:xfrm>
          <a:off x="0" y="257039"/>
          <a:ext cx="5943600" cy="35280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A412F10-7764-4976-B0EA-2869D37D9878}">
      <dsp:nvSpPr>
        <dsp:cNvPr id="0" name=""/>
        <dsp:cNvSpPr/>
      </dsp:nvSpPr>
      <dsp:spPr>
        <a:xfrm>
          <a:off x="297180" y="50399"/>
          <a:ext cx="4160520" cy="413280"/>
        </a:xfrm>
        <a:prstGeom prst="roundRect">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7258" tIns="0" rIns="157258"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Total Revenue</a:t>
          </a:r>
          <a:endParaRPr lang="en-GB" sz="1400" kern="1200">
            <a:latin typeface="Times New Roman" panose="02020603050405020304" pitchFamily="18" charset="0"/>
            <a:cs typeface="Times New Roman" panose="02020603050405020304" pitchFamily="18" charset="0"/>
          </a:endParaRPr>
        </a:p>
      </dsp:txBody>
      <dsp:txXfrm>
        <a:off x="317355" y="70574"/>
        <a:ext cx="4120170" cy="372930"/>
      </dsp:txXfrm>
    </dsp:sp>
    <dsp:sp modelId="{1E90B7ED-8355-4AEC-8AEE-37961511A59A}">
      <dsp:nvSpPr>
        <dsp:cNvPr id="0" name=""/>
        <dsp:cNvSpPr/>
      </dsp:nvSpPr>
      <dsp:spPr>
        <a:xfrm>
          <a:off x="0" y="892080"/>
          <a:ext cx="5943600" cy="352800"/>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D9D6DDF-E944-4EFA-A3CF-168D42CDD80E}">
      <dsp:nvSpPr>
        <dsp:cNvPr id="0" name=""/>
        <dsp:cNvSpPr/>
      </dsp:nvSpPr>
      <dsp:spPr>
        <a:xfrm>
          <a:off x="297180" y="685440"/>
          <a:ext cx="4160520" cy="413280"/>
        </a:xfrm>
        <a:prstGeom prst="roundRect">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7258" tIns="0" rIns="157258"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Revenue Sources</a:t>
          </a:r>
          <a:endParaRPr lang="en-GB" sz="1400" kern="1200">
            <a:latin typeface="Times New Roman" panose="02020603050405020304" pitchFamily="18" charset="0"/>
            <a:cs typeface="Times New Roman" panose="02020603050405020304" pitchFamily="18" charset="0"/>
          </a:endParaRPr>
        </a:p>
      </dsp:txBody>
      <dsp:txXfrm>
        <a:off x="317355" y="705615"/>
        <a:ext cx="4120170" cy="372930"/>
      </dsp:txXfrm>
    </dsp:sp>
    <dsp:sp modelId="{66ED60B3-6C77-4CE9-A2D2-AA3256CEB74A}">
      <dsp:nvSpPr>
        <dsp:cNvPr id="0" name=""/>
        <dsp:cNvSpPr/>
      </dsp:nvSpPr>
      <dsp:spPr>
        <a:xfrm>
          <a:off x="0" y="1527120"/>
          <a:ext cx="5943600" cy="352800"/>
        </a:xfrm>
        <a:prstGeom prst="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9196816-0248-4415-97EB-2EF1B6F87385}">
      <dsp:nvSpPr>
        <dsp:cNvPr id="0" name=""/>
        <dsp:cNvSpPr/>
      </dsp:nvSpPr>
      <dsp:spPr>
        <a:xfrm>
          <a:off x="297180" y="1320480"/>
          <a:ext cx="4160520" cy="413280"/>
        </a:xfrm>
        <a:prstGeom prst="round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7258" tIns="0" rIns="157258"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Key Drivers</a:t>
          </a:r>
          <a:endParaRPr lang="en-GB" sz="1400" kern="1200">
            <a:latin typeface="Times New Roman" panose="02020603050405020304" pitchFamily="18" charset="0"/>
            <a:cs typeface="Times New Roman" panose="02020603050405020304" pitchFamily="18" charset="0"/>
          </a:endParaRPr>
        </a:p>
      </dsp:txBody>
      <dsp:txXfrm>
        <a:off x="317355" y="1340655"/>
        <a:ext cx="4120170" cy="372930"/>
      </dsp:txXfrm>
    </dsp:sp>
    <dsp:sp modelId="{CCBD0705-EE67-4A3A-AF70-8EE149897FB8}">
      <dsp:nvSpPr>
        <dsp:cNvPr id="0" name=""/>
        <dsp:cNvSpPr/>
      </dsp:nvSpPr>
      <dsp:spPr>
        <a:xfrm>
          <a:off x="0" y="2162160"/>
          <a:ext cx="5943600"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47DEF71-7598-46C3-8B88-D1FEDEF3F998}">
      <dsp:nvSpPr>
        <dsp:cNvPr id="0" name=""/>
        <dsp:cNvSpPr/>
      </dsp:nvSpPr>
      <dsp:spPr>
        <a:xfrm>
          <a:off x="297180" y="1955520"/>
          <a:ext cx="4160520" cy="413280"/>
        </a:xfrm>
        <a:prstGeom prst="roundRect">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7258" tIns="0" rIns="157258"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Revenue Trends</a:t>
          </a:r>
          <a:endParaRPr lang="en-GB" sz="1400" kern="1200">
            <a:latin typeface="Times New Roman" panose="02020603050405020304" pitchFamily="18" charset="0"/>
            <a:cs typeface="Times New Roman" panose="02020603050405020304" pitchFamily="18" charset="0"/>
          </a:endParaRPr>
        </a:p>
      </dsp:txBody>
      <dsp:txXfrm>
        <a:off x="317355" y="1975695"/>
        <a:ext cx="4120170" cy="372930"/>
      </dsp:txXfrm>
    </dsp:sp>
    <dsp:sp modelId="{9A2728A5-C728-40D5-B9B8-F337052C9756}">
      <dsp:nvSpPr>
        <dsp:cNvPr id="0" name=""/>
        <dsp:cNvSpPr/>
      </dsp:nvSpPr>
      <dsp:spPr>
        <a:xfrm>
          <a:off x="0" y="2797200"/>
          <a:ext cx="5943600" cy="352800"/>
        </a:xfrm>
        <a:prstGeom prst="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3BDDA57-15FD-463B-A930-494C110836AA}">
      <dsp:nvSpPr>
        <dsp:cNvPr id="0" name=""/>
        <dsp:cNvSpPr/>
      </dsp:nvSpPr>
      <dsp:spPr>
        <a:xfrm>
          <a:off x="297180" y="2590560"/>
          <a:ext cx="4160520" cy="413280"/>
        </a:xfrm>
        <a:prstGeom prst="roundRect">
          <a:avLst/>
        </a:prstGeom>
        <a:solidFill>
          <a:schemeClr val="accent6">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7258" tIns="0" rIns="157258"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Comparison Insights</a:t>
          </a:r>
          <a:endParaRPr lang="en-GB" sz="1400" kern="1200">
            <a:latin typeface="Times New Roman" panose="02020603050405020304" pitchFamily="18" charset="0"/>
            <a:cs typeface="Times New Roman" panose="02020603050405020304" pitchFamily="18" charset="0"/>
          </a:endParaRPr>
        </a:p>
      </dsp:txBody>
      <dsp:txXfrm>
        <a:off x="317355" y="2610735"/>
        <a:ext cx="4120170" cy="372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083CFC-C829-48B3-ADDF-9026744EF7A0}">
      <dsp:nvSpPr>
        <dsp:cNvPr id="0" name=""/>
        <dsp:cNvSpPr/>
      </dsp:nvSpPr>
      <dsp:spPr>
        <a:xfrm>
          <a:off x="2171923" y="1764"/>
          <a:ext cx="1142553" cy="742659"/>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Market Share</a:t>
          </a:r>
          <a:endParaRPr lang="en-GB" sz="1200" kern="1200">
            <a:latin typeface="Times New Roman" panose="02020603050405020304" pitchFamily="18" charset="0"/>
            <a:cs typeface="Times New Roman" panose="02020603050405020304" pitchFamily="18" charset="0"/>
          </a:endParaRPr>
        </a:p>
      </dsp:txBody>
      <dsp:txXfrm>
        <a:off x="2208177" y="38018"/>
        <a:ext cx="1070045" cy="670151"/>
      </dsp:txXfrm>
    </dsp:sp>
    <dsp:sp modelId="{D8AE2778-C038-4FE3-9C73-5BC6961E3A7F}">
      <dsp:nvSpPr>
        <dsp:cNvPr id="0" name=""/>
        <dsp:cNvSpPr/>
      </dsp:nvSpPr>
      <dsp:spPr>
        <a:xfrm>
          <a:off x="1516093" y="373093"/>
          <a:ext cx="2454212" cy="2454212"/>
        </a:xfrm>
        <a:custGeom>
          <a:avLst/>
          <a:gdLst/>
          <a:ahLst/>
          <a:cxnLst/>
          <a:rect l="0" t="0" r="0" b="0"/>
          <a:pathLst>
            <a:path>
              <a:moveTo>
                <a:pt x="1806615" y="145459"/>
              </a:moveTo>
              <a:arcTo wR="1227106" hR="1227106" stAng="17890853" swAng="2626183"/>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CC6CFB0-9960-4A1C-8A72-D3E7CE655539}">
      <dsp:nvSpPr>
        <dsp:cNvPr id="0" name=""/>
        <dsp:cNvSpPr/>
      </dsp:nvSpPr>
      <dsp:spPr>
        <a:xfrm>
          <a:off x="3399029" y="1228870"/>
          <a:ext cx="1142553" cy="742659"/>
        </a:xfrm>
        <a:prstGeom prst="roundRect">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Customer Demographics</a:t>
          </a:r>
          <a:endParaRPr lang="en-GB" sz="1200" kern="1200">
            <a:latin typeface="Times New Roman" panose="02020603050405020304" pitchFamily="18" charset="0"/>
            <a:cs typeface="Times New Roman" panose="02020603050405020304" pitchFamily="18" charset="0"/>
          </a:endParaRPr>
        </a:p>
      </dsp:txBody>
      <dsp:txXfrm>
        <a:off x="3435283" y="1265124"/>
        <a:ext cx="1070045" cy="670151"/>
      </dsp:txXfrm>
    </dsp:sp>
    <dsp:sp modelId="{F18CDAF8-CA48-45D5-B3B5-EB57EE658B99}">
      <dsp:nvSpPr>
        <dsp:cNvPr id="0" name=""/>
        <dsp:cNvSpPr/>
      </dsp:nvSpPr>
      <dsp:spPr>
        <a:xfrm>
          <a:off x="1516093" y="373093"/>
          <a:ext cx="2454212" cy="2454212"/>
        </a:xfrm>
        <a:custGeom>
          <a:avLst/>
          <a:gdLst/>
          <a:ahLst/>
          <a:cxnLst/>
          <a:rect l="0" t="0" r="0" b="0"/>
          <a:pathLst>
            <a:path>
              <a:moveTo>
                <a:pt x="2393825" y="1607308"/>
              </a:moveTo>
              <a:arcTo wR="1227106" hR="1227106" stAng="1082964" swAng="2626183"/>
            </a:path>
          </a:pathLst>
        </a:custGeom>
        <a:noFill/>
        <a:ln w="6350" cap="flat" cmpd="sng" algn="ctr">
          <a:solidFill>
            <a:schemeClr val="accent2">
              <a:hueOff val="-485121"/>
              <a:satOff val="-27976"/>
              <a:lumOff val="2876"/>
              <a:alphaOff val="0"/>
            </a:schemeClr>
          </a:solidFill>
          <a:prstDash val="solid"/>
          <a:miter lim="800000"/>
        </a:ln>
        <a:effectLst/>
      </dsp:spPr>
      <dsp:style>
        <a:lnRef idx="1">
          <a:scrgbClr r="0" g="0" b="0"/>
        </a:lnRef>
        <a:fillRef idx="0">
          <a:scrgbClr r="0" g="0" b="0"/>
        </a:fillRef>
        <a:effectRef idx="0">
          <a:scrgbClr r="0" g="0" b="0"/>
        </a:effectRef>
        <a:fontRef idx="minor"/>
      </dsp:style>
    </dsp:sp>
    <dsp:sp modelId="{FBFAC55D-A1FB-4C0D-9E71-358879F43D81}">
      <dsp:nvSpPr>
        <dsp:cNvPr id="0" name=""/>
        <dsp:cNvSpPr/>
      </dsp:nvSpPr>
      <dsp:spPr>
        <a:xfrm>
          <a:off x="2171923" y="2455976"/>
          <a:ext cx="1142553" cy="742659"/>
        </a:xfrm>
        <a:prstGeom prst="roundRect">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Brand Perceptions</a:t>
          </a:r>
          <a:endParaRPr lang="en-GB" sz="1200" kern="1200">
            <a:latin typeface="Times New Roman" panose="02020603050405020304" pitchFamily="18" charset="0"/>
            <a:cs typeface="Times New Roman" panose="02020603050405020304" pitchFamily="18" charset="0"/>
          </a:endParaRPr>
        </a:p>
      </dsp:txBody>
      <dsp:txXfrm>
        <a:off x="2208177" y="2492230"/>
        <a:ext cx="1070045" cy="670151"/>
      </dsp:txXfrm>
    </dsp:sp>
    <dsp:sp modelId="{C5820F06-CA57-4F2D-9C51-C6FB2EC6512A}">
      <dsp:nvSpPr>
        <dsp:cNvPr id="0" name=""/>
        <dsp:cNvSpPr/>
      </dsp:nvSpPr>
      <dsp:spPr>
        <a:xfrm>
          <a:off x="1516093" y="373093"/>
          <a:ext cx="2454212" cy="2454212"/>
        </a:xfrm>
        <a:custGeom>
          <a:avLst/>
          <a:gdLst/>
          <a:ahLst/>
          <a:cxnLst/>
          <a:rect l="0" t="0" r="0" b="0"/>
          <a:pathLst>
            <a:path>
              <a:moveTo>
                <a:pt x="647596" y="2308752"/>
              </a:moveTo>
              <a:arcTo wR="1227106" hR="1227106" stAng="7090853" swAng="2626183"/>
            </a:path>
          </a:pathLst>
        </a:custGeom>
        <a:noFill/>
        <a:ln w="6350" cap="flat" cmpd="sng" algn="ctr">
          <a:solidFill>
            <a:schemeClr val="accent2">
              <a:hueOff val="-970242"/>
              <a:satOff val="-55952"/>
              <a:lumOff val="5752"/>
              <a:alphaOff val="0"/>
            </a:schemeClr>
          </a:solidFill>
          <a:prstDash val="solid"/>
          <a:miter lim="800000"/>
        </a:ln>
        <a:effectLst/>
      </dsp:spPr>
      <dsp:style>
        <a:lnRef idx="1">
          <a:scrgbClr r="0" g="0" b="0"/>
        </a:lnRef>
        <a:fillRef idx="0">
          <a:scrgbClr r="0" g="0" b="0"/>
        </a:fillRef>
        <a:effectRef idx="0">
          <a:scrgbClr r="0" g="0" b="0"/>
        </a:effectRef>
        <a:fontRef idx="minor"/>
      </dsp:style>
    </dsp:sp>
    <dsp:sp modelId="{95AD8B70-A9A5-4B89-8CE7-E07D99A64C56}">
      <dsp:nvSpPr>
        <dsp:cNvPr id="0" name=""/>
        <dsp:cNvSpPr/>
      </dsp:nvSpPr>
      <dsp:spPr>
        <a:xfrm>
          <a:off x="944817" y="1228870"/>
          <a:ext cx="1142553" cy="742659"/>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Comparison Insights:</a:t>
          </a:r>
          <a:r>
            <a:rPr lang="en-GB" sz="1200" kern="1200">
              <a:latin typeface="Times New Roman" panose="02020603050405020304" pitchFamily="18" charset="0"/>
              <a:cs typeface="Times New Roman" panose="02020603050405020304" pitchFamily="18" charset="0"/>
            </a:rPr>
            <a:t> </a:t>
          </a:r>
        </a:p>
      </dsp:txBody>
      <dsp:txXfrm>
        <a:off x="981071" y="1265124"/>
        <a:ext cx="1070045" cy="670151"/>
      </dsp:txXfrm>
    </dsp:sp>
    <dsp:sp modelId="{25C896D2-3E0E-4B4A-873B-81E7C3C03405}">
      <dsp:nvSpPr>
        <dsp:cNvPr id="0" name=""/>
        <dsp:cNvSpPr/>
      </dsp:nvSpPr>
      <dsp:spPr>
        <a:xfrm>
          <a:off x="1516093" y="373093"/>
          <a:ext cx="2454212" cy="2454212"/>
        </a:xfrm>
        <a:custGeom>
          <a:avLst/>
          <a:gdLst/>
          <a:ahLst/>
          <a:cxnLst/>
          <a:rect l="0" t="0" r="0" b="0"/>
          <a:pathLst>
            <a:path>
              <a:moveTo>
                <a:pt x="60386" y="846903"/>
              </a:moveTo>
              <a:arcTo wR="1227106" hR="1227106" stAng="11882964" swAng="2626183"/>
            </a:path>
          </a:pathLst>
        </a:custGeom>
        <a:noFill/>
        <a:ln w="6350" cap="flat" cmpd="sng" algn="ctr">
          <a:solidFill>
            <a:schemeClr val="accent2">
              <a:hueOff val="-1455363"/>
              <a:satOff val="-83928"/>
              <a:lumOff val="8628"/>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4FCCCE-744B-40F7-AAEF-941C11829B0B}">
      <dsp:nvSpPr>
        <dsp:cNvPr id="0" name=""/>
        <dsp:cNvSpPr/>
      </dsp:nvSpPr>
      <dsp:spPr>
        <a:xfrm>
          <a:off x="-3617274" y="-555868"/>
          <a:ext cx="4312137" cy="4312137"/>
        </a:xfrm>
        <a:prstGeom prst="blockArc">
          <a:avLst>
            <a:gd name="adj1" fmla="val 18900000"/>
            <a:gd name="adj2" fmla="val 2700000"/>
            <a:gd name="adj3" fmla="val 501"/>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4BF2373-719A-4038-AD72-8D1487D2A97C}">
      <dsp:nvSpPr>
        <dsp:cNvPr id="0" name=""/>
        <dsp:cNvSpPr/>
      </dsp:nvSpPr>
      <dsp:spPr>
        <a:xfrm>
          <a:off x="364263" y="246046"/>
          <a:ext cx="5080589" cy="492349"/>
        </a:xfrm>
        <a:prstGeom prst="rect">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90802" tIns="68580" rIns="68580" bIns="68580" numCol="1" spcCol="1270" anchor="ctr" anchorCtr="0">
          <a:noAutofit/>
        </a:bodyPr>
        <a:lstStyle/>
        <a:p>
          <a:pPr marL="0" lvl="0" indent="0" algn="l" defTabSz="1200150">
            <a:lnSpc>
              <a:spcPct val="90000"/>
            </a:lnSpc>
            <a:spcBef>
              <a:spcPct val="0"/>
            </a:spcBef>
            <a:spcAft>
              <a:spcPct val="35000"/>
            </a:spcAft>
            <a:buNone/>
          </a:pPr>
          <a:r>
            <a:rPr lang="en-GB" sz="2700" b="1" kern="1200">
              <a:latin typeface="Times New Roman" panose="02020603050405020304" pitchFamily="18" charset="0"/>
              <a:cs typeface="Times New Roman" panose="02020603050405020304" pitchFamily="18" charset="0"/>
            </a:rPr>
            <a:t>Expansion Strategies</a:t>
          </a:r>
          <a:endParaRPr lang="en-GB" sz="2700" kern="1200">
            <a:latin typeface="Times New Roman" panose="02020603050405020304" pitchFamily="18" charset="0"/>
            <a:cs typeface="Times New Roman" panose="02020603050405020304" pitchFamily="18" charset="0"/>
          </a:endParaRPr>
        </a:p>
      </dsp:txBody>
      <dsp:txXfrm>
        <a:off x="364263" y="246046"/>
        <a:ext cx="5080589" cy="492349"/>
      </dsp:txXfrm>
    </dsp:sp>
    <dsp:sp modelId="{1DE9F3C9-323A-44C8-B795-FFDEE7C792DF}">
      <dsp:nvSpPr>
        <dsp:cNvPr id="0" name=""/>
        <dsp:cNvSpPr/>
      </dsp:nvSpPr>
      <dsp:spPr>
        <a:xfrm>
          <a:off x="56545" y="184503"/>
          <a:ext cx="615436" cy="615436"/>
        </a:xfrm>
        <a:prstGeom prst="ellipse">
          <a:avLst/>
        </a:prstGeom>
        <a:solidFill>
          <a:schemeClr val="lt1">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4D8D1A3-81C1-4EF7-A5C6-7BE17C406150}">
      <dsp:nvSpPr>
        <dsp:cNvPr id="0" name=""/>
        <dsp:cNvSpPr/>
      </dsp:nvSpPr>
      <dsp:spPr>
        <a:xfrm>
          <a:off x="646539" y="984699"/>
          <a:ext cx="4798313" cy="492349"/>
        </a:xfrm>
        <a:prstGeom prst="rect">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90802" tIns="68580" rIns="68580" bIns="68580" numCol="1" spcCol="1270" anchor="ctr" anchorCtr="0">
          <a:noAutofit/>
        </a:bodyPr>
        <a:lstStyle/>
        <a:p>
          <a:pPr marL="0" lvl="0" indent="0" algn="l" defTabSz="1200150">
            <a:lnSpc>
              <a:spcPct val="90000"/>
            </a:lnSpc>
            <a:spcBef>
              <a:spcPct val="0"/>
            </a:spcBef>
            <a:spcAft>
              <a:spcPct val="35000"/>
            </a:spcAft>
            <a:buNone/>
          </a:pPr>
          <a:r>
            <a:rPr lang="en-GB" sz="2700" b="1" kern="1200">
              <a:latin typeface="Times New Roman" panose="02020603050405020304" pitchFamily="18" charset="0"/>
              <a:cs typeface="Times New Roman" panose="02020603050405020304" pitchFamily="18" charset="0"/>
            </a:rPr>
            <a:t>Market Opportunities</a:t>
          </a:r>
          <a:endParaRPr lang="en-GB" sz="2700" kern="1200">
            <a:latin typeface="Times New Roman" panose="02020603050405020304" pitchFamily="18" charset="0"/>
            <a:cs typeface="Times New Roman" panose="02020603050405020304" pitchFamily="18" charset="0"/>
          </a:endParaRPr>
        </a:p>
      </dsp:txBody>
      <dsp:txXfrm>
        <a:off x="646539" y="984699"/>
        <a:ext cx="4798313" cy="492349"/>
      </dsp:txXfrm>
    </dsp:sp>
    <dsp:sp modelId="{FFCC18DB-4810-4AA2-A924-17E9D5F4752D}">
      <dsp:nvSpPr>
        <dsp:cNvPr id="0" name=""/>
        <dsp:cNvSpPr/>
      </dsp:nvSpPr>
      <dsp:spPr>
        <a:xfrm>
          <a:off x="338820" y="923155"/>
          <a:ext cx="615436" cy="615436"/>
        </a:xfrm>
        <a:prstGeom prst="ellipse">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B48F2C0-5B34-4D38-8D98-77A5672BC512}">
      <dsp:nvSpPr>
        <dsp:cNvPr id="0" name=""/>
        <dsp:cNvSpPr/>
      </dsp:nvSpPr>
      <dsp:spPr>
        <a:xfrm>
          <a:off x="646539" y="1723351"/>
          <a:ext cx="4798313" cy="492349"/>
        </a:xfrm>
        <a:prstGeom prst="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90802" tIns="68580" rIns="68580" bIns="68580" numCol="1" spcCol="1270" anchor="ctr" anchorCtr="0">
          <a:noAutofit/>
        </a:bodyPr>
        <a:lstStyle/>
        <a:p>
          <a:pPr marL="0" lvl="0" indent="0" algn="l" defTabSz="1200150">
            <a:lnSpc>
              <a:spcPct val="90000"/>
            </a:lnSpc>
            <a:spcBef>
              <a:spcPct val="0"/>
            </a:spcBef>
            <a:spcAft>
              <a:spcPct val="35000"/>
            </a:spcAft>
            <a:buNone/>
          </a:pPr>
          <a:r>
            <a:rPr lang="en-GB" sz="2700" b="1" kern="1200">
              <a:latin typeface="Times New Roman" panose="02020603050405020304" pitchFamily="18" charset="0"/>
              <a:cs typeface="Times New Roman" panose="02020603050405020304" pitchFamily="18" charset="0"/>
            </a:rPr>
            <a:t>Potential Barriers to Growth</a:t>
          </a:r>
          <a:endParaRPr lang="en-GB" sz="2700" kern="1200">
            <a:latin typeface="Times New Roman" panose="02020603050405020304" pitchFamily="18" charset="0"/>
            <a:cs typeface="Times New Roman" panose="02020603050405020304" pitchFamily="18" charset="0"/>
          </a:endParaRPr>
        </a:p>
      </dsp:txBody>
      <dsp:txXfrm>
        <a:off x="646539" y="1723351"/>
        <a:ext cx="4798313" cy="492349"/>
      </dsp:txXfrm>
    </dsp:sp>
    <dsp:sp modelId="{03C5FAB3-A859-43A5-9B41-3DDD8D16AF1B}">
      <dsp:nvSpPr>
        <dsp:cNvPr id="0" name=""/>
        <dsp:cNvSpPr/>
      </dsp:nvSpPr>
      <dsp:spPr>
        <a:xfrm>
          <a:off x="338820" y="1661807"/>
          <a:ext cx="615436" cy="615436"/>
        </a:xfrm>
        <a:prstGeom prst="ellipse">
          <a:avLst/>
        </a:prstGeom>
        <a:solidFill>
          <a:schemeClr val="lt1">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B62E5D8-FB1A-4F0B-BC6B-831B3024051C}">
      <dsp:nvSpPr>
        <dsp:cNvPr id="0" name=""/>
        <dsp:cNvSpPr/>
      </dsp:nvSpPr>
      <dsp:spPr>
        <a:xfrm>
          <a:off x="364263" y="2462003"/>
          <a:ext cx="5080589" cy="492349"/>
        </a:xfrm>
        <a:prstGeom prst="rect">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90802" tIns="68580" rIns="68580" bIns="68580" numCol="1" spcCol="1270" anchor="ctr" anchorCtr="0">
          <a:noAutofit/>
        </a:bodyPr>
        <a:lstStyle/>
        <a:p>
          <a:pPr marL="0" lvl="0" indent="0" algn="l" defTabSz="1200150">
            <a:lnSpc>
              <a:spcPct val="90000"/>
            </a:lnSpc>
            <a:spcBef>
              <a:spcPct val="0"/>
            </a:spcBef>
            <a:spcAft>
              <a:spcPct val="35000"/>
            </a:spcAft>
            <a:buNone/>
          </a:pPr>
          <a:r>
            <a:rPr lang="en-GB" sz="2700" b="1" kern="1200">
              <a:latin typeface="Times New Roman" panose="02020603050405020304" pitchFamily="18" charset="0"/>
              <a:cs typeface="Times New Roman" panose="02020603050405020304" pitchFamily="18" charset="0"/>
            </a:rPr>
            <a:t>Comparison Insights</a:t>
          </a:r>
          <a:endParaRPr lang="en-GB" sz="2700" kern="1200">
            <a:latin typeface="Times New Roman" panose="02020603050405020304" pitchFamily="18" charset="0"/>
            <a:cs typeface="Times New Roman" panose="02020603050405020304" pitchFamily="18" charset="0"/>
          </a:endParaRPr>
        </a:p>
      </dsp:txBody>
      <dsp:txXfrm>
        <a:off x="364263" y="2462003"/>
        <a:ext cx="5080589" cy="492349"/>
      </dsp:txXfrm>
    </dsp:sp>
    <dsp:sp modelId="{5FBDBB0A-83A4-4C62-9F96-845DEEFC7F79}">
      <dsp:nvSpPr>
        <dsp:cNvPr id="0" name=""/>
        <dsp:cNvSpPr/>
      </dsp:nvSpPr>
      <dsp:spPr>
        <a:xfrm>
          <a:off x="56545" y="2400460"/>
          <a:ext cx="615436" cy="615436"/>
        </a:xfrm>
        <a:prstGeom prst="ellipse">
          <a:avLst/>
        </a:prstGeom>
        <a:solidFill>
          <a:schemeClr val="lt1">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C16384-B3B7-4F82-A974-ED523D63F3E4}">
      <dsp:nvSpPr>
        <dsp:cNvPr id="0" name=""/>
        <dsp:cNvSpPr/>
      </dsp:nvSpPr>
      <dsp:spPr>
        <a:xfrm>
          <a:off x="1143000" y="0"/>
          <a:ext cx="3200400" cy="3200400"/>
        </a:xfrm>
        <a:prstGeom prst="diamond">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2C94BB0-DBF4-4E57-AD4C-0B51C5654549}">
      <dsp:nvSpPr>
        <dsp:cNvPr id="0" name=""/>
        <dsp:cNvSpPr/>
      </dsp:nvSpPr>
      <dsp:spPr>
        <a:xfrm>
          <a:off x="1447038" y="304038"/>
          <a:ext cx="1248156" cy="1248156"/>
        </a:xfrm>
        <a:prstGeom prst="roundRect">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latin typeface="Times New Roman" panose="02020603050405020304" pitchFamily="18" charset="0"/>
              <a:cs typeface="Times New Roman" panose="02020603050405020304" pitchFamily="18" charset="0"/>
            </a:rPr>
            <a:t>Sustainability Practices</a:t>
          </a:r>
          <a:endParaRPr lang="en-GB" sz="1300" kern="1200">
            <a:latin typeface="Times New Roman" panose="02020603050405020304" pitchFamily="18" charset="0"/>
            <a:cs typeface="Times New Roman" panose="02020603050405020304" pitchFamily="18" charset="0"/>
          </a:endParaRPr>
        </a:p>
      </dsp:txBody>
      <dsp:txXfrm>
        <a:off x="1507968" y="364968"/>
        <a:ext cx="1126296" cy="1126296"/>
      </dsp:txXfrm>
    </dsp:sp>
    <dsp:sp modelId="{C1A0EE1A-8346-4E44-BE5E-6882F3FDEA60}">
      <dsp:nvSpPr>
        <dsp:cNvPr id="0" name=""/>
        <dsp:cNvSpPr/>
      </dsp:nvSpPr>
      <dsp:spPr>
        <a:xfrm>
          <a:off x="2791206" y="304038"/>
          <a:ext cx="1248156" cy="1248156"/>
        </a:xfrm>
        <a:prstGeom prst="roundRect">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latin typeface="Times New Roman" panose="02020603050405020304" pitchFamily="18" charset="0"/>
              <a:cs typeface="Times New Roman" panose="02020603050405020304" pitchFamily="18" charset="0"/>
            </a:rPr>
            <a:t>Community Engagement</a:t>
          </a:r>
          <a:endParaRPr lang="en-GB" sz="1300" kern="1200">
            <a:latin typeface="Times New Roman" panose="02020603050405020304" pitchFamily="18" charset="0"/>
            <a:cs typeface="Times New Roman" panose="02020603050405020304" pitchFamily="18" charset="0"/>
          </a:endParaRPr>
        </a:p>
      </dsp:txBody>
      <dsp:txXfrm>
        <a:off x="2852136" y="364968"/>
        <a:ext cx="1126296" cy="1126296"/>
      </dsp:txXfrm>
    </dsp:sp>
    <dsp:sp modelId="{DE8982F2-237F-4885-B234-BEA47BD69119}">
      <dsp:nvSpPr>
        <dsp:cNvPr id="0" name=""/>
        <dsp:cNvSpPr/>
      </dsp:nvSpPr>
      <dsp:spPr>
        <a:xfrm>
          <a:off x="1447038" y="1648206"/>
          <a:ext cx="1248156" cy="1248156"/>
        </a:xfrm>
        <a:prstGeom prst="round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latin typeface="Times New Roman" panose="02020603050405020304" pitchFamily="18" charset="0"/>
              <a:cs typeface="Times New Roman" panose="02020603050405020304" pitchFamily="18" charset="0"/>
            </a:rPr>
            <a:t>Comparison Insights</a:t>
          </a:r>
          <a:endParaRPr lang="en-GB" sz="1300" kern="1200">
            <a:latin typeface="Times New Roman" panose="02020603050405020304" pitchFamily="18" charset="0"/>
            <a:cs typeface="Times New Roman" panose="02020603050405020304" pitchFamily="18" charset="0"/>
          </a:endParaRPr>
        </a:p>
      </dsp:txBody>
      <dsp:txXfrm>
        <a:off x="1507968" y="1709136"/>
        <a:ext cx="1126296" cy="1126296"/>
      </dsp:txXfrm>
    </dsp:sp>
    <dsp:sp modelId="{B9EA50DA-F2D5-4D13-B69A-3CCD935C5431}">
      <dsp:nvSpPr>
        <dsp:cNvPr id="0" name=""/>
        <dsp:cNvSpPr/>
      </dsp:nvSpPr>
      <dsp:spPr>
        <a:xfrm>
          <a:off x="2791206" y="1648206"/>
          <a:ext cx="1248156" cy="1248156"/>
        </a:xfrm>
        <a:prstGeom prst="roundRect">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latin typeface="Times New Roman" panose="02020603050405020304" pitchFamily="18" charset="0"/>
              <a:cs typeface="Times New Roman" panose="02020603050405020304" pitchFamily="18" charset="0"/>
            </a:rPr>
            <a:t>Ethical Business Practices</a:t>
          </a:r>
          <a:endParaRPr lang="en-GB" sz="1300" kern="1200">
            <a:latin typeface="Times New Roman" panose="02020603050405020304" pitchFamily="18" charset="0"/>
            <a:cs typeface="Times New Roman" panose="02020603050405020304" pitchFamily="18" charset="0"/>
          </a:endParaRPr>
        </a:p>
      </dsp:txBody>
      <dsp:txXfrm>
        <a:off x="2852136" y="1709136"/>
        <a:ext cx="1126296" cy="112629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9196365-FDB8-4545-A19A-06AF7CCCC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2906</Words>
  <Characters>16568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Ovidiu Roman</dc:creator>
  <cp:keywords/>
  <dc:description/>
  <cp:lastModifiedBy>Roxana Roman</cp:lastModifiedBy>
  <cp:revision>3</cp:revision>
  <dcterms:created xsi:type="dcterms:W3CDTF">2023-10-20T09:37:00Z</dcterms:created>
  <dcterms:modified xsi:type="dcterms:W3CDTF">2023-10-20T09:38:00Z</dcterms:modified>
</cp:coreProperties>
</file>