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B84A7" w14:textId="77777777" w:rsidR="000343C8" w:rsidRDefault="000343C8" w:rsidP="000343C8">
      <w:pPr>
        <w:jc w:val="center"/>
      </w:pPr>
    </w:p>
    <w:p w14:paraId="2F2CBEB4" w14:textId="77777777" w:rsidR="000343C8" w:rsidRDefault="000343C8" w:rsidP="000343C8">
      <w:pPr>
        <w:jc w:val="center"/>
      </w:pPr>
    </w:p>
    <w:p w14:paraId="629CD688" w14:textId="77777777" w:rsidR="000343C8" w:rsidRDefault="000343C8" w:rsidP="000343C8">
      <w:pPr>
        <w:jc w:val="center"/>
      </w:pPr>
    </w:p>
    <w:p w14:paraId="35DF02C3" w14:textId="77777777" w:rsidR="000343C8" w:rsidRDefault="000343C8" w:rsidP="000343C8">
      <w:pPr>
        <w:jc w:val="center"/>
      </w:pPr>
    </w:p>
    <w:p w14:paraId="4779C722" w14:textId="77777777" w:rsidR="000343C8" w:rsidRDefault="000343C8" w:rsidP="000343C8">
      <w:pPr>
        <w:jc w:val="center"/>
      </w:pPr>
    </w:p>
    <w:p w14:paraId="25D94A74" w14:textId="77777777" w:rsidR="000343C8" w:rsidRDefault="000343C8" w:rsidP="000343C8">
      <w:pPr>
        <w:jc w:val="center"/>
      </w:pPr>
    </w:p>
    <w:p w14:paraId="1C0A1B96" w14:textId="77777777" w:rsidR="000343C8" w:rsidRDefault="000343C8" w:rsidP="000343C8">
      <w:pPr>
        <w:jc w:val="center"/>
      </w:pPr>
    </w:p>
    <w:p w14:paraId="4AD0FBFE" w14:textId="77777777" w:rsidR="000343C8" w:rsidRDefault="000343C8" w:rsidP="000343C8">
      <w:pPr>
        <w:jc w:val="center"/>
      </w:pPr>
      <w:r w:rsidRPr="002D1264">
        <w:t>MANAGEMENT ECONOMICS</w:t>
      </w:r>
    </w:p>
    <w:p w14:paraId="4E602972" w14:textId="6F05AB1A" w:rsidR="000343C8" w:rsidRDefault="000343C8" w:rsidP="000343C8">
      <w:pPr>
        <w:jc w:val="center"/>
      </w:pPr>
      <w:r>
        <w:t>Name of the Student</w:t>
      </w:r>
      <w:r w:rsidR="008046F5">
        <w:t xml:space="preserve"> Aysidora Stavreva</w:t>
      </w:r>
    </w:p>
    <w:p w14:paraId="5A22E303" w14:textId="38085D31" w:rsidR="000343C8" w:rsidRDefault="000343C8" w:rsidP="000343C8">
      <w:pPr>
        <w:jc w:val="center"/>
      </w:pPr>
      <w:r>
        <w:t>Name of the University</w:t>
      </w:r>
      <w:r w:rsidR="008046F5">
        <w:t xml:space="preserve"> of Wells Trinity Sant Davis</w:t>
      </w:r>
    </w:p>
    <w:p w14:paraId="4F8FAD5E" w14:textId="77777777" w:rsidR="000343C8" w:rsidRDefault="000343C8" w:rsidP="000343C8">
      <w:pPr>
        <w:rPr>
          <w:rFonts w:eastAsia="Times New Roman" w:cs="Times New Roman"/>
          <w:color w:val="000000"/>
          <w:szCs w:val="32"/>
          <w:lang w:val="en-US"/>
        </w:rPr>
      </w:pPr>
      <w:r>
        <w:br w:type="page"/>
      </w:r>
    </w:p>
    <w:p w14:paraId="55FAE0D0" w14:textId="77777777" w:rsidR="000343C8" w:rsidRDefault="000343C8" w:rsidP="000343C8">
      <w:pPr>
        <w:pStyle w:val="Heading1"/>
      </w:pPr>
      <w:r>
        <w:lastRenderedPageBreak/>
        <w:t>Task 1 (a).</w:t>
      </w:r>
    </w:p>
    <w:p w14:paraId="148F7A76" w14:textId="77777777" w:rsidR="000343C8" w:rsidRDefault="000343C8" w:rsidP="000343C8">
      <w:pPr>
        <w:rPr>
          <w:lang w:val="en-US"/>
        </w:rPr>
      </w:pPr>
      <w:r>
        <w:rPr>
          <w:lang w:val="en-US"/>
        </w:rPr>
        <w:tab/>
        <w:t>In the past few years, the UK’s economic landscape has been significantly changed due to the intertwined problems of the Covid-19 pandemic, Brexit and the interconnected impacts of these two. The combined impact of the Covid-19 pandemic and Brexit has caused several disruptions and created upheaval and uncertainty for both individuals and businesses, leading to several fundamental economic problems, including supply chain disruptions, fuel price hikes, panic buying of resources and several others (</w:t>
      </w:r>
      <w:r>
        <w:rPr>
          <w:shd w:val="clear" w:color="auto" w:fill="FFFFFF"/>
        </w:rPr>
        <w:t>Bissoondeeal, Binner and Milas 2023)</w:t>
      </w:r>
      <w:r>
        <w:rPr>
          <w:lang w:val="en-US"/>
        </w:rPr>
        <w:t>. In the given case study, some of these fundamental economic problems that have arisen due to the intertwined impact of the Covid-19 pandemic and Brexit are highlighted. This section of the essay discusses those economic problems as follows.</w:t>
      </w:r>
    </w:p>
    <w:p w14:paraId="5F59ADBF" w14:textId="77777777" w:rsidR="000343C8" w:rsidRDefault="000343C8" w:rsidP="000343C8">
      <w:pPr>
        <w:rPr>
          <w:lang w:val="en-US"/>
        </w:rPr>
      </w:pPr>
      <w:r>
        <w:rPr>
          <w:lang w:val="en-US"/>
        </w:rPr>
        <w:tab/>
        <w:t>The first fundamental economic problem that arose was the labour shortage within the UK. The labour shortage is a serious economic issue for any country because labour shortage will affect companies’ production and goods/ services delivery capacity, which will create a supply shortage within the economy and ultimately lead to a slowdown of the country’s economic growth. Since the outbreak of the Covid-19 pandemic, various sectors have faced serious labour shortages, including food and drink, construction, hospitality and haulage. The country reported record-high job vacancies of 1,298,400 between Nov-21 and Jan-22. This huge level of staff shortage disrupted the entire supply chain of several sectors. For example, the haulage sector faced challenges as there was a lack of around 100,000 drivers (</w:t>
      </w:r>
      <w:r w:rsidRPr="001E3322">
        <w:rPr>
          <w:lang w:val="en-US"/>
        </w:rPr>
        <w:t>Davey 2021</w:t>
      </w:r>
      <w:r>
        <w:rPr>
          <w:lang w:val="en-US"/>
        </w:rPr>
        <w:t xml:space="preserve">). The haulage sector is an essential part of every company’s supply chain as for the transportation of both finished goods and raw materials; companies require the support of the haulage sector. Thus, this labour shortage caused warehouse backlogs on the one hand, and on the other hand, it led to a shortage of products and delayed delivery to customers. Similarly, the food and drink </w:t>
      </w:r>
      <w:r>
        <w:rPr>
          <w:lang w:val="en-US"/>
        </w:rPr>
        <w:lastRenderedPageBreak/>
        <w:t xml:space="preserve">industry faced a 12.5% labour shortage. This labour shortage is the combined outcome of the Covid-19 pandemic and Brexit. However, Covid-19 and Brexit are not the only causes of labour shortages. It is already a fundamental structural problem in the UK because, as per </w:t>
      </w:r>
      <w:r w:rsidRPr="00792856">
        <w:rPr>
          <w:lang w:val="en-US"/>
        </w:rPr>
        <w:t>the Road Haulage Association</w:t>
      </w:r>
      <w:r>
        <w:rPr>
          <w:lang w:val="en-US"/>
        </w:rPr>
        <w:t>, even before the pandemic scenario, there was a labour shortage of 60,000 in the haulage sector (</w:t>
      </w:r>
      <w:r w:rsidRPr="00BF0377">
        <w:rPr>
          <w:lang w:val="en-US"/>
        </w:rPr>
        <w:t>Reynolds 2021</w:t>
      </w:r>
      <w:r>
        <w:rPr>
          <w:lang w:val="en-US"/>
        </w:rPr>
        <w:t>).</w:t>
      </w:r>
    </w:p>
    <w:p w14:paraId="0E6B7106" w14:textId="77777777" w:rsidR="000343C8" w:rsidRDefault="000343C8" w:rsidP="000343C8">
      <w:pPr>
        <w:rPr>
          <w:lang w:val="en-US"/>
        </w:rPr>
      </w:pPr>
      <w:r>
        <w:rPr>
          <w:lang w:val="en-US"/>
        </w:rPr>
        <w:tab/>
        <w:t xml:space="preserve">Similarly, the other fundamental economic problem faced by the country is fuel shortage and the rocket price hike of fuel prices. As a result of the labour shortage, the demand for fuel increased. However, due to the lack of truck drivers, transportation of fuel was also disrupted, causing a duel shortage. Post-lock down, the demand for fuel increases. The country failed to manage the increased fuel demand because, on the one hand, Russia restricts the fuel supply to Europe and the UK, and on the other hand, it has limited fuel storage facilities. Previously, when it was a part of the EU single market, it was not exposed to fuel storage-related issues because it did not face the challenges related to limited fuel storage facilities. Due to the increased fuel demand and lack of storage facilities, </w:t>
      </w:r>
      <w:r w:rsidRPr="00581D23">
        <w:rPr>
          <w:lang w:val="en-US"/>
        </w:rPr>
        <w:t xml:space="preserve">UK wholesale </w:t>
      </w:r>
      <w:r>
        <w:rPr>
          <w:lang w:val="en-US"/>
        </w:rPr>
        <w:t>fuel</w:t>
      </w:r>
      <w:r w:rsidRPr="00581D23">
        <w:rPr>
          <w:lang w:val="en-US"/>
        </w:rPr>
        <w:t xml:space="preserve"> prices</w:t>
      </w:r>
      <w:r>
        <w:rPr>
          <w:lang w:val="en-US"/>
        </w:rPr>
        <w:t xml:space="preserve"> increased nine times more in Dec-21 than in Feb-21. Due to this rocket price hike in fuel prices, the energy-intensive industries have become vulnerable. Many businesses decide to end their production as their financial performance becomes unviable due to significantly high fuel prices (</w:t>
      </w:r>
      <w:r w:rsidRPr="00204331">
        <w:rPr>
          <w:lang w:val="en-US"/>
        </w:rPr>
        <w:t>Hinson and Bolton 2022</w:t>
      </w:r>
      <w:r>
        <w:rPr>
          <w:lang w:val="en-US"/>
        </w:rPr>
        <w:t>).</w:t>
      </w:r>
    </w:p>
    <w:p w14:paraId="4ADBB797" w14:textId="77777777" w:rsidR="000343C8" w:rsidRDefault="000343C8" w:rsidP="000343C8">
      <w:pPr>
        <w:rPr>
          <w:lang w:val="en-US"/>
        </w:rPr>
      </w:pPr>
      <w:r>
        <w:rPr>
          <w:lang w:val="en-US"/>
        </w:rPr>
        <w:tab/>
        <w:t>Panic buying also causes serious fuel supply issues. Driver shortage disrupts the fuel supply; however, initially, only a minority of petrol pumps face fuel shortage due to driver shortage. However, once this issue came to the news, people started panic buying, causing a sudden rise in demand while supply was already disrupted. This panic buying made the situation worse.</w:t>
      </w:r>
    </w:p>
    <w:p w14:paraId="6A1EEF79" w14:textId="77777777" w:rsidR="000343C8" w:rsidRDefault="000343C8" w:rsidP="000343C8">
      <w:pPr>
        <w:rPr>
          <w:lang w:val="en-US"/>
        </w:rPr>
      </w:pPr>
      <w:r>
        <w:rPr>
          <w:lang w:val="en-US"/>
        </w:rPr>
        <w:lastRenderedPageBreak/>
        <w:tab/>
        <w:t>Therefore, it is concluded that since 2020-21, the UK has been facing several fundamental economic problems due to the combined impact of the UK’s structural problems, the Covid-19 pandemic and Brexit.</w:t>
      </w:r>
    </w:p>
    <w:p w14:paraId="3FD5EA12" w14:textId="77777777" w:rsidR="000343C8" w:rsidRDefault="000343C8" w:rsidP="000343C8">
      <w:pPr>
        <w:pStyle w:val="Heading1"/>
      </w:pPr>
      <w:r>
        <w:t>Task 1 (b).</w:t>
      </w:r>
    </w:p>
    <w:p w14:paraId="0C818AB6" w14:textId="77777777" w:rsidR="000343C8" w:rsidRDefault="000343C8" w:rsidP="000343C8">
      <w:pPr>
        <w:rPr>
          <w:lang w:val="en-US"/>
        </w:rPr>
      </w:pPr>
      <w:r>
        <w:rPr>
          <w:lang w:val="en-US"/>
        </w:rPr>
        <w:tab/>
        <w:t>In order to cope with the above-discussed fundamental economic issues, several governmental interventions are required. Along with this, businesses and industries also need to implement and adopt the necessary action measurements.</w:t>
      </w:r>
      <w:r w:rsidRPr="00CF3A44">
        <w:rPr>
          <w:lang w:val="en-US"/>
        </w:rPr>
        <w:t xml:space="preserve"> </w:t>
      </w:r>
      <w:r>
        <w:rPr>
          <w:lang w:val="en-US"/>
        </w:rPr>
        <w:t>This section of the essay discusses different ways via which the stated economic issues can be addressed.</w:t>
      </w:r>
    </w:p>
    <w:p w14:paraId="60B3173F" w14:textId="77777777" w:rsidR="000343C8" w:rsidRDefault="000343C8" w:rsidP="000343C8">
      <w:pPr>
        <w:rPr>
          <w:lang w:val="en-US"/>
        </w:rPr>
      </w:pPr>
      <w:r>
        <w:rPr>
          <w:lang w:val="en-US"/>
        </w:rPr>
        <w:tab/>
        <w:t xml:space="preserve">First of all, the government plays an important role in addressing and mitigating these challenges via different governmental interventions, such as government structure, communication, governmental policies and others. The government should focus on developing its internal structure that will monitor the crisis scenario regularly and respond accordingly. For instance, where it is observed that there is a significant driver shortage in the haulage sector, the government must announce a task force that will temporarily mitigate the issues related to a labour shortage. Accordingly, the UK government announced a </w:t>
      </w:r>
      <w:r w:rsidRPr="00B700B8">
        <w:rPr>
          <w:lang w:val="en-US"/>
        </w:rPr>
        <w:t>National Economic Recovery Taskforce (Logistics)</w:t>
      </w:r>
      <w:r>
        <w:rPr>
          <w:lang w:val="en-US"/>
        </w:rPr>
        <w:t xml:space="preserve"> on 14</w:t>
      </w:r>
      <w:r w:rsidRPr="00B700B8">
        <w:rPr>
          <w:vertAlign w:val="superscript"/>
          <w:lang w:val="en-US"/>
        </w:rPr>
        <w:t>th</w:t>
      </w:r>
      <w:r>
        <w:rPr>
          <w:lang w:val="en-US"/>
        </w:rPr>
        <w:t xml:space="preserve"> September 2021, which will coordinate the governmental departments that are responsible for the haulage sector and address the driver issue (</w:t>
      </w:r>
      <w:r w:rsidRPr="004503ED">
        <w:rPr>
          <w:lang w:val="en-US"/>
        </w:rPr>
        <w:t>Parallel Parliament 2022</w:t>
      </w:r>
      <w:r>
        <w:rPr>
          <w:lang w:val="en-US"/>
        </w:rPr>
        <w:t>).</w:t>
      </w:r>
    </w:p>
    <w:p w14:paraId="518FAF64" w14:textId="77777777" w:rsidR="000343C8" w:rsidRDefault="000343C8" w:rsidP="000343C8">
      <w:pPr>
        <w:rPr>
          <w:lang w:val="en-US"/>
        </w:rPr>
      </w:pPr>
      <w:r>
        <w:rPr>
          <w:lang w:val="en-US"/>
        </w:rPr>
        <w:tab/>
        <w:t xml:space="preserve">Another way of addressing these economic challenges is effective communication with government officials. It is important for them to explain the scenario clearly to the public. For instance, it has been researched that panic buying was a result of ineffective government communication. On the one hand, the government stated that the supply chain disruption in the </w:t>
      </w:r>
      <w:r>
        <w:rPr>
          <w:lang w:val="en-US"/>
        </w:rPr>
        <w:lastRenderedPageBreak/>
        <w:t>UK is a global issue, which has been arising due to the disruptions in the global supply chain. On the other hand, the government acknowledges that Brexit is a contributing factor to the labour shortage. This variation in the government’s explanation makes the panic-buying situation worse. Hence, the importance of clear and effective government communication is clear. If the government effectively communicate and explains the situation properly to the public, then a great portion of the economic challenges can be avoided (</w:t>
      </w:r>
      <w:r w:rsidRPr="001E67CD">
        <w:rPr>
          <w:lang w:val="en-US"/>
        </w:rPr>
        <w:t>IFG 2021</w:t>
      </w:r>
      <w:r>
        <w:rPr>
          <w:lang w:val="en-US"/>
        </w:rPr>
        <w:t>).</w:t>
      </w:r>
    </w:p>
    <w:p w14:paraId="10487190" w14:textId="77777777" w:rsidR="000343C8" w:rsidRDefault="000343C8" w:rsidP="000343C8">
      <w:pPr>
        <w:rPr>
          <w:lang w:val="en-US"/>
        </w:rPr>
      </w:pPr>
      <w:r>
        <w:rPr>
          <w:lang w:val="en-US"/>
        </w:rPr>
        <w:tab/>
        <w:t xml:space="preserve">Further, as mentioned earlier, due to driver shortage, the delivery of fuel supply was disrupted, which led to fuel shortage and a hike in energy prices. In this situation, the government may consider the use of military forces. In the crisis scenario, military forces are deployed to manage the crisis. Thus, in the case of fuel shortages, the government should use military force to supply fuel. For instance, in Oct-21, the government deployed around </w:t>
      </w:r>
      <w:r w:rsidRPr="00400283">
        <w:rPr>
          <w:lang w:val="en-US"/>
        </w:rPr>
        <w:t>200 military tanker personnel</w:t>
      </w:r>
      <w:r>
        <w:rPr>
          <w:lang w:val="en-US"/>
        </w:rPr>
        <w:t xml:space="preserve"> to handle the fuel shortage crisis (</w:t>
      </w:r>
      <w:r w:rsidRPr="009D5C02">
        <w:rPr>
          <w:lang w:val="en-US"/>
        </w:rPr>
        <w:t>GOV.UK</w:t>
      </w:r>
      <w:r>
        <w:rPr>
          <w:lang w:val="en-US"/>
        </w:rPr>
        <w:t xml:space="preserve"> </w:t>
      </w:r>
      <w:r w:rsidRPr="009D5C02">
        <w:rPr>
          <w:lang w:val="en-US"/>
        </w:rPr>
        <w:t>2023</w:t>
      </w:r>
      <w:r>
        <w:rPr>
          <w:lang w:val="en-US"/>
        </w:rPr>
        <w:t xml:space="preserve">). Similarly, in order to address the crisis of rocket energy price hikes, the government might fix a price cap on the energy price for domestic consumers. For instance, on Aug-21, the UK government put a price cap of </w:t>
      </w:r>
      <w:r w:rsidRPr="00C1208F">
        <w:rPr>
          <w:lang w:val="en-US"/>
        </w:rPr>
        <w:t>£1,277</w:t>
      </w:r>
      <w:r>
        <w:rPr>
          <w:lang w:val="en-US"/>
        </w:rPr>
        <w:t xml:space="preserve"> on average energy bills.</w:t>
      </w:r>
    </w:p>
    <w:p w14:paraId="463959CF" w14:textId="77777777" w:rsidR="000343C8" w:rsidRDefault="000343C8" w:rsidP="000343C8">
      <w:pPr>
        <w:rPr>
          <w:lang w:val="en-US"/>
        </w:rPr>
      </w:pPr>
      <w:r>
        <w:rPr>
          <w:lang w:val="en-US"/>
        </w:rPr>
        <w:tab/>
        <w:t>Along with the government, businesses and industries should also take and implement necessary action measures. For instance, businesses may consider increasing the wages of labour during times of crisis in order to deal with the labour shortage. The increased wages may keep them attracted to the work, and the increased wages will be helpful for supporting their financial responsibility during the crisis time (</w:t>
      </w:r>
      <w:r w:rsidRPr="002B2AC0">
        <w:rPr>
          <w:lang w:val="en-US"/>
        </w:rPr>
        <w:t>House of Commons 2022</w:t>
      </w:r>
      <w:r>
        <w:rPr>
          <w:lang w:val="en-US"/>
        </w:rPr>
        <w:t xml:space="preserve">). Businesses should strengthen their supplier network so that in the case of any potential supply chain crisis, the suppliers inform businesses at an early stage. This will help the businesses to prepare themselves for any potential supply chain disruptions at an earlier stage. Businesses should also consider educating customers </w:t>
      </w:r>
      <w:r>
        <w:rPr>
          <w:lang w:val="en-US"/>
        </w:rPr>
        <w:lastRenderedPageBreak/>
        <w:t>regarding what to do and what not to do in the case of crisis scenarios so that they do not get panicked and start buying and piling up products in a rush.</w:t>
      </w:r>
    </w:p>
    <w:p w14:paraId="21373264" w14:textId="77777777" w:rsidR="000343C8" w:rsidRDefault="000343C8" w:rsidP="000343C8">
      <w:pPr>
        <w:rPr>
          <w:lang w:val="en-US"/>
        </w:rPr>
      </w:pPr>
      <w:r>
        <w:rPr>
          <w:lang w:val="en-US"/>
        </w:rPr>
        <w:tab/>
        <w:t>Therefore, it is concluded that the fundamental economic problems can be addressed through the combined initiative of the government and businesses.</w:t>
      </w:r>
    </w:p>
    <w:p w14:paraId="5D94F826" w14:textId="77777777" w:rsidR="000343C8" w:rsidRDefault="000343C8" w:rsidP="000343C8">
      <w:pPr>
        <w:pStyle w:val="Heading1"/>
      </w:pPr>
      <w:r>
        <w:t>Task 2 (a).</w:t>
      </w:r>
    </w:p>
    <w:p w14:paraId="3700B122" w14:textId="77777777" w:rsidR="000343C8" w:rsidRDefault="000343C8" w:rsidP="000343C8">
      <w:pPr>
        <w:rPr>
          <w:lang w:val="en-US"/>
        </w:rPr>
      </w:pPr>
      <w:r>
        <w:rPr>
          <w:lang w:val="en-US"/>
        </w:rPr>
        <w:tab/>
        <w:t>Demand and supply are two fundamental concepts of an economy. In an open economy, the market equilibrium and product and service prices are determined on the basis of the market demand and supply. If issues regarding demand or supply start to arise, a country faces serious economic challenges, which is evident from the given case study. Hence, in this case study, demand and supply are relevant. The relevance of the demand and supply is discussed below,</w:t>
      </w:r>
    </w:p>
    <w:p w14:paraId="30982B56" w14:textId="77777777" w:rsidR="000343C8" w:rsidRDefault="000343C8" w:rsidP="000343C8">
      <w:pPr>
        <w:rPr>
          <w:lang w:val="en-US"/>
        </w:rPr>
      </w:pPr>
      <w:r>
        <w:rPr>
          <w:lang w:val="en-US"/>
        </w:rPr>
        <w:tab/>
        <w:t xml:space="preserve">A product’s demand, supply and pricing strategy are all interrelated. With the change in the pricing strategy, a product’s market demand or supply changes. Similarly, due to the changes in the products, demand suddenly increases, or the supply suddenly decreases, and the same affects the product’s market price. It is observed in the case study that the entire UK supply chain was disrupted due to the Covid-19 pandemic and Brexit, which led to a shortage in labour supply. Due to the labour shortage, business production, delivery, and procurement were delayed. Even fuel shortage is also faced. In this scenario, the shortage can be managed to a certain extent by increasing the wages of workers. Similarly, due to fuel shortage, fuel demand suddenly increased, and people started to panic buying. That situation can be dealt with by following a dynamic pricing strategy. For example, despite the rising fuel prices, some discounts are given to domestic consumers. Therefore, demand and supply are relevant for this case study </w:t>
      </w:r>
      <w:r>
        <w:rPr>
          <w:lang w:val="en-US"/>
        </w:rPr>
        <w:lastRenderedPageBreak/>
        <w:t>because the pressure of supply and demand can be managed via a pricing strategy (</w:t>
      </w:r>
      <w:r>
        <w:rPr>
          <w:shd w:val="clear" w:color="auto" w:fill="FFFFFF"/>
        </w:rPr>
        <w:t>Taleizadeh, Moshtagh and Moon 2018)</w:t>
      </w:r>
      <w:r>
        <w:rPr>
          <w:lang w:val="en-US"/>
        </w:rPr>
        <w:t>.</w:t>
      </w:r>
    </w:p>
    <w:p w14:paraId="58C34EBE" w14:textId="77777777" w:rsidR="000343C8" w:rsidRDefault="000343C8" w:rsidP="000343C8">
      <w:pPr>
        <w:rPr>
          <w:lang w:val="en-US"/>
        </w:rPr>
      </w:pPr>
      <w:r>
        <w:rPr>
          <w:lang w:val="en-US"/>
        </w:rPr>
        <w:tab/>
        <w:t>During a crisis situation, balancing the business’ inventories is crucial. If a business does not maintain a minimum required level of stock balance, then the supply chain disruption will affect the business more. Thus, evaluating the business’ inventory demand and the condition of the market demand and supply is necessary so that the business can plan its inventory purchase accordingly. It is observed from the case study that there are companies that use a just-in-time inventory management system. During the time of the supply chain disruption, those companies re-evaluate their just-in-time inventory management system. Some companies, such as BIMCO, considered changing their just-in-time inventory system to a just-in-case inventory system. The just-in-case system considers any possible challenging situation that may arise, such as cases of supply shortage, delayed supply, unanticipated hikes in demand, and others. Accordingly, the business piles up the stock. Therefore, for this purpose, consideration of demand and supply is also necessary (</w:t>
      </w:r>
      <w:r w:rsidRPr="001E67CD">
        <w:rPr>
          <w:lang w:val="en-US"/>
        </w:rPr>
        <w:t>IFG 2021</w:t>
      </w:r>
      <w:r>
        <w:rPr>
          <w:lang w:val="en-US"/>
        </w:rPr>
        <w:t>).</w:t>
      </w:r>
    </w:p>
    <w:p w14:paraId="57B0BA52" w14:textId="77777777" w:rsidR="000343C8" w:rsidRDefault="000343C8" w:rsidP="000343C8">
      <w:pPr>
        <w:rPr>
          <w:lang w:val="en-US"/>
        </w:rPr>
      </w:pPr>
      <w:r>
        <w:rPr>
          <w:lang w:val="en-US"/>
        </w:rPr>
        <w:tab/>
        <w:t>In this case study, demand and supply are also relevant because they can help the business in effective risk management. Generally, the market demand and supply do not fluctuate significantly in one night. The indicating factor of potential challenges exists in the market beforehand. For example, the Covid-19 pandemic and Brexit were held liable for the truck driver shortage. However, it was discussed earlier that even before the pandemic situation, there was a deficit of drivers in the industry. Thus, analysing demand and supply is constantly important as it helps to identify any structural weaknesses, and the businesses get time to prepare proper strategies for their risk management in the case of challenging situations (</w:t>
      </w:r>
      <w:r w:rsidRPr="001E67CD">
        <w:rPr>
          <w:lang w:val="en-US"/>
        </w:rPr>
        <w:t>IFG 2021</w:t>
      </w:r>
      <w:r>
        <w:rPr>
          <w:lang w:val="en-US"/>
        </w:rPr>
        <w:t>).</w:t>
      </w:r>
    </w:p>
    <w:p w14:paraId="31E8B9D3" w14:textId="77777777" w:rsidR="000343C8" w:rsidRDefault="000343C8" w:rsidP="000343C8">
      <w:pPr>
        <w:rPr>
          <w:lang w:val="en-US"/>
        </w:rPr>
      </w:pPr>
      <w:r>
        <w:rPr>
          <w:lang w:val="en-US"/>
        </w:rPr>
        <w:lastRenderedPageBreak/>
        <w:tab/>
        <w:t>Demand and supply are also relevant for shortage management and shifting the market demand. The demand law states that if there is a change in any demand determinant factor except the price, then the demand curve shifts; that is, the market demand shifts. If businesses have the knowledge of market demand and supply scenarios, then they can shift their market demand accordingly so that the shortage situation does not impact the businesses and customers that much.</w:t>
      </w:r>
    </w:p>
    <w:p w14:paraId="482DABEB" w14:textId="77777777" w:rsidR="000343C8" w:rsidRDefault="000343C8" w:rsidP="000343C8">
      <w:pPr>
        <w:rPr>
          <w:lang w:val="en-US"/>
        </w:rPr>
      </w:pPr>
      <w:r>
        <w:rPr>
          <w:lang w:val="en-US"/>
        </w:rPr>
        <w:tab/>
        <w:t>Therefore, it is concluded that from the case study point of view, demand and supply are relevant.</w:t>
      </w:r>
    </w:p>
    <w:p w14:paraId="1B292F2A" w14:textId="77777777" w:rsidR="000343C8" w:rsidRDefault="000343C8" w:rsidP="000343C8">
      <w:pPr>
        <w:pStyle w:val="Heading1"/>
      </w:pPr>
      <w:r>
        <w:t>Task 2 (b).</w:t>
      </w:r>
    </w:p>
    <w:p w14:paraId="16031B1A" w14:textId="77777777" w:rsidR="000343C8" w:rsidRDefault="000343C8" w:rsidP="000343C8">
      <w:pPr>
        <w:rPr>
          <w:lang w:val="en-US"/>
        </w:rPr>
      </w:pPr>
      <w:r>
        <w:rPr>
          <w:lang w:val="en-US"/>
        </w:rPr>
        <w:tab/>
        <w:t>Demand elasticity is an economic measurement that measures % change in a product’s quantity demanded in response to the change in any demand determinants, such as income, price and others (</w:t>
      </w:r>
      <w:r>
        <w:rPr>
          <w:shd w:val="clear" w:color="auto" w:fill="FFFFFF"/>
        </w:rPr>
        <w:t>de Bonviller, Wheeler and Zuo 2020)</w:t>
      </w:r>
      <w:r>
        <w:rPr>
          <w:lang w:val="en-US"/>
        </w:rPr>
        <w:t>. Generally, a product is regarded as elastic when the quantity demanded changes significantly due to the change in the demand determinants. Conversely, when there is no movement in the quality demanded of a product with the change in the demand determinant, the product is regarded as an inelastic product. Products of utmost necessity, such as life-saving drugs and tobacco products, are considered inelastic products, and luxury products are considered elastic products (</w:t>
      </w:r>
      <w:r>
        <w:rPr>
          <w:shd w:val="clear" w:color="auto" w:fill="FFFFFF"/>
        </w:rPr>
        <w:t>Jawad et al. 2018)</w:t>
      </w:r>
      <w:r>
        <w:rPr>
          <w:lang w:val="en-US"/>
        </w:rPr>
        <w:t>.</w:t>
      </w:r>
    </w:p>
    <w:p w14:paraId="10337ACE" w14:textId="77777777" w:rsidR="000343C8" w:rsidRDefault="000343C8" w:rsidP="000343C8">
      <w:pPr>
        <w:rPr>
          <w:lang w:val="en-US"/>
        </w:rPr>
      </w:pPr>
      <w:r>
        <w:rPr>
          <w:lang w:val="en-US"/>
        </w:rPr>
        <w:tab/>
        <w:t>Thus, the key differences between elasticity and inelasticity of demand include the following,</w:t>
      </w:r>
    </w:p>
    <w:p w14:paraId="21FAF9D1" w14:textId="77777777" w:rsidR="000343C8" w:rsidRDefault="000343C8" w:rsidP="000343C8">
      <w:pPr>
        <w:rPr>
          <w:lang w:val="en-US"/>
        </w:rPr>
      </w:pPr>
      <w:r>
        <w:rPr>
          <w:lang w:val="en-US"/>
        </w:rPr>
        <w:tab/>
        <w:t xml:space="preserve">First of all, inelastic demand has price flexibility. Generally, these are the products that are of utmost necessity. Thus, with a significant increase in the price, people will buy these products. Therefore, companies selling inelastic products can increase or decrease the product </w:t>
      </w:r>
      <w:r>
        <w:rPr>
          <w:lang w:val="en-US"/>
        </w:rPr>
        <w:lastRenderedPageBreak/>
        <w:t>price as per their requirement. However, elastic demand does not have price flexibility. Luxury products have an elastic demand. In the case of elastic demand, if a company increases or decreases the price of its product, demand changes significantly. Thus, companies cannot increase or decrease the product price as per their will. For example, fuel is an inelastic product. It is a necessary element for every individual and business. Thus, from the case study, it is observed that despite the increase in price, people continued to purchase fuel at a higher price (</w:t>
      </w:r>
      <w:r>
        <w:rPr>
          <w:shd w:val="clear" w:color="auto" w:fill="FFFFFF"/>
        </w:rPr>
        <w:t>Díaz and Medlock 2021)</w:t>
      </w:r>
      <w:r>
        <w:rPr>
          <w:lang w:val="en-US"/>
        </w:rPr>
        <w:t>.</w:t>
      </w:r>
    </w:p>
    <w:p w14:paraId="344E9D9E" w14:textId="77777777" w:rsidR="000343C8" w:rsidRDefault="000343C8" w:rsidP="000343C8">
      <w:pPr>
        <w:rPr>
          <w:lang w:val="en-US"/>
        </w:rPr>
      </w:pPr>
      <w:r>
        <w:rPr>
          <w:lang w:val="en-US"/>
        </w:rPr>
        <w:tab/>
        <w:t>Inelastic demand is protected against market fluctuations because, despite the market fluctuation, the demand for inelastic products will not change. However, demand for elastic products is not protected against market fluctuations because a slight market change will lead to a significant change in product demand (</w:t>
      </w:r>
      <w:r>
        <w:rPr>
          <w:shd w:val="clear" w:color="auto" w:fill="FFFFFF"/>
        </w:rPr>
        <w:t>Gjika et al. 2020)</w:t>
      </w:r>
      <w:r>
        <w:rPr>
          <w:lang w:val="en-US"/>
        </w:rPr>
        <w:t>.</w:t>
      </w:r>
    </w:p>
    <w:p w14:paraId="4701964E" w14:textId="77777777" w:rsidR="000343C8" w:rsidRDefault="000343C8" w:rsidP="000343C8">
      <w:pPr>
        <w:rPr>
          <w:lang w:val="en-US"/>
        </w:rPr>
      </w:pPr>
      <w:r>
        <w:rPr>
          <w:lang w:val="en-US"/>
        </w:rPr>
        <w:tab/>
        <w:t>The advantage of elastic demand is that businesses can increase their product sales by changing the price of the products. However, the disadvantage of this is that a company has to monitor its competitors’ pricing strategy continuously because the competitors may influence the customers easily by changing their pricing strategy (</w:t>
      </w:r>
      <w:r>
        <w:rPr>
          <w:shd w:val="clear" w:color="auto" w:fill="FFFFFF"/>
        </w:rPr>
        <w:t>Einav, Finkelstein and Polyakova 2018)</w:t>
      </w:r>
      <w:r>
        <w:rPr>
          <w:lang w:val="en-US"/>
        </w:rPr>
        <w:t>.</w:t>
      </w:r>
    </w:p>
    <w:p w14:paraId="22F01B5C" w14:textId="77777777" w:rsidR="000343C8" w:rsidRDefault="000343C8" w:rsidP="000343C8">
      <w:pPr>
        <w:rPr>
          <w:lang w:val="en-US"/>
        </w:rPr>
      </w:pPr>
      <w:r>
        <w:rPr>
          <w:lang w:val="en-US"/>
        </w:rPr>
        <w:tab/>
        <w:t>On the other side, the advantage of inelastic demand is that companies can increase their revenue and profit margin by increasing the price level as per their will. The disadvantage of price-inelastic products is that businesses can exploit the customers by unethically increasing the product prices of necessary products (</w:t>
      </w:r>
      <w:r>
        <w:rPr>
          <w:shd w:val="clear" w:color="auto" w:fill="FFFFFF"/>
        </w:rPr>
        <w:t>Na, Kang and Jeong 2019)</w:t>
      </w:r>
      <w:r>
        <w:rPr>
          <w:lang w:val="en-US"/>
        </w:rPr>
        <w:t>.</w:t>
      </w:r>
    </w:p>
    <w:p w14:paraId="705656E9" w14:textId="77777777" w:rsidR="000343C8" w:rsidRDefault="000343C8" w:rsidP="000343C8">
      <w:pPr>
        <w:pStyle w:val="Heading1"/>
      </w:pPr>
      <w:r>
        <w:t>Task 2 (c).</w:t>
      </w:r>
    </w:p>
    <w:p w14:paraId="3B511537" w14:textId="77777777" w:rsidR="000343C8" w:rsidRDefault="000343C8" w:rsidP="000343C8">
      <w:pPr>
        <w:rPr>
          <w:lang w:val="en-US"/>
        </w:rPr>
      </w:pPr>
      <w:r>
        <w:rPr>
          <w:lang w:val="en-US"/>
        </w:rPr>
        <w:tab/>
        <w:t>The laws of supply and demand are listed and explained below,</w:t>
      </w:r>
    </w:p>
    <w:p w14:paraId="30A7C077" w14:textId="77777777" w:rsidR="000343C8" w:rsidRDefault="000343C8" w:rsidP="000343C8">
      <w:pPr>
        <w:rPr>
          <w:lang w:val="en-US"/>
        </w:rPr>
      </w:pPr>
      <w:r>
        <w:rPr>
          <w:lang w:val="en-US"/>
        </w:rPr>
        <w:lastRenderedPageBreak/>
        <w:tab/>
        <w:t>Firstly, the supply remains the same; if the demand increases, the same leads to increased prices and increased quantities. While the supply remains the same, the increase in demand means the appetite for the product has increased, and thus, customers are ready to pay high prices. Therefore, it creates profitable opportunities for sellers (</w:t>
      </w:r>
      <w:r>
        <w:rPr>
          <w:shd w:val="clear" w:color="auto" w:fill="FFFFFF"/>
        </w:rPr>
        <w:t>Kilian and Zhou 2018)</w:t>
      </w:r>
      <w:r>
        <w:rPr>
          <w:lang w:val="en-US"/>
        </w:rPr>
        <w:t>.</w:t>
      </w:r>
    </w:p>
    <w:p w14:paraId="2E8F54C5" w14:textId="77777777" w:rsidR="000343C8" w:rsidRDefault="000343C8" w:rsidP="000343C8">
      <w:pPr>
        <w:rPr>
          <w:lang w:val="en-US"/>
        </w:rPr>
      </w:pPr>
      <w:r>
        <w:rPr>
          <w:lang w:val="en-US"/>
        </w:rPr>
        <w:tab/>
        <w:t>Secondly, the supply remains the same; if the demand decreases, the same leads to decreased prices and decreased quantities. A decreased demand means the customers are unwilling to buy the products. Thus, sellers lower their prices to encourage customers to buy their products. Therefore, in this case, profitable opportunities declined, and suppliers also decided to decrease their production (</w:t>
      </w:r>
      <w:r>
        <w:rPr>
          <w:shd w:val="clear" w:color="auto" w:fill="FFFFFF"/>
        </w:rPr>
        <w:t>Burgos and Ivanov 2021)</w:t>
      </w:r>
      <w:r>
        <w:rPr>
          <w:lang w:val="en-US"/>
        </w:rPr>
        <w:t>.</w:t>
      </w:r>
    </w:p>
    <w:p w14:paraId="4BB3E49B" w14:textId="77777777" w:rsidR="000343C8" w:rsidRDefault="000343C8" w:rsidP="000343C8">
      <w:pPr>
        <w:rPr>
          <w:lang w:val="en-US"/>
        </w:rPr>
      </w:pPr>
      <w:r>
        <w:rPr>
          <w:lang w:val="en-US"/>
        </w:rPr>
        <w:tab/>
        <w:t>Thirdly, the demand remains the same; if the supply increases, the same leads to decreased prices and increased quantities. If supply increases, even though the demand is the same, that means there is easy availability of products. In this scenario, sellers reduce product prices to attract more customers than their competitors (</w:t>
      </w:r>
      <w:r>
        <w:rPr>
          <w:shd w:val="clear" w:color="auto" w:fill="FFFFFF"/>
        </w:rPr>
        <w:t>Tian et al. 2018)</w:t>
      </w:r>
      <w:r>
        <w:rPr>
          <w:lang w:val="en-US"/>
        </w:rPr>
        <w:t>.</w:t>
      </w:r>
    </w:p>
    <w:p w14:paraId="4F55DC62" w14:textId="77777777" w:rsidR="000343C8" w:rsidRPr="007C6306" w:rsidRDefault="000343C8" w:rsidP="000343C8">
      <w:pPr>
        <w:rPr>
          <w:lang w:val="en-US"/>
        </w:rPr>
      </w:pPr>
      <w:r>
        <w:rPr>
          <w:lang w:val="en-US"/>
        </w:rPr>
        <w:tab/>
        <w:t>Lastly, the demand remains the same; if the supply decreases, the same leads to increased prices and decreased quantities. When the supply of a product decreases than the market demand for that product, customers will be willing to pay a higher price to get the product (</w:t>
      </w:r>
      <w:r>
        <w:rPr>
          <w:shd w:val="clear" w:color="auto" w:fill="FFFFFF"/>
        </w:rPr>
        <w:t>Tran et al. 2019)</w:t>
      </w:r>
      <w:r>
        <w:rPr>
          <w:lang w:val="en-US"/>
        </w:rPr>
        <w:t>.</w:t>
      </w:r>
    </w:p>
    <w:p w14:paraId="2BF47FC8" w14:textId="77777777" w:rsidR="000343C8" w:rsidRPr="007C6306" w:rsidRDefault="000343C8" w:rsidP="000343C8">
      <w:pPr>
        <w:rPr>
          <w:lang w:val="en-US"/>
        </w:rPr>
      </w:pPr>
    </w:p>
    <w:p w14:paraId="5DD6EFE0" w14:textId="77777777" w:rsidR="000343C8" w:rsidRDefault="000343C8" w:rsidP="000343C8">
      <w:pPr>
        <w:spacing w:after="160" w:line="259" w:lineRule="auto"/>
        <w:jc w:val="left"/>
        <w:rPr>
          <w:lang w:val="en-US"/>
        </w:rPr>
      </w:pPr>
      <w:r>
        <w:rPr>
          <w:lang w:val="en-US"/>
        </w:rPr>
        <w:br w:type="page"/>
      </w:r>
    </w:p>
    <w:p w14:paraId="19BD4483" w14:textId="77777777" w:rsidR="000343C8" w:rsidRDefault="000343C8" w:rsidP="000343C8">
      <w:pPr>
        <w:pStyle w:val="Heading1"/>
      </w:pPr>
      <w:r>
        <w:lastRenderedPageBreak/>
        <w:t>Reference list</w:t>
      </w:r>
    </w:p>
    <w:p w14:paraId="0CFA0ACB" w14:textId="77777777" w:rsidR="000343C8" w:rsidRDefault="000343C8" w:rsidP="000343C8">
      <w:pPr>
        <w:rPr>
          <w:shd w:val="clear" w:color="auto" w:fill="FFFFFF"/>
        </w:rPr>
      </w:pPr>
      <w:r>
        <w:rPr>
          <w:shd w:val="clear" w:color="auto" w:fill="FFFFFF"/>
        </w:rPr>
        <w:t>Bissoondeeal, R.K., Binner, J.M. and Milas, C., 2023. Brexit and coronavirus: financial perspectives and future prospects. </w:t>
      </w:r>
      <w:r>
        <w:rPr>
          <w:i/>
          <w:iCs/>
          <w:shd w:val="clear" w:color="auto" w:fill="FFFFFF"/>
        </w:rPr>
        <w:t>The European Journal of Finance</w:t>
      </w:r>
      <w:r>
        <w:rPr>
          <w:shd w:val="clear" w:color="auto" w:fill="FFFFFF"/>
        </w:rPr>
        <w:t>, </w:t>
      </w:r>
      <w:r>
        <w:rPr>
          <w:i/>
          <w:iCs/>
          <w:shd w:val="clear" w:color="auto" w:fill="FFFFFF"/>
        </w:rPr>
        <w:t>29</w:t>
      </w:r>
      <w:r>
        <w:rPr>
          <w:shd w:val="clear" w:color="auto" w:fill="FFFFFF"/>
        </w:rPr>
        <w:t>(16), pp.1825-1834.</w:t>
      </w:r>
    </w:p>
    <w:p w14:paraId="6F7CBFDF" w14:textId="77777777" w:rsidR="000343C8" w:rsidRDefault="000343C8" w:rsidP="000343C8">
      <w:pPr>
        <w:rPr>
          <w:shd w:val="clear" w:color="auto" w:fill="FFFFFF"/>
        </w:rPr>
      </w:pPr>
      <w:bookmarkStart w:id="0" w:name="_Hlk152008769"/>
      <w:r>
        <w:rPr>
          <w:shd w:val="clear" w:color="auto" w:fill="FFFFFF"/>
        </w:rPr>
        <w:t>Burgos, D. and Ivanov, D., 2021</w:t>
      </w:r>
      <w:bookmarkEnd w:id="0"/>
      <w:r>
        <w:rPr>
          <w:shd w:val="clear" w:color="auto" w:fill="FFFFFF"/>
        </w:rPr>
        <w:t>. Food retail supply chain resilience and the COVID-19 pandemic: A digital twin-based impact analysis and improvement directions. </w:t>
      </w:r>
      <w:r>
        <w:rPr>
          <w:i/>
          <w:iCs/>
          <w:shd w:val="clear" w:color="auto" w:fill="FFFFFF"/>
        </w:rPr>
        <w:t>Transportation Research Part E: Logistics and Transportation Review</w:t>
      </w:r>
      <w:r>
        <w:rPr>
          <w:shd w:val="clear" w:color="auto" w:fill="FFFFFF"/>
        </w:rPr>
        <w:t>, </w:t>
      </w:r>
      <w:r>
        <w:rPr>
          <w:i/>
          <w:iCs/>
          <w:shd w:val="clear" w:color="auto" w:fill="FFFFFF"/>
        </w:rPr>
        <w:t>152</w:t>
      </w:r>
      <w:r>
        <w:rPr>
          <w:shd w:val="clear" w:color="auto" w:fill="FFFFFF"/>
        </w:rPr>
        <w:t>, p.102412.</w:t>
      </w:r>
    </w:p>
    <w:p w14:paraId="1FD9BBB6" w14:textId="77777777" w:rsidR="000343C8" w:rsidRDefault="000343C8" w:rsidP="000343C8">
      <w:pPr>
        <w:rPr>
          <w:lang w:val="en-US"/>
        </w:rPr>
      </w:pPr>
      <w:bookmarkStart w:id="1" w:name="_Hlk151970707"/>
      <w:r w:rsidRPr="001E3322">
        <w:rPr>
          <w:lang w:val="en-US"/>
        </w:rPr>
        <w:t>Davey, J.</w:t>
      </w:r>
      <w:r>
        <w:rPr>
          <w:lang w:val="en-US"/>
        </w:rPr>
        <w:t>,</w:t>
      </w:r>
      <w:r w:rsidRPr="001E3322">
        <w:rPr>
          <w:lang w:val="en-US"/>
        </w:rPr>
        <w:t xml:space="preserve"> 2021</w:t>
      </w:r>
      <w:bookmarkEnd w:id="1"/>
      <w:r>
        <w:rPr>
          <w:lang w:val="en-US"/>
        </w:rPr>
        <w:t>.</w:t>
      </w:r>
      <w:r w:rsidRPr="001E3322">
        <w:rPr>
          <w:lang w:val="en-US"/>
        </w:rPr>
        <w:t xml:space="preserve"> </w:t>
      </w:r>
      <w:r w:rsidRPr="001E3322">
        <w:rPr>
          <w:i/>
          <w:iCs/>
          <w:lang w:val="en-US"/>
        </w:rPr>
        <w:t>Britain could face food shortages due to lorry driver crisis</w:t>
      </w:r>
      <w:r w:rsidRPr="001E3322">
        <w:rPr>
          <w:lang w:val="en-US"/>
        </w:rPr>
        <w:t xml:space="preserve">, </w:t>
      </w:r>
      <w:r w:rsidRPr="001E3322">
        <w:rPr>
          <w:i/>
          <w:iCs/>
          <w:lang w:val="en-US"/>
        </w:rPr>
        <w:t>Reuters</w:t>
      </w:r>
      <w:r w:rsidRPr="001E3322">
        <w:rPr>
          <w:lang w:val="en-US"/>
        </w:rPr>
        <w:t xml:space="preserve">. Available at: https://www.reuters.com/article/us-britain-logistics-shortages/britain-could-face-food-shortages-due-to-lorry-driver-crisis-idUSKCN2E1219/ (Accessed: 27 November 2023). </w:t>
      </w:r>
    </w:p>
    <w:p w14:paraId="7F02E598" w14:textId="77777777" w:rsidR="000343C8" w:rsidRDefault="000343C8" w:rsidP="000343C8">
      <w:pPr>
        <w:rPr>
          <w:shd w:val="clear" w:color="auto" w:fill="FFFFFF"/>
        </w:rPr>
      </w:pPr>
      <w:r>
        <w:rPr>
          <w:shd w:val="clear" w:color="auto" w:fill="FFFFFF"/>
        </w:rPr>
        <w:t>de Bonviller, S., Wheeler, S.A. and Zuo, A., 2020. The dynamics of groundwater markets: Price leadership and groundwater demand elasticity in the Murrumbidgee, Australia. </w:t>
      </w:r>
      <w:r>
        <w:rPr>
          <w:i/>
          <w:iCs/>
          <w:shd w:val="clear" w:color="auto" w:fill="FFFFFF"/>
        </w:rPr>
        <w:t>Agricultural Water Management</w:t>
      </w:r>
      <w:r>
        <w:rPr>
          <w:shd w:val="clear" w:color="auto" w:fill="FFFFFF"/>
        </w:rPr>
        <w:t>, </w:t>
      </w:r>
      <w:r>
        <w:rPr>
          <w:i/>
          <w:iCs/>
          <w:shd w:val="clear" w:color="auto" w:fill="FFFFFF"/>
        </w:rPr>
        <w:t>239</w:t>
      </w:r>
      <w:r>
        <w:rPr>
          <w:shd w:val="clear" w:color="auto" w:fill="FFFFFF"/>
        </w:rPr>
        <w:t>, p.106204.</w:t>
      </w:r>
    </w:p>
    <w:p w14:paraId="2D2EE611" w14:textId="77777777" w:rsidR="000343C8" w:rsidRDefault="000343C8" w:rsidP="000343C8">
      <w:pPr>
        <w:rPr>
          <w:shd w:val="clear" w:color="auto" w:fill="FFFFFF"/>
        </w:rPr>
      </w:pPr>
      <w:r>
        <w:rPr>
          <w:shd w:val="clear" w:color="auto" w:fill="FFFFFF"/>
        </w:rPr>
        <w:t>Díaz, A.O. and Medlock, K.B., 2021. Price elasticity of demand for fuels by income level in Mexican households. </w:t>
      </w:r>
      <w:r>
        <w:rPr>
          <w:i/>
          <w:iCs/>
          <w:shd w:val="clear" w:color="auto" w:fill="FFFFFF"/>
        </w:rPr>
        <w:t>Energy Policy</w:t>
      </w:r>
      <w:r>
        <w:rPr>
          <w:shd w:val="clear" w:color="auto" w:fill="FFFFFF"/>
        </w:rPr>
        <w:t>, </w:t>
      </w:r>
      <w:r>
        <w:rPr>
          <w:i/>
          <w:iCs/>
          <w:shd w:val="clear" w:color="auto" w:fill="FFFFFF"/>
        </w:rPr>
        <w:t>151</w:t>
      </w:r>
      <w:r>
        <w:rPr>
          <w:shd w:val="clear" w:color="auto" w:fill="FFFFFF"/>
        </w:rPr>
        <w:t>, p.112132.</w:t>
      </w:r>
    </w:p>
    <w:p w14:paraId="7B3CD8BD" w14:textId="77777777" w:rsidR="000343C8" w:rsidRDefault="000343C8" w:rsidP="000343C8">
      <w:pPr>
        <w:rPr>
          <w:shd w:val="clear" w:color="auto" w:fill="FFFFFF"/>
        </w:rPr>
      </w:pPr>
      <w:r>
        <w:rPr>
          <w:shd w:val="clear" w:color="auto" w:fill="FFFFFF"/>
        </w:rPr>
        <w:t>Einav, L., Finkelstein, A. and Polyakova, M., 2018. Private provision of social insurance: drug-specific price elasticities and cost sharing in Medicare Part D. </w:t>
      </w:r>
      <w:r>
        <w:rPr>
          <w:i/>
          <w:iCs/>
          <w:shd w:val="clear" w:color="auto" w:fill="FFFFFF"/>
        </w:rPr>
        <w:t>American Economic Journal: Economic Policy</w:t>
      </w:r>
      <w:r>
        <w:rPr>
          <w:shd w:val="clear" w:color="auto" w:fill="FFFFFF"/>
        </w:rPr>
        <w:t>, </w:t>
      </w:r>
      <w:r>
        <w:rPr>
          <w:i/>
          <w:iCs/>
          <w:shd w:val="clear" w:color="auto" w:fill="FFFFFF"/>
        </w:rPr>
        <w:t>10</w:t>
      </w:r>
      <w:r>
        <w:rPr>
          <w:shd w:val="clear" w:color="auto" w:fill="FFFFFF"/>
        </w:rPr>
        <w:t>(3), pp.122-153.</w:t>
      </w:r>
    </w:p>
    <w:p w14:paraId="6853BE33" w14:textId="77777777" w:rsidR="000343C8" w:rsidRDefault="000343C8" w:rsidP="000343C8">
      <w:pPr>
        <w:rPr>
          <w:shd w:val="clear" w:color="auto" w:fill="FFFFFF"/>
        </w:rPr>
      </w:pPr>
      <w:r>
        <w:rPr>
          <w:shd w:val="clear" w:color="auto" w:fill="FFFFFF"/>
        </w:rPr>
        <w:t>Gjika, A., Zhllima, E., Rama, K. and Imami, D., 2020. Analysis of tobacco price elasticity in albania using household level data. </w:t>
      </w:r>
      <w:r>
        <w:rPr>
          <w:i/>
          <w:iCs/>
          <w:shd w:val="clear" w:color="auto" w:fill="FFFFFF"/>
        </w:rPr>
        <w:t>International Journal of Environmental Research and Public Health</w:t>
      </w:r>
      <w:r>
        <w:rPr>
          <w:shd w:val="clear" w:color="auto" w:fill="FFFFFF"/>
        </w:rPr>
        <w:t>, </w:t>
      </w:r>
      <w:r>
        <w:rPr>
          <w:i/>
          <w:iCs/>
          <w:shd w:val="clear" w:color="auto" w:fill="FFFFFF"/>
        </w:rPr>
        <w:t>17</w:t>
      </w:r>
      <w:r>
        <w:rPr>
          <w:shd w:val="clear" w:color="auto" w:fill="FFFFFF"/>
        </w:rPr>
        <w:t>(2), p.432.</w:t>
      </w:r>
    </w:p>
    <w:p w14:paraId="6FB487F6" w14:textId="77777777" w:rsidR="000343C8" w:rsidRDefault="000343C8" w:rsidP="000343C8">
      <w:pPr>
        <w:rPr>
          <w:lang w:val="en-US"/>
        </w:rPr>
      </w:pPr>
      <w:r w:rsidRPr="009D5C02">
        <w:rPr>
          <w:lang w:val="en-US"/>
        </w:rPr>
        <w:lastRenderedPageBreak/>
        <w:t>GOV.UK</w:t>
      </w:r>
      <w:r>
        <w:rPr>
          <w:lang w:val="en-US"/>
        </w:rPr>
        <w:t>,</w:t>
      </w:r>
      <w:r w:rsidRPr="009D5C02">
        <w:rPr>
          <w:lang w:val="en-US"/>
        </w:rPr>
        <w:t xml:space="preserve"> 2023</w:t>
      </w:r>
      <w:r>
        <w:rPr>
          <w:lang w:val="en-US"/>
        </w:rPr>
        <w:t>.</w:t>
      </w:r>
      <w:r w:rsidRPr="009D5C02">
        <w:rPr>
          <w:lang w:val="en-US"/>
        </w:rPr>
        <w:t xml:space="preserve"> </w:t>
      </w:r>
      <w:r w:rsidRPr="009D5C02">
        <w:rPr>
          <w:i/>
          <w:iCs/>
          <w:lang w:val="en-US"/>
        </w:rPr>
        <w:t>UK government action to reduce the HGV driver shortage</w:t>
      </w:r>
      <w:r w:rsidRPr="009D5C02">
        <w:rPr>
          <w:lang w:val="en-US"/>
        </w:rPr>
        <w:t xml:space="preserve">, </w:t>
      </w:r>
      <w:r w:rsidRPr="009D5C02">
        <w:rPr>
          <w:i/>
          <w:iCs/>
          <w:lang w:val="en-US"/>
        </w:rPr>
        <w:t>GOV.UK</w:t>
      </w:r>
      <w:r w:rsidRPr="009D5C02">
        <w:rPr>
          <w:lang w:val="en-US"/>
        </w:rPr>
        <w:t xml:space="preserve">. Available at: https://www.gov.uk/government/topical-events/hgv-driver-shortage-uk-government-response/about (Accessed: 27 November 2023). </w:t>
      </w:r>
    </w:p>
    <w:p w14:paraId="7BD0D59C" w14:textId="77777777" w:rsidR="000343C8" w:rsidRDefault="000343C8" w:rsidP="000343C8">
      <w:pPr>
        <w:rPr>
          <w:lang w:val="en-US"/>
        </w:rPr>
      </w:pPr>
      <w:r w:rsidRPr="00204331">
        <w:rPr>
          <w:lang w:val="en-US"/>
        </w:rPr>
        <w:t>Hinson, S. and Bolton, P.</w:t>
      </w:r>
      <w:r>
        <w:rPr>
          <w:lang w:val="en-US"/>
        </w:rPr>
        <w:t>,</w:t>
      </w:r>
      <w:r w:rsidRPr="00204331">
        <w:rPr>
          <w:lang w:val="en-US"/>
        </w:rPr>
        <w:t xml:space="preserve"> 2022</w:t>
      </w:r>
      <w:r>
        <w:rPr>
          <w:lang w:val="en-US"/>
        </w:rPr>
        <w:t>.</w:t>
      </w:r>
      <w:r w:rsidRPr="00204331">
        <w:rPr>
          <w:lang w:val="en-US"/>
        </w:rPr>
        <w:t xml:space="preserve"> </w:t>
      </w:r>
      <w:r w:rsidRPr="00204331">
        <w:rPr>
          <w:i/>
          <w:iCs/>
          <w:lang w:val="en-US"/>
        </w:rPr>
        <w:t>The energy price crunch</w:t>
      </w:r>
      <w:r w:rsidRPr="00204331">
        <w:rPr>
          <w:lang w:val="en-US"/>
        </w:rPr>
        <w:t xml:space="preserve">, </w:t>
      </w:r>
      <w:r w:rsidRPr="00204331">
        <w:rPr>
          <w:i/>
          <w:iCs/>
          <w:lang w:val="en-US"/>
        </w:rPr>
        <w:t>UK Parliament - House of Commons Library</w:t>
      </w:r>
      <w:r w:rsidRPr="00204331">
        <w:rPr>
          <w:lang w:val="en-US"/>
        </w:rPr>
        <w:t>. Available at: https://commonslibrary.parliament.uk/research-briefings/cbp-9340/ (Accessed: 27 November 2023).</w:t>
      </w:r>
    </w:p>
    <w:p w14:paraId="159FBB95" w14:textId="77777777" w:rsidR="000343C8" w:rsidRDefault="000343C8" w:rsidP="000343C8">
      <w:pPr>
        <w:rPr>
          <w:lang w:val="en-US"/>
        </w:rPr>
      </w:pPr>
      <w:r w:rsidRPr="002B2AC0">
        <w:rPr>
          <w:lang w:val="en-US"/>
        </w:rPr>
        <w:t>House of Commons</w:t>
      </w:r>
      <w:r>
        <w:rPr>
          <w:lang w:val="en-US"/>
        </w:rPr>
        <w:t>,</w:t>
      </w:r>
      <w:r w:rsidRPr="002B2AC0">
        <w:rPr>
          <w:lang w:val="en-US"/>
        </w:rPr>
        <w:t xml:space="preserve"> 2022</w:t>
      </w:r>
      <w:r>
        <w:rPr>
          <w:lang w:val="en-US"/>
        </w:rPr>
        <w:t>.</w:t>
      </w:r>
      <w:r w:rsidRPr="002B2AC0">
        <w:rPr>
          <w:lang w:val="en-US"/>
        </w:rPr>
        <w:t xml:space="preserve"> </w:t>
      </w:r>
      <w:r w:rsidRPr="002B2AC0">
        <w:rPr>
          <w:i/>
          <w:iCs/>
          <w:lang w:val="en-US"/>
        </w:rPr>
        <w:t>Labour shortages in the food and farming sector</w:t>
      </w:r>
      <w:r w:rsidRPr="002B2AC0">
        <w:rPr>
          <w:lang w:val="en-US"/>
        </w:rPr>
        <w:t xml:space="preserve">, </w:t>
      </w:r>
      <w:r w:rsidRPr="002B2AC0">
        <w:rPr>
          <w:i/>
          <w:iCs/>
          <w:lang w:val="en-US"/>
        </w:rPr>
        <w:t>House of Commons Environment, Food and Rural Affairs Committee</w:t>
      </w:r>
      <w:r w:rsidRPr="002B2AC0">
        <w:rPr>
          <w:lang w:val="en-US"/>
        </w:rPr>
        <w:t xml:space="preserve">. Available at: https://committees.parliament.uk/publications/9580/documents/162177/default/ (Accessed: 27 November 2023). </w:t>
      </w:r>
    </w:p>
    <w:p w14:paraId="2BEC0AFD" w14:textId="77777777" w:rsidR="000343C8" w:rsidRDefault="000343C8" w:rsidP="000343C8">
      <w:pPr>
        <w:rPr>
          <w:lang w:val="en-US"/>
        </w:rPr>
      </w:pPr>
      <w:r w:rsidRPr="001E67CD">
        <w:rPr>
          <w:lang w:val="en-US"/>
        </w:rPr>
        <w:t>IFG</w:t>
      </w:r>
      <w:r>
        <w:rPr>
          <w:lang w:val="en-US"/>
        </w:rPr>
        <w:t>,</w:t>
      </w:r>
      <w:r w:rsidRPr="001E67CD">
        <w:rPr>
          <w:lang w:val="en-US"/>
        </w:rPr>
        <w:t xml:space="preserve"> 2021</w:t>
      </w:r>
      <w:r>
        <w:rPr>
          <w:lang w:val="en-US"/>
        </w:rPr>
        <w:t>.</w:t>
      </w:r>
      <w:r w:rsidRPr="001E67CD">
        <w:rPr>
          <w:lang w:val="en-US"/>
        </w:rPr>
        <w:t xml:space="preserve"> </w:t>
      </w:r>
      <w:r w:rsidRPr="001E67CD">
        <w:rPr>
          <w:i/>
          <w:iCs/>
          <w:lang w:val="en-US"/>
        </w:rPr>
        <w:t>Supply chain problems</w:t>
      </w:r>
      <w:r w:rsidRPr="001E67CD">
        <w:rPr>
          <w:lang w:val="en-US"/>
        </w:rPr>
        <w:t xml:space="preserve">, </w:t>
      </w:r>
      <w:r w:rsidRPr="001E67CD">
        <w:rPr>
          <w:i/>
          <w:iCs/>
          <w:lang w:val="en-US"/>
        </w:rPr>
        <w:t>Institute For Government (IFG)</w:t>
      </w:r>
      <w:r w:rsidRPr="001E67CD">
        <w:rPr>
          <w:lang w:val="en-US"/>
        </w:rPr>
        <w:t>. Available at: https://www.instituteforgovernment.org.uk/explainer/supply-chain-problems#footnoteref322_q0cgllz (Accessed: 27 November 2023).</w:t>
      </w:r>
    </w:p>
    <w:p w14:paraId="196E46CE" w14:textId="77777777" w:rsidR="000343C8" w:rsidRDefault="000343C8" w:rsidP="000343C8">
      <w:pPr>
        <w:rPr>
          <w:shd w:val="clear" w:color="auto" w:fill="FFFFFF"/>
        </w:rPr>
      </w:pPr>
      <w:bookmarkStart w:id="2" w:name="_Hlk152006865"/>
      <w:r>
        <w:rPr>
          <w:shd w:val="clear" w:color="auto" w:fill="FFFFFF"/>
        </w:rPr>
        <w:t>Jawad</w:t>
      </w:r>
      <w:bookmarkEnd w:id="2"/>
      <w:r>
        <w:rPr>
          <w:shd w:val="clear" w:color="auto" w:fill="FFFFFF"/>
        </w:rPr>
        <w:t>, M., Lee, J.T., Glantz, S. and Millett, C., 2018. Price elasticity of demand of non-cigarette tobacco products: a systematic review and meta-analysis. </w:t>
      </w:r>
      <w:r>
        <w:rPr>
          <w:i/>
          <w:iCs/>
          <w:shd w:val="clear" w:color="auto" w:fill="FFFFFF"/>
        </w:rPr>
        <w:t>Tobacco control</w:t>
      </w:r>
      <w:r>
        <w:rPr>
          <w:shd w:val="clear" w:color="auto" w:fill="FFFFFF"/>
        </w:rPr>
        <w:t>, </w:t>
      </w:r>
      <w:r>
        <w:rPr>
          <w:i/>
          <w:iCs/>
          <w:shd w:val="clear" w:color="auto" w:fill="FFFFFF"/>
        </w:rPr>
        <w:t>27</w:t>
      </w:r>
      <w:r>
        <w:rPr>
          <w:shd w:val="clear" w:color="auto" w:fill="FFFFFF"/>
        </w:rPr>
        <w:t>(6), pp.689-695.</w:t>
      </w:r>
    </w:p>
    <w:p w14:paraId="369F1DD6" w14:textId="77777777" w:rsidR="000343C8" w:rsidRDefault="000343C8" w:rsidP="000343C8">
      <w:pPr>
        <w:rPr>
          <w:shd w:val="clear" w:color="auto" w:fill="FFFFFF"/>
        </w:rPr>
      </w:pPr>
      <w:bookmarkStart w:id="3" w:name="_Hlk152008817"/>
      <w:r>
        <w:rPr>
          <w:shd w:val="clear" w:color="auto" w:fill="FFFFFF"/>
        </w:rPr>
        <w:t>Kilian, L. and Zhou, X., 2018</w:t>
      </w:r>
      <w:bookmarkEnd w:id="3"/>
      <w:r>
        <w:rPr>
          <w:shd w:val="clear" w:color="auto" w:fill="FFFFFF"/>
        </w:rPr>
        <w:t>. Modeling fluctuations in the global demand for commodities. </w:t>
      </w:r>
      <w:r>
        <w:rPr>
          <w:i/>
          <w:iCs/>
          <w:shd w:val="clear" w:color="auto" w:fill="FFFFFF"/>
        </w:rPr>
        <w:t>Journal of International Money and Finance</w:t>
      </w:r>
      <w:r>
        <w:rPr>
          <w:shd w:val="clear" w:color="auto" w:fill="FFFFFF"/>
        </w:rPr>
        <w:t>, </w:t>
      </w:r>
      <w:r>
        <w:rPr>
          <w:i/>
          <w:iCs/>
          <w:shd w:val="clear" w:color="auto" w:fill="FFFFFF"/>
        </w:rPr>
        <w:t>88</w:t>
      </w:r>
      <w:r>
        <w:rPr>
          <w:shd w:val="clear" w:color="auto" w:fill="FFFFFF"/>
        </w:rPr>
        <w:t>, pp.54-78.</w:t>
      </w:r>
    </w:p>
    <w:p w14:paraId="11485BC8" w14:textId="77777777" w:rsidR="000343C8" w:rsidRDefault="000343C8" w:rsidP="000343C8">
      <w:pPr>
        <w:rPr>
          <w:shd w:val="clear" w:color="auto" w:fill="FFFFFF"/>
        </w:rPr>
      </w:pPr>
      <w:r>
        <w:rPr>
          <w:shd w:val="clear" w:color="auto" w:fill="FFFFFF"/>
        </w:rPr>
        <w:t>Na, Y.K., Kang, S. and Jeong, H.Y., 2019. The effect of market orientation on performance of sharing economy business: Focusing on marketing innovation and sustainable competitive advantage. </w:t>
      </w:r>
      <w:r>
        <w:rPr>
          <w:i/>
          <w:iCs/>
          <w:shd w:val="clear" w:color="auto" w:fill="FFFFFF"/>
        </w:rPr>
        <w:t>Sustainability</w:t>
      </w:r>
      <w:r>
        <w:rPr>
          <w:shd w:val="clear" w:color="auto" w:fill="FFFFFF"/>
        </w:rPr>
        <w:t>, </w:t>
      </w:r>
      <w:r>
        <w:rPr>
          <w:i/>
          <w:iCs/>
          <w:shd w:val="clear" w:color="auto" w:fill="FFFFFF"/>
        </w:rPr>
        <w:t>11</w:t>
      </w:r>
      <w:r>
        <w:rPr>
          <w:shd w:val="clear" w:color="auto" w:fill="FFFFFF"/>
        </w:rPr>
        <w:t>(3), p.729.</w:t>
      </w:r>
    </w:p>
    <w:p w14:paraId="1FF5D49C" w14:textId="77777777" w:rsidR="000343C8" w:rsidRDefault="000343C8" w:rsidP="000343C8">
      <w:pPr>
        <w:rPr>
          <w:lang w:val="en-US"/>
        </w:rPr>
      </w:pPr>
      <w:r w:rsidRPr="004503ED">
        <w:rPr>
          <w:lang w:val="en-US"/>
        </w:rPr>
        <w:lastRenderedPageBreak/>
        <w:t>Parallel Parliament</w:t>
      </w:r>
      <w:r>
        <w:rPr>
          <w:lang w:val="en-US"/>
        </w:rPr>
        <w:t>,</w:t>
      </w:r>
      <w:r w:rsidRPr="004503ED">
        <w:rPr>
          <w:lang w:val="en-US"/>
        </w:rPr>
        <w:t xml:space="preserve"> 2022</w:t>
      </w:r>
      <w:r>
        <w:rPr>
          <w:lang w:val="en-US"/>
        </w:rPr>
        <w:t>.</w:t>
      </w:r>
      <w:r w:rsidRPr="004503ED">
        <w:rPr>
          <w:lang w:val="en-US"/>
        </w:rPr>
        <w:t xml:space="preserve"> </w:t>
      </w:r>
      <w:r w:rsidRPr="004503ED">
        <w:rPr>
          <w:i/>
          <w:iCs/>
          <w:lang w:val="en-US"/>
        </w:rPr>
        <w:t>National Economic Recovery Taskforce (Logistics)</w:t>
      </w:r>
      <w:r w:rsidRPr="004503ED">
        <w:rPr>
          <w:lang w:val="en-US"/>
        </w:rPr>
        <w:t xml:space="preserve">, </w:t>
      </w:r>
      <w:r w:rsidRPr="004503ED">
        <w:rPr>
          <w:i/>
          <w:iCs/>
          <w:lang w:val="en-US"/>
        </w:rPr>
        <w:t>Parallel Parliament</w:t>
      </w:r>
      <w:r w:rsidRPr="004503ED">
        <w:rPr>
          <w:lang w:val="en-US"/>
        </w:rPr>
        <w:t xml:space="preserve">. Available at: https://www.parallelparliament.co.uk/question/136574/national-economic-recovery-taskforce-logistics (Accessed: 27 November 2023). </w:t>
      </w:r>
    </w:p>
    <w:p w14:paraId="34EA2D0E" w14:textId="77777777" w:rsidR="000343C8" w:rsidRDefault="000343C8" w:rsidP="000343C8">
      <w:pPr>
        <w:rPr>
          <w:lang w:val="en-US"/>
        </w:rPr>
      </w:pPr>
      <w:r w:rsidRPr="00BF0377">
        <w:rPr>
          <w:lang w:val="en-US"/>
        </w:rPr>
        <w:t>Reynolds, J.</w:t>
      </w:r>
      <w:r>
        <w:rPr>
          <w:lang w:val="en-US"/>
        </w:rPr>
        <w:t>,</w:t>
      </w:r>
      <w:r w:rsidRPr="00BF0377">
        <w:rPr>
          <w:lang w:val="en-US"/>
        </w:rPr>
        <w:t xml:space="preserve"> 2021</w:t>
      </w:r>
      <w:r>
        <w:rPr>
          <w:lang w:val="en-US"/>
        </w:rPr>
        <w:t>.</w:t>
      </w:r>
      <w:r w:rsidRPr="00BF0377">
        <w:rPr>
          <w:lang w:val="en-US"/>
        </w:rPr>
        <w:t xml:space="preserve"> </w:t>
      </w:r>
      <w:r w:rsidRPr="00BF0377">
        <w:rPr>
          <w:i/>
          <w:iCs/>
          <w:lang w:val="en-US"/>
        </w:rPr>
        <w:t>DRIVER SHORTAGE: RHA AND FREIGHT INDUSTRY WRITE TO PRIME MINISTER BORIS JOHNSON</w:t>
      </w:r>
      <w:r w:rsidRPr="00BF0377">
        <w:rPr>
          <w:lang w:val="en-US"/>
        </w:rPr>
        <w:t xml:space="preserve">, </w:t>
      </w:r>
      <w:r w:rsidRPr="00BF0377">
        <w:rPr>
          <w:i/>
          <w:iCs/>
          <w:lang w:val="en-US"/>
        </w:rPr>
        <w:t>The Road Haulage Association</w:t>
      </w:r>
      <w:r w:rsidRPr="00BF0377">
        <w:rPr>
          <w:lang w:val="en-US"/>
        </w:rPr>
        <w:t xml:space="preserve">. Available at: https://www.rha.uk.net/News/News-Blogs-and-Press-Releases/press-releases/detail/driver-shortage-rha-and-freight-industry-write-to-prime-minister-boris-johnson (Accessed: 27 November 2023). </w:t>
      </w:r>
    </w:p>
    <w:p w14:paraId="16CF3766" w14:textId="77777777" w:rsidR="000343C8" w:rsidRPr="001E67CD" w:rsidRDefault="000343C8" w:rsidP="000343C8">
      <w:pPr>
        <w:rPr>
          <w:lang w:val="en-US"/>
        </w:rPr>
      </w:pPr>
      <w:r>
        <w:rPr>
          <w:shd w:val="clear" w:color="auto" w:fill="FFFFFF"/>
        </w:rPr>
        <w:t>Taleizadeh, A.A., Moshtagh, M.S. and Moon, I., 2018. Pricing, product quality, and collection optimization in a decentralized closed-loop supply chain with different channel structures: Game theoretical approach. </w:t>
      </w:r>
      <w:r>
        <w:rPr>
          <w:i/>
          <w:iCs/>
          <w:shd w:val="clear" w:color="auto" w:fill="FFFFFF"/>
        </w:rPr>
        <w:t>Journal of Cleaner Production</w:t>
      </w:r>
      <w:r>
        <w:rPr>
          <w:shd w:val="clear" w:color="auto" w:fill="FFFFFF"/>
        </w:rPr>
        <w:t>, </w:t>
      </w:r>
      <w:r>
        <w:rPr>
          <w:i/>
          <w:iCs/>
          <w:shd w:val="clear" w:color="auto" w:fill="FFFFFF"/>
        </w:rPr>
        <w:t>189</w:t>
      </w:r>
      <w:r>
        <w:rPr>
          <w:shd w:val="clear" w:color="auto" w:fill="FFFFFF"/>
        </w:rPr>
        <w:t>, pp.406-431.</w:t>
      </w:r>
    </w:p>
    <w:p w14:paraId="268CF835" w14:textId="77777777" w:rsidR="000343C8" w:rsidRDefault="000343C8" w:rsidP="000343C8">
      <w:pPr>
        <w:rPr>
          <w:shd w:val="clear" w:color="auto" w:fill="FFFFFF"/>
        </w:rPr>
      </w:pPr>
      <w:r>
        <w:rPr>
          <w:shd w:val="clear" w:color="auto" w:fill="FFFFFF"/>
        </w:rPr>
        <w:t>Tian, L., Vakharia, A.J., Tan, Y. and Xu, Y., 2018. Marketplace, reseller, or hybrid: Strategic analysis of an emerging e</w:t>
      </w:r>
      <w:r>
        <w:rPr>
          <w:rFonts w:ascii="Cambria Math" w:hAnsi="Cambria Math" w:cs="Cambria Math"/>
          <w:shd w:val="clear" w:color="auto" w:fill="FFFFFF"/>
        </w:rPr>
        <w:t>‐</w:t>
      </w:r>
      <w:r>
        <w:rPr>
          <w:shd w:val="clear" w:color="auto" w:fill="FFFFFF"/>
        </w:rPr>
        <w:t>commerce model. </w:t>
      </w:r>
      <w:r>
        <w:rPr>
          <w:i/>
          <w:iCs/>
          <w:shd w:val="clear" w:color="auto" w:fill="FFFFFF"/>
        </w:rPr>
        <w:t>Production and Operations Management</w:t>
      </w:r>
      <w:r>
        <w:rPr>
          <w:shd w:val="clear" w:color="auto" w:fill="FFFFFF"/>
        </w:rPr>
        <w:t>, </w:t>
      </w:r>
      <w:r>
        <w:rPr>
          <w:i/>
          <w:iCs/>
          <w:shd w:val="clear" w:color="auto" w:fill="FFFFFF"/>
        </w:rPr>
        <w:t>27</w:t>
      </w:r>
      <w:r>
        <w:rPr>
          <w:shd w:val="clear" w:color="auto" w:fill="FFFFFF"/>
        </w:rPr>
        <w:t>(8), pp.1595-1610.</w:t>
      </w:r>
    </w:p>
    <w:p w14:paraId="091ACCEB" w14:textId="77777777" w:rsidR="000343C8" w:rsidRDefault="000343C8" w:rsidP="000343C8">
      <w:pPr>
        <w:rPr>
          <w:shd w:val="clear" w:color="auto" w:fill="FFFFFF"/>
        </w:rPr>
      </w:pPr>
      <w:bookmarkStart w:id="4" w:name="_Hlk152009156"/>
      <w:r>
        <w:rPr>
          <w:shd w:val="clear" w:color="auto" w:fill="FFFFFF"/>
        </w:rPr>
        <w:t>Tran</w:t>
      </w:r>
      <w:bookmarkEnd w:id="4"/>
      <w:r>
        <w:rPr>
          <w:shd w:val="clear" w:color="auto" w:fill="FFFFFF"/>
        </w:rPr>
        <w:t>, N., Chu, L., Chan, C.Y., Genschick, S., Phillips, M.J. and Kefi, A.S., 2019. Fish supply and demand for food security in Sub-Saharan Africa: An analysis of the Zambian fish sector. </w:t>
      </w:r>
      <w:r>
        <w:rPr>
          <w:i/>
          <w:iCs/>
          <w:shd w:val="clear" w:color="auto" w:fill="FFFFFF"/>
        </w:rPr>
        <w:t>Marine Policy</w:t>
      </w:r>
      <w:r>
        <w:rPr>
          <w:shd w:val="clear" w:color="auto" w:fill="FFFFFF"/>
        </w:rPr>
        <w:t>, </w:t>
      </w:r>
      <w:r>
        <w:rPr>
          <w:i/>
          <w:iCs/>
          <w:shd w:val="clear" w:color="auto" w:fill="FFFFFF"/>
        </w:rPr>
        <w:t>99</w:t>
      </w:r>
      <w:r>
        <w:rPr>
          <w:shd w:val="clear" w:color="auto" w:fill="FFFFFF"/>
        </w:rPr>
        <w:t>, pp.343-350.</w:t>
      </w:r>
    </w:p>
    <w:p w14:paraId="643407AB" w14:textId="77777777" w:rsidR="000343C8" w:rsidRDefault="000343C8" w:rsidP="000343C8">
      <w:pPr>
        <w:pStyle w:val="Heading1"/>
      </w:pPr>
      <w:r>
        <w:t>Bibliography</w:t>
      </w:r>
    </w:p>
    <w:p w14:paraId="3B172315" w14:textId="77777777" w:rsidR="000343C8" w:rsidRPr="00AF35AA" w:rsidRDefault="000343C8" w:rsidP="000343C8">
      <w:pPr>
        <w:rPr>
          <w:lang w:val="en-US"/>
        </w:rPr>
      </w:pPr>
      <w:r w:rsidRPr="00A86D9F">
        <w:rPr>
          <w:lang w:val="en-US"/>
        </w:rPr>
        <w:t>Deloitte</w:t>
      </w:r>
      <w:r>
        <w:rPr>
          <w:lang w:val="en-US"/>
        </w:rPr>
        <w:t>,</w:t>
      </w:r>
      <w:r w:rsidRPr="00A86D9F">
        <w:rPr>
          <w:lang w:val="en-US"/>
        </w:rPr>
        <w:t xml:space="preserve"> 2023</w:t>
      </w:r>
      <w:r>
        <w:rPr>
          <w:lang w:val="en-US"/>
        </w:rPr>
        <w:t>.</w:t>
      </w:r>
      <w:r w:rsidRPr="00A86D9F">
        <w:rPr>
          <w:lang w:val="en-US"/>
        </w:rPr>
        <w:t xml:space="preserve"> </w:t>
      </w:r>
      <w:r w:rsidRPr="00A86D9F">
        <w:rPr>
          <w:i/>
          <w:iCs/>
          <w:lang w:val="en-US"/>
        </w:rPr>
        <w:t>Tackling Brexit and covid-19 together: Deloitte UK</w:t>
      </w:r>
      <w:r w:rsidRPr="00A86D9F">
        <w:rPr>
          <w:lang w:val="en-US"/>
        </w:rPr>
        <w:t xml:space="preserve">, </w:t>
      </w:r>
      <w:r w:rsidRPr="00A86D9F">
        <w:rPr>
          <w:i/>
          <w:iCs/>
          <w:lang w:val="en-US"/>
        </w:rPr>
        <w:t>Deloitte United Kingdom</w:t>
      </w:r>
      <w:r w:rsidRPr="00A86D9F">
        <w:rPr>
          <w:lang w:val="en-US"/>
        </w:rPr>
        <w:t>. Available at: https://www2.deloitte.com/uk/en/pages/global-markets/articles/tackling-brexit-and-covid-19-together.html (Accessed: 27 November 2023).</w:t>
      </w:r>
    </w:p>
    <w:p w14:paraId="0291BF5B" w14:textId="77777777" w:rsidR="00E87BBC" w:rsidRDefault="00E87BBC"/>
    <w:sectPr w:rsidR="00E87BBC" w:rsidSect="00250595">
      <w:headerReference w:type="default" r:id="rId6"/>
      <w:headerReference w:type="firs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3E3A3" w14:textId="77777777" w:rsidR="009D3394" w:rsidRDefault="009D3394">
      <w:pPr>
        <w:spacing w:after="0" w:line="240" w:lineRule="auto"/>
      </w:pPr>
      <w:r>
        <w:separator/>
      </w:r>
    </w:p>
  </w:endnote>
  <w:endnote w:type="continuationSeparator" w:id="0">
    <w:p w14:paraId="67D94089" w14:textId="77777777" w:rsidR="009D3394" w:rsidRDefault="009D3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AD8C4" w14:textId="77777777" w:rsidR="009D3394" w:rsidRDefault="009D3394">
      <w:pPr>
        <w:spacing w:after="0" w:line="240" w:lineRule="auto"/>
      </w:pPr>
      <w:r>
        <w:separator/>
      </w:r>
    </w:p>
  </w:footnote>
  <w:footnote w:type="continuationSeparator" w:id="0">
    <w:p w14:paraId="150B74F3" w14:textId="77777777" w:rsidR="009D3394" w:rsidRDefault="009D33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1115A" w14:textId="2B57B4E7" w:rsidR="00FB41B4" w:rsidRDefault="00000000">
    <w:pPr>
      <w:pStyle w:val="Header"/>
    </w:pPr>
    <w:r>
      <w:rPr>
        <w:noProof/>
      </w:rPr>
      <w:pict w14:anchorId="681A4AC7">
        <v:shapetype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01A9AF0E" w14:textId="77777777" w:rsidR="00FB41B4" w:rsidRDefault="00000000" w:rsidP="00250595">
                <w:pPr>
                  <w:spacing w:after="0" w:line="240" w:lineRule="auto"/>
                  <w:rPr>
                    <w:noProof/>
                  </w:rPr>
                </w:pPr>
                <w:r w:rsidRPr="002D1264">
                  <w:t>MANAGEMENT ECONOMICS</w:t>
                </w:r>
              </w:p>
            </w:txbxContent>
          </v:textbox>
          <w10:wrap anchorx="margin" anchory="margin"/>
        </v:shape>
      </w:pict>
    </w:r>
    <w:r>
      <w:rPr>
        <w:noProof/>
      </w:rPr>
      <w:pict w14:anchorId="1F74D23B">
        <v:shape id="Text Box 221" o:spid="_x0000_s1025" type="#_x0000_t202" style="position:absolute;left:0;text-align:left;margin-left:41.2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fabf8f [1945]" stroked="f">
          <v:textbox style="mso-fit-shape-to-text:t" inset=",0,,0">
            <w:txbxContent>
              <w:p w14:paraId="461875EB" w14:textId="77777777" w:rsidR="00FB41B4" w:rsidRDefault="00000000">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4F9B4" w14:textId="77777777" w:rsidR="00FB41B4" w:rsidRPr="002D1264" w:rsidRDefault="00000000">
    <w:pPr>
      <w:pStyle w:val="Header"/>
      <w:rPr>
        <w:lang w:val="en-US"/>
      </w:rPr>
    </w:pPr>
    <w:r>
      <w:rPr>
        <w:lang w:val="en-US"/>
      </w:rPr>
      <w:t xml:space="preserve">Running head: </w:t>
    </w:r>
    <w:r w:rsidRPr="002D1264">
      <w:t>MANAGEMENT ECONOMICS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0343C8"/>
    <w:rsid w:val="000343C8"/>
    <w:rsid w:val="00367043"/>
    <w:rsid w:val="008046F5"/>
    <w:rsid w:val="009625F7"/>
    <w:rsid w:val="009D3394"/>
    <w:rsid w:val="00E87BBC"/>
    <w:rsid w:val="00FB4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F3325"/>
  <w15:chartTrackingRefBased/>
  <w15:docId w15:val="{6B59FF06-C734-426A-B2EF-8580CEAF3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C8"/>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343C8"/>
    <w:pPr>
      <w:keepNext/>
      <w:keepLines/>
      <w:suppressAutoHyphens/>
      <w:autoSpaceDN w:val="0"/>
      <w:spacing w:before="240" w:after="240"/>
      <w:textAlignment w:val="baseline"/>
      <w:outlineLvl w:val="0"/>
    </w:pPr>
    <w:rPr>
      <w:rFonts w:eastAsia="Times New Roman" w:cs="Times New Roman"/>
      <w:b/>
      <w:color w:val="000000"/>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3C8"/>
    <w:rPr>
      <w:rFonts w:ascii="Times New Roman" w:eastAsia="Times New Roman" w:hAnsi="Times New Roman" w:cs="Times New Roman"/>
      <w:b/>
      <w:color w:val="000000"/>
      <w:sz w:val="24"/>
      <w:szCs w:val="32"/>
    </w:rPr>
  </w:style>
  <w:style w:type="paragraph" w:styleId="Header">
    <w:name w:val="header"/>
    <w:basedOn w:val="Normal"/>
    <w:link w:val="HeaderChar"/>
    <w:uiPriority w:val="99"/>
    <w:unhideWhenUsed/>
    <w:rsid w:val="000343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43C8"/>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3126</Words>
  <Characters>17824</Characters>
  <Application>Microsoft Office Word</Application>
  <DocSecurity>0</DocSecurity>
  <Lines>148</Lines>
  <Paragraphs>41</Paragraphs>
  <ScaleCrop>false</ScaleCrop>
  <Company>Grizli777</Company>
  <LinksUpToDate>false</LinksUpToDate>
  <CharactersWithSpaces>20909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Aysidora Asenova</dc:creator>
  <cp:keywords/>
  <dc:description/>
  <cp:lastModifiedBy>Aysidora Asenova</cp:lastModifiedBy>
  <cp:revision>4</cp:revision>
  <dcterms:created xsi:type="dcterms:W3CDTF">2023-12-14T20:47:00Z</dcterms:created>
  <dcterms:modified xsi:type="dcterms:W3CDTF">2023-12-18T14:18:00Z</dcterms:modified>
</cp:coreProperties>
</file>