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DFE4B9" w14:textId="11E73FA7" w:rsidR="00E82B5D" w:rsidRDefault="00555728">
      <w:r>
        <w:rPr>
          <w:noProof/>
        </w:rPr>
        <w:drawing>
          <wp:inline distT="0" distB="0" distL="0" distR="0" wp14:anchorId="58B8A35B" wp14:editId="391AB5E1">
            <wp:extent cx="5731510" cy="3223895"/>
            <wp:effectExtent l="0" t="0" r="2540" b="0"/>
            <wp:docPr id="87434537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4345376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37E959D" wp14:editId="444747E6">
            <wp:extent cx="6096635" cy="3429000"/>
            <wp:effectExtent l="0" t="0" r="0" b="0"/>
            <wp:docPr id="3017788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82C0769" wp14:editId="4CAA81ED">
            <wp:extent cx="6096635" cy="3429000"/>
            <wp:effectExtent l="0" t="0" r="0" b="0"/>
            <wp:docPr id="205243744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C733A05" wp14:editId="2F86424E">
            <wp:extent cx="6096635" cy="3429000"/>
            <wp:effectExtent l="0" t="0" r="0" b="0"/>
            <wp:docPr id="179473945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6B712E3" wp14:editId="26E80EA3">
            <wp:extent cx="6096635" cy="3429000"/>
            <wp:effectExtent l="0" t="0" r="0" b="0"/>
            <wp:docPr id="213964187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690D6D4" wp14:editId="10083BBA">
            <wp:extent cx="6096635" cy="3429000"/>
            <wp:effectExtent l="0" t="0" r="0" b="0"/>
            <wp:docPr id="100473267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E95E359" wp14:editId="521879DF">
            <wp:extent cx="6096635" cy="3429000"/>
            <wp:effectExtent l="0" t="0" r="0" b="0"/>
            <wp:docPr id="178384281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979F82B" wp14:editId="5E432CBF">
            <wp:extent cx="6096635" cy="3429000"/>
            <wp:effectExtent l="0" t="0" r="0" b="0"/>
            <wp:docPr id="99613222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45A6D2A" wp14:editId="4B7B8FA9">
            <wp:extent cx="6096635" cy="3429000"/>
            <wp:effectExtent l="0" t="0" r="0" b="0"/>
            <wp:docPr id="1697519621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FD5D8BB" wp14:editId="39B40DA0">
            <wp:extent cx="6096635" cy="3429000"/>
            <wp:effectExtent l="0" t="0" r="0" b="0"/>
            <wp:docPr id="1950490674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A071C0C" wp14:editId="7CBEAB06">
            <wp:extent cx="6096635" cy="3429000"/>
            <wp:effectExtent l="0" t="0" r="0" b="0"/>
            <wp:docPr id="311456349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F819A4B" w14:textId="77777777" w:rsidR="00E82B5D" w:rsidRDefault="00E82B5D">
      <w:r>
        <w:br w:type="page"/>
      </w:r>
    </w:p>
    <w:p w14:paraId="2177F463" w14:textId="36873504" w:rsidR="00375EEB" w:rsidRPr="00E82B5D" w:rsidRDefault="00E82B5D" w:rsidP="00E82B5D">
      <w:pPr>
        <w:spacing w:line="360" w:lineRule="auto"/>
        <w:jc w:val="both"/>
        <w:rPr>
          <w:rFonts w:ascii="Arial" w:hAnsi="Arial" w:cs="Arial"/>
          <w:b/>
          <w:bCs/>
        </w:rPr>
      </w:pPr>
      <w:r w:rsidRPr="00E82B5D">
        <w:rPr>
          <w:rFonts w:ascii="Arial" w:hAnsi="Arial" w:cs="Arial"/>
          <w:b/>
          <w:bCs/>
        </w:rPr>
        <w:lastRenderedPageBreak/>
        <w:t>REFERENCE LIST:</w:t>
      </w:r>
    </w:p>
    <w:p w14:paraId="19B2C5CD" w14:textId="77777777" w:rsidR="00E82B5D" w:rsidRDefault="00E82B5D" w:rsidP="00E82B5D">
      <w:pPr>
        <w:spacing w:line="360" w:lineRule="auto"/>
        <w:jc w:val="both"/>
        <w:rPr>
          <w:rFonts w:ascii="Arial" w:hAnsi="Arial" w:cs="Arial"/>
        </w:rPr>
      </w:pPr>
    </w:p>
    <w:p w14:paraId="1F84EA9D" w14:textId="77777777" w:rsidR="00E82B5D" w:rsidRPr="00E82B5D" w:rsidRDefault="00E82B5D" w:rsidP="00E82B5D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E82B5D">
        <w:rPr>
          <w:rFonts w:ascii="Arial" w:hAnsi="Arial" w:cs="Arial"/>
          <w:b/>
          <w:bCs/>
        </w:rPr>
        <w:t>Bowdin, G., Allen, J., O'Toole, W., Harris, R., and McDonnell, I.</w:t>
      </w:r>
      <w:r w:rsidRPr="00E82B5D">
        <w:rPr>
          <w:rFonts w:ascii="Arial" w:hAnsi="Arial" w:cs="Arial"/>
        </w:rPr>
        <w:t xml:space="preserve"> (2012) </w:t>
      </w:r>
      <w:r w:rsidRPr="00E82B5D">
        <w:rPr>
          <w:rFonts w:ascii="Arial" w:hAnsi="Arial" w:cs="Arial"/>
          <w:i/>
          <w:iCs/>
        </w:rPr>
        <w:t>Events management</w:t>
      </w:r>
      <w:r w:rsidRPr="00E82B5D">
        <w:rPr>
          <w:rFonts w:ascii="Arial" w:hAnsi="Arial" w:cs="Arial"/>
        </w:rPr>
        <w:t xml:space="preserve">. 3rd </w:t>
      </w:r>
      <w:proofErr w:type="spellStart"/>
      <w:r w:rsidRPr="00E82B5D">
        <w:rPr>
          <w:rFonts w:ascii="Arial" w:hAnsi="Arial" w:cs="Arial"/>
        </w:rPr>
        <w:t>edn</w:t>
      </w:r>
      <w:proofErr w:type="spellEnd"/>
      <w:r w:rsidRPr="00E82B5D">
        <w:rPr>
          <w:rFonts w:ascii="Arial" w:hAnsi="Arial" w:cs="Arial"/>
        </w:rPr>
        <w:t>. London: Routledge.</w:t>
      </w:r>
    </w:p>
    <w:p w14:paraId="49293B03" w14:textId="77777777" w:rsidR="00E82B5D" w:rsidRPr="00E82B5D" w:rsidRDefault="00E82B5D" w:rsidP="00E82B5D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E82B5D">
        <w:rPr>
          <w:rFonts w:ascii="Arial" w:hAnsi="Arial" w:cs="Arial"/>
          <w:b/>
          <w:bCs/>
        </w:rPr>
        <w:t>Belonging Beyond Borders</w:t>
      </w:r>
      <w:r w:rsidRPr="00E82B5D">
        <w:rPr>
          <w:rFonts w:ascii="Arial" w:hAnsi="Arial" w:cs="Arial"/>
        </w:rPr>
        <w:t xml:space="preserve"> (2025) </w:t>
      </w:r>
      <w:r w:rsidRPr="00E82B5D">
        <w:rPr>
          <w:rFonts w:ascii="Arial" w:hAnsi="Arial" w:cs="Arial"/>
          <w:i/>
          <w:iCs/>
        </w:rPr>
        <w:t>Diversity, Equity, and Inclusion in Event Spaces</w:t>
      </w:r>
      <w:r w:rsidRPr="00E82B5D">
        <w:rPr>
          <w:rFonts w:ascii="Arial" w:hAnsi="Arial" w:cs="Arial"/>
        </w:rPr>
        <w:t xml:space="preserve">. Available at: </w:t>
      </w:r>
      <w:hyperlink r:id="rId17" w:tgtFrame="_new" w:history="1">
        <w:r w:rsidRPr="00E82B5D">
          <w:rPr>
            <w:rStyle w:val="Hyperlink"/>
            <w:rFonts w:ascii="Arial" w:hAnsi="Arial" w:cs="Arial"/>
          </w:rPr>
          <w:t>https://www.youtube.com/shorts/hUgAeKnqOV0</w:t>
        </w:r>
      </w:hyperlink>
      <w:r w:rsidRPr="00E82B5D">
        <w:rPr>
          <w:rFonts w:ascii="Arial" w:hAnsi="Arial" w:cs="Arial"/>
        </w:rPr>
        <w:t xml:space="preserve"> (Accessed: [31/01/2025]).</w:t>
      </w:r>
    </w:p>
    <w:p w14:paraId="4DC9C1D9" w14:textId="77777777" w:rsidR="00E82B5D" w:rsidRPr="00E82B5D" w:rsidRDefault="00E82B5D" w:rsidP="00E82B5D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E82B5D">
        <w:rPr>
          <w:rFonts w:ascii="Arial" w:hAnsi="Arial" w:cs="Arial"/>
          <w:b/>
          <w:bCs/>
        </w:rPr>
        <w:t>Carlsen, J. and Andersson, T.</w:t>
      </w:r>
      <w:r w:rsidRPr="00E82B5D">
        <w:rPr>
          <w:rFonts w:ascii="Arial" w:hAnsi="Arial" w:cs="Arial"/>
        </w:rPr>
        <w:t xml:space="preserve"> (2011) ‘Strategic event planning for sustainable outcomes’, </w:t>
      </w:r>
      <w:r w:rsidRPr="00E82B5D">
        <w:rPr>
          <w:rFonts w:ascii="Arial" w:hAnsi="Arial" w:cs="Arial"/>
          <w:i/>
          <w:iCs/>
        </w:rPr>
        <w:t>Journal of Policy Research in Tourism, Leisure and Events</w:t>
      </w:r>
      <w:r w:rsidRPr="00E82B5D">
        <w:rPr>
          <w:rFonts w:ascii="Arial" w:hAnsi="Arial" w:cs="Arial"/>
        </w:rPr>
        <w:t>, 3(1), pp. 61–76.</w:t>
      </w:r>
    </w:p>
    <w:p w14:paraId="501E80EA" w14:textId="77777777" w:rsidR="00E82B5D" w:rsidRPr="00E82B5D" w:rsidRDefault="00E82B5D" w:rsidP="00E82B5D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E82B5D">
        <w:rPr>
          <w:rFonts w:ascii="Arial" w:hAnsi="Arial" w:cs="Arial"/>
          <w:b/>
          <w:bCs/>
        </w:rPr>
        <w:t>Event Industry Council</w:t>
      </w:r>
      <w:r w:rsidRPr="00E82B5D">
        <w:rPr>
          <w:rFonts w:ascii="Arial" w:hAnsi="Arial" w:cs="Arial"/>
        </w:rPr>
        <w:t xml:space="preserve"> (2022) </w:t>
      </w:r>
      <w:r w:rsidRPr="00E82B5D">
        <w:rPr>
          <w:rFonts w:ascii="Arial" w:hAnsi="Arial" w:cs="Arial"/>
          <w:i/>
          <w:iCs/>
        </w:rPr>
        <w:t>Diversity, Equity, and Inclusion in Global Events: A Strategic Report</w:t>
      </w:r>
      <w:r w:rsidRPr="00E82B5D">
        <w:rPr>
          <w:rFonts w:ascii="Arial" w:hAnsi="Arial" w:cs="Arial"/>
        </w:rPr>
        <w:t xml:space="preserve">. Available at: </w:t>
      </w:r>
      <w:hyperlink r:id="rId18" w:history="1">
        <w:r w:rsidRPr="00E82B5D">
          <w:rPr>
            <w:rStyle w:val="Hyperlink"/>
            <w:rFonts w:ascii="Arial" w:hAnsi="Arial" w:cs="Arial"/>
          </w:rPr>
          <w:t>https://eventscouncil.org/</w:t>
        </w:r>
      </w:hyperlink>
      <w:r w:rsidRPr="00E82B5D">
        <w:rPr>
          <w:rFonts w:ascii="Arial" w:hAnsi="Arial" w:cs="Arial"/>
        </w:rPr>
        <w:t xml:space="preserve"> (Accessed: [31/01/2025]).</w:t>
      </w:r>
    </w:p>
    <w:p w14:paraId="3D447E1B" w14:textId="77777777" w:rsidR="00E82B5D" w:rsidRPr="00E82B5D" w:rsidRDefault="00E82B5D" w:rsidP="00E82B5D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E82B5D">
        <w:rPr>
          <w:rFonts w:ascii="Arial" w:hAnsi="Arial" w:cs="Arial"/>
          <w:b/>
          <w:bCs/>
        </w:rPr>
        <w:t>Eventbrite Blog</w:t>
      </w:r>
      <w:r w:rsidRPr="00E82B5D">
        <w:rPr>
          <w:rFonts w:ascii="Arial" w:hAnsi="Arial" w:cs="Arial"/>
        </w:rPr>
        <w:t xml:space="preserve"> (2023) </w:t>
      </w:r>
      <w:r w:rsidRPr="00E82B5D">
        <w:rPr>
          <w:rFonts w:ascii="Arial" w:hAnsi="Arial" w:cs="Arial"/>
          <w:i/>
          <w:iCs/>
        </w:rPr>
        <w:t>How to Create Inclusive and Accessible Events</w:t>
      </w:r>
      <w:r w:rsidRPr="00E82B5D">
        <w:rPr>
          <w:rFonts w:ascii="Arial" w:hAnsi="Arial" w:cs="Arial"/>
        </w:rPr>
        <w:t xml:space="preserve">. Available at: </w:t>
      </w:r>
      <w:hyperlink r:id="rId19" w:history="1">
        <w:r w:rsidRPr="00E82B5D">
          <w:rPr>
            <w:rStyle w:val="Hyperlink"/>
            <w:rFonts w:ascii="Arial" w:hAnsi="Arial" w:cs="Arial"/>
          </w:rPr>
          <w:t>www.eventbrite.com/blog</w:t>
        </w:r>
      </w:hyperlink>
      <w:r w:rsidRPr="00E82B5D">
        <w:rPr>
          <w:rFonts w:ascii="Arial" w:hAnsi="Arial" w:cs="Arial"/>
        </w:rPr>
        <w:t xml:space="preserve">  (Accessed: [31/01/2025]).</w:t>
      </w:r>
    </w:p>
    <w:p w14:paraId="07A69745" w14:textId="77777777" w:rsidR="00E82B5D" w:rsidRPr="00E82B5D" w:rsidRDefault="00E82B5D" w:rsidP="00E82B5D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E82B5D">
        <w:rPr>
          <w:rFonts w:ascii="Arial" w:hAnsi="Arial" w:cs="Arial"/>
          <w:b/>
          <w:bCs/>
        </w:rPr>
        <w:t>Fox, D., Gouthro, M.B., O’Connor, M. and Ramsey, E.</w:t>
      </w:r>
      <w:r w:rsidRPr="00E82B5D">
        <w:rPr>
          <w:rFonts w:ascii="Arial" w:hAnsi="Arial" w:cs="Arial"/>
        </w:rPr>
        <w:t xml:space="preserve"> (2014) </w:t>
      </w:r>
      <w:r w:rsidRPr="00E82B5D">
        <w:rPr>
          <w:rFonts w:ascii="Arial" w:hAnsi="Arial" w:cs="Arial"/>
          <w:i/>
          <w:iCs/>
        </w:rPr>
        <w:t>Doing events research: from theory to practice</w:t>
      </w:r>
      <w:r w:rsidRPr="00E82B5D">
        <w:rPr>
          <w:rFonts w:ascii="Arial" w:hAnsi="Arial" w:cs="Arial"/>
        </w:rPr>
        <w:t>. Oxford: Routledge.</w:t>
      </w:r>
    </w:p>
    <w:p w14:paraId="1D05F428" w14:textId="77777777" w:rsidR="00E82B5D" w:rsidRPr="00E82B5D" w:rsidRDefault="00E82B5D" w:rsidP="00E82B5D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E82B5D">
        <w:rPr>
          <w:rFonts w:ascii="Arial" w:hAnsi="Arial" w:cs="Arial"/>
          <w:b/>
          <w:bCs/>
        </w:rPr>
        <w:t>Getz, D. and Page, S.</w:t>
      </w:r>
      <w:r w:rsidRPr="00E82B5D">
        <w:rPr>
          <w:rFonts w:ascii="Arial" w:hAnsi="Arial" w:cs="Arial"/>
        </w:rPr>
        <w:t xml:space="preserve"> (2019) </w:t>
      </w:r>
      <w:r w:rsidRPr="00E82B5D">
        <w:rPr>
          <w:rFonts w:ascii="Arial" w:hAnsi="Arial" w:cs="Arial"/>
          <w:i/>
          <w:iCs/>
        </w:rPr>
        <w:t>Event studies: theory, research and policy for planned events</w:t>
      </w:r>
      <w:r w:rsidRPr="00E82B5D">
        <w:rPr>
          <w:rFonts w:ascii="Arial" w:hAnsi="Arial" w:cs="Arial"/>
        </w:rPr>
        <w:t xml:space="preserve">. 3rd </w:t>
      </w:r>
      <w:proofErr w:type="spellStart"/>
      <w:r w:rsidRPr="00E82B5D">
        <w:rPr>
          <w:rFonts w:ascii="Arial" w:hAnsi="Arial" w:cs="Arial"/>
        </w:rPr>
        <w:t>edn</w:t>
      </w:r>
      <w:proofErr w:type="spellEnd"/>
      <w:r w:rsidRPr="00E82B5D">
        <w:rPr>
          <w:rFonts w:ascii="Arial" w:hAnsi="Arial" w:cs="Arial"/>
        </w:rPr>
        <w:t>. Oxford: Routledge.</w:t>
      </w:r>
    </w:p>
    <w:p w14:paraId="08745DF4" w14:textId="77777777" w:rsidR="00E82B5D" w:rsidRPr="00E82B5D" w:rsidRDefault="00E82B5D" w:rsidP="00E82B5D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E82B5D">
        <w:rPr>
          <w:rFonts w:ascii="Arial" w:hAnsi="Arial" w:cs="Arial"/>
          <w:b/>
          <w:bCs/>
        </w:rPr>
        <w:t>Harris, R. and McDonnell, I.</w:t>
      </w:r>
      <w:r w:rsidRPr="00E82B5D">
        <w:rPr>
          <w:rFonts w:ascii="Arial" w:hAnsi="Arial" w:cs="Arial"/>
        </w:rPr>
        <w:t xml:space="preserve"> (2015) ‘Event planning and risk management in international MICE events’, </w:t>
      </w:r>
      <w:r w:rsidRPr="00E82B5D">
        <w:rPr>
          <w:rFonts w:ascii="Arial" w:hAnsi="Arial" w:cs="Arial"/>
          <w:i/>
          <w:iCs/>
        </w:rPr>
        <w:t>Journal of Convention &amp; Event Tourism</w:t>
      </w:r>
      <w:r w:rsidRPr="00E82B5D">
        <w:rPr>
          <w:rFonts w:ascii="Arial" w:hAnsi="Arial" w:cs="Arial"/>
        </w:rPr>
        <w:t>, 16(3), pp. 250–268.</w:t>
      </w:r>
    </w:p>
    <w:p w14:paraId="73450EB0" w14:textId="77777777" w:rsidR="00E82B5D" w:rsidRPr="00E82B5D" w:rsidRDefault="00E82B5D" w:rsidP="00E82B5D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E82B5D">
        <w:rPr>
          <w:rFonts w:ascii="Arial" w:hAnsi="Arial" w:cs="Arial"/>
          <w:b/>
          <w:bCs/>
        </w:rPr>
        <w:t>Jones, M.</w:t>
      </w:r>
      <w:r w:rsidRPr="00E82B5D">
        <w:rPr>
          <w:rFonts w:ascii="Arial" w:hAnsi="Arial" w:cs="Arial"/>
        </w:rPr>
        <w:t xml:space="preserve"> (2021) ‘Sustainable event management: Challenges and opportunities’, </w:t>
      </w:r>
      <w:r w:rsidRPr="00E82B5D">
        <w:rPr>
          <w:rFonts w:ascii="Arial" w:hAnsi="Arial" w:cs="Arial"/>
          <w:i/>
          <w:iCs/>
        </w:rPr>
        <w:t>Journal of Sustainable Tourism</w:t>
      </w:r>
      <w:r w:rsidRPr="00E82B5D">
        <w:rPr>
          <w:rFonts w:ascii="Arial" w:hAnsi="Arial" w:cs="Arial"/>
        </w:rPr>
        <w:t>, 29(5), pp. 789–805.</w:t>
      </w:r>
    </w:p>
    <w:p w14:paraId="3B5166DB" w14:textId="77777777" w:rsidR="00E82B5D" w:rsidRPr="00E82B5D" w:rsidRDefault="00E82B5D" w:rsidP="00E82B5D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E82B5D">
        <w:rPr>
          <w:rFonts w:ascii="Arial" w:hAnsi="Arial" w:cs="Arial"/>
          <w:b/>
          <w:bCs/>
        </w:rPr>
        <w:t>Lee, S. and Park, E.</w:t>
      </w:r>
      <w:r w:rsidRPr="00E82B5D">
        <w:rPr>
          <w:rFonts w:ascii="Arial" w:hAnsi="Arial" w:cs="Arial"/>
        </w:rPr>
        <w:t xml:space="preserve"> (2020) ‘Impact of diversity and inclusion initiatives on attendee engagement in MICE events’, </w:t>
      </w:r>
      <w:r w:rsidRPr="00E82B5D">
        <w:rPr>
          <w:rFonts w:ascii="Arial" w:hAnsi="Arial" w:cs="Arial"/>
          <w:i/>
          <w:iCs/>
        </w:rPr>
        <w:t>International Journal of Event and Festival Management</w:t>
      </w:r>
      <w:r w:rsidRPr="00E82B5D">
        <w:rPr>
          <w:rFonts w:ascii="Arial" w:hAnsi="Arial" w:cs="Arial"/>
        </w:rPr>
        <w:t>, 11(3), pp. 245–261.</w:t>
      </w:r>
    </w:p>
    <w:p w14:paraId="3CE3AF35" w14:textId="77777777" w:rsidR="00E82B5D" w:rsidRPr="00E82B5D" w:rsidRDefault="00E82B5D" w:rsidP="00E82B5D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E82B5D">
        <w:rPr>
          <w:rFonts w:ascii="Arial" w:hAnsi="Arial" w:cs="Arial"/>
          <w:b/>
          <w:bCs/>
        </w:rPr>
        <w:lastRenderedPageBreak/>
        <w:t>Meetings Mean Business</w:t>
      </w:r>
      <w:r w:rsidRPr="00E82B5D">
        <w:rPr>
          <w:rFonts w:ascii="Arial" w:hAnsi="Arial" w:cs="Arial"/>
        </w:rPr>
        <w:t xml:space="preserve"> (2023) </w:t>
      </w:r>
      <w:r w:rsidRPr="00E82B5D">
        <w:rPr>
          <w:rFonts w:ascii="Arial" w:hAnsi="Arial" w:cs="Arial"/>
          <w:i/>
          <w:iCs/>
        </w:rPr>
        <w:t>The Economic Impact of the MICE Industry: Global Trends and Insights</w:t>
      </w:r>
      <w:r w:rsidRPr="00E82B5D">
        <w:rPr>
          <w:rFonts w:ascii="Arial" w:hAnsi="Arial" w:cs="Arial"/>
        </w:rPr>
        <w:t xml:space="preserve">. Available at: </w:t>
      </w:r>
      <w:hyperlink r:id="rId20" w:tgtFrame="_new" w:history="1">
        <w:r w:rsidRPr="00E82B5D">
          <w:rPr>
            <w:rStyle w:val="Hyperlink"/>
            <w:rFonts w:ascii="Arial" w:hAnsi="Arial" w:cs="Arial"/>
          </w:rPr>
          <w:t>www.meetingsmeanbusiness.com</w:t>
        </w:r>
      </w:hyperlink>
      <w:r w:rsidRPr="00E82B5D">
        <w:rPr>
          <w:rFonts w:ascii="Arial" w:hAnsi="Arial" w:cs="Arial"/>
        </w:rPr>
        <w:t xml:space="preserve"> (Accessed: [01/02/2025]).</w:t>
      </w:r>
    </w:p>
    <w:p w14:paraId="05C56152" w14:textId="77777777" w:rsidR="00E82B5D" w:rsidRPr="00E82B5D" w:rsidRDefault="00E82B5D" w:rsidP="00E82B5D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E82B5D">
        <w:rPr>
          <w:rFonts w:ascii="Arial" w:hAnsi="Arial" w:cs="Arial"/>
          <w:b/>
          <w:bCs/>
        </w:rPr>
        <w:t xml:space="preserve">Meredith, J., Shafer, S.M. and Mantel, S.J. (2022) </w:t>
      </w:r>
      <w:r w:rsidRPr="00E82B5D">
        <w:rPr>
          <w:rFonts w:ascii="Arial" w:hAnsi="Arial" w:cs="Arial"/>
          <w:i/>
          <w:iCs/>
        </w:rPr>
        <w:t>Project management: a managerial approach</w:t>
      </w:r>
      <w:r w:rsidRPr="00E82B5D">
        <w:rPr>
          <w:rFonts w:ascii="Arial" w:hAnsi="Arial" w:cs="Arial"/>
        </w:rPr>
        <w:t xml:space="preserve">. 11th </w:t>
      </w:r>
      <w:proofErr w:type="spellStart"/>
      <w:r w:rsidRPr="00E82B5D">
        <w:rPr>
          <w:rFonts w:ascii="Arial" w:hAnsi="Arial" w:cs="Arial"/>
        </w:rPr>
        <w:t>edn</w:t>
      </w:r>
      <w:proofErr w:type="spellEnd"/>
      <w:r w:rsidRPr="00E82B5D">
        <w:rPr>
          <w:rFonts w:ascii="Arial" w:hAnsi="Arial" w:cs="Arial"/>
        </w:rPr>
        <w:t>. Hoboken, NJ: Wiley.</w:t>
      </w:r>
    </w:p>
    <w:p w14:paraId="00332AD5" w14:textId="77777777" w:rsidR="00E82B5D" w:rsidRPr="00E82B5D" w:rsidRDefault="00E82B5D" w:rsidP="00E82B5D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E82B5D">
        <w:rPr>
          <w:rFonts w:ascii="Arial" w:hAnsi="Arial" w:cs="Arial"/>
          <w:b/>
          <w:bCs/>
        </w:rPr>
        <w:t>O’Toole, W.</w:t>
      </w:r>
      <w:r w:rsidRPr="00E82B5D">
        <w:rPr>
          <w:rFonts w:ascii="Arial" w:hAnsi="Arial" w:cs="Arial"/>
        </w:rPr>
        <w:t xml:space="preserve"> (2011) </w:t>
      </w:r>
      <w:r w:rsidRPr="00E82B5D">
        <w:rPr>
          <w:rFonts w:ascii="Arial" w:hAnsi="Arial" w:cs="Arial"/>
          <w:i/>
          <w:iCs/>
        </w:rPr>
        <w:t>Events feasibility and development: from strategy to operations</w:t>
      </w:r>
      <w:r w:rsidRPr="00E82B5D">
        <w:rPr>
          <w:rFonts w:ascii="Arial" w:hAnsi="Arial" w:cs="Arial"/>
        </w:rPr>
        <w:t>. Oxford: Elsevier.</w:t>
      </w:r>
    </w:p>
    <w:p w14:paraId="45FEEF04" w14:textId="77777777" w:rsidR="00E82B5D" w:rsidRPr="00E82B5D" w:rsidRDefault="00E82B5D" w:rsidP="00E82B5D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E82B5D">
        <w:rPr>
          <w:rFonts w:ascii="Arial" w:hAnsi="Arial" w:cs="Arial"/>
          <w:b/>
          <w:bCs/>
        </w:rPr>
        <w:t>PCMA (Professional Convention Management Association)</w:t>
      </w:r>
      <w:r w:rsidRPr="00E82B5D">
        <w:rPr>
          <w:rFonts w:ascii="Arial" w:hAnsi="Arial" w:cs="Arial"/>
        </w:rPr>
        <w:t xml:space="preserve"> (2023) </w:t>
      </w:r>
      <w:r w:rsidRPr="00E82B5D">
        <w:rPr>
          <w:rFonts w:ascii="Arial" w:hAnsi="Arial" w:cs="Arial"/>
          <w:i/>
          <w:iCs/>
        </w:rPr>
        <w:t>MICE Industry Trends: How Diversity &amp; Inclusion Are Shaping Global Events</w:t>
      </w:r>
      <w:r w:rsidRPr="00E82B5D">
        <w:rPr>
          <w:rFonts w:ascii="Arial" w:hAnsi="Arial" w:cs="Arial"/>
        </w:rPr>
        <w:t xml:space="preserve">. Available at: </w:t>
      </w:r>
      <w:hyperlink r:id="rId21" w:tgtFrame="_new" w:history="1">
        <w:r w:rsidRPr="00E82B5D">
          <w:rPr>
            <w:rStyle w:val="Hyperlink"/>
            <w:rFonts w:ascii="Arial" w:hAnsi="Arial" w:cs="Arial"/>
          </w:rPr>
          <w:t>www.pcma.org</w:t>
        </w:r>
      </w:hyperlink>
      <w:r w:rsidRPr="00E82B5D">
        <w:rPr>
          <w:rFonts w:ascii="Arial" w:hAnsi="Arial" w:cs="Arial"/>
        </w:rPr>
        <w:t xml:space="preserve"> (Accessed: [01/02/2025]).</w:t>
      </w:r>
    </w:p>
    <w:p w14:paraId="60244ACA" w14:textId="77777777" w:rsidR="00E82B5D" w:rsidRPr="00E82B5D" w:rsidRDefault="00E82B5D" w:rsidP="00E82B5D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E82B5D">
        <w:rPr>
          <w:rFonts w:ascii="Arial" w:hAnsi="Arial" w:cs="Arial"/>
          <w:b/>
          <w:bCs/>
        </w:rPr>
        <w:t>Quinn, B.</w:t>
      </w:r>
      <w:r w:rsidRPr="00E82B5D">
        <w:rPr>
          <w:rFonts w:ascii="Arial" w:hAnsi="Arial" w:cs="Arial"/>
        </w:rPr>
        <w:t xml:space="preserve"> (2013) ‘Event planning and social responsibility in the MICE industry’, </w:t>
      </w:r>
      <w:r w:rsidRPr="00E82B5D">
        <w:rPr>
          <w:rFonts w:ascii="Arial" w:hAnsi="Arial" w:cs="Arial"/>
          <w:i/>
          <w:iCs/>
        </w:rPr>
        <w:t>Journal of Convention &amp; Event Tourism</w:t>
      </w:r>
      <w:r w:rsidRPr="00E82B5D">
        <w:rPr>
          <w:rFonts w:ascii="Arial" w:hAnsi="Arial" w:cs="Arial"/>
        </w:rPr>
        <w:t>, 14(4), pp. 312–328.</w:t>
      </w:r>
    </w:p>
    <w:p w14:paraId="6B56038B" w14:textId="77777777" w:rsidR="00E82B5D" w:rsidRPr="00E82B5D" w:rsidRDefault="00E82B5D" w:rsidP="00E82B5D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E82B5D">
        <w:rPr>
          <w:rFonts w:ascii="Arial" w:hAnsi="Arial" w:cs="Arial"/>
          <w:b/>
          <w:bCs/>
        </w:rPr>
        <w:t>Rogers, T. and Wynn-Moylan, P.</w:t>
      </w:r>
      <w:r w:rsidRPr="00E82B5D">
        <w:rPr>
          <w:rFonts w:ascii="Arial" w:hAnsi="Arial" w:cs="Arial"/>
        </w:rPr>
        <w:t xml:space="preserve"> (2022) </w:t>
      </w:r>
      <w:r w:rsidRPr="00E82B5D">
        <w:rPr>
          <w:rFonts w:ascii="Arial" w:hAnsi="Arial" w:cs="Arial"/>
          <w:i/>
          <w:iCs/>
        </w:rPr>
        <w:t>Conferences and conventions: a global industry</w:t>
      </w:r>
      <w:r w:rsidRPr="00E82B5D">
        <w:rPr>
          <w:rFonts w:ascii="Arial" w:hAnsi="Arial" w:cs="Arial"/>
        </w:rPr>
        <w:t xml:space="preserve">. 4th </w:t>
      </w:r>
      <w:proofErr w:type="spellStart"/>
      <w:r w:rsidRPr="00E82B5D">
        <w:rPr>
          <w:rFonts w:ascii="Arial" w:hAnsi="Arial" w:cs="Arial"/>
        </w:rPr>
        <w:t>edn</w:t>
      </w:r>
      <w:proofErr w:type="spellEnd"/>
      <w:r w:rsidRPr="00E82B5D">
        <w:rPr>
          <w:rFonts w:ascii="Arial" w:hAnsi="Arial" w:cs="Arial"/>
        </w:rPr>
        <w:t>. Oxford: Routledge.</w:t>
      </w:r>
    </w:p>
    <w:p w14:paraId="5DD2D55E" w14:textId="77777777" w:rsidR="00E82B5D" w:rsidRPr="00E82B5D" w:rsidRDefault="00E82B5D" w:rsidP="00E82B5D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E82B5D">
        <w:rPr>
          <w:rFonts w:ascii="Arial" w:hAnsi="Arial" w:cs="Arial"/>
          <w:b/>
          <w:bCs/>
        </w:rPr>
        <w:t>Skift Meetings</w:t>
      </w:r>
      <w:r w:rsidRPr="00E82B5D">
        <w:rPr>
          <w:rFonts w:ascii="Arial" w:hAnsi="Arial" w:cs="Arial"/>
        </w:rPr>
        <w:t xml:space="preserve"> (2023) </w:t>
      </w:r>
      <w:r w:rsidRPr="00E82B5D">
        <w:rPr>
          <w:rFonts w:ascii="Arial" w:hAnsi="Arial" w:cs="Arial"/>
          <w:i/>
          <w:iCs/>
        </w:rPr>
        <w:t>The Future of MICE Events: Sustainability and Inclusion Trends</w:t>
      </w:r>
      <w:r w:rsidRPr="00E82B5D">
        <w:rPr>
          <w:rFonts w:ascii="Arial" w:hAnsi="Arial" w:cs="Arial"/>
        </w:rPr>
        <w:t xml:space="preserve">. Available at: </w:t>
      </w:r>
      <w:hyperlink r:id="rId22" w:tgtFrame="_new" w:history="1">
        <w:r w:rsidRPr="00E82B5D">
          <w:rPr>
            <w:rStyle w:val="Hyperlink"/>
            <w:rFonts w:ascii="Arial" w:hAnsi="Arial" w:cs="Arial"/>
          </w:rPr>
          <w:t>www.skift.com</w:t>
        </w:r>
      </w:hyperlink>
      <w:r w:rsidRPr="00E82B5D">
        <w:rPr>
          <w:rFonts w:ascii="Arial" w:hAnsi="Arial" w:cs="Arial"/>
        </w:rPr>
        <w:t xml:space="preserve"> (Accessed: [01/02/2025]).</w:t>
      </w:r>
    </w:p>
    <w:p w14:paraId="7C506A4F" w14:textId="77777777" w:rsidR="00E82B5D" w:rsidRPr="00E82B5D" w:rsidRDefault="00E82B5D" w:rsidP="00E82B5D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E82B5D">
        <w:rPr>
          <w:rFonts w:ascii="Arial" w:hAnsi="Arial" w:cs="Arial"/>
          <w:b/>
          <w:bCs/>
        </w:rPr>
        <w:t>Smith, A.</w:t>
      </w:r>
      <w:r w:rsidRPr="00E82B5D">
        <w:rPr>
          <w:rFonts w:ascii="Arial" w:hAnsi="Arial" w:cs="Arial"/>
        </w:rPr>
        <w:t xml:space="preserve"> (2012) </w:t>
      </w:r>
      <w:r w:rsidRPr="00E82B5D">
        <w:rPr>
          <w:rFonts w:ascii="Arial" w:hAnsi="Arial" w:cs="Arial"/>
          <w:i/>
          <w:iCs/>
        </w:rPr>
        <w:t>Events and urban regeneration: the strategic use of events to revitalise cities</w:t>
      </w:r>
      <w:r w:rsidRPr="00E82B5D">
        <w:rPr>
          <w:rFonts w:ascii="Arial" w:hAnsi="Arial" w:cs="Arial"/>
        </w:rPr>
        <w:t>. Oxford: Routledge.</w:t>
      </w:r>
    </w:p>
    <w:p w14:paraId="340B5FDF" w14:textId="77777777" w:rsidR="00E82B5D" w:rsidRPr="00E82B5D" w:rsidRDefault="00E82B5D" w:rsidP="00E82B5D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</w:rPr>
      </w:pPr>
      <w:r w:rsidRPr="00E82B5D">
        <w:rPr>
          <w:rFonts w:ascii="Arial" w:hAnsi="Arial" w:cs="Arial"/>
          <w:b/>
          <w:bCs/>
        </w:rPr>
        <w:t>TEDx Talks</w:t>
      </w:r>
      <w:r w:rsidRPr="00E82B5D">
        <w:rPr>
          <w:rFonts w:ascii="Arial" w:hAnsi="Arial" w:cs="Arial"/>
        </w:rPr>
        <w:t xml:space="preserve"> (2024)</w:t>
      </w:r>
      <w:r w:rsidRPr="00E82B5D">
        <w:rPr>
          <w:rFonts w:ascii="Arial" w:hAnsi="Arial" w:cs="Arial"/>
          <w:b/>
          <w:bCs/>
        </w:rPr>
        <w:t xml:space="preserve"> </w:t>
      </w:r>
      <w:r w:rsidRPr="00E82B5D">
        <w:rPr>
          <w:rFonts w:ascii="Arial" w:hAnsi="Arial" w:cs="Arial"/>
          <w:i/>
          <w:iCs/>
        </w:rPr>
        <w:t>Diversity, Equity &amp; Inclusion. Learning how to get it right | Asif Sadiq | TEDx Croydon</w:t>
      </w:r>
      <w:r w:rsidRPr="00E82B5D">
        <w:rPr>
          <w:rFonts w:ascii="Arial" w:hAnsi="Arial" w:cs="Arial"/>
        </w:rPr>
        <w:t xml:space="preserve">. Available at: </w:t>
      </w:r>
      <w:hyperlink r:id="rId23" w:history="1">
        <w:r w:rsidRPr="00E82B5D">
          <w:rPr>
            <w:rStyle w:val="Hyperlink"/>
            <w:rFonts w:ascii="Arial" w:hAnsi="Arial" w:cs="Arial"/>
          </w:rPr>
          <w:t>https://www.youtube.com/watch?v=HR4wz1b54hw</w:t>
        </w:r>
      </w:hyperlink>
      <w:r w:rsidRPr="00E82B5D">
        <w:rPr>
          <w:rFonts w:ascii="Arial" w:hAnsi="Arial" w:cs="Arial"/>
        </w:rPr>
        <w:t xml:space="preserve">  (Accessed: [01/02/2025]).</w:t>
      </w:r>
    </w:p>
    <w:p w14:paraId="3369BB90" w14:textId="77777777" w:rsidR="00E82B5D" w:rsidRPr="00E82B5D" w:rsidRDefault="00E82B5D" w:rsidP="00E82B5D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E82B5D">
        <w:rPr>
          <w:rFonts w:ascii="Arial" w:hAnsi="Arial" w:cs="Arial"/>
          <w:b/>
          <w:bCs/>
        </w:rPr>
        <w:t>UNWTO (United Nations World Tourism Organization)</w:t>
      </w:r>
      <w:r w:rsidRPr="00E82B5D">
        <w:rPr>
          <w:rFonts w:ascii="Arial" w:hAnsi="Arial" w:cs="Arial"/>
        </w:rPr>
        <w:t xml:space="preserve"> (2021) </w:t>
      </w:r>
      <w:r w:rsidRPr="00E82B5D">
        <w:rPr>
          <w:rFonts w:ascii="Arial" w:hAnsi="Arial" w:cs="Arial"/>
          <w:i/>
          <w:iCs/>
        </w:rPr>
        <w:t>Sustainability in Meetings and Events: A Global Perspective</w:t>
      </w:r>
      <w:r w:rsidRPr="00E82B5D">
        <w:rPr>
          <w:rFonts w:ascii="Arial" w:hAnsi="Arial" w:cs="Arial"/>
        </w:rPr>
        <w:t>. Madrid: UNWTO.</w:t>
      </w:r>
    </w:p>
    <w:p w14:paraId="7A4D5D13" w14:textId="77777777" w:rsidR="00E82B5D" w:rsidRPr="00E82B5D" w:rsidRDefault="00E82B5D" w:rsidP="00E82B5D">
      <w:pPr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E82B5D">
        <w:rPr>
          <w:rFonts w:ascii="Arial" w:hAnsi="Arial" w:cs="Arial"/>
          <w:b/>
          <w:bCs/>
        </w:rPr>
        <w:t>Yeoman, I.</w:t>
      </w:r>
      <w:r w:rsidRPr="00E82B5D">
        <w:rPr>
          <w:rFonts w:ascii="Arial" w:hAnsi="Arial" w:cs="Arial"/>
        </w:rPr>
        <w:t xml:space="preserve"> (2017) ‘The future of event planning: Technological and strategic insights’, </w:t>
      </w:r>
      <w:r w:rsidRPr="00E82B5D">
        <w:rPr>
          <w:rFonts w:ascii="Arial" w:hAnsi="Arial" w:cs="Arial"/>
          <w:i/>
          <w:iCs/>
        </w:rPr>
        <w:t>International Journal of Events Management Research</w:t>
      </w:r>
      <w:r w:rsidRPr="00E82B5D">
        <w:rPr>
          <w:rFonts w:ascii="Arial" w:hAnsi="Arial" w:cs="Arial"/>
        </w:rPr>
        <w:t>, 12(1), pp. 23–39.</w:t>
      </w:r>
    </w:p>
    <w:p w14:paraId="13839B77" w14:textId="77777777" w:rsidR="00E82B5D" w:rsidRPr="00E82B5D" w:rsidRDefault="00E82B5D" w:rsidP="00E82B5D">
      <w:pPr>
        <w:spacing w:line="360" w:lineRule="auto"/>
        <w:jc w:val="both"/>
        <w:rPr>
          <w:rFonts w:ascii="Arial" w:hAnsi="Arial" w:cs="Arial"/>
        </w:rPr>
      </w:pPr>
    </w:p>
    <w:sectPr w:rsidR="00E82B5D" w:rsidRPr="00E82B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3B091F"/>
    <w:multiLevelType w:val="hybridMultilevel"/>
    <w:tmpl w:val="20FE07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580041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5EEB"/>
    <w:rsid w:val="00375EEB"/>
    <w:rsid w:val="004B549B"/>
    <w:rsid w:val="00555728"/>
    <w:rsid w:val="00E82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29F84E3"/>
  <w15:chartTrackingRefBased/>
  <w15:docId w15:val="{5069F3ED-D522-450C-A31A-FA34D4BCB9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5E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75E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75EE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5E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5EE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5EE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5EE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5EE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5EE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5EE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75EE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75EE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5EE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5EE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5E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5E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5E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5E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75EE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75E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5EE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75E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75EE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75E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75E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75EE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5EE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5EE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75EE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82B5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2B5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jpeg"/><Relationship Id="rId18" Type="http://schemas.openxmlformats.org/officeDocument/2006/relationships/hyperlink" Target="https://eventscouncil.org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pcma.org" TargetMode="Externa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17" Type="http://schemas.openxmlformats.org/officeDocument/2006/relationships/hyperlink" Target="https://www.youtube.com/shorts/hUgAeKnqOV0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2.jpeg"/><Relationship Id="rId20" Type="http://schemas.openxmlformats.org/officeDocument/2006/relationships/hyperlink" Target="https://www.meetingsmeanbusiness.com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image" Target="media/image7.png"/><Relationship Id="rId24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image" Target="media/image11.jpeg"/><Relationship Id="rId23" Type="http://schemas.openxmlformats.org/officeDocument/2006/relationships/hyperlink" Target="https://www.youtube.com/watch?v=HR4wz1b54hw" TargetMode="External"/><Relationship Id="rId10" Type="http://schemas.openxmlformats.org/officeDocument/2006/relationships/image" Target="media/image6.png"/><Relationship Id="rId19" Type="http://schemas.openxmlformats.org/officeDocument/2006/relationships/hyperlink" Target="http://www.eventbrite.com/blog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jpeg"/><Relationship Id="rId22" Type="http://schemas.openxmlformats.org/officeDocument/2006/relationships/hyperlink" Target="https://www.skif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8</Pages>
  <Words>475</Words>
  <Characters>2991</Characters>
  <Application>Microsoft Office Word</Application>
  <DocSecurity>0</DocSecurity>
  <Lines>72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Venelin Iliev</dc:creator>
  <cp:keywords/>
  <dc:description/>
  <cp:lastModifiedBy>Venelin Iliev</cp:lastModifiedBy>
  <cp:revision>2</cp:revision>
  <dcterms:created xsi:type="dcterms:W3CDTF">2025-02-05T20:27:00Z</dcterms:created>
  <dcterms:modified xsi:type="dcterms:W3CDTF">2025-02-05T20:27:00Z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06bf9d7aa697ced6f324d4103397d5bb0ba1da1b284a7632d2c7b17dab2559a3</vt:lpwstr>
  </property>
</Properties>
</file>