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40CE0C" w14:textId="39B48ED5" w:rsidR="00C52C17" w:rsidRDefault="00C52C17">
      <w:pPr>
        <w:rPr>
          <w:rFonts w:ascii="Aptos" w:eastAsia="Aptos" w:hAnsi="Aptos" w:cs="Times New Roman"/>
          <w:sz w:val="22"/>
          <w:szCs w:val="22"/>
        </w:rPr>
      </w:pPr>
      <w:r>
        <w:rPr>
          <w:rFonts w:ascii="Times New Roman" w:hAnsi="Times New Roman"/>
          <w:noProof/>
          <w:kern w:val="0"/>
          <w14:ligatures w14:val="none"/>
        </w:rPr>
        <w:drawing>
          <wp:anchor distT="0" distB="0" distL="114300" distR="114300" simplePos="0" relativeHeight="251659264" behindDoc="0" locked="0" layoutInCell="1" allowOverlap="1" wp14:anchorId="5ED862A2" wp14:editId="2E4CD837">
            <wp:simplePos x="0" y="0"/>
            <wp:positionH relativeFrom="margin">
              <wp:posOffset>0</wp:posOffset>
            </wp:positionH>
            <wp:positionV relativeFrom="paragraph">
              <wp:posOffset>297180</wp:posOffset>
            </wp:positionV>
            <wp:extent cx="2600325" cy="914400"/>
            <wp:effectExtent l="0" t="0" r="9525" b="0"/>
            <wp:wrapSquare wrapText="bothSides"/>
            <wp:docPr id="5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209CFD" w14:textId="77777777" w:rsidR="00C52C17" w:rsidRDefault="00C52C17">
      <w:pPr>
        <w:rPr>
          <w:rFonts w:ascii="Aptos" w:eastAsia="Aptos" w:hAnsi="Aptos" w:cs="Times New Roman"/>
          <w:sz w:val="22"/>
          <w:szCs w:val="22"/>
        </w:rPr>
      </w:pPr>
    </w:p>
    <w:p w14:paraId="269801D1" w14:textId="77777777" w:rsidR="00C52C17" w:rsidRDefault="00C52C17">
      <w:pPr>
        <w:rPr>
          <w:rFonts w:ascii="Aptos" w:eastAsia="Aptos" w:hAnsi="Aptos" w:cs="Times New Roman"/>
          <w:sz w:val="22"/>
          <w:szCs w:val="22"/>
        </w:rPr>
      </w:pPr>
    </w:p>
    <w:p w14:paraId="4C40894D" w14:textId="77777777" w:rsidR="00C52C17" w:rsidRDefault="00C52C17">
      <w:pPr>
        <w:rPr>
          <w:rFonts w:ascii="Aptos" w:eastAsia="Aptos" w:hAnsi="Aptos" w:cs="Times New Roman"/>
          <w:sz w:val="22"/>
          <w:szCs w:val="22"/>
        </w:rPr>
      </w:pPr>
    </w:p>
    <w:p w14:paraId="54B6616B" w14:textId="77777777" w:rsidR="001B4A0E" w:rsidRDefault="001B4A0E">
      <w:pPr>
        <w:rPr>
          <w:rFonts w:ascii="Aptos" w:eastAsia="Aptos" w:hAnsi="Aptos" w:cs="Times New Roman"/>
          <w:sz w:val="22"/>
          <w:szCs w:val="22"/>
        </w:rPr>
      </w:pPr>
    </w:p>
    <w:p w14:paraId="4914F75A" w14:textId="77777777" w:rsidR="001B4A0E" w:rsidRDefault="001B4A0E">
      <w:pPr>
        <w:rPr>
          <w:rFonts w:ascii="Aptos" w:eastAsia="Aptos" w:hAnsi="Aptos" w:cs="Times New Roman"/>
          <w:sz w:val="22"/>
          <w:szCs w:val="22"/>
        </w:rPr>
      </w:pPr>
    </w:p>
    <w:p w14:paraId="1CFBEC5D" w14:textId="27E54B33" w:rsidR="001B4A0E" w:rsidRDefault="001B4A0E" w:rsidP="00180F7C">
      <w:pPr>
        <w:tabs>
          <w:tab w:val="left" w:pos="6540"/>
        </w:tabs>
        <w:spacing w:after="220" w:line="360" w:lineRule="auto"/>
        <w:ind w:left="426"/>
        <w:jc w:val="center"/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</w:pPr>
      <w:r w:rsidRPr="00C52C17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Module name</w:t>
      </w:r>
      <w:r w:rsidR="0040442C" w:rsidRPr="00801B85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: Empowering the Older Person</w:t>
      </w:r>
    </w:p>
    <w:p w14:paraId="539E787D" w14:textId="6CBCE25E" w:rsidR="00ED4C3E" w:rsidRPr="00801B85" w:rsidRDefault="00ED4C3E" w:rsidP="00180F7C">
      <w:pPr>
        <w:tabs>
          <w:tab w:val="left" w:pos="6540"/>
        </w:tabs>
        <w:spacing w:after="220" w:line="360" w:lineRule="auto"/>
        <w:ind w:left="426"/>
        <w:jc w:val="center"/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</w:pPr>
      <w:r w:rsidRPr="00ED4C3E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Module code: BMHP6027</w:t>
      </w:r>
    </w:p>
    <w:p w14:paraId="3E133D04" w14:textId="77777777" w:rsidR="00ED4C3E" w:rsidRDefault="00C70608" w:rsidP="00180F7C">
      <w:pPr>
        <w:tabs>
          <w:tab w:val="left" w:pos="6540"/>
        </w:tabs>
        <w:spacing w:after="220" w:line="360" w:lineRule="auto"/>
        <w:ind w:left="426"/>
        <w:jc w:val="center"/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</w:pPr>
      <w:r w:rsidRPr="00801B85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Topic of debate:</w:t>
      </w:r>
      <w:r w:rsidRPr="00801B85">
        <w:rPr>
          <w:rFonts w:ascii="Aptos" w:eastAsia="Aptos" w:hAnsi="Aptos" w:cs="Times New Roman"/>
          <w:sz w:val="36"/>
          <w:szCs w:val="36"/>
        </w:rPr>
        <w:t xml:space="preserve"> </w:t>
      </w:r>
      <w:r w:rsidRPr="00801B85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Digital Health Tools through apps and devices are a source of empowerment for older adults</w:t>
      </w:r>
      <w:r w:rsidR="00DC511A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 xml:space="preserve"> </w:t>
      </w:r>
      <w:r w:rsidR="00C646E5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(NO)</w:t>
      </w:r>
    </w:p>
    <w:p w14:paraId="1E4A85B2" w14:textId="3ABB4A04" w:rsidR="00C52C17" w:rsidRPr="00E22664" w:rsidRDefault="00C52C17" w:rsidP="00180F7C">
      <w:pPr>
        <w:tabs>
          <w:tab w:val="left" w:pos="6540"/>
        </w:tabs>
        <w:spacing w:after="220" w:line="360" w:lineRule="auto"/>
        <w:ind w:left="426"/>
        <w:jc w:val="center"/>
        <w:rPr>
          <w:rFonts w:ascii="Arial" w:eastAsia="Century Schoolbook" w:hAnsi="Arial" w:cs="Arial"/>
          <w:b/>
          <w:bCs/>
          <w:kern w:val="0"/>
          <w:sz w:val="36"/>
          <w:szCs w:val="36"/>
          <w:lang w:val="nl-NL"/>
          <w14:ligatures w14:val="none"/>
        </w:rPr>
      </w:pPr>
      <w:r w:rsidRPr="00C52C17">
        <w:rPr>
          <w:rFonts w:ascii="Arial" w:eastAsia="Century Schoolbook" w:hAnsi="Arial" w:cs="Arial"/>
          <w:b/>
          <w:bCs/>
          <w:kern w:val="0"/>
          <w:sz w:val="36"/>
          <w:szCs w:val="36"/>
          <w:lang w:val="nl-NL"/>
          <w14:ligatures w14:val="none"/>
        </w:rPr>
        <w:t>Student name</w:t>
      </w:r>
      <w:r w:rsidRPr="00C52C17">
        <w:rPr>
          <w:rFonts w:ascii="Arial" w:eastAsia="Century Schoolbook" w:hAnsi="Arial" w:cs="Arial"/>
          <w:kern w:val="0"/>
          <w:sz w:val="36"/>
          <w:szCs w:val="36"/>
          <w:lang w:val="nl-NL"/>
          <w14:ligatures w14:val="none"/>
        </w:rPr>
        <w:t>:</w:t>
      </w:r>
      <w:r w:rsidR="001B4A0E" w:rsidRPr="00801B85">
        <w:rPr>
          <w:rFonts w:ascii="Arial" w:eastAsia="Century Schoolbook" w:hAnsi="Arial" w:cs="Arial"/>
          <w:b/>
          <w:bCs/>
          <w:kern w:val="0"/>
          <w:sz w:val="36"/>
          <w:szCs w:val="36"/>
          <w:lang w:val="nl-NL"/>
          <w14:ligatures w14:val="none"/>
        </w:rPr>
        <w:t xml:space="preserve"> </w:t>
      </w:r>
      <w:r w:rsidR="001B4A0E" w:rsidRPr="00B65C3F">
        <w:rPr>
          <w:rFonts w:ascii="Arial" w:eastAsia="Century Schoolbook" w:hAnsi="Arial" w:cs="Arial"/>
          <w:b/>
          <w:bCs/>
          <w:kern w:val="0"/>
          <w:sz w:val="36"/>
          <w:szCs w:val="36"/>
          <w:lang w:val="nl-NL"/>
          <w14:ligatures w14:val="none"/>
        </w:rPr>
        <w:t>Dajou Kateka</w:t>
      </w:r>
    </w:p>
    <w:p w14:paraId="36FC6262" w14:textId="00D70A3D" w:rsidR="00B65C3F" w:rsidRPr="00E22664" w:rsidRDefault="00B65C3F" w:rsidP="00180F7C">
      <w:pPr>
        <w:tabs>
          <w:tab w:val="left" w:pos="6540"/>
        </w:tabs>
        <w:spacing w:after="220" w:line="360" w:lineRule="auto"/>
        <w:ind w:left="426"/>
        <w:jc w:val="center"/>
        <w:rPr>
          <w:rFonts w:ascii="Arial" w:eastAsia="Century Schoolbook" w:hAnsi="Arial" w:cs="Arial"/>
          <w:b/>
          <w:bCs/>
          <w:kern w:val="0"/>
          <w:sz w:val="36"/>
          <w:szCs w:val="36"/>
          <w:lang w:val="nl-NL"/>
          <w14:ligatures w14:val="none"/>
        </w:rPr>
      </w:pPr>
      <w:r w:rsidRPr="00E22664">
        <w:rPr>
          <w:rFonts w:ascii="Arial" w:eastAsia="Century Schoolbook" w:hAnsi="Arial" w:cs="Arial"/>
          <w:b/>
          <w:bCs/>
          <w:kern w:val="0"/>
          <w:sz w:val="36"/>
          <w:szCs w:val="36"/>
          <w:lang w:val="nl-NL"/>
          <w14:ligatures w14:val="none"/>
        </w:rPr>
        <w:t>Student ID: 2317142</w:t>
      </w:r>
    </w:p>
    <w:p w14:paraId="59B87099" w14:textId="736B86AD" w:rsidR="000D65FB" w:rsidRPr="00B65C3F" w:rsidRDefault="000D65FB" w:rsidP="00180F7C">
      <w:pPr>
        <w:tabs>
          <w:tab w:val="left" w:pos="6540"/>
        </w:tabs>
        <w:spacing w:after="220" w:line="360" w:lineRule="auto"/>
        <w:ind w:left="426"/>
        <w:jc w:val="center"/>
        <w:rPr>
          <w:rFonts w:ascii="Arial" w:eastAsia="Century Schoolbook" w:hAnsi="Arial" w:cs="Arial"/>
          <w:b/>
          <w:bCs/>
          <w:kern w:val="0"/>
          <w:sz w:val="36"/>
          <w:szCs w:val="36"/>
          <w:lang w:val="en-US"/>
          <w14:ligatures w14:val="none"/>
        </w:rPr>
      </w:pPr>
      <w:r w:rsidRPr="000D65FB">
        <w:rPr>
          <w:rFonts w:ascii="Arial" w:eastAsia="Century Schoolbook" w:hAnsi="Arial" w:cs="Arial"/>
          <w:b/>
          <w:bCs/>
          <w:kern w:val="0"/>
          <w:sz w:val="36"/>
          <w:szCs w:val="36"/>
          <w:lang w:val="en-US"/>
          <w14:ligatures w14:val="none"/>
        </w:rPr>
        <w:t>Lecturer’s name:</w:t>
      </w:r>
      <w:r w:rsidRPr="000D65FB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 xml:space="preserve"> Arif Ahmed</w:t>
      </w:r>
    </w:p>
    <w:p w14:paraId="2A47C898" w14:textId="4532DB12" w:rsidR="00B65C3F" w:rsidRPr="00B65C3F" w:rsidRDefault="00B65C3F" w:rsidP="00180F7C">
      <w:pPr>
        <w:tabs>
          <w:tab w:val="left" w:pos="6540"/>
        </w:tabs>
        <w:spacing w:after="220" w:line="360" w:lineRule="auto"/>
        <w:ind w:left="426"/>
        <w:jc w:val="center"/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</w:pPr>
      <w:r w:rsidRPr="00B65C3F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Date of submission:1</w:t>
      </w:r>
      <w:r w:rsidR="001B4A0E" w:rsidRPr="00801B85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0</w:t>
      </w:r>
      <w:r w:rsidRPr="00B65C3F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/0</w:t>
      </w:r>
      <w:r w:rsidR="001B4A0E" w:rsidRPr="00801B85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4</w:t>
      </w:r>
      <w:r w:rsidRPr="00B65C3F">
        <w:rPr>
          <w:rFonts w:ascii="Arial" w:eastAsia="Century Schoolbook" w:hAnsi="Arial" w:cs="Arial"/>
          <w:b/>
          <w:bCs/>
          <w:kern w:val="0"/>
          <w:sz w:val="36"/>
          <w:szCs w:val="36"/>
          <w14:ligatures w14:val="none"/>
        </w:rPr>
        <w:t>/2026</w:t>
      </w:r>
    </w:p>
    <w:p w14:paraId="00E8B043" w14:textId="77777777" w:rsidR="00C52C17" w:rsidRPr="00801B85" w:rsidRDefault="00C52C17" w:rsidP="00801B85">
      <w:pPr>
        <w:jc w:val="center"/>
        <w:rPr>
          <w:rFonts w:ascii="Aptos" w:eastAsia="Aptos" w:hAnsi="Aptos" w:cs="Times New Roman"/>
          <w:sz w:val="36"/>
          <w:szCs w:val="36"/>
        </w:rPr>
      </w:pPr>
    </w:p>
    <w:p w14:paraId="53FDD0AD" w14:textId="77777777" w:rsidR="00C646E5" w:rsidRDefault="00C646E5">
      <w:pPr>
        <w:rPr>
          <w:rFonts w:ascii="Aptos" w:eastAsia="Aptos" w:hAnsi="Aptos" w:cs="Times New Roman"/>
          <w:sz w:val="22"/>
          <w:szCs w:val="22"/>
        </w:rPr>
      </w:pPr>
    </w:p>
    <w:p w14:paraId="3FBB6120" w14:textId="77777777" w:rsidR="00C646E5" w:rsidRDefault="00C646E5">
      <w:pPr>
        <w:rPr>
          <w:rFonts w:ascii="Aptos" w:eastAsia="Aptos" w:hAnsi="Aptos" w:cs="Times New Roman"/>
          <w:sz w:val="22"/>
          <w:szCs w:val="22"/>
        </w:rPr>
      </w:pPr>
    </w:p>
    <w:p w14:paraId="4E8283BF" w14:textId="77777777" w:rsidR="00C646E5" w:rsidRDefault="00C646E5">
      <w:pPr>
        <w:rPr>
          <w:rFonts w:ascii="Aptos" w:eastAsia="Aptos" w:hAnsi="Aptos" w:cs="Times New Roman"/>
          <w:sz w:val="22"/>
          <w:szCs w:val="22"/>
        </w:rPr>
      </w:pPr>
    </w:p>
    <w:p w14:paraId="5F51BB76" w14:textId="77777777" w:rsidR="00C646E5" w:rsidRDefault="00C646E5">
      <w:pPr>
        <w:rPr>
          <w:rFonts w:ascii="Aptos" w:eastAsia="Aptos" w:hAnsi="Aptos" w:cs="Times New Roman"/>
          <w:sz w:val="22"/>
          <w:szCs w:val="22"/>
        </w:rPr>
      </w:pPr>
    </w:p>
    <w:p w14:paraId="346A4F18" w14:textId="77777777" w:rsidR="00C646E5" w:rsidRDefault="00C646E5">
      <w:pPr>
        <w:rPr>
          <w:rFonts w:ascii="Aptos" w:eastAsia="Aptos" w:hAnsi="Aptos" w:cs="Times New Roman"/>
          <w:sz w:val="22"/>
          <w:szCs w:val="22"/>
        </w:rPr>
      </w:pPr>
    </w:p>
    <w:p w14:paraId="742C23A1" w14:textId="77777777" w:rsidR="00C646E5" w:rsidRDefault="00C646E5">
      <w:pPr>
        <w:rPr>
          <w:rFonts w:ascii="Aptos" w:eastAsia="Aptos" w:hAnsi="Aptos" w:cs="Times New Roman"/>
          <w:sz w:val="22"/>
          <w:szCs w:val="22"/>
        </w:rPr>
      </w:pPr>
    </w:p>
    <w:p w14:paraId="62A08188" w14:textId="77777777" w:rsidR="00C646E5" w:rsidRDefault="00C646E5">
      <w:pPr>
        <w:rPr>
          <w:rFonts w:ascii="Aptos" w:eastAsia="Aptos" w:hAnsi="Aptos" w:cs="Times New Roman"/>
          <w:sz w:val="22"/>
          <w:szCs w:val="22"/>
        </w:rPr>
      </w:pPr>
    </w:p>
    <w:p w14:paraId="0BB148BD" w14:textId="2F43B3E6" w:rsidR="00097456" w:rsidRPr="0067663C" w:rsidRDefault="0028559A" w:rsidP="0067663C">
      <w:pPr>
        <w:spacing w:line="360" w:lineRule="auto"/>
        <w:rPr>
          <w:rFonts w:ascii="Arial" w:eastAsia="Aptos" w:hAnsi="Arial" w:cs="Arial"/>
          <w:b/>
          <w:bCs/>
          <w:sz w:val="22"/>
          <w:szCs w:val="22"/>
        </w:rPr>
      </w:pPr>
      <w:r w:rsidRPr="0067663C">
        <w:rPr>
          <w:rFonts w:ascii="Arial" w:eastAsia="Aptos" w:hAnsi="Arial" w:cs="Arial"/>
          <w:b/>
          <w:bCs/>
          <w:sz w:val="22"/>
          <w:szCs w:val="22"/>
        </w:rPr>
        <w:lastRenderedPageBreak/>
        <w:t>REFERENCES</w:t>
      </w:r>
      <w:r w:rsidR="00127268" w:rsidRPr="0067663C">
        <w:rPr>
          <w:rFonts w:ascii="Arial" w:eastAsia="Aptos" w:hAnsi="Arial" w:cs="Arial"/>
          <w:b/>
          <w:bCs/>
          <w:sz w:val="22"/>
          <w:szCs w:val="22"/>
        </w:rPr>
        <w:t xml:space="preserve"> </w:t>
      </w:r>
    </w:p>
    <w:p w14:paraId="60878BA0" w14:textId="1B3ADA93" w:rsidR="00E27E48" w:rsidRPr="00E11B5A" w:rsidRDefault="0053312A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 xml:space="preserve">Age UK (2024)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 xml:space="preserve">Digital inclusion and older people </w:t>
      </w:r>
      <w:r w:rsidR="0098329F" w:rsidRPr="00E11B5A">
        <w:rPr>
          <w:rFonts w:ascii="Arial" w:eastAsia="Aptos" w:hAnsi="Arial" w:cs="Arial"/>
          <w:sz w:val="22"/>
          <w:szCs w:val="22"/>
        </w:rPr>
        <w:t>Available</w:t>
      </w:r>
      <w:r w:rsidRPr="00AC7D68">
        <w:rPr>
          <w:rFonts w:ascii="Arial" w:eastAsia="Aptos" w:hAnsi="Arial" w:cs="Arial"/>
          <w:sz w:val="22"/>
          <w:szCs w:val="22"/>
        </w:rPr>
        <w:t xml:space="preserve"> at</w:t>
      </w:r>
      <w:r w:rsidR="0098329F" w:rsidRPr="00AC7D68">
        <w:rPr>
          <w:rFonts w:ascii="Arial" w:eastAsia="Aptos" w:hAnsi="Arial" w:cs="Arial"/>
          <w:sz w:val="22"/>
          <w:szCs w:val="22"/>
        </w:rPr>
        <w:t>:</w:t>
      </w:r>
      <w:r w:rsidR="00AC7D68" w:rsidRPr="00AC7D68">
        <w:rPr>
          <w:rFonts w:ascii="Arial" w:eastAsia="Aptos" w:hAnsi="Arial" w:cs="Arial"/>
          <w:sz w:val="22"/>
          <w:szCs w:val="22"/>
        </w:rPr>
        <w:t xml:space="preserve"> </w:t>
      </w:r>
      <w:hyperlink r:id="rId7" w:history="1">
        <w:r w:rsidR="00AC7D68" w:rsidRPr="00E15149">
          <w:rPr>
            <w:rStyle w:val="Hyperlink"/>
            <w:rFonts w:ascii="Arial" w:eastAsia="Aptos" w:hAnsi="Arial" w:cs="Arial"/>
            <w:sz w:val="22"/>
            <w:szCs w:val="22"/>
          </w:rPr>
          <w:t>https://www.ageuk.org.uk/manchester/about-us/news/articles/2024/digital-inclusion/</w:t>
        </w:r>
      </w:hyperlink>
      <w:r w:rsidR="00E35129" w:rsidRPr="00E11B5A">
        <w:rPr>
          <w:rFonts w:ascii="Arial" w:eastAsia="Aptos" w:hAnsi="Arial" w:cs="Arial"/>
          <w:sz w:val="22"/>
          <w:szCs w:val="22"/>
        </w:rPr>
        <w:t xml:space="preserve"> </w:t>
      </w:r>
      <w:r w:rsidR="0098329F" w:rsidRPr="00E11B5A">
        <w:rPr>
          <w:rFonts w:ascii="Arial" w:eastAsia="Aptos" w:hAnsi="Arial" w:cs="Arial"/>
          <w:sz w:val="22"/>
          <w:szCs w:val="22"/>
        </w:rPr>
        <w:t>(Accessed: 5 April 2026)</w:t>
      </w:r>
    </w:p>
    <w:p w14:paraId="19A51A3D" w14:textId="5B423ABB" w:rsidR="00CA5DB4" w:rsidRPr="00A004E6" w:rsidRDefault="00097456" w:rsidP="0067663C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proofErr w:type="spellStart"/>
      <w:r w:rsidRPr="00E11B5A">
        <w:rPr>
          <w:rFonts w:ascii="Arial" w:eastAsia="Aptos" w:hAnsi="Arial" w:cs="Arial"/>
          <w:sz w:val="22"/>
          <w:szCs w:val="22"/>
        </w:rPr>
        <w:t>Alruwaili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M. M., Shaban, M., &amp; Elsayed Ramadan, O. M. (2023). Digital Health Interventions for Promoting Healthy Aging: A Systematic Review of Adoption Patterns, Efficacy, and User Experience. Sustainability, 15(23), 16503. </w:t>
      </w:r>
      <w:hyperlink r:id="rId8" w:history="1">
        <w:r w:rsidR="00CA5DB4" w:rsidRPr="00A004E6">
          <w:rPr>
            <w:rStyle w:val="Hyperlink"/>
            <w:rFonts w:ascii="Arial" w:eastAsia="Aptos" w:hAnsi="Arial" w:cs="Arial"/>
            <w:sz w:val="22"/>
            <w:szCs w:val="22"/>
          </w:rPr>
          <w:t>https://doi.org/10.3390/su152316503</w:t>
        </w:r>
      </w:hyperlink>
    </w:p>
    <w:p w14:paraId="20FB9B48" w14:textId="088AD0C1" w:rsidR="00054436" w:rsidRPr="00A004E6" w:rsidRDefault="00054436" w:rsidP="0067663C">
      <w:pPr>
        <w:spacing w:line="360" w:lineRule="auto"/>
        <w:rPr>
          <w:rFonts w:ascii="Arial" w:eastAsia="Aptos" w:hAnsi="Arial" w:cs="Arial"/>
          <w:sz w:val="22"/>
          <w:szCs w:val="22"/>
          <w:u w:val="single"/>
        </w:rPr>
      </w:pPr>
      <w:r w:rsidRPr="00E11B5A">
        <w:rPr>
          <w:rFonts w:ascii="Arial" w:eastAsia="Aptos" w:hAnsi="Arial" w:cs="Arial"/>
          <w:sz w:val="22"/>
          <w:szCs w:val="22"/>
        </w:rPr>
        <w:t xml:space="preserve">Asim, N. (2026). Bridging the Gap: Enhancing Patient Partnership in Digital Health Without Losing the Human Touch.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>Lifestyle Medicine</w:t>
      </w:r>
      <w:r w:rsidRPr="00E11B5A">
        <w:rPr>
          <w:rFonts w:ascii="Arial" w:eastAsia="Aptos" w:hAnsi="Arial" w:cs="Arial"/>
          <w:sz w:val="22"/>
          <w:szCs w:val="22"/>
        </w:rPr>
        <w:t xml:space="preserve">,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>7</w:t>
      </w:r>
      <w:r w:rsidRPr="00E11B5A">
        <w:rPr>
          <w:rFonts w:ascii="Arial" w:eastAsia="Aptos" w:hAnsi="Arial" w:cs="Arial"/>
          <w:sz w:val="22"/>
          <w:szCs w:val="22"/>
        </w:rPr>
        <w:t xml:space="preserve">(1). </w:t>
      </w:r>
      <w:hyperlink r:id="rId9" w:history="1">
        <w:r w:rsidR="00113F36" w:rsidRPr="00A004E6">
          <w:rPr>
            <w:rStyle w:val="Hyperlink"/>
            <w:rFonts w:ascii="Arial" w:eastAsia="Aptos" w:hAnsi="Arial" w:cs="Arial"/>
            <w:sz w:val="22"/>
            <w:szCs w:val="22"/>
          </w:rPr>
          <w:t>https://doi.org/10.1002/lim2.70051</w:t>
        </w:r>
      </w:hyperlink>
    </w:p>
    <w:p w14:paraId="533BB1D7" w14:textId="2C2722AE" w:rsidR="0044506A" w:rsidRPr="00E11B5A" w:rsidRDefault="0010493A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 xml:space="preserve">Attwood, S., Parke, H., Larsen, J., &amp; Morton, K. L. (2017). Using a mobile health application to reduce alcohol consumption: a mixed-methods evaluation of the </w:t>
      </w:r>
      <w:proofErr w:type="spellStart"/>
      <w:r w:rsidRPr="00E11B5A">
        <w:rPr>
          <w:rFonts w:ascii="Arial" w:eastAsia="Aptos" w:hAnsi="Arial" w:cs="Arial"/>
          <w:sz w:val="22"/>
          <w:szCs w:val="22"/>
        </w:rPr>
        <w:t>drinkaware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 track &amp; calculate </w:t>
      </w:r>
      <w:proofErr w:type="gramStart"/>
      <w:r w:rsidRPr="00E11B5A">
        <w:rPr>
          <w:rFonts w:ascii="Arial" w:eastAsia="Aptos" w:hAnsi="Arial" w:cs="Arial"/>
          <w:sz w:val="22"/>
          <w:szCs w:val="22"/>
        </w:rPr>
        <w:t>units</w:t>
      </w:r>
      <w:proofErr w:type="gramEnd"/>
      <w:r w:rsidRPr="00E11B5A">
        <w:rPr>
          <w:rFonts w:ascii="Arial" w:eastAsia="Aptos" w:hAnsi="Arial" w:cs="Arial"/>
          <w:sz w:val="22"/>
          <w:szCs w:val="22"/>
        </w:rPr>
        <w:t xml:space="preserve"> application. BMC Public Health, 17(1), Article 394. </w:t>
      </w:r>
      <w:hyperlink r:id="rId10" w:history="1">
        <w:r w:rsidR="00633AAF" w:rsidRPr="00E15149">
          <w:rPr>
            <w:rStyle w:val="Hyperlink"/>
            <w:rFonts w:ascii="Arial" w:eastAsia="Aptos" w:hAnsi="Arial" w:cs="Arial"/>
            <w:sz w:val="22"/>
            <w:szCs w:val="22"/>
          </w:rPr>
          <w:t>https://doi.org/10.1186/s12889-017-4358-9</w:t>
        </w:r>
      </w:hyperlink>
      <w:r w:rsidR="00633AAF">
        <w:rPr>
          <w:rFonts w:ascii="Arial" w:eastAsia="Aptos" w:hAnsi="Arial" w:cs="Arial"/>
          <w:sz w:val="22"/>
          <w:szCs w:val="22"/>
        </w:rPr>
        <w:t xml:space="preserve"> </w:t>
      </w:r>
    </w:p>
    <w:p w14:paraId="329F04A0" w14:textId="0563C0B5" w:rsidR="00F74D25" w:rsidRPr="00A004E6" w:rsidRDefault="00CA5DB4" w:rsidP="0067663C">
      <w:pPr>
        <w:spacing w:line="360" w:lineRule="auto"/>
        <w:rPr>
          <w:rFonts w:ascii="Arial" w:eastAsia="Aptos" w:hAnsi="Arial" w:cs="Arial"/>
          <w:sz w:val="22"/>
          <w:szCs w:val="22"/>
          <w:u w:val="single"/>
        </w:rPr>
      </w:pPr>
      <w:proofErr w:type="spellStart"/>
      <w:r w:rsidRPr="00E11B5A">
        <w:rPr>
          <w:rFonts w:ascii="Arial" w:eastAsia="Aptos" w:hAnsi="Arial" w:cs="Arial"/>
          <w:sz w:val="22"/>
          <w:szCs w:val="22"/>
        </w:rPr>
        <w:t>Bondaronek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P., Li, J., &amp; Potts, H. W. W. (2025). Public Understanding and Expectations of Digital Health Evidence Generation: Focus Group Study.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>JMIR Formative Research</w:t>
      </w:r>
      <w:r w:rsidRPr="00E11B5A">
        <w:rPr>
          <w:rFonts w:ascii="Arial" w:eastAsia="Aptos" w:hAnsi="Arial" w:cs="Arial"/>
          <w:sz w:val="22"/>
          <w:szCs w:val="22"/>
        </w:rPr>
        <w:t xml:space="preserve">,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>9</w:t>
      </w:r>
      <w:r w:rsidRPr="00E11B5A">
        <w:rPr>
          <w:rFonts w:ascii="Arial" w:eastAsia="Aptos" w:hAnsi="Arial" w:cs="Arial"/>
          <w:sz w:val="22"/>
          <w:szCs w:val="22"/>
        </w:rPr>
        <w:t xml:space="preserve">, e56523–e56523. </w:t>
      </w:r>
      <w:hyperlink r:id="rId11" w:history="1">
        <w:r w:rsidRPr="00A004E6">
          <w:rPr>
            <w:rStyle w:val="Hyperlink"/>
            <w:rFonts w:ascii="Arial" w:eastAsia="Aptos" w:hAnsi="Arial" w:cs="Arial"/>
            <w:sz w:val="22"/>
            <w:szCs w:val="22"/>
          </w:rPr>
          <w:t>https://doi.org/10.2196/56523</w:t>
        </w:r>
      </w:hyperlink>
    </w:p>
    <w:p w14:paraId="3706AA31" w14:textId="2EDEB2D0" w:rsidR="007D710D" w:rsidRPr="00A004E6" w:rsidRDefault="007D710D" w:rsidP="0067663C">
      <w:pPr>
        <w:spacing w:line="360" w:lineRule="auto"/>
        <w:rPr>
          <w:rFonts w:ascii="Arial" w:eastAsia="Aptos" w:hAnsi="Arial" w:cs="Arial"/>
          <w:sz w:val="22"/>
          <w:szCs w:val="22"/>
          <w:u w:val="single"/>
        </w:rPr>
      </w:pPr>
      <w:proofErr w:type="spellStart"/>
      <w:r w:rsidRPr="00E11B5A">
        <w:rPr>
          <w:rFonts w:ascii="Arial" w:eastAsia="Aptos" w:hAnsi="Arial" w:cs="Arial"/>
          <w:sz w:val="22"/>
          <w:szCs w:val="22"/>
        </w:rPr>
        <w:t>Caramaschi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S., Maus, B., Olsson, C. M., Smedberg, D., Kristen, H., Whitehead, M., Orchard, E., &amp; Salvi, D. (2026). Linking everyday physical activity and capacity tests using wearable and mobile technologies in older adults and cardiac cohorts: protocol for a pilot observational study. BMJ Open, 16(2), e112539. </w:t>
      </w:r>
      <w:hyperlink r:id="rId12" w:history="1">
        <w:r w:rsidRPr="00A004E6">
          <w:rPr>
            <w:rStyle w:val="Hyperlink"/>
            <w:rFonts w:ascii="Arial" w:eastAsia="Aptos" w:hAnsi="Arial" w:cs="Arial"/>
            <w:sz w:val="22"/>
            <w:szCs w:val="22"/>
          </w:rPr>
          <w:t>https://doi.org/10.1136/bmjopen-2025-112539</w:t>
        </w:r>
      </w:hyperlink>
      <w:r w:rsidR="002925AE" w:rsidRPr="00A004E6">
        <w:rPr>
          <w:rFonts w:ascii="Arial" w:eastAsia="Aptos" w:hAnsi="Arial" w:cs="Arial"/>
          <w:sz w:val="22"/>
          <w:szCs w:val="22"/>
          <w:u w:val="single"/>
        </w:rPr>
        <w:t xml:space="preserve"> </w:t>
      </w:r>
    </w:p>
    <w:p w14:paraId="626BCB34" w14:textId="52C4217C" w:rsidR="002925AE" w:rsidRPr="00E11B5A" w:rsidRDefault="00F81CA1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 xml:space="preserve">Digital health (2024) </w:t>
      </w:r>
      <w:r w:rsidR="00686F54" w:rsidRPr="00C534E4">
        <w:rPr>
          <w:rFonts w:ascii="Arial" w:eastAsia="Aptos" w:hAnsi="Arial" w:cs="Arial"/>
          <w:i/>
          <w:iCs/>
          <w:sz w:val="22"/>
          <w:szCs w:val="22"/>
        </w:rPr>
        <w:t>Concerns raised that NHS digital plans could exclude older adults</w:t>
      </w:r>
      <w:r w:rsidR="00686F54" w:rsidRPr="00E11B5A">
        <w:rPr>
          <w:rFonts w:ascii="Arial" w:eastAsia="Aptos" w:hAnsi="Arial" w:cs="Arial"/>
          <w:sz w:val="22"/>
          <w:szCs w:val="22"/>
        </w:rPr>
        <w:t xml:space="preserve"> Available at: </w:t>
      </w:r>
      <w:hyperlink r:id="rId13" w:history="1">
        <w:r w:rsidR="00686F54" w:rsidRPr="00A27703">
          <w:rPr>
            <w:rStyle w:val="Hyperlink"/>
            <w:rFonts w:ascii="Arial" w:eastAsia="Aptos" w:hAnsi="Arial" w:cs="Arial"/>
            <w:sz w:val="22"/>
            <w:szCs w:val="22"/>
          </w:rPr>
          <w:t>https://www.digitalhealth.net/2024/11/concerns-raised-that-nhs-digital-plans-could-exclude-older-adults/?utm_source=copilot.com</w:t>
        </w:r>
      </w:hyperlink>
      <w:r w:rsidR="00054413">
        <w:rPr>
          <w:rFonts w:ascii="Arial" w:hAnsi="Arial" w:cs="Arial"/>
          <w:sz w:val="22"/>
          <w:szCs w:val="22"/>
          <w:u w:val="single"/>
        </w:rPr>
        <w:t xml:space="preserve"> </w:t>
      </w:r>
      <w:r w:rsidR="00686F54" w:rsidRPr="00E11B5A">
        <w:rPr>
          <w:rFonts w:ascii="Arial" w:eastAsia="Aptos" w:hAnsi="Arial" w:cs="Arial"/>
          <w:sz w:val="22"/>
          <w:szCs w:val="22"/>
        </w:rPr>
        <w:t>(Accessed: 5 April 2026)</w:t>
      </w:r>
      <w:r w:rsidR="002925AE" w:rsidRPr="00E11B5A">
        <w:rPr>
          <w:rFonts w:ascii="Arial" w:eastAsia="Aptos" w:hAnsi="Arial" w:cs="Arial"/>
          <w:sz w:val="22"/>
          <w:szCs w:val="22"/>
        </w:rPr>
        <w:t xml:space="preserve"> </w:t>
      </w:r>
    </w:p>
    <w:p w14:paraId="21DBFA97" w14:textId="4668FDBF" w:rsidR="00A47FCC" w:rsidRPr="00E11B5A" w:rsidRDefault="00CC3D7B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>Ding, J., Ren, Y., Xu, J., Hu, Q., &amp; Chu, T. (2025). Experience of older adults using smart devices and mHealth apps in nursing homes in Chinese megacities: A descriptive qualitative study. Digital Health, 11, 20552076251353334</w:t>
      </w:r>
      <w:r w:rsidRPr="00A27703">
        <w:rPr>
          <w:rFonts w:ascii="Arial" w:eastAsia="Aptos" w:hAnsi="Arial" w:cs="Arial"/>
          <w:sz w:val="22"/>
          <w:szCs w:val="22"/>
          <w:u w:val="single"/>
        </w:rPr>
        <w:t xml:space="preserve">. </w:t>
      </w:r>
      <w:hyperlink r:id="rId14" w:history="1">
        <w:r w:rsidRPr="00A27703">
          <w:rPr>
            <w:rStyle w:val="Hyperlink"/>
            <w:rFonts w:ascii="Arial" w:eastAsia="Aptos" w:hAnsi="Arial" w:cs="Arial"/>
            <w:sz w:val="22"/>
            <w:szCs w:val="22"/>
          </w:rPr>
          <w:t>https://doi.org/10.1177/20552076251353334</w:t>
        </w:r>
      </w:hyperlink>
    </w:p>
    <w:p w14:paraId="08AF1613" w14:textId="068E72EF" w:rsidR="005B0F3D" w:rsidRPr="00E11B5A" w:rsidRDefault="00B0652B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proofErr w:type="spellStart"/>
      <w:r w:rsidRPr="00E11B5A">
        <w:rPr>
          <w:rFonts w:ascii="Arial" w:eastAsia="Aptos" w:hAnsi="Arial" w:cs="Arial"/>
          <w:sz w:val="22"/>
          <w:szCs w:val="22"/>
        </w:rPr>
        <w:t>Honinx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E., van Schyndel, C., </w:t>
      </w:r>
      <w:proofErr w:type="spellStart"/>
      <w:r w:rsidRPr="00E11B5A">
        <w:rPr>
          <w:rFonts w:ascii="Arial" w:eastAsia="Aptos" w:hAnsi="Arial" w:cs="Arial"/>
          <w:sz w:val="22"/>
          <w:szCs w:val="22"/>
        </w:rPr>
        <w:t>Roos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A., Paulding, E., Wright, T., Galvin, K., Fotis, T., Huber, J., Laes, E., &amp; Lambrechts, N. (2026). Towards Caring Technologies in Older Adult Care Through the Co-Creation of an Ethical Process Guide. International Journal of Environmental Research and Public Health, 23(2), 238. </w:t>
      </w:r>
      <w:hyperlink r:id="rId15" w:history="1">
        <w:r w:rsidR="005B0F3D" w:rsidRPr="00A27703">
          <w:rPr>
            <w:rStyle w:val="Hyperlink"/>
            <w:rFonts w:ascii="Arial" w:eastAsia="Aptos" w:hAnsi="Arial" w:cs="Arial"/>
            <w:sz w:val="22"/>
            <w:szCs w:val="22"/>
          </w:rPr>
          <w:t>https://doi.org/10.3390/ijerph23020238</w:t>
        </w:r>
      </w:hyperlink>
    </w:p>
    <w:p w14:paraId="7DACBE17" w14:textId="77777777" w:rsidR="005B0F3D" w:rsidRPr="00A27703" w:rsidRDefault="00160B67" w:rsidP="0067663C">
      <w:pPr>
        <w:spacing w:line="360" w:lineRule="auto"/>
        <w:rPr>
          <w:rFonts w:ascii="Arial" w:eastAsia="Aptos" w:hAnsi="Arial" w:cs="Arial"/>
          <w:sz w:val="22"/>
          <w:szCs w:val="22"/>
          <w:u w:val="single"/>
        </w:rPr>
      </w:pPr>
      <w:r w:rsidRPr="00E11B5A">
        <w:rPr>
          <w:rFonts w:ascii="Arial" w:eastAsia="Aptos" w:hAnsi="Arial" w:cs="Arial"/>
          <w:sz w:val="22"/>
          <w:szCs w:val="22"/>
        </w:rPr>
        <w:lastRenderedPageBreak/>
        <w:t xml:space="preserve">Guasti, L., </w:t>
      </w:r>
      <w:proofErr w:type="spellStart"/>
      <w:r w:rsidRPr="00E11B5A">
        <w:rPr>
          <w:rFonts w:ascii="Arial" w:eastAsia="Aptos" w:hAnsi="Arial" w:cs="Arial"/>
          <w:sz w:val="22"/>
          <w:szCs w:val="22"/>
        </w:rPr>
        <w:t>Dilaveris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P., Mamas, M. A., Richter, D., </w:t>
      </w:r>
      <w:proofErr w:type="spellStart"/>
      <w:r w:rsidRPr="00E11B5A">
        <w:rPr>
          <w:rFonts w:ascii="Arial" w:eastAsia="Aptos" w:hAnsi="Arial" w:cs="Arial"/>
          <w:sz w:val="22"/>
          <w:szCs w:val="22"/>
        </w:rPr>
        <w:t>Christodorescu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R., Lumens, J., </w:t>
      </w:r>
      <w:proofErr w:type="spellStart"/>
      <w:r w:rsidRPr="00E11B5A">
        <w:rPr>
          <w:rFonts w:ascii="Arial" w:eastAsia="Aptos" w:hAnsi="Arial" w:cs="Arial"/>
          <w:sz w:val="22"/>
          <w:szCs w:val="22"/>
        </w:rPr>
        <w:t>Schuuring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M. J., </w:t>
      </w:r>
      <w:proofErr w:type="spellStart"/>
      <w:r w:rsidRPr="00E11B5A">
        <w:rPr>
          <w:rFonts w:ascii="Arial" w:eastAsia="Aptos" w:hAnsi="Arial" w:cs="Arial"/>
          <w:sz w:val="22"/>
          <w:szCs w:val="22"/>
        </w:rPr>
        <w:t>Carugo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S., </w:t>
      </w:r>
      <w:proofErr w:type="spellStart"/>
      <w:r w:rsidRPr="00E11B5A">
        <w:rPr>
          <w:rFonts w:ascii="Arial" w:eastAsia="Aptos" w:hAnsi="Arial" w:cs="Arial"/>
          <w:sz w:val="22"/>
          <w:szCs w:val="22"/>
        </w:rPr>
        <w:t>Afilalo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J., Ferrini, M., </w:t>
      </w:r>
      <w:proofErr w:type="spellStart"/>
      <w:r w:rsidRPr="00E11B5A">
        <w:rPr>
          <w:rFonts w:ascii="Arial" w:eastAsia="Aptos" w:hAnsi="Arial" w:cs="Arial"/>
          <w:sz w:val="22"/>
          <w:szCs w:val="22"/>
        </w:rPr>
        <w:t>Asteggiano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>, R., &amp; Cowie, M. R. (2022). Digital health in older adults for the prevention and management of cardiovascular diseases and frailty. A clinical consensus statement from the ESC Council for Cardiology Practice/Taskforce on Geriatric Cardiology, the ESC Digital Health Committee and the ESC Working Group on e</w:t>
      </w:r>
      <w:r w:rsidRPr="00E11B5A">
        <w:rPr>
          <w:rFonts w:ascii="Cambria Math" w:eastAsia="Aptos" w:hAnsi="Cambria Math" w:cs="Cambria Math"/>
          <w:sz w:val="22"/>
          <w:szCs w:val="22"/>
        </w:rPr>
        <w:t>‐</w:t>
      </w:r>
      <w:r w:rsidRPr="00E11B5A">
        <w:rPr>
          <w:rFonts w:ascii="Arial" w:eastAsia="Aptos" w:hAnsi="Arial" w:cs="Arial"/>
          <w:sz w:val="22"/>
          <w:szCs w:val="22"/>
        </w:rPr>
        <w:t xml:space="preserve">Cardiology. ESC Heart Failure, 9(5), 2808–2822. </w:t>
      </w:r>
      <w:hyperlink r:id="rId16" w:history="1">
        <w:r w:rsidR="005B0F3D" w:rsidRPr="00A27703">
          <w:rPr>
            <w:rStyle w:val="Hyperlink"/>
            <w:rFonts w:ascii="Arial" w:eastAsia="Aptos" w:hAnsi="Arial" w:cs="Arial"/>
            <w:sz w:val="22"/>
            <w:szCs w:val="22"/>
          </w:rPr>
          <w:t>https://doi.org/10.1002/ehf2.14022</w:t>
        </w:r>
      </w:hyperlink>
    </w:p>
    <w:p w14:paraId="4E68A009" w14:textId="5E2F4394" w:rsidR="00541C61" w:rsidRPr="00E11B5A" w:rsidRDefault="00EB420E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>GOV</w:t>
      </w:r>
      <w:r w:rsidR="00AF1CAE">
        <w:rPr>
          <w:rFonts w:ascii="Arial" w:eastAsia="Aptos" w:hAnsi="Arial" w:cs="Arial"/>
          <w:sz w:val="22"/>
          <w:szCs w:val="22"/>
        </w:rPr>
        <w:t xml:space="preserve"> </w:t>
      </w:r>
      <w:r w:rsidRPr="00E11B5A">
        <w:rPr>
          <w:rFonts w:ascii="Arial" w:eastAsia="Aptos" w:hAnsi="Arial" w:cs="Arial"/>
          <w:sz w:val="22"/>
          <w:szCs w:val="22"/>
        </w:rPr>
        <w:t xml:space="preserve">UK (2021)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 xml:space="preserve">Harnessing technology for the long-term sustainability of the UK’s healthcare system: report </w:t>
      </w:r>
      <w:r w:rsidRPr="00E11B5A">
        <w:rPr>
          <w:rFonts w:ascii="Arial" w:eastAsia="Aptos" w:hAnsi="Arial" w:cs="Arial"/>
          <w:sz w:val="22"/>
          <w:szCs w:val="22"/>
        </w:rPr>
        <w:t xml:space="preserve">Available at: </w:t>
      </w:r>
      <w:hyperlink r:id="rId17" w:history="1">
        <w:r w:rsidRPr="00A27703">
          <w:rPr>
            <w:rStyle w:val="Hyperlink"/>
            <w:rFonts w:ascii="Arial" w:eastAsia="Aptos" w:hAnsi="Arial" w:cs="Arial"/>
            <w:sz w:val="22"/>
            <w:szCs w:val="22"/>
          </w:rPr>
          <w:t>https://www.gov.uk/government/publications/harnessing-technology-for-the-long-term-sustainability-of-the-uks-healthcare-system/harnessing-technology-for-the-long-term-sustainability-of-the-uks-healthcare-system-report</w:t>
        </w:r>
      </w:hyperlink>
      <w:r w:rsidRPr="00A27703">
        <w:rPr>
          <w:rFonts w:ascii="Arial" w:eastAsia="Aptos" w:hAnsi="Arial" w:cs="Arial"/>
          <w:sz w:val="22"/>
          <w:szCs w:val="22"/>
          <w:u w:val="single"/>
        </w:rPr>
        <w:t xml:space="preserve"> (</w:t>
      </w:r>
      <w:r w:rsidRPr="00E11B5A">
        <w:rPr>
          <w:rFonts w:ascii="Arial" w:eastAsia="Aptos" w:hAnsi="Arial" w:cs="Arial"/>
          <w:sz w:val="22"/>
          <w:szCs w:val="22"/>
        </w:rPr>
        <w:t>Accessed:</w:t>
      </w:r>
      <w:r w:rsidR="006C02A3" w:rsidRPr="00E11B5A">
        <w:rPr>
          <w:rFonts w:ascii="Arial" w:eastAsia="Aptos" w:hAnsi="Arial" w:cs="Arial"/>
          <w:sz w:val="22"/>
          <w:szCs w:val="22"/>
        </w:rPr>
        <w:t xml:space="preserve"> 26 march</w:t>
      </w:r>
      <w:r w:rsidRPr="00E11B5A">
        <w:rPr>
          <w:rFonts w:ascii="Arial" w:eastAsia="Aptos" w:hAnsi="Arial" w:cs="Arial"/>
          <w:sz w:val="22"/>
          <w:szCs w:val="22"/>
        </w:rPr>
        <w:t xml:space="preserve"> 202</w:t>
      </w:r>
      <w:r w:rsidR="00F56F32" w:rsidRPr="00E11B5A">
        <w:rPr>
          <w:rFonts w:ascii="Arial" w:eastAsia="Aptos" w:hAnsi="Arial" w:cs="Arial"/>
          <w:sz w:val="22"/>
          <w:szCs w:val="22"/>
        </w:rPr>
        <w:t>6</w:t>
      </w:r>
      <w:r w:rsidRPr="00E11B5A">
        <w:rPr>
          <w:rFonts w:ascii="Arial" w:eastAsia="Aptos" w:hAnsi="Arial" w:cs="Arial"/>
          <w:sz w:val="22"/>
          <w:szCs w:val="22"/>
        </w:rPr>
        <w:t>)</w:t>
      </w:r>
    </w:p>
    <w:p w14:paraId="4AC97581" w14:textId="0304EE53" w:rsidR="008E52D3" w:rsidRPr="00A27703" w:rsidRDefault="00541C61" w:rsidP="0067663C">
      <w:pPr>
        <w:spacing w:line="360" w:lineRule="auto"/>
        <w:rPr>
          <w:rFonts w:ascii="Arial" w:eastAsia="Aptos" w:hAnsi="Arial" w:cs="Arial"/>
          <w:sz w:val="22"/>
          <w:szCs w:val="22"/>
          <w:u w:val="single"/>
        </w:rPr>
      </w:pPr>
      <w:r w:rsidRPr="00E11B5A">
        <w:rPr>
          <w:rFonts w:ascii="Arial" w:eastAsia="Aptos" w:hAnsi="Arial" w:cs="Arial"/>
          <w:sz w:val="22"/>
          <w:szCs w:val="22"/>
          <w:lang w:val="nl-NL"/>
        </w:rPr>
        <w:t xml:space="preserve">Ienca, M., Schneble, C., Kressig, R. W., &amp; Wangmo, T. (2021). </w:t>
      </w:r>
      <w:r w:rsidRPr="00E11B5A">
        <w:rPr>
          <w:rFonts w:ascii="Arial" w:eastAsia="Aptos" w:hAnsi="Arial" w:cs="Arial"/>
          <w:sz w:val="22"/>
          <w:szCs w:val="22"/>
        </w:rPr>
        <w:t xml:space="preserve">Digital health interventions for healthy ageing: a qualitative user evaluation and ethical assessment. BMC Geriatrics, 21(1), Article 412. </w:t>
      </w:r>
      <w:hyperlink r:id="rId18" w:history="1">
        <w:r w:rsidRPr="00A27703">
          <w:rPr>
            <w:rStyle w:val="Hyperlink"/>
            <w:rFonts w:ascii="Arial" w:eastAsia="Aptos" w:hAnsi="Arial" w:cs="Arial"/>
            <w:sz w:val="22"/>
            <w:szCs w:val="22"/>
          </w:rPr>
          <w:t>https://doi.org/10.1186/s12877-021-02338-z</w:t>
        </w:r>
      </w:hyperlink>
    </w:p>
    <w:p w14:paraId="38DC8C49" w14:textId="365342B1" w:rsidR="00EB420E" w:rsidRPr="00E11B5A" w:rsidRDefault="00A14B2C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 xml:space="preserve">King’s Fund (2023)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 xml:space="preserve">Moving from exclusion to inclusion in digital health and care </w:t>
      </w:r>
      <w:r w:rsidRPr="00E11B5A">
        <w:rPr>
          <w:rFonts w:ascii="Arial" w:eastAsia="Aptos" w:hAnsi="Arial" w:cs="Arial"/>
          <w:sz w:val="22"/>
          <w:szCs w:val="22"/>
        </w:rPr>
        <w:t>Available at:</w:t>
      </w:r>
      <w:r w:rsidR="00A27703">
        <w:rPr>
          <w:rFonts w:ascii="Arial" w:eastAsia="Aptos" w:hAnsi="Arial" w:cs="Arial"/>
          <w:sz w:val="22"/>
          <w:szCs w:val="22"/>
        </w:rPr>
        <w:t xml:space="preserve"> </w:t>
      </w:r>
      <w:hyperlink r:id="rId19" w:history="1">
        <w:r w:rsidR="00A27703" w:rsidRPr="00E15149">
          <w:rPr>
            <w:rStyle w:val="Hyperlink"/>
            <w:rFonts w:ascii="Arial" w:eastAsia="Aptos" w:hAnsi="Arial" w:cs="Arial"/>
            <w:sz w:val="22"/>
            <w:szCs w:val="22"/>
          </w:rPr>
          <w:t>https://www.kingsfund.org.uk/insight-and-analysis/long-reads/exclusion-inclusion-digital-health-care?utm_source=copilot.com</w:t>
        </w:r>
      </w:hyperlink>
      <w:r w:rsidR="00856FD9" w:rsidRPr="00A27703">
        <w:rPr>
          <w:rFonts w:ascii="Arial" w:eastAsia="Aptos" w:hAnsi="Arial" w:cs="Arial"/>
          <w:sz w:val="22"/>
          <w:szCs w:val="22"/>
          <w:u w:val="single"/>
        </w:rPr>
        <w:t xml:space="preserve"> </w:t>
      </w:r>
      <w:r w:rsidR="00F87098" w:rsidRPr="00E11B5A">
        <w:rPr>
          <w:rFonts w:ascii="Arial" w:eastAsia="Aptos" w:hAnsi="Arial" w:cs="Arial"/>
          <w:sz w:val="22"/>
          <w:szCs w:val="22"/>
        </w:rPr>
        <w:t>(Accessed: 5 April 2026)</w:t>
      </w:r>
    </w:p>
    <w:p w14:paraId="2B207BF1" w14:textId="47942594" w:rsidR="007B3586" w:rsidRPr="00E11B5A" w:rsidRDefault="00C33491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 xml:space="preserve">ONS (2021)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 xml:space="preserve">Dataset- Internet Users </w:t>
      </w:r>
      <w:r w:rsidRPr="00E11B5A">
        <w:rPr>
          <w:rFonts w:ascii="Arial" w:eastAsia="Aptos" w:hAnsi="Arial" w:cs="Arial"/>
          <w:sz w:val="22"/>
          <w:szCs w:val="22"/>
        </w:rPr>
        <w:t xml:space="preserve">Available </w:t>
      </w:r>
      <w:r w:rsidRPr="00FF09C7">
        <w:rPr>
          <w:rFonts w:ascii="Arial" w:eastAsia="Aptos" w:hAnsi="Arial" w:cs="Arial"/>
          <w:sz w:val="22"/>
          <w:szCs w:val="22"/>
        </w:rPr>
        <w:t>at</w:t>
      </w:r>
      <w:r w:rsidR="00730E2B" w:rsidRPr="00FF09C7">
        <w:rPr>
          <w:rFonts w:ascii="Arial" w:eastAsia="Aptos" w:hAnsi="Arial" w:cs="Arial"/>
          <w:sz w:val="22"/>
          <w:szCs w:val="22"/>
        </w:rPr>
        <w:t>:</w:t>
      </w:r>
      <w:r w:rsidR="00FF09C7" w:rsidRPr="00FF09C7">
        <w:rPr>
          <w:rFonts w:ascii="Arial" w:eastAsia="Aptos" w:hAnsi="Arial" w:cs="Arial"/>
          <w:sz w:val="22"/>
          <w:szCs w:val="22"/>
        </w:rPr>
        <w:t xml:space="preserve"> </w:t>
      </w:r>
      <w:hyperlink r:id="rId20" w:history="1">
        <w:r w:rsidRPr="00A27703">
          <w:rPr>
            <w:rStyle w:val="Hyperlink"/>
            <w:rFonts w:ascii="Arial" w:eastAsia="Aptos" w:hAnsi="Arial" w:cs="Arial"/>
            <w:sz w:val="22"/>
            <w:szCs w:val="22"/>
          </w:rPr>
          <w:t>https-//www.ons.gov.uk/businessindustryandtrade/itandinternetindustry/bulletins/internetusers/2020</w:t>
        </w:r>
      </w:hyperlink>
      <w:r w:rsidRPr="00E11B5A">
        <w:rPr>
          <w:rFonts w:ascii="Arial" w:eastAsia="Aptos" w:hAnsi="Arial" w:cs="Arial"/>
          <w:sz w:val="22"/>
          <w:szCs w:val="22"/>
        </w:rPr>
        <w:t xml:space="preserve"> (Accessed</w:t>
      </w:r>
      <w:r w:rsidR="00771721" w:rsidRPr="00E11B5A">
        <w:rPr>
          <w:rFonts w:ascii="Arial" w:eastAsia="Aptos" w:hAnsi="Arial" w:cs="Arial"/>
          <w:sz w:val="22"/>
          <w:szCs w:val="22"/>
        </w:rPr>
        <w:t>: 07</w:t>
      </w:r>
      <w:r w:rsidR="00E433CF" w:rsidRPr="00E11B5A">
        <w:rPr>
          <w:rFonts w:ascii="Arial" w:eastAsia="Aptos" w:hAnsi="Arial" w:cs="Arial"/>
          <w:sz w:val="22"/>
          <w:szCs w:val="22"/>
        </w:rPr>
        <w:t xml:space="preserve"> April </w:t>
      </w:r>
      <w:r w:rsidRPr="00E11B5A">
        <w:rPr>
          <w:rFonts w:ascii="Arial" w:eastAsia="Aptos" w:hAnsi="Arial" w:cs="Arial"/>
          <w:sz w:val="22"/>
          <w:szCs w:val="22"/>
        </w:rPr>
        <w:t>202</w:t>
      </w:r>
      <w:r w:rsidR="00771721" w:rsidRPr="00E11B5A">
        <w:rPr>
          <w:rFonts w:ascii="Arial" w:eastAsia="Aptos" w:hAnsi="Arial" w:cs="Arial"/>
          <w:sz w:val="22"/>
          <w:szCs w:val="22"/>
        </w:rPr>
        <w:t>6</w:t>
      </w:r>
      <w:r w:rsidRPr="00E11B5A">
        <w:rPr>
          <w:rFonts w:ascii="Arial" w:eastAsia="Aptos" w:hAnsi="Arial" w:cs="Arial"/>
          <w:sz w:val="22"/>
          <w:szCs w:val="22"/>
        </w:rPr>
        <w:t>)</w:t>
      </w:r>
    </w:p>
    <w:p w14:paraId="49653574" w14:textId="569A1F9C" w:rsidR="006B0E77" w:rsidRPr="00E11B5A" w:rsidRDefault="006B0E77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 xml:space="preserve">NHS England (2019)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>The NHS Long Term Plan</w:t>
      </w:r>
      <w:r w:rsidRPr="00E11B5A">
        <w:rPr>
          <w:rFonts w:ascii="Arial" w:eastAsia="Aptos" w:hAnsi="Arial" w:cs="Arial"/>
          <w:sz w:val="22"/>
          <w:szCs w:val="22"/>
        </w:rPr>
        <w:t xml:space="preserve"> Available at: </w:t>
      </w:r>
      <w:hyperlink r:id="rId21" w:history="1">
        <w:r w:rsidRPr="00F262C7">
          <w:rPr>
            <w:rStyle w:val="Hyperlink"/>
            <w:rFonts w:ascii="Arial" w:eastAsia="Aptos" w:hAnsi="Arial" w:cs="Arial"/>
            <w:sz w:val="22"/>
            <w:szCs w:val="22"/>
          </w:rPr>
          <w:t>https://www.england.nhs.uk/2019/01/long-term-plan/</w:t>
        </w:r>
      </w:hyperlink>
      <w:r w:rsidR="0005013B">
        <w:rPr>
          <w:rFonts w:ascii="Arial" w:hAnsi="Arial" w:cs="Arial"/>
          <w:sz w:val="22"/>
          <w:szCs w:val="22"/>
          <w:u w:val="single"/>
        </w:rPr>
        <w:t xml:space="preserve"> </w:t>
      </w:r>
      <w:r w:rsidRPr="00E11B5A">
        <w:rPr>
          <w:rFonts w:ascii="Arial" w:eastAsia="Aptos" w:hAnsi="Arial" w:cs="Arial"/>
          <w:sz w:val="22"/>
          <w:szCs w:val="22"/>
        </w:rPr>
        <w:t>(Accessed: 7 April 2026)</w:t>
      </w:r>
    </w:p>
    <w:p w14:paraId="48E06410" w14:textId="7EDFC63E" w:rsidR="00E22664" w:rsidRPr="00E11B5A" w:rsidRDefault="00E22664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 xml:space="preserve">NHS Digital (2023)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>Safeguarding Adults, England, 2022-23</w:t>
      </w:r>
      <w:r w:rsidRPr="00E11B5A">
        <w:rPr>
          <w:rFonts w:ascii="Arial" w:eastAsia="Aptos" w:hAnsi="Arial" w:cs="Arial"/>
          <w:sz w:val="22"/>
          <w:szCs w:val="22"/>
        </w:rPr>
        <w:t xml:space="preserve"> Available at: </w:t>
      </w:r>
      <w:hyperlink r:id="rId22" w:history="1">
        <w:r w:rsidRPr="00A27703">
          <w:rPr>
            <w:rStyle w:val="Hyperlink"/>
            <w:rFonts w:ascii="Arial" w:eastAsia="Aptos" w:hAnsi="Arial" w:cs="Arial"/>
            <w:sz w:val="22"/>
            <w:szCs w:val="22"/>
          </w:rPr>
          <w:t>https://digital.nhs.uk/data-and-information/publications/statistical/safeguarding-adults/2022-23/supporting-information-copy</w:t>
        </w:r>
      </w:hyperlink>
      <w:r w:rsidR="00262C47" w:rsidRPr="00E11B5A">
        <w:rPr>
          <w:rFonts w:ascii="Arial" w:eastAsia="Aptos" w:hAnsi="Arial" w:cs="Arial"/>
          <w:sz w:val="22"/>
          <w:szCs w:val="22"/>
        </w:rPr>
        <w:t>(Accessed: 5 April 2026)</w:t>
      </w:r>
      <w:r w:rsidRPr="00E11B5A">
        <w:rPr>
          <w:rFonts w:ascii="Arial" w:eastAsia="Aptos" w:hAnsi="Arial" w:cs="Arial"/>
          <w:sz w:val="22"/>
          <w:szCs w:val="22"/>
        </w:rPr>
        <w:t xml:space="preserve"> </w:t>
      </w:r>
    </w:p>
    <w:p w14:paraId="5BCB015E" w14:textId="71B57587" w:rsidR="001E4B66" w:rsidRPr="00E11B5A" w:rsidRDefault="00947F30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 xml:space="preserve">NHS England (2023)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>Inclusive digital healthcare: a framework for NHS action on digital inclusion</w:t>
      </w:r>
      <w:r w:rsidRPr="00E11B5A">
        <w:rPr>
          <w:rFonts w:ascii="Arial" w:eastAsia="Aptos" w:hAnsi="Arial" w:cs="Arial"/>
          <w:sz w:val="22"/>
          <w:szCs w:val="22"/>
        </w:rPr>
        <w:t xml:space="preserve"> </w:t>
      </w:r>
      <w:r w:rsidR="00A570D1" w:rsidRPr="00E11B5A">
        <w:rPr>
          <w:rFonts w:ascii="Arial" w:eastAsia="Aptos" w:hAnsi="Arial" w:cs="Arial"/>
          <w:sz w:val="22"/>
          <w:szCs w:val="22"/>
        </w:rPr>
        <w:t>Available</w:t>
      </w:r>
      <w:r w:rsidR="003149BA" w:rsidRPr="00E11B5A">
        <w:rPr>
          <w:rFonts w:ascii="Arial" w:eastAsia="Aptos" w:hAnsi="Arial" w:cs="Arial"/>
          <w:sz w:val="22"/>
          <w:szCs w:val="22"/>
        </w:rPr>
        <w:t xml:space="preserve"> at</w:t>
      </w:r>
      <w:r w:rsidR="00A570D1" w:rsidRPr="00A27703">
        <w:rPr>
          <w:rFonts w:ascii="Arial" w:eastAsia="Aptos" w:hAnsi="Arial" w:cs="Arial"/>
          <w:sz w:val="22"/>
          <w:szCs w:val="22"/>
          <w:u w:val="single"/>
        </w:rPr>
        <w:t>:</w:t>
      </w:r>
      <w:r w:rsidR="003149BA" w:rsidRPr="00A27703">
        <w:rPr>
          <w:rFonts w:ascii="Arial" w:eastAsia="Aptos" w:hAnsi="Arial" w:cs="Arial"/>
          <w:sz w:val="22"/>
          <w:szCs w:val="22"/>
          <w:u w:val="single"/>
        </w:rPr>
        <w:t xml:space="preserve"> </w:t>
      </w:r>
      <w:hyperlink r:id="rId23" w:history="1">
        <w:r w:rsidR="002925AE" w:rsidRPr="00A27703">
          <w:rPr>
            <w:rStyle w:val="Hyperlink"/>
            <w:rFonts w:ascii="Arial" w:eastAsia="Aptos" w:hAnsi="Arial" w:cs="Arial"/>
            <w:sz w:val="22"/>
            <w:szCs w:val="22"/>
          </w:rPr>
          <w:t>https://www.england.nhs.uk/long-read/inclusive-digital-healthcare-a-framework-for-nhs-action-on-digital-inclusion/?utm_source=copilot.com</w:t>
        </w:r>
      </w:hyperlink>
      <w:r w:rsidR="00B37C05" w:rsidRPr="00E11B5A">
        <w:rPr>
          <w:rFonts w:ascii="Arial" w:eastAsia="Aptos" w:hAnsi="Arial" w:cs="Arial"/>
          <w:sz w:val="22"/>
          <w:szCs w:val="22"/>
        </w:rPr>
        <w:t xml:space="preserve"> </w:t>
      </w:r>
      <w:r w:rsidR="00A570D1" w:rsidRPr="00E11B5A">
        <w:rPr>
          <w:rFonts w:ascii="Arial" w:eastAsia="Aptos" w:hAnsi="Arial" w:cs="Arial"/>
          <w:sz w:val="22"/>
          <w:szCs w:val="22"/>
        </w:rPr>
        <w:t>(Accessed: 5 April 2026)</w:t>
      </w:r>
    </w:p>
    <w:p w14:paraId="0770ECC2" w14:textId="77777777" w:rsidR="002A440A" w:rsidRPr="00E11B5A" w:rsidRDefault="00672FE8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proofErr w:type="spellStart"/>
      <w:r w:rsidRPr="00E11B5A">
        <w:rPr>
          <w:rFonts w:ascii="Arial" w:eastAsia="Aptos" w:hAnsi="Arial" w:cs="Arial"/>
          <w:sz w:val="22"/>
          <w:szCs w:val="22"/>
        </w:rPr>
        <w:t>Rajappan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D., Yin, R., Martinengo, L., &amp; Tudor Car, L. (2026). Designing digital mental health interventions for older adults: a scoping review. NPJ Digital Medicine, 9(1), Article 264. </w:t>
      </w:r>
      <w:hyperlink r:id="rId24" w:history="1">
        <w:r w:rsidRPr="00A27703">
          <w:rPr>
            <w:rStyle w:val="Hyperlink"/>
            <w:rFonts w:ascii="Arial" w:eastAsia="Aptos" w:hAnsi="Arial" w:cs="Arial"/>
            <w:sz w:val="22"/>
            <w:szCs w:val="22"/>
          </w:rPr>
          <w:t>https://doi.org/10.1038/s41746-026-02523-7</w:t>
        </w:r>
      </w:hyperlink>
      <w:r w:rsidRPr="00A27703">
        <w:rPr>
          <w:rFonts w:ascii="Arial" w:eastAsia="Aptos" w:hAnsi="Arial" w:cs="Arial"/>
          <w:sz w:val="22"/>
          <w:szCs w:val="22"/>
          <w:u w:val="single"/>
        </w:rPr>
        <w:t xml:space="preserve"> </w:t>
      </w:r>
    </w:p>
    <w:p w14:paraId="6630B546" w14:textId="7D3066F5" w:rsidR="002A440A" w:rsidRPr="00230365" w:rsidRDefault="002A440A" w:rsidP="0067663C">
      <w:pPr>
        <w:spacing w:line="360" w:lineRule="auto"/>
        <w:rPr>
          <w:rFonts w:ascii="Arial" w:eastAsia="Aptos" w:hAnsi="Arial" w:cs="Arial"/>
          <w:sz w:val="22"/>
          <w:szCs w:val="22"/>
          <w:u w:val="single"/>
        </w:rPr>
      </w:pPr>
      <w:r w:rsidRPr="00E11B5A">
        <w:rPr>
          <w:rFonts w:ascii="Arial" w:eastAsia="Aptos" w:hAnsi="Arial" w:cs="Arial"/>
          <w:sz w:val="22"/>
          <w:szCs w:val="22"/>
        </w:rPr>
        <w:lastRenderedPageBreak/>
        <w:t xml:space="preserve">Silva, A. B., Leal, M. T., </w:t>
      </w:r>
      <w:proofErr w:type="spellStart"/>
      <w:r w:rsidRPr="00E11B5A">
        <w:rPr>
          <w:rFonts w:ascii="Arial" w:eastAsia="Aptos" w:hAnsi="Arial" w:cs="Arial"/>
          <w:sz w:val="22"/>
          <w:szCs w:val="22"/>
        </w:rPr>
        <w:t>Sindico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S. R. F., Serrano-Miguel, M., &amp; Loureiro, H. M. A. M. (2024). Exploring the role of health applications in promoting health among older adults: a scoping review protocol. BMJ Open, 14(11), e085995. </w:t>
      </w:r>
      <w:hyperlink r:id="rId25" w:history="1">
        <w:r w:rsidRPr="00230365">
          <w:rPr>
            <w:rStyle w:val="Hyperlink"/>
            <w:rFonts w:ascii="Arial" w:eastAsia="Aptos" w:hAnsi="Arial" w:cs="Arial"/>
            <w:sz w:val="22"/>
            <w:szCs w:val="22"/>
          </w:rPr>
          <w:t>https://doi.org/10.1136/bmjopen-2024-085995</w:t>
        </w:r>
      </w:hyperlink>
    </w:p>
    <w:p w14:paraId="20885840" w14:textId="25F3E64E" w:rsidR="00EB420E" w:rsidRPr="00E11B5A" w:rsidRDefault="00EB420E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proofErr w:type="spellStart"/>
      <w:r w:rsidRPr="00E11B5A">
        <w:rPr>
          <w:rFonts w:ascii="Arial" w:eastAsia="Aptos" w:hAnsi="Arial" w:cs="Arial"/>
          <w:sz w:val="22"/>
          <w:szCs w:val="22"/>
        </w:rPr>
        <w:t>Woffindin</w:t>
      </w:r>
      <w:proofErr w:type="spellEnd"/>
      <w:r w:rsidRPr="00E11B5A">
        <w:rPr>
          <w:rFonts w:ascii="Arial" w:eastAsia="Aptos" w:hAnsi="Arial" w:cs="Arial"/>
          <w:sz w:val="22"/>
          <w:szCs w:val="22"/>
        </w:rPr>
        <w:t xml:space="preserve">, L. (2024)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>Assistive Technology in Health and Social Care</w:t>
      </w:r>
      <w:r w:rsidRPr="00E11B5A">
        <w:rPr>
          <w:rFonts w:ascii="Arial" w:eastAsia="Aptos" w:hAnsi="Arial" w:cs="Arial"/>
          <w:sz w:val="22"/>
          <w:szCs w:val="22"/>
        </w:rPr>
        <w:t xml:space="preserve"> Available at: </w:t>
      </w:r>
      <w:hyperlink r:id="rId26" w:history="1">
        <w:r w:rsidRPr="000040A3">
          <w:rPr>
            <w:rStyle w:val="Hyperlink"/>
            <w:rFonts w:ascii="Arial" w:eastAsia="Aptos" w:hAnsi="Arial" w:cs="Arial"/>
            <w:sz w:val="22"/>
            <w:szCs w:val="22"/>
          </w:rPr>
          <w:t>Assistive Technology in Health and Social care | Types &amp; benefits (cpdonline.co.uk)</w:t>
        </w:r>
      </w:hyperlink>
      <w:r w:rsidRPr="00E11B5A">
        <w:rPr>
          <w:rFonts w:ascii="Arial" w:eastAsia="Aptos" w:hAnsi="Arial" w:cs="Arial"/>
          <w:sz w:val="22"/>
          <w:szCs w:val="22"/>
        </w:rPr>
        <w:t xml:space="preserve"> (Accessed: </w:t>
      </w:r>
      <w:r w:rsidR="00F56F32" w:rsidRPr="00E11B5A">
        <w:rPr>
          <w:rFonts w:ascii="Arial" w:eastAsia="Aptos" w:hAnsi="Arial" w:cs="Arial"/>
          <w:sz w:val="22"/>
          <w:szCs w:val="22"/>
        </w:rPr>
        <w:t>26 march</w:t>
      </w:r>
      <w:r w:rsidRPr="00E11B5A">
        <w:rPr>
          <w:rFonts w:ascii="Arial" w:eastAsia="Aptos" w:hAnsi="Arial" w:cs="Arial"/>
          <w:sz w:val="22"/>
          <w:szCs w:val="22"/>
        </w:rPr>
        <w:t xml:space="preserve"> 202</w:t>
      </w:r>
      <w:r w:rsidR="00F56F32" w:rsidRPr="00E11B5A">
        <w:rPr>
          <w:rFonts w:ascii="Arial" w:eastAsia="Aptos" w:hAnsi="Arial" w:cs="Arial"/>
          <w:sz w:val="22"/>
          <w:szCs w:val="22"/>
        </w:rPr>
        <w:t>6</w:t>
      </w:r>
      <w:r w:rsidRPr="00E11B5A">
        <w:rPr>
          <w:rFonts w:ascii="Arial" w:eastAsia="Aptos" w:hAnsi="Arial" w:cs="Arial"/>
          <w:sz w:val="22"/>
          <w:szCs w:val="22"/>
        </w:rPr>
        <w:t>).</w:t>
      </w:r>
    </w:p>
    <w:p w14:paraId="29AE4653" w14:textId="1C9E05CC" w:rsidR="00EB420E" w:rsidRPr="00E11B5A" w:rsidRDefault="00EB420E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  <w:r w:rsidRPr="00E11B5A">
        <w:rPr>
          <w:rFonts w:ascii="Arial" w:eastAsia="Aptos" w:hAnsi="Arial" w:cs="Arial"/>
          <w:sz w:val="22"/>
          <w:szCs w:val="22"/>
        </w:rPr>
        <w:t xml:space="preserve">WHO, (2024) </w:t>
      </w:r>
      <w:r w:rsidRPr="00E11B5A">
        <w:rPr>
          <w:rFonts w:ascii="Arial" w:eastAsia="Aptos" w:hAnsi="Arial" w:cs="Arial"/>
          <w:i/>
          <w:iCs/>
          <w:sz w:val="22"/>
          <w:szCs w:val="22"/>
        </w:rPr>
        <w:t xml:space="preserve">Assistive technology </w:t>
      </w:r>
      <w:r w:rsidRPr="00E11B5A">
        <w:rPr>
          <w:rFonts w:ascii="Arial" w:eastAsia="Aptos" w:hAnsi="Arial" w:cs="Arial"/>
          <w:sz w:val="22"/>
          <w:szCs w:val="22"/>
        </w:rPr>
        <w:t xml:space="preserve">Available at: </w:t>
      </w:r>
      <w:hyperlink r:id="rId27" w:history="1">
        <w:r w:rsidRPr="00FE236B">
          <w:rPr>
            <w:rStyle w:val="Hyperlink"/>
            <w:rFonts w:ascii="Arial" w:eastAsia="Aptos" w:hAnsi="Arial" w:cs="Arial"/>
            <w:sz w:val="22"/>
            <w:szCs w:val="22"/>
          </w:rPr>
          <w:t>https://www.who.int/news-room/fact-sheets/detail/assistive-technology</w:t>
        </w:r>
      </w:hyperlink>
      <w:r w:rsidRPr="00E11B5A">
        <w:rPr>
          <w:rFonts w:ascii="Arial" w:eastAsia="Aptos" w:hAnsi="Arial" w:cs="Arial"/>
          <w:sz w:val="22"/>
          <w:szCs w:val="22"/>
        </w:rPr>
        <w:t xml:space="preserve"> (Accessed: </w:t>
      </w:r>
      <w:r w:rsidR="00F56F32" w:rsidRPr="00E11B5A">
        <w:rPr>
          <w:rFonts w:ascii="Arial" w:eastAsia="Aptos" w:hAnsi="Arial" w:cs="Arial"/>
          <w:sz w:val="22"/>
          <w:szCs w:val="22"/>
        </w:rPr>
        <w:t>26 March</w:t>
      </w:r>
      <w:r w:rsidRPr="00E11B5A">
        <w:rPr>
          <w:rFonts w:ascii="Arial" w:eastAsia="Aptos" w:hAnsi="Arial" w:cs="Arial"/>
          <w:sz w:val="22"/>
          <w:szCs w:val="22"/>
        </w:rPr>
        <w:t xml:space="preserve"> 202</w:t>
      </w:r>
      <w:r w:rsidR="00BE6B1C" w:rsidRPr="00E11B5A">
        <w:rPr>
          <w:rFonts w:ascii="Arial" w:eastAsia="Aptos" w:hAnsi="Arial" w:cs="Arial"/>
          <w:sz w:val="22"/>
          <w:szCs w:val="22"/>
        </w:rPr>
        <w:t>6</w:t>
      </w:r>
      <w:r w:rsidRPr="00E11B5A">
        <w:rPr>
          <w:rFonts w:ascii="Arial" w:eastAsia="Aptos" w:hAnsi="Arial" w:cs="Arial"/>
          <w:sz w:val="22"/>
          <w:szCs w:val="22"/>
        </w:rPr>
        <w:t>).</w:t>
      </w:r>
    </w:p>
    <w:p w14:paraId="14550D3E" w14:textId="77777777" w:rsidR="00C646E5" w:rsidRPr="0067663C" w:rsidRDefault="00C646E5" w:rsidP="0067663C">
      <w:pPr>
        <w:spacing w:line="360" w:lineRule="auto"/>
        <w:rPr>
          <w:rFonts w:ascii="Arial" w:eastAsia="Aptos" w:hAnsi="Arial" w:cs="Arial"/>
          <w:sz w:val="22"/>
          <w:szCs w:val="22"/>
        </w:rPr>
      </w:pPr>
    </w:p>
    <w:sectPr w:rsidR="00C646E5" w:rsidRPr="006766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2E75D2"/>
    <w:multiLevelType w:val="hybridMultilevel"/>
    <w:tmpl w:val="B25AA2E2"/>
    <w:lvl w:ilvl="0" w:tplc="51B4D3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690ED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60670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5244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C6A5B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C201A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F40FDF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5C0B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FE437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436415B"/>
    <w:multiLevelType w:val="hybridMultilevel"/>
    <w:tmpl w:val="1826E1BA"/>
    <w:lvl w:ilvl="0" w:tplc="21C254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0C8A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8C018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0EBF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C866D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EA002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68EF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C653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C0B1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38384075">
    <w:abstractNumId w:val="0"/>
  </w:num>
  <w:num w:numId="2" w16cid:durableId="1787368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C17"/>
    <w:rsid w:val="000040A3"/>
    <w:rsid w:val="0005013B"/>
    <w:rsid w:val="00054413"/>
    <w:rsid w:val="00054436"/>
    <w:rsid w:val="0009475E"/>
    <w:rsid w:val="00097456"/>
    <w:rsid w:val="000D65FB"/>
    <w:rsid w:val="0010493A"/>
    <w:rsid w:val="00113F36"/>
    <w:rsid w:val="00127268"/>
    <w:rsid w:val="00160B67"/>
    <w:rsid w:val="00180F7C"/>
    <w:rsid w:val="001B4A0E"/>
    <w:rsid w:val="001D5DCE"/>
    <w:rsid w:val="001E4B66"/>
    <w:rsid w:val="00216649"/>
    <w:rsid w:val="00230365"/>
    <w:rsid w:val="00262C47"/>
    <w:rsid w:val="0028559A"/>
    <w:rsid w:val="00286C5C"/>
    <w:rsid w:val="002925AE"/>
    <w:rsid w:val="002A440A"/>
    <w:rsid w:val="002A7932"/>
    <w:rsid w:val="002E3260"/>
    <w:rsid w:val="003149BA"/>
    <w:rsid w:val="003A4A35"/>
    <w:rsid w:val="0040442C"/>
    <w:rsid w:val="004413E7"/>
    <w:rsid w:val="0044506A"/>
    <w:rsid w:val="00483CBE"/>
    <w:rsid w:val="0053312A"/>
    <w:rsid w:val="00541C61"/>
    <w:rsid w:val="0055717B"/>
    <w:rsid w:val="005B0F3D"/>
    <w:rsid w:val="00633AAF"/>
    <w:rsid w:val="00672FE8"/>
    <w:rsid w:val="0067663C"/>
    <w:rsid w:val="00686F54"/>
    <w:rsid w:val="006B0E77"/>
    <w:rsid w:val="006C02A3"/>
    <w:rsid w:val="006E7F8C"/>
    <w:rsid w:val="00730E2B"/>
    <w:rsid w:val="00751EA8"/>
    <w:rsid w:val="00771721"/>
    <w:rsid w:val="007A0685"/>
    <w:rsid w:val="007B3586"/>
    <w:rsid w:val="007D710D"/>
    <w:rsid w:val="00801B85"/>
    <w:rsid w:val="00815FD1"/>
    <w:rsid w:val="00852698"/>
    <w:rsid w:val="00856FD9"/>
    <w:rsid w:val="008E52D3"/>
    <w:rsid w:val="00924DCD"/>
    <w:rsid w:val="00947F30"/>
    <w:rsid w:val="0098329F"/>
    <w:rsid w:val="00A004E6"/>
    <w:rsid w:val="00A14B2C"/>
    <w:rsid w:val="00A27703"/>
    <w:rsid w:val="00A47FCC"/>
    <w:rsid w:val="00A5554D"/>
    <w:rsid w:val="00A570D1"/>
    <w:rsid w:val="00AB049E"/>
    <w:rsid w:val="00AC7D68"/>
    <w:rsid w:val="00AF1CAE"/>
    <w:rsid w:val="00AF6199"/>
    <w:rsid w:val="00B0652B"/>
    <w:rsid w:val="00B10BF5"/>
    <w:rsid w:val="00B2047F"/>
    <w:rsid w:val="00B37C05"/>
    <w:rsid w:val="00B4408A"/>
    <w:rsid w:val="00B65C3F"/>
    <w:rsid w:val="00BE6B1C"/>
    <w:rsid w:val="00C0483B"/>
    <w:rsid w:val="00C3300E"/>
    <w:rsid w:val="00C33491"/>
    <w:rsid w:val="00C407FA"/>
    <w:rsid w:val="00C52C17"/>
    <w:rsid w:val="00C534E4"/>
    <w:rsid w:val="00C646E5"/>
    <w:rsid w:val="00C70608"/>
    <w:rsid w:val="00CA5DB4"/>
    <w:rsid w:val="00CC3D7B"/>
    <w:rsid w:val="00DC511A"/>
    <w:rsid w:val="00DD055A"/>
    <w:rsid w:val="00E11B5A"/>
    <w:rsid w:val="00E13C3F"/>
    <w:rsid w:val="00E22664"/>
    <w:rsid w:val="00E27E48"/>
    <w:rsid w:val="00E35129"/>
    <w:rsid w:val="00E433CF"/>
    <w:rsid w:val="00E604D6"/>
    <w:rsid w:val="00EB420E"/>
    <w:rsid w:val="00ED4C3E"/>
    <w:rsid w:val="00EF3BB5"/>
    <w:rsid w:val="00F10716"/>
    <w:rsid w:val="00F262C7"/>
    <w:rsid w:val="00F56F32"/>
    <w:rsid w:val="00F74D25"/>
    <w:rsid w:val="00F81CA1"/>
    <w:rsid w:val="00F87098"/>
    <w:rsid w:val="00FC2576"/>
    <w:rsid w:val="00FE236B"/>
    <w:rsid w:val="00FF09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78089"/>
  <w15:chartTrackingRefBased/>
  <w15:docId w15:val="{3A3FBBE3-A571-4A19-8A97-4A833883A0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4A0E"/>
  </w:style>
  <w:style w:type="paragraph" w:styleId="Heading1">
    <w:name w:val="heading 1"/>
    <w:basedOn w:val="Normal"/>
    <w:next w:val="Normal"/>
    <w:link w:val="Heading1Char"/>
    <w:uiPriority w:val="9"/>
    <w:qFormat/>
    <w:rsid w:val="00C52C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2C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2C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2C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2C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2C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2C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2C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2C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2C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2C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2C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2C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2C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2C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2C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2C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2C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2C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2C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2C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2C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2C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2C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2C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2C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2C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2C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2C1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B420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42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su152316503" TargetMode="External"/><Relationship Id="rId13" Type="http://schemas.openxmlformats.org/officeDocument/2006/relationships/hyperlink" Target="https://www.digitalhealth.net/2024/11/concerns-raised-that-nhs-digital-plans-could-exclude-older-adults/?utm_source=copilot.com" TargetMode="External"/><Relationship Id="rId18" Type="http://schemas.openxmlformats.org/officeDocument/2006/relationships/hyperlink" Target="https://doi.org/10.1186/s12877-021-02338-z" TargetMode="External"/><Relationship Id="rId26" Type="http://schemas.openxmlformats.org/officeDocument/2006/relationships/hyperlink" Target="https://cpdonline.co.uk/knowledge-base/care/assistive-technology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england.nhs.uk/2019/01/long-term-plan/" TargetMode="External"/><Relationship Id="rId7" Type="http://schemas.openxmlformats.org/officeDocument/2006/relationships/hyperlink" Target="https://www.ageuk.org.uk/manchester/about-us/news/articles/2024/digital-inclusion/" TargetMode="External"/><Relationship Id="rId12" Type="http://schemas.openxmlformats.org/officeDocument/2006/relationships/hyperlink" Target="https://doi.org/10.1136/bmjopen-2025-112539" TargetMode="External"/><Relationship Id="rId17" Type="http://schemas.openxmlformats.org/officeDocument/2006/relationships/hyperlink" Target="https://www.gov.uk/government/publications/harnessing-technology-for-the-long-term-sustainability-of-the-uks-healthcare-system/harnessing-technology-for-the-long-term-sustainability-of-the-uks-healthcare-system-report" TargetMode="External"/><Relationship Id="rId25" Type="http://schemas.openxmlformats.org/officeDocument/2006/relationships/hyperlink" Target="https://doi.org/10.1136/bmjopen-2024-085995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02/ehf2.14022" TargetMode="External"/><Relationship Id="rId20" Type="http://schemas.openxmlformats.org/officeDocument/2006/relationships/hyperlink" Target="https://www.ons.gov.uk/businessindustryandtrade/itandinternetindustry/bulletins/internetusers/2020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hyperlink" Target="https://doi.org/10.2196/56523" TargetMode="External"/><Relationship Id="rId24" Type="http://schemas.openxmlformats.org/officeDocument/2006/relationships/hyperlink" Target="https://doi.org/10.1038/s41746-026-02523-7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doi.org/10.3390/ijerph23020238" TargetMode="External"/><Relationship Id="rId23" Type="http://schemas.openxmlformats.org/officeDocument/2006/relationships/hyperlink" Target="https://www.england.nhs.uk/long-read/inclusive-digital-healthcare-a-framework-for-nhs-action-on-digital-inclusion/?utm_source=copilot.com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oi.org/10.1186/s12889-017-4358-9" TargetMode="External"/><Relationship Id="rId19" Type="http://schemas.openxmlformats.org/officeDocument/2006/relationships/hyperlink" Target="https://www.kingsfund.org.uk/insight-and-analysis/long-reads/exclusion-inclusion-digital-health-care?utm_source=copilo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2/lim2.70051" TargetMode="External"/><Relationship Id="rId14" Type="http://schemas.openxmlformats.org/officeDocument/2006/relationships/hyperlink" Target="https://doi.org/10.1177/20552076251353334" TargetMode="External"/><Relationship Id="rId22" Type="http://schemas.openxmlformats.org/officeDocument/2006/relationships/hyperlink" Target="https://digital.nhs.uk/data-and-information/publications/statistical/safeguarding-adults/2022-23/supporting-information-copy" TargetMode="External"/><Relationship Id="rId27" Type="http://schemas.openxmlformats.org/officeDocument/2006/relationships/hyperlink" Target="https://www.who.int/news-room/fact-sheets/detail/assistive-technolog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698</TotalTime>
  <Pages>4</Pages>
  <Words>857</Words>
  <Characters>6698</Characters>
  <Application>Microsoft Office Word</Application>
  <DocSecurity>0</DocSecurity>
  <Lines>128</Lines>
  <Paragraphs>43</Paragraphs>
  <ScaleCrop>false</ScaleCrop>
  <Company/>
  <LinksUpToDate>false</LinksUpToDate>
  <CharactersWithSpaces>7512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Dajou katek</dc:creator>
  <cp:keywords/>
  <dc:description/>
  <cp:lastModifiedBy>Dajou katek</cp:lastModifiedBy>
  <cp:revision>102</cp:revision>
  <dcterms:created xsi:type="dcterms:W3CDTF">2026-04-07T16:29:00Z</dcterms:created>
  <dcterms:modified xsi:type="dcterms:W3CDTF">2026-04-09T18:06:00Z</dcterms:modified>
</cp:coreProperties>
</file>