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9ECE4" w14:textId="77777777" w:rsidR="00E94426" w:rsidRPr="00074402" w:rsidRDefault="00E94426" w:rsidP="00E94426">
      <w:pPr>
        <w:spacing w:line="360" w:lineRule="auto"/>
        <w:rPr>
          <w:rFonts w:ascii="Arial" w:hAnsi="Arial" w:cs="Arial"/>
          <w:szCs w:val="24"/>
        </w:rPr>
      </w:pPr>
      <w:r w:rsidRPr="00074402">
        <w:rPr>
          <w:rFonts w:ascii="Arial" w:hAnsi="Arial" w:cs="Arial"/>
          <w:noProof/>
          <w:szCs w:val="24"/>
          <w:lang w:val="en-ZA" w:eastAsia="en-ZA"/>
        </w:rPr>
        <w:drawing>
          <wp:anchor distT="0" distB="0" distL="114300" distR="114300" simplePos="0" relativeHeight="251659264" behindDoc="0" locked="0" layoutInCell="1" allowOverlap="1" wp14:anchorId="3ABCD3BB" wp14:editId="79138366">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241B74D" w14:textId="77777777" w:rsidR="00E94426" w:rsidRPr="00074402" w:rsidRDefault="00E94426" w:rsidP="00E94426">
      <w:pPr>
        <w:spacing w:line="360" w:lineRule="auto"/>
        <w:rPr>
          <w:rFonts w:ascii="Arial" w:hAnsi="Arial" w:cs="Arial"/>
          <w:szCs w:val="24"/>
        </w:rPr>
      </w:pPr>
    </w:p>
    <w:p w14:paraId="6E21E1F5" w14:textId="77777777" w:rsidR="00E94426" w:rsidRPr="00074402" w:rsidRDefault="00E94426" w:rsidP="00E94426">
      <w:pPr>
        <w:spacing w:line="360" w:lineRule="auto"/>
        <w:rPr>
          <w:rFonts w:ascii="Arial" w:hAnsi="Arial" w:cs="Arial"/>
          <w:szCs w:val="24"/>
        </w:rPr>
      </w:pPr>
    </w:p>
    <w:p w14:paraId="24E65DCE" w14:textId="77777777" w:rsidR="00E94426" w:rsidRPr="00074402" w:rsidRDefault="00E94426" w:rsidP="00E94426">
      <w:pPr>
        <w:spacing w:line="360" w:lineRule="auto"/>
        <w:rPr>
          <w:rFonts w:ascii="Arial" w:hAnsi="Arial" w:cs="Arial"/>
          <w:szCs w:val="24"/>
        </w:rPr>
      </w:pPr>
    </w:p>
    <w:p w14:paraId="34A96D98" w14:textId="77777777" w:rsidR="00E94426" w:rsidRDefault="00E94426" w:rsidP="00E94426">
      <w:pPr>
        <w:tabs>
          <w:tab w:val="left" w:pos="6540"/>
        </w:tabs>
        <w:spacing w:line="360" w:lineRule="auto"/>
        <w:rPr>
          <w:rFonts w:ascii="Arial" w:hAnsi="Arial" w:cs="Arial"/>
          <w:sz w:val="28"/>
          <w:szCs w:val="28"/>
        </w:rPr>
      </w:pPr>
    </w:p>
    <w:p w14:paraId="62DE3E2D" w14:textId="6F561F41" w:rsidR="00E94426" w:rsidRPr="00387BCF" w:rsidRDefault="00E94426" w:rsidP="00E94426">
      <w:pPr>
        <w:tabs>
          <w:tab w:val="left" w:pos="6540"/>
        </w:tabs>
        <w:spacing w:line="360" w:lineRule="auto"/>
        <w:rPr>
          <w:rFonts w:ascii="Arial" w:hAnsi="Arial" w:cs="Arial"/>
          <w:szCs w:val="24"/>
        </w:rPr>
      </w:pPr>
      <w:r w:rsidRPr="00387BCF">
        <w:rPr>
          <w:rFonts w:ascii="Arial" w:hAnsi="Arial" w:cs="Arial"/>
          <w:b/>
          <w:bCs/>
          <w:szCs w:val="24"/>
        </w:rPr>
        <w:t>Student name</w:t>
      </w:r>
      <w:r w:rsidRPr="00387BCF">
        <w:rPr>
          <w:rFonts w:ascii="Arial" w:hAnsi="Arial" w:cs="Arial"/>
          <w:szCs w:val="24"/>
        </w:rPr>
        <w:t>:</w:t>
      </w:r>
      <w:r w:rsidR="00522EAC" w:rsidRPr="00387BCF">
        <w:rPr>
          <w:rFonts w:ascii="Arial" w:hAnsi="Arial" w:cs="Arial"/>
          <w:szCs w:val="24"/>
        </w:rPr>
        <w:t xml:space="preserve"> Richard Kanjoma</w:t>
      </w:r>
    </w:p>
    <w:p w14:paraId="03043C03" w14:textId="1807EF6D" w:rsidR="00E94426" w:rsidRPr="00387BCF" w:rsidRDefault="00E94426" w:rsidP="00E94426">
      <w:pPr>
        <w:tabs>
          <w:tab w:val="left" w:pos="6540"/>
        </w:tabs>
        <w:spacing w:line="360" w:lineRule="auto"/>
        <w:rPr>
          <w:rFonts w:ascii="Arial" w:hAnsi="Arial" w:cs="Arial"/>
          <w:szCs w:val="24"/>
        </w:rPr>
      </w:pPr>
      <w:r w:rsidRPr="00387BCF">
        <w:rPr>
          <w:rFonts w:ascii="Arial" w:hAnsi="Arial" w:cs="Arial"/>
          <w:b/>
          <w:bCs/>
          <w:szCs w:val="24"/>
        </w:rPr>
        <w:t>Student ID</w:t>
      </w:r>
      <w:r w:rsidRPr="00387BCF">
        <w:rPr>
          <w:rFonts w:ascii="Arial" w:hAnsi="Arial" w:cs="Arial"/>
          <w:szCs w:val="24"/>
        </w:rPr>
        <w:t>:</w:t>
      </w:r>
      <w:r w:rsidR="00522EAC" w:rsidRPr="00387BCF">
        <w:rPr>
          <w:rFonts w:ascii="Arial" w:hAnsi="Arial" w:cs="Arial"/>
          <w:szCs w:val="24"/>
        </w:rPr>
        <w:t xml:space="preserve"> 1916228</w:t>
      </w:r>
    </w:p>
    <w:p w14:paraId="25A2510D" w14:textId="48BF2F71" w:rsidR="00E94426" w:rsidRPr="00387BCF" w:rsidRDefault="00E94426" w:rsidP="00E94426">
      <w:pPr>
        <w:tabs>
          <w:tab w:val="left" w:pos="6540"/>
        </w:tabs>
        <w:spacing w:line="360" w:lineRule="auto"/>
        <w:rPr>
          <w:rFonts w:ascii="Arial" w:hAnsi="Arial" w:cs="Arial"/>
          <w:szCs w:val="24"/>
        </w:rPr>
      </w:pPr>
      <w:r w:rsidRPr="00387BCF">
        <w:rPr>
          <w:rFonts w:ascii="Arial" w:hAnsi="Arial" w:cs="Arial"/>
          <w:b/>
          <w:bCs/>
          <w:szCs w:val="24"/>
        </w:rPr>
        <w:t>Module name</w:t>
      </w:r>
      <w:r w:rsidRPr="00387BCF">
        <w:rPr>
          <w:rFonts w:ascii="Arial" w:hAnsi="Arial" w:cs="Arial"/>
          <w:szCs w:val="24"/>
        </w:rPr>
        <w:t xml:space="preserve">: </w:t>
      </w:r>
      <w:r w:rsidR="00522EAC" w:rsidRPr="00387BCF">
        <w:rPr>
          <w:rFonts w:ascii="Arial" w:hAnsi="Arial" w:cs="Arial"/>
          <w:szCs w:val="24"/>
        </w:rPr>
        <w:t>Complimentary Theories</w:t>
      </w:r>
      <w:r w:rsidR="00387BCF" w:rsidRPr="00387BCF">
        <w:rPr>
          <w:rFonts w:ascii="Arial" w:hAnsi="Arial" w:cs="Arial"/>
          <w:szCs w:val="24"/>
        </w:rPr>
        <w:t xml:space="preserve"> (Herbal Medicine Supporting Paper)</w:t>
      </w:r>
    </w:p>
    <w:p w14:paraId="5F0C1A3D" w14:textId="6097CBB3" w:rsidR="00E94426" w:rsidRPr="00387BCF" w:rsidRDefault="00E94426" w:rsidP="00E94426">
      <w:pPr>
        <w:tabs>
          <w:tab w:val="left" w:pos="6540"/>
        </w:tabs>
        <w:spacing w:line="360" w:lineRule="auto"/>
        <w:rPr>
          <w:rFonts w:ascii="Arial" w:hAnsi="Arial" w:cs="Arial"/>
          <w:szCs w:val="24"/>
        </w:rPr>
      </w:pPr>
      <w:r w:rsidRPr="00387BCF">
        <w:rPr>
          <w:rFonts w:ascii="Arial" w:hAnsi="Arial" w:cs="Arial"/>
          <w:b/>
          <w:bCs/>
          <w:szCs w:val="24"/>
        </w:rPr>
        <w:t>Module code</w:t>
      </w:r>
      <w:r w:rsidRPr="00387BCF">
        <w:rPr>
          <w:rFonts w:ascii="Arial" w:hAnsi="Arial" w:cs="Arial"/>
          <w:szCs w:val="24"/>
        </w:rPr>
        <w:t>:</w:t>
      </w:r>
      <w:r w:rsidR="00522EAC" w:rsidRPr="00387BCF">
        <w:rPr>
          <w:rFonts w:ascii="Arial" w:hAnsi="Arial" w:cs="Arial"/>
          <w:szCs w:val="24"/>
        </w:rPr>
        <w:t xml:space="preserve"> BMHP5001</w:t>
      </w:r>
    </w:p>
    <w:p w14:paraId="6E57910A" w14:textId="6537DDC0" w:rsidR="00E94426" w:rsidRPr="00387BCF" w:rsidRDefault="00E94426" w:rsidP="00E94426">
      <w:pPr>
        <w:tabs>
          <w:tab w:val="left" w:pos="6540"/>
        </w:tabs>
        <w:spacing w:line="360" w:lineRule="auto"/>
        <w:rPr>
          <w:rFonts w:ascii="Arial" w:hAnsi="Arial" w:cs="Arial"/>
          <w:szCs w:val="24"/>
        </w:rPr>
      </w:pPr>
      <w:r w:rsidRPr="00387BCF">
        <w:rPr>
          <w:rFonts w:ascii="Arial" w:hAnsi="Arial" w:cs="Arial"/>
          <w:b/>
          <w:bCs/>
          <w:szCs w:val="24"/>
        </w:rPr>
        <w:t>Lecturer name</w:t>
      </w:r>
      <w:r w:rsidRPr="00387BCF">
        <w:rPr>
          <w:rFonts w:ascii="Arial" w:hAnsi="Arial" w:cs="Arial"/>
          <w:szCs w:val="24"/>
        </w:rPr>
        <w:t>:</w:t>
      </w:r>
      <w:r w:rsidR="00522EAC" w:rsidRPr="00387BCF">
        <w:rPr>
          <w:rFonts w:ascii="Arial" w:hAnsi="Arial" w:cs="Arial"/>
          <w:szCs w:val="24"/>
        </w:rPr>
        <w:t xml:space="preserve"> </w:t>
      </w:r>
      <w:proofErr w:type="spellStart"/>
      <w:r w:rsidR="00522EAC" w:rsidRPr="00387BCF">
        <w:rPr>
          <w:rFonts w:ascii="Arial" w:hAnsi="Arial" w:cs="Arial"/>
          <w:szCs w:val="24"/>
        </w:rPr>
        <w:t>Dr.</w:t>
      </w:r>
      <w:proofErr w:type="spellEnd"/>
      <w:r w:rsidR="0092430C" w:rsidRPr="00387BCF">
        <w:rPr>
          <w:rFonts w:ascii="Arial" w:hAnsi="Arial" w:cs="Arial"/>
          <w:szCs w:val="24"/>
        </w:rPr>
        <w:t xml:space="preserve"> </w:t>
      </w:r>
      <w:r w:rsidR="00522EAC" w:rsidRPr="00387BCF">
        <w:rPr>
          <w:rFonts w:ascii="Arial" w:hAnsi="Arial" w:cs="Arial"/>
          <w:szCs w:val="24"/>
        </w:rPr>
        <w:t xml:space="preserve">Eleni </w:t>
      </w:r>
      <w:proofErr w:type="spellStart"/>
      <w:r w:rsidR="0092430C" w:rsidRPr="00387BCF">
        <w:rPr>
          <w:rFonts w:ascii="Arial" w:hAnsi="Arial" w:cs="Arial"/>
          <w:szCs w:val="24"/>
        </w:rPr>
        <w:t>Koutsogeorgou</w:t>
      </w:r>
      <w:proofErr w:type="spellEnd"/>
    </w:p>
    <w:p w14:paraId="306428A4" w14:textId="77777777" w:rsidR="00E94426" w:rsidRDefault="00E94426" w:rsidP="00E94426">
      <w:pPr>
        <w:tabs>
          <w:tab w:val="left" w:pos="6540"/>
        </w:tabs>
        <w:spacing w:line="360" w:lineRule="auto"/>
        <w:rPr>
          <w:rFonts w:ascii="Arial" w:hAnsi="Arial" w:cs="Arial"/>
          <w:sz w:val="28"/>
          <w:szCs w:val="28"/>
        </w:rPr>
      </w:pPr>
    </w:p>
    <w:p w14:paraId="0D77E6BC" w14:textId="77777777" w:rsidR="00E94426" w:rsidRDefault="00E94426" w:rsidP="00E94426">
      <w:pPr>
        <w:tabs>
          <w:tab w:val="left" w:pos="6540"/>
        </w:tabs>
        <w:spacing w:line="360" w:lineRule="auto"/>
        <w:rPr>
          <w:rFonts w:ascii="Arial" w:hAnsi="Arial" w:cs="Arial"/>
          <w:sz w:val="28"/>
          <w:szCs w:val="28"/>
        </w:rPr>
      </w:pPr>
    </w:p>
    <w:p w14:paraId="4BDB74E4" w14:textId="77777777" w:rsidR="00E94426" w:rsidRDefault="00E94426" w:rsidP="00E94426">
      <w:pPr>
        <w:tabs>
          <w:tab w:val="left" w:pos="6540"/>
        </w:tabs>
        <w:spacing w:line="360" w:lineRule="auto"/>
        <w:rPr>
          <w:rFonts w:ascii="Arial" w:hAnsi="Arial" w:cs="Arial"/>
          <w:sz w:val="28"/>
          <w:szCs w:val="28"/>
        </w:rPr>
      </w:pPr>
    </w:p>
    <w:p w14:paraId="3D202A51" w14:textId="77777777" w:rsidR="00E94426" w:rsidRDefault="00E94426" w:rsidP="00E94426">
      <w:pPr>
        <w:tabs>
          <w:tab w:val="left" w:pos="6540"/>
        </w:tabs>
        <w:spacing w:line="360" w:lineRule="auto"/>
        <w:rPr>
          <w:rFonts w:ascii="Arial" w:hAnsi="Arial" w:cs="Arial"/>
          <w:sz w:val="28"/>
          <w:szCs w:val="28"/>
        </w:rPr>
      </w:pPr>
    </w:p>
    <w:p w14:paraId="5022C638" w14:textId="04E5A86F" w:rsidR="0033718E" w:rsidRPr="00561F0C" w:rsidRDefault="00E94426" w:rsidP="0033718E">
      <w:pPr>
        <w:spacing w:line="360" w:lineRule="auto"/>
        <w:rPr>
          <w:rFonts w:ascii="Arial" w:hAnsi="Arial" w:cs="Arial"/>
          <w:sz w:val="28"/>
          <w:szCs w:val="28"/>
        </w:rPr>
      </w:pPr>
      <w:r>
        <w:rPr>
          <w:rFonts w:ascii="Arial" w:hAnsi="Arial" w:cs="Arial"/>
          <w:sz w:val="28"/>
          <w:szCs w:val="28"/>
        </w:rPr>
        <w:br w:type="page"/>
      </w:r>
    </w:p>
    <w:p w14:paraId="65A1D0F9" w14:textId="77777777" w:rsidR="00E827BE" w:rsidRPr="00E827BE" w:rsidRDefault="00E827BE" w:rsidP="00E827BE">
      <w:pPr>
        <w:spacing w:line="360" w:lineRule="auto"/>
        <w:jc w:val="center"/>
        <w:rPr>
          <w:rFonts w:eastAsia="Malgun Gothic" w:cs="Times New Roman"/>
          <w:b/>
          <w:bCs/>
          <w:szCs w:val="24"/>
          <w:lang w:eastAsia="zh-CN"/>
        </w:rPr>
      </w:pPr>
      <w:r w:rsidRPr="00E827BE">
        <w:rPr>
          <w:rFonts w:eastAsia="Malgun Gothic" w:cs="Times New Roman"/>
          <w:b/>
          <w:bCs/>
          <w:szCs w:val="24"/>
          <w:lang w:eastAsia="zh-CN"/>
        </w:rPr>
        <w:lastRenderedPageBreak/>
        <w:t>Complimentary Therapy</w:t>
      </w:r>
    </w:p>
    <w:p w14:paraId="0BDAC085" w14:textId="77777777" w:rsidR="00E827BE" w:rsidRPr="00E827BE" w:rsidRDefault="00E827BE" w:rsidP="00E827BE">
      <w:pPr>
        <w:spacing w:line="360" w:lineRule="auto"/>
        <w:rPr>
          <w:rFonts w:eastAsia="Malgun Gothic" w:cs="Times New Roman"/>
          <w:b/>
          <w:bCs/>
          <w:szCs w:val="24"/>
          <w:lang w:eastAsia="zh-CN"/>
        </w:rPr>
      </w:pPr>
    </w:p>
    <w:p w14:paraId="62185C8C" w14:textId="77777777"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
          <w:bCs/>
          <w:szCs w:val="24"/>
          <w:lang w:eastAsia="zh-CN"/>
        </w:rPr>
        <w:t xml:space="preserve">Introduction </w:t>
      </w:r>
    </w:p>
    <w:p w14:paraId="21603FEB" w14:textId="484CE804"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Cs/>
          <w:szCs w:val="24"/>
          <w:lang w:eastAsia="zh-CN"/>
        </w:rPr>
        <w:t>The use and acceptance of herbal medicines have had a global prominence in past decades and centuries. According to Ernst (2000), the market value of herbal medicines had reached four billion dollars a year by the 2000. Choi et al (2015) posited that in China and Korea, herbal medicine particularly ginseng has been used as far back as 2000 BCE. While herbal medicines continue to take centre stage in the medical spectrum, spurring scientific controversies over decades or centuries, there seem to be a dearth of information to either demystify purported risks or affirm the effectiveness of the same (Ernst 2003). In this paper, a history of herbal medicines will be discussed before delving into the use or effectiveness of the herbal medicines as complimentary therapy. It is hoped that all the controversies around the use of herbal medicines will be unpacked in this essay. By way of proceeding, a history of the practice will be explained, followed by the use of the medicines, juxtaposed with the obtaining controversies</w:t>
      </w:r>
      <w:r>
        <w:rPr>
          <w:rFonts w:eastAsia="Malgun Gothic" w:cs="Times New Roman"/>
          <w:b/>
          <w:bCs/>
          <w:szCs w:val="24"/>
          <w:lang w:eastAsia="zh-CN"/>
        </w:rPr>
        <w:t>.</w:t>
      </w:r>
    </w:p>
    <w:p w14:paraId="0480CE60" w14:textId="77777777"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
          <w:bCs/>
          <w:szCs w:val="24"/>
          <w:lang w:eastAsia="zh-CN"/>
        </w:rPr>
        <w:t xml:space="preserve">History of Herbal Medicines </w:t>
      </w:r>
    </w:p>
    <w:p w14:paraId="5C79EE99" w14:textId="77777777"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t xml:space="preserve">As highlighted in the introduction, herbal medicines are believed to have been in use since 2000 BCE in China and Korea, especially the use of ginseng (Choi et al 2015). Ginseng has been regarded as an effective plant, often compared with the likes of garlic, poppy and aloe in terms of providing total healing to patients who would have partaken of it (Ibid p.4). Around the 1850s, some doctors in the United States of America, for instance Doctor Hay, were popular for dispensing herbal medicines that would have been imported from China (Shelton 2013). The migration of some Chinese businessmen to the United States in the 1850s is also mentioned it saw at least one community member serving as </w:t>
      </w:r>
      <w:proofErr w:type="gramStart"/>
      <w:r w:rsidRPr="00E827BE">
        <w:rPr>
          <w:rFonts w:eastAsia="Malgun Gothic" w:cs="Times New Roman"/>
          <w:bCs/>
          <w:szCs w:val="24"/>
          <w:lang w:eastAsia="zh-CN"/>
        </w:rPr>
        <w:t>a</w:t>
      </w:r>
      <w:proofErr w:type="gramEnd"/>
      <w:r w:rsidRPr="00E827BE">
        <w:rPr>
          <w:rFonts w:eastAsia="Malgun Gothic" w:cs="Times New Roman"/>
          <w:bCs/>
          <w:szCs w:val="24"/>
          <w:lang w:eastAsia="zh-CN"/>
        </w:rPr>
        <w:t xml:space="preserve"> herbal medical doctor through self-education or some form of training (Ibid). From these early narratives, it can be deduced that although herbal medicines are universal, there are reasonable grounds to argue that China had a global influence on the use of herbal medicines. Trade and international relations played a key part in spreading herbal medicines to the rest of the world, the USA included. At this point, it is not clear if these medicines had already been proved effective in dealing with illness. This is why the use of herbal remedies in the later sections of this essay is critical.</w:t>
      </w:r>
    </w:p>
    <w:p w14:paraId="7A73FA41" w14:textId="5863C04D"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lastRenderedPageBreak/>
        <w:t>Shelton (2013) postulated that Chinese doctors plying their trade in America in the 1880s saw less hostilities compared to other races because of their advanced knowledge and use of herbal medicines but there was renewed attempts to drive these unlicensed herbal doctors out of business in the 1890s by the American Medical Association (AMA) in cahoots with the state and local government authorities. According to Clark (2000), the use of alternative medicine within the American society rose in the 20th century because conventional medicines had been failing to prevent diseases or cure chronic illness among the citizenry as well as the rising cost of healthcare. Consequently, in the late 1990s, it had been reported that about 42% of the Americans had been using complimentary medicines (Clark 2000 p.448). The rise in the use of complimentary therapy, herbal medicines around the globe is dual pronged in this case. First, it is clear that it is matter of going for cheaper medical alternatives as the American study has shown. Second, there is scepticism on the effectiveness of conventional medicines especially in a society where a lot of people are finding it difficult to have their chronic problems sustainably dealt with. While the aforementioned reasons are valid to a certain degree, at this point, scientists had not clinically proven the effectiveness of such complimentary therapy, let alone the effects th</w:t>
      </w:r>
      <w:r>
        <w:rPr>
          <w:rFonts w:eastAsia="Malgun Gothic" w:cs="Times New Roman"/>
          <w:bCs/>
          <w:szCs w:val="24"/>
          <w:lang w:eastAsia="zh-CN"/>
        </w:rPr>
        <w:t>at are associated with its use.</w:t>
      </w:r>
    </w:p>
    <w:p w14:paraId="4E548F71" w14:textId="77777777"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t>As way back as 1754 and 1756, Mohegan Samson Occom published a comprehensive list of 52 herbal medicines titled ‘Herbs and Roots’ explaining how different herbs would cure diseases (</w:t>
      </w:r>
      <w:proofErr w:type="spellStart"/>
      <w:r w:rsidRPr="00E827BE">
        <w:rPr>
          <w:rFonts w:eastAsia="Malgun Gothic" w:cs="Times New Roman"/>
          <w:bCs/>
          <w:szCs w:val="24"/>
          <w:lang w:eastAsia="zh-CN"/>
        </w:rPr>
        <w:t>Wisecup</w:t>
      </w:r>
      <w:proofErr w:type="spellEnd"/>
      <w:r w:rsidRPr="00E827BE">
        <w:rPr>
          <w:rFonts w:eastAsia="Malgun Gothic" w:cs="Times New Roman"/>
          <w:bCs/>
          <w:szCs w:val="24"/>
          <w:lang w:eastAsia="zh-CN"/>
        </w:rPr>
        <w:t xml:space="preserve"> 2012). From this comprehensive list, different concoctions had been developed with a description of what they cured ranging from sore throat, broken legs, French Pox or syphilis (Ibid p.542). In other modern societies like Israel, complimentary medicines found its way into the integrative practice in the 1980s when it was reported that over 2.6 million Israeli paid visits to traditional medical practitioners (Keshet and Popper-</w:t>
      </w:r>
      <w:proofErr w:type="spellStart"/>
      <w:r w:rsidRPr="00E827BE">
        <w:rPr>
          <w:rFonts w:eastAsia="Malgun Gothic" w:cs="Times New Roman"/>
          <w:bCs/>
          <w:szCs w:val="24"/>
          <w:lang w:eastAsia="zh-CN"/>
        </w:rPr>
        <w:t>Giveon</w:t>
      </w:r>
      <w:proofErr w:type="spellEnd"/>
      <w:r w:rsidRPr="00E827BE">
        <w:rPr>
          <w:rFonts w:eastAsia="Malgun Gothic" w:cs="Times New Roman"/>
          <w:bCs/>
          <w:szCs w:val="24"/>
          <w:lang w:eastAsia="zh-CN"/>
        </w:rPr>
        <w:t xml:space="preserve"> 2013). In the United Kingdom, 35% of the population use herbal medicines but with less understanding of their effectiveness (Howes and Simmonds 2015). From these narratives it is clear that complimentary medicines had been used by both western and </w:t>
      </w:r>
      <w:proofErr w:type="spellStart"/>
      <w:proofErr w:type="gramStart"/>
      <w:r w:rsidRPr="00E827BE">
        <w:rPr>
          <w:rFonts w:eastAsia="Malgun Gothic" w:cs="Times New Roman"/>
          <w:bCs/>
          <w:szCs w:val="24"/>
          <w:lang w:eastAsia="zh-CN"/>
        </w:rPr>
        <w:t>non western</w:t>
      </w:r>
      <w:proofErr w:type="spellEnd"/>
      <w:proofErr w:type="gramEnd"/>
      <w:r w:rsidRPr="00E827BE">
        <w:rPr>
          <w:rFonts w:eastAsia="Malgun Gothic" w:cs="Times New Roman"/>
          <w:bCs/>
          <w:szCs w:val="24"/>
          <w:lang w:eastAsia="zh-CN"/>
        </w:rPr>
        <w:t xml:space="preserve"> people because Americans used it, Chinese too and recently the Israelis. Given the globalisation of herbal medicines, one would wonder how effective these therapies are when it comes to dealing with the actual illness prevention and cure. It is also important to look at how these medicines interlinked with religious and spiritual practices as some practitioners in Israel used spiritual consultations to diagnose illness. Now, a closer analysis of the use of Herbal medicines follows.</w:t>
      </w:r>
    </w:p>
    <w:p w14:paraId="2BD2D914" w14:textId="77777777" w:rsidR="00E827BE" w:rsidRDefault="00E827BE" w:rsidP="00E827BE">
      <w:pPr>
        <w:spacing w:line="360" w:lineRule="auto"/>
        <w:rPr>
          <w:rFonts w:eastAsia="Malgun Gothic" w:cs="Times New Roman"/>
          <w:b/>
          <w:bCs/>
          <w:szCs w:val="24"/>
          <w:lang w:eastAsia="zh-CN"/>
        </w:rPr>
      </w:pPr>
    </w:p>
    <w:p w14:paraId="7EFB7342" w14:textId="39CA956A"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
          <w:bCs/>
          <w:szCs w:val="24"/>
          <w:lang w:eastAsia="zh-CN"/>
        </w:rPr>
        <w:lastRenderedPageBreak/>
        <w:t xml:space="preserve">Use of Herbal Medicines </w:t>
      </w:r>
    </w:p>
    <w:p w14:paraId="0F819574" w14:textId="77777777"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t xml:space="preserve">Herbal Medicines have different uses in the human body, including illness prevention and cure as this section shows. In the United Kingdom, sage (Salvia Officinalis L.) is used to cure challenges related to the functioning of the ‘head and brain </w:t>
      </w:r>
      <w:proofErr w:type="spellStart"/>
      <w:r w:rsidRPr="00E827BE">
        <w:rPr>
          <w:rFonts w:eastAsia="Malgun Gothic" w:cs="Times New Roman"/>
          <w:bCs/>
          <w:szCs w:val="24"/>
          <w:lang w:eastAsia="zh-CN"/>
        </w:rPr>
        <w:t>quickenethe</w:t>
      </w:r>
      <w:proofErr w:type="spellEnd"/>
      <w:r w:rsidRPr="00E827BE">
        <w:rPr>
          <w:rFonts w:eastAsia="Malgun Gothic" w:cs="Times New Roman"/>
          <w:bCs/>
          <w:szCs w:val="24"/>
          <w:lang w:eastAsia="zh-CN"/>
        </w:rPr>
        <w:t xml:space="preserve"> the nerves and the memory,’ (Howes and Simmonds 2015 p.7). In other words, those who prescribe the medicine and those who partake of it believe that </w:t>
      </w:r>
      <w:proofErr w:type="gramStart"/>
      <w:r w:rsidRPr="00E827BE">
        <w:rPr>
          <w:rFonts w:eastAsia="Malgun Gothic" w:cs="Times New Roman"/>
          <w:bCs/>
          <w:szCs w:val="24"/>
          <w:lang w:eastAsia="zh-CN"/>
        </w:rPr>
        <w:t>It</w:t>
      </w:r>
      <w:proofErr w:type="gramEnd"/>
      <w:r w:rsidRPr="00E827BE">
        <w:rPr>
          <w:rFonts w:eastAsia="Malgun Gothic" w:cs="Times New Roman"/>
          <w:bCs/>
          <w:szCs w:val="24"/>
          <w:lang w:eastAsia="zh-CN"/>
        </w:rPr>
        <w:t xml:space="preserve"> heals the head, warms and enhances the senses (Ibid). However, Howes and Simmonds (2015) postulated that there is no clinical data that suggests that indeed the medicine ‘improves cognitive functioning for healthy subjects and patients with dementia.’ While the United Kingdom requires all herbal therapies to be registered, the absence of clinical data to show the effectiveness of the sage to patients with dementia is a breeding ground for controversy. The efficacy of herbal medicines thus remains faith based and would need clinical trials to deal with controversies around its use.</w:t>
      </w:r>
    </w:p>
    <w:p w14:paraId="6F95D591" w14:textId="43FF3163" w:rsidR="00E827BE" w:rsidRPr="00E827BE" w:rsidRDefault="00E827BE" w:rsidP="00E827BE">
      <w:pPr>
        <w:spacing w:line="360" w:lineRule="auto"/>
        <w:rPr>
          <w:rFonts w:eastAsia="Malgun Gothic" w:cs="Times New Roman"/>
          <w:bCs/>
          <w:szCs w:val="24"/>
          <w:lang w:eastAsia="zh-CN"/>
        </w:rPr>
      </w:pPr>
      <w:proofErr w:type="gramStart"/>
      <w:r w:rsidRPr="00E827BE">
        <w:rPr>
          <w:rFonts w:eastAsia="Malgun Gothic" w:cs="Times New Roman"/>
          <w:bCs/>
          <w:szCs w:val="24"/>
          <w:lang w:eastAsia="zh-CN"/>
        </w:rPr>
        <w:t>A</w:t>
      </w:r>
      <w:proofErr w:type="gramEnd"/>
      <w:r w:rsidRPr="00E827BE">
        <w:rPr>
          <w:rFonts w:eastAsia="Malgun Gothic" w:cs="Times New Roman"/>
          <w:bCs/>
          <w:szCs w:val="24"/>
          <w:lang w:eastAsia="zh-CN"/>
        </w:rPr>
        <w:t xml:space="preserve"> herbal medicine called St John’s Wort has been found to be effective in dealing with depression (Ernst 2000). It is actually suggested that there are trials that were conducted in the United States to test the efficacy of the St John’s Wort, with positive results emerging from randomised trials o</w:t>
      </w:r>
      <w:r>
        <w:rPr>
          <w:rFonts w:eastAsia="Malgun Gothic" w:cs="Times New Roman"/>
          <w:bCs/>
          <w:szCs w:val="24"/>
          <w:lang w:eastAsia="zh-CN"/>
        </w:rPr>
        <w:t xml:space="preserve">n 1,757 patients (Ibid p.396). </w:t>
      </w:r>
    </w:p>
    <w:p w14:paraId="622F1296" w14:textId="77777777"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
          <w:bCs/>
          <w:szCs w:val="24"/>
          <w:lang w:eastAsia="zh-CN"/>
        </w:rPr>
        <w:t>Herbal Medicines Contradictions</w:t>
      </w:r>
    </w:p>
    <w:p w14:paraId="42E8E886" w14:textId="77777777"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t>Side effects might occur with any conventional drug. After pharmacological trials and research studies have been completed, these adverse effects are documented and detailed. After the medicine is marketed, side events are reported and evaluated further. In standard references for doctors treating patients, information about drug components, interactions, pregnancy, breastfeeding, paediatric patients, and dose limits are outlined and made available. Furthermore, to assure conformance, the drug compositions must meet stringent quality control criteria. These medicines include more or less consistent amounts and ratios of ingredients on a regular basis.</w:t>
      </w:r>
    </w:p>
    <w:p w14:paraId="6AA31FBD" w14:textId="1B67C716"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t>Unconventional remedies (such as herbs) have little or no scientific backing, making it difficult for doctors to advise their patients on proper usage or potential toxicity. There are no standardized references, and the majority of herbal preparations have not been tested, uniformed, or quality managed. The quality of one batch may change significantly from that of the next.</w:t>
      </w:r>
    </w:p>
    <w:p w14:paraId="0F0596EA" w14:textId="77777777" w:rsidR="00E827BE" w:rsidRPr="00E827BE" w:rsidRDefault="00E827BE" w:rsidP="00E827BE">
      <w:pPr>
        <w:spacing w:line="360" w:lineRule="auto"/>
        <w:rPr>
          <w:rFonts w:eastAsia="Malgun Gothic" w:cs="Times New Roman"/>
          <w:bCs/>
          <w:szCs w:val="24"/>
          <w:lang w:eastAsia="zh-CN"/>
        </w:rPr>
      </w:pPr>
    </w:p>
    <w:p w14:paraId="69982ADC" w14:textId="5BF70692" w:rsidR="00E827BE" w:rsidRPr="00E827BE" w:rsidRDefault="00E827BE" w:rsidP="00E827BE">
      <w:pPr>
        <w:spacing w:line="360" w:lineRule="auto"/>
        <w:rPr>
          <w:rFonts w:eastAsia="Malgun Gothic" w:cs="Times New Roman"/>
          <w:bCs/>
          <w:szCs w:val="24"/>
          <w:lang w:eastAsia="zh-CN"/>
        </w:rPr>
      </w:pPr>
      <w:r w:rsidRPr="00E827BE">
        <w:rPr>
          <w:rFonts w:eastAsia="Malgun Gothic" w:cs="Times New Roman"/>
          <w:bCs/>
          <w:szCs w:val="24"/>
          <w:lang w:eastAsia="zh-CN"/>
        </w:rPr>
        <w:lastRenderedPageBreak/>
        <w:t xml:space="preserve">Furthermore, even if </w:t>
      </w:r>
      <w:proofErr w:type="gramStart"/>
      <w:r w:rsidRPr="00E827BE">
        <w:rPr>
          <w:rFonts w:eastAsia="Malgun Gothic" w:cs="Times New Roman"/>
          <w:bCs/>
          <w:szCs w:val="24"/>
          <w:lang w:eastAsia="zh-CN"/>
        </w:rPr>
        <w:t>a</w:t>
      </w:r>
      <w:proofErr w:type="gramEnd"/>
      <w:r w:rsidRPr="00E827BE">
        <w:rPr>
          <w:rFonts w:eastAsia="Malgun Gothic" w:cs="Times New Roman"/>
          <w:bCs/>
          <w:szCs w:val="24"/>
          <w:lang w:eastAsia="zh-CN"/>
        </w:rPr>
        <w:t xml:space="preserve"> herb's toxicity is well-known, the manufacturer may or may not provide warnings to end consumers. Consumers are not compelled to be informed about known hazards by manufacturers. The fact is that no agency has approved, supervised, or</w:t>
      </w:r>
      <w:r w:rsidR="001829C6">
        <w:rPr>
          <w:rFonts w:eastAsia="Malgun Gothic" w:cs="Times New Roman"/>
          <w:bCs/>
          <w:szCs w:val="24"/>
          <w:lang w:eastAsia="zh-CN"/>
        </w:rPr>
        <w:t xml:space="preserve"> overseen these "supplements." </w:t>
      </w:r>
    </w:p>
    <w:p w14:paraId="0DB133C2" w14:textId="77777777"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
          <w:bCs/>
          <w:szCs w:val="24"/>
          <w:lang w:eastAsia="zh-CN"/>
        </w:rPr>
        <w:t>Conclusion</w:t>
      </w:r>
    </w:p>
    <w:p w14:paraId="621B5A4A" w14:textId="77777777" w:rsidR="00E827BE" w:rsidRPr="001829C6" w:rsidRDefault="00E827BE" w:rsidP="00E827BE">
      <w:pPr>
        <w:spacing w:line="360" w:lineRule="auto"/>
        <w:rPr>
          <w:rFonts w:eastAsia="Malgun Gothic" w:cs="Times New Roman"/>
          <w:bCs/>
          <w:szCs w:val="24"/>
          <w:lang w:eastAsia="zh-CN"/>
        </w:rPr>
      </w:pPr>
      <w:r w:rsidRPr="001829C6">
        <w:rPr>
          <w:rFonts w:eastAsia="Malgun Gothic" w:cs="Times New Roman"/>
          <w:bCs/>
          <w:szCs w:val="24"/>
          <w:lang w:eastAsia="zh-CN"/>
        </w:rPr>
        <w:t>Herbal medicines remain a part of humanity today just as they were centuries ago. Their application however depends on the magnitude of an ailment individuals are suffering from and religious beliefs such people may have. It has been shown in this essay that herbal medicines have permeated every society around the globe, owing to trade and poverty. The fact that herbal medicines are cost effective could mean that there is less data on the market to study the efficacy, side effects associated with taking medication that is not medically proven (</w:t>
      </w:r>
      <w:proofErr w:type="spellStart"/>
      <w:r w:rsidRPr="001829C6">
        <w:rPr>
          <w:rFonts w:eastAsia="Malgun Gothic" w:cs="Times New Roman"/>
          <w:bCs/>
          <w:szCs w:val="24"/>
          <w:lang w:eastAsia="zh-CN"/>
        </w:rPr>
        <w:t>Pittilo</w:t>
      </w:r>
      <w:proofErr w:type="spellEnd"/>
      <w:r w:rsidRPr="001829C6">
        <w:rPr>
          <w:rFonts w:eastAsia="Malgun Gothic" w:cs="Times New Roman"/>
          <w:bCs/>
          <w:szCs w:val="24"/>
          <w:lang w:eastAsia="zh-CN"/>
        </w:rPr>
        <w:t xml:space="preserve"> 2010). It therefore remains critical to take deliberate efforts to try herbal medicines in laboratories for purposes of reducing intake volume induced side effects and the overall application of these medicines to different special needs such as dementia and Blood Pressure (BP). The studies cited in this essay also provided that a number of herbal medicines are effective in dealing with specified medical problems, suggesting that there is need both at policy and regulatory levels to commit to more studies around the use of </w:t>
      </w:r>
      <w:proofErr w:type="spellStart"/>
      <w:r w:rsidRPr="001829C6">
        <w:rPr>
          <w:rFonts w:eastAsia="Malgun Gothic" w:cs="Times New Roman"/>
          <w:bCs/>
          <w:szCs w:val="24"/>
          <w:lang w:eastAsia="zh-CN"/>
        </w:rPr>
        <w:t>complimentary</w:t>
      </w:r>
      <w:proofErr w:type="spellEnd"/>
      <w:r w:rsidRPr="001829C6">
        <w:rPr>
          <w:rFonts w:eastAsia="Malgun Gothic" w:cs="Times New Roman"/>
          <w:bCs/>
          <w:szCs w:val="24"/>
          <w:lang w:eastAsia="zh-CN"/>
        </w:rPr>
        <w:t xml:space="preserve"> medicine.</w:t>
      </w:r>
    </w:p>
    <w:p w14:paraId="6015BCFD" w14:textId="6DCFACC5" w:rsidR="00E827BE" w:rsidRPr="00E827BE" w:rsidRDefault="00E827BE" w:rsidP="00E827BE">
      <w:pPr>
        <w:spacing w:line="360" w:lineRule="auto"/>
        <w:rPr>
          <w:rFonts w:eastAsia="Malgun Gothic" w:cs="Times New Roman"/>
          <w:b/>
          <w:bCs/>
          <w:szCs w:val="24"/>
          <w:lang w:eastAsia="zh-CN"/>
        </w:rPr>
      </w:pPr>
      <w:r w:rsidRPr="00E827BE">
        <w:rPr>
          <w:rFonts w:eastAsia="Malgun Gothic" w:cs="Times New Roman"/>
          <w:b/>
          <w:bCs/>
          <w:szCs w:val="24"/>
          <w:lang w:eastAsia="zh-CN"/>
        </w:rPr>
        <w:t>References</w:t>
      </w:r>
    </w:p>
    <w:p w14:paraId="3D002075"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 xml:space="preserve">Ernst, E., 2003. Herbal medicines put into context. British Medical Journal, Vol 327, No 7420. pp 881-882. </w:t>
      </w:r>
    </w:p>
    <w:p w14:paraId="48EA0D95"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Howes, M.J.R. and Simmonds, M.S., 2015. Pharmacognosy in the United Kingdom: Past, present, and future. Science, 350(6262), pp.S57-S58.</w:t>
      </w:r>
    </w:p>
    <w:p w14:paraId="5617E83E"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 xml:space="preserve">Choi, R.J., Wong, A.S., Jia, W., Chang, I.M., Wong, R.N., Fan, T.P. and Kim, Y.S., 2015. Ginseng: a panacea linking east </w:t>
      </w:r>
      <w:proofErr w:type="spellStart"/>
      <w:r w:rsidRPr="001829C6">
        <w:rPr>
          <w:rFonts w:eastAsia="Malgun Gothic" w:cs="Times New Roman"/>
          <w:bCs/>
          <w:i/>
          <w:szCs w:val="24"/>
          <w:lang w:eastAsia="zh-CN"/>
        </w:rPr>
        <w:t>asia</w:t>
      </w:r>
      <w:proofErr w:type="spellEnd"/>
      <w:r w:rsidRPr="001829C6">
        <w:rPr>
          <w:rFonts w:eastAsia="Malgun Gothic" w:cs="Times New Roman"/>
          <w:bCs/>
          <w:i/>
          <w:szCs w:val="24"/>
          <w:lang w:eastAsia="zh-CN"/>
        </w:rPr>
        <w:t xml:space="preserve"> and north America. Science, 350(6262), pp.S54-S56.</w:t>
      </w:r>
    </w:p>
    <w:p w14:paraId="6E356791" w14:textId="77777777" w:rsidR="00E827BE" w:rsidRPr="001829C6" w:rsidRDefault="00E827BE" w:rsidP="00E827BE">
      <w:pPr>
        <w:spacing w:line="360" w:lineRule="auto"/>
        <w:rPr>
          <w:rFonts w:eastAsia="Malgun Gothic" w:cs="Times New Roman"/>
          <w:bCs/>
          <w:i/>
          <w:szCs w:val="24"/>
          <w:lang w:eastAsia="zh-CN"/>
        </w:rPr>
      </w:pPr>
      <w:proofErr w:type="spellStart"/>
      <w:r w:rsidRPr="001829C6">
        <w:rPr>
          <w:rFonts w:eastAsia="Malgun Gothic" w:cs="Times New Roman"/>
          <w:bCs/>
          <w:i/>
          <w:szCs w:val="24"/>
          <w:lang w:eastAsia="zh-CN"/>
        </w:rPr>
        <w:t>Pittilo</w:t>
      </w:r>
      <w:proofErr w:type="spellEnd"/>
      <w:r w:rsidRPr="001829C6">
        <w:rPr>
          <w:rFonts w:eastAsia="Malgun Gothic" w:cs="Times New Roman"/>
          <w:bCs/>
          <w:i/>
          <w:szCs w:val="24"/>
          <w:lang w:eastAsia="zh-CN"/>
        </w:rPr>
        <w:t xml:space="preserve">, R.M., 2010. Herbal medicine and acupuncture: protecting patients. </w:t>
      </w:r>
      <w:proofErr w:type="spellStart"/>
      <w:r w:rsidRPr="001829C6">
        <w:rPr>
          <w:rFonts w:eastAsia="Malgun Gothic" w:cs="Times New Roman"/>
          <w:bCs/>
          <w:i/>
          <w:szCs w:val="24"/>
          <w:lang w:eastAsia="zh-CN"/>
        </w:rPr>
        <w:t>Bmj</w:t>
      </w:r>
      <w:proofErr w:type="spellEnd"/>
      <w:r w:rsidRPr="001829C6">
        <w:rPr>
          <w:rFonts w:eastAsia="Malgun Gothic" w:cs="Times New Roman"/>
          <w:bCs/>
          <w:i/>
          <w:szCs w:val="24"/>
          <w:lang w:eastAsia="zh-CN"/>
        </w:rPr>
        <w:t>, 340.</w:t>
      </w:r>
    </w:p>
    <w:p w14:paraId="11D305BD"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 xml:space="preserve">Ernst, E., 2000. Herbal medicines: where is the </w:t>
      </w:r>
      <w:proofErr w:type="gramStart"/>
      <w:r w:rsidRPr="001829C6">
        <w:rPr>
          <w:rFonts w:eastAsia="Malgun Gothic" w:cs="Times New Roman"/>
          <w:bCs/>
          <w:i/>
          <w:szCs w:val="24"/>
          <w:lang w:eastAsia="zh-CN"/>
        </w:rPr>
        <w:t>evidence?:</w:t>
      </w:r>
      <w:proofErr w:type="gramEnd"/>
      <w:r w:rsidRPr="001829C6">
        <w:rPr>
          <w:rFonts w:eastAsia="Malgun Gothic" w:cs="Times New Roman"/>
          <w:bCs/>
          <w:i/>
          <w:szCs w:val="24"/>
          <w:lang w:eastAsia="zh-CN"/>
        </w:rPr>
        <w:t xml:space="preserve"> growing evidence of effectiveness is counterbalanced by inadequate regulation.</w:t>
      </w:r>
    </w:p>
    <w:p w14:paraId="678FD20A"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 xml:space="preserve">Said, O., </w:t>
      </w:r>
      <w:proofErr w:type="spellStart"/>
      <w:r w:rsidRPr="001829C6">
        <w:rPr>
          <w:rFonts w:eastAsia="Malgun Gothic" w:cs="Times New Roman"/>
          <w:bCs/>
          <w:i/>
          <w:szCs w:val="24"/>
          <w:lang w:eastAsia="zh-CN"/>
        </w:rPr>
        <w:t>Fulder</w:t>
      </w:r>
      <w:proofErr w:type="spellEnd"/>
      <w:r w:rsidRPr="001829C6">
        <w:rPr>
          <w:rFonts w:eastAsia="Malgun Gothic" w:cs="Times New Roman"/>
          <w:bCs/>
          <w:i/>
          <w:szCs w:val="24"/>
          <w:lang w:eastAsia="zh-CN"/>
        </w:rPr>
        <w:t xml:space="preserve">, S., Khalil, K., </w:t>
      </w:r>
      <w:proofErr w:type="spellStart"/>
      <w:r w:rsidRPr="001829C6">
        <w:rPr>
          <w:rFonts w:eastAsia="Malgun Gothic" w:cs="Times New Roman"/>
          <w:bCs/>
          <w:i/>
          <w:szCs w:val="24"/>
          <w:lang w:eastAsia="zh-CN"/>
        </w:rPr>
        <w:t>Azaizeh</w:t>
      </w:r>
      <w:proofErr w:type="spellEnd"/>
      <w:r w:rsidRPr="001829C6">
        <w:rPr>
          <w:rFonts w:eastAsia="Malgun Gothic" w:cs="Times New Roman"/>
          <w:bCs/>
          <w:i/>
          <w:szCs w:val="24"/>
          <w:lang w:eastAsia="zh-CN"/>
        </w:rPr>
        <w:t xml:space="preserve">, H., </w:t>
      </w:r>
      <w:proofErr w:type="spellStart"/>
      <w:r w:rsidRPr="001829C6">
        <w:rPr>
          <w:rFonts w:eastAsia="Malgun Gothic" w:cs="Times New Roman"/>
          <w:bCs/>
          <w:i/>
          <w:szCs w:val="24"/>
          <w:lang w:eastAsia="zh-CN"/>
        </w:rPr>
        <w:t>Kassis</w:t>
      </w:r>
      <w:proofErr w:type="spellEnd"/>
      <w:r w:rsidRPr="001829C6">
        <w:rPr>
          <w:rFonts w:eastAsia="Malgun Gothic" w:cs="Times New Roman"/>
          <w:bCs/>
          <w:i/>
          <w:szCs w:val="24"/>
          <w:lang w:eastAsia="zh-CN"/>
        </w:rPr>
        <w:t>, E. and Saad, B., 2008. Maintaining a physiological blood glucose level with ‘</w:t>
      </w:r>
      <w:proofErr w:type="spellStart"/>
      <w:r w:rsidRPr="001829C6">
        <w:rPr>
          <w:rFonts w:eastAsia="Malgun Gothic" w:cs="Times New Roman"/>
          <w:bCs/>
          <w:i/>
          <w:szCs w:val="24"/>
          <w:lang w:eastAsia="zh-CN"/>
        </w:rPr>
        <w:t>glucolevel</w:t>
      </w:r>
      <w:proofErr w:type="spellEnd"/>
      <w:r w:rsidRPr="001829C6">
        <w:rPr>
          <w:rFonts w:eastAsia="Malgun Gothic" w:cs="Times New Roman"/>
          <w:bCs/>
          <w:i/>
          <w:szCs w:val="24"/>
          <w:lang w:eastAsia="zh-CN"/>
        </w:rPr>
        <w:t xml:space="preserve">’, a combination of four anti-diabetes </w:t>
      </w:r>
      <w:r w:rsidRPr="001829C6">
        <w:rPr>
          <w:rFonts w:eastAsia="Malgun Gothic" w:cs="Times New Roman"/>
          <w:bCs/>
          <w:i/>
          <w:szCs w:val="24"/>
          <w:lang w:eastAsia="zh-CN"/>
        </w:rPr>
        <w:lastRenderedPageBreak/>
        <w:t>plants used in the traditional Arab herbal medicine. Evidence-Based Complementary and Alternative Medicine, 5(4), pp.421-428.</w:t>
      </w:r>
    </w:p>
    <w:p w14:paraId="1379B42F"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Keshet, Y. and Popper‐</w:t>
      </w:r>
      <w:proofErr w:type="spellStart"/>
      <w:r w:rsidRPr="001829C6">
        <w:rPr>
          <w:rFonts w:eastAsia="Malgun Gothic" w:cs="Times New Roman"/>
          <w:bCs/>
          <w:i/>
          <w:szCs w:val="24"/>
          <w:lang w:eastAsia="zh-CN"/>
        </w:rPr>
        <w:t>Giveon</w:t>
      </w:r>
      <w:proofErr w:type="spellEnd"/>
      <w:r w:rsidRPr="001829C6">
        <w:rPr>
          <w:rFonts w:eastAsia="Malgun Gothic" w:cs="Times New Roman"/>
          <w:bCs/>
          <w:i/>
          <w:szCs w:val="24"/>
          <w:lang w:eastAsia="zh-CN"/>
        </w:rPr>
        <w:t xml:space="preserve">, A., 2013. Integrative health care in Israel and traditional </w:t>
      </w:r>
      <w:proofErr w:type="spellStart"/>
      <w:r w:rsidRPr="001829C6">
        <w:rPr>
          <w:rFonts w:eastAsia="Malgun Gothic" w:cs="Times New Roman"/>
          <w:bCs/>
          <w:i/>
          <w:szCs w:val="24"/>
          <w:lang w:eastAsia="zh-CN"/>
        </w:rPr>
        <w:t>arab</w:t>
      </w:r>
      <w:proofErr w:type="spellEnd"/>
      <w:r w:rsidRPr="001829C6">
        <w:rPr>
          <w:rFonts w:eastAsia="Malgun Gothic" w:cs="Times New Roman"/>
          <w:bCs/>
          <w:i/>
          <w:szCs w:val="24"/>
          <w:lang w:eastAsia="zh-CN"/>
        </w:rPr>
        <w:t xml:space="preserve"> herbal medicine: when health care interfaces with culture and politics. Medical Anthropology Quarterly, 27(3), pp.368-384.</w:t>
      </w:r>
    </w:p>
    <w:p w14:paraId="3F022DCA" w14:textId="77777777" w:rsidR="00E827BE" w:rsidRPr="001829C6" w:rsidRDefault="00E827BE" w:rsidP="00E827BE">
      <w:pPr>
        <w:spacing w:line="360" w:lineRule="auto"/>
        <w:rPr>
          <w:rFonts w:eastAsia="Malgun Gothic" w:cs="Times New Roman"/>
          <w:bCs/>
          <w:i/>
          <w:szCs w:val="24"/>
          <w:lang w:eastAsia="zh-CN"/>
        </w:rPr>
      </w:pPr>
      <w:proofErr w:type="spellStart"/>
      <w:r w:rsidRPr="001829C6">
        <w:rPr>
          <w:rFonts w:eastAsia="Malgun Gothic" w:cs="Times New Roman"/>
          <w:bCs/>
          <w:i/>
          <w:szCs w:val="24"/>
          <w:lang w:eastAsia="zh-CN"/>
        </w:rPr>
        <w:t>Wisecup</w:t>
      </w:r>
      <w:proofErr w:type="spellEnd"/>
      <w:r w:rsidRPr="001829C6">
        <w:rPr>
          <w:rFonts w:eastAsia="Malgun Gothic" w:cs="Times New Roman"/>
          <w:bCs/>
          <w:i/>
          <w:szCs w:val="24"/>
          <w:lang w:eastAsia="zh-CN"/>
        </w:rPr>
        <w:t>, K., 2012. Medicine, communication, and authority in Samson Occom's Herbal. Early American Studies, pp.540-565.</w:t>
      </w:r>
    </w:p>
    <w:p w14:paraId="51A3797F"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Clark, P.A., 2000. The ethics of alternative medicine therapies. Journal of Public Health Policy, 21(4), pp.447-470.</w:t>
      </w:r>
    </w:p>
    <w:p w14:paraId="0778D22F" w14:textId="77777777" w:rsidR="00E827BE" w:rsidRPr="001829C6" w:rsidRDefault="00E827BE" w:rsidP="00E827BE">
      <w:pPr>
        <w:spacing w:line="360" w:lineRule="auto"/>
        <w:rPr>
          <w:rFonts w:eastAsia="Malgun Gothic" w:cs="Times New Roman"/>
          <w:bCs/>
          <w:i/>
          <w:szCs w:val="24"/>
          <w:lang w:eastAsia="zh-CN"/>
        </w:rPr>
      </w:pPr>
      <w:r w:rsidRPr="001829C6">
        <w:rPr>
          <w:rFonts w:eastAsia="Malgun Gothic" w:cs="Times New Roman"/>
          <w:bCs/>
          <w:i/>
          <w:szCs w:val="24"/>
          <w:lang w:eastAsia="zh-CN"/>
        </w:rPr>
        <w:t>Shelton, T.V., 2013. Curiosity or Cure? : Chinese Medicine and American Orientalism in Progressive Era California and Oregon. Oregon Historical Quarterly, 114(3), pp.266-291.</w:t>
      </w:r>
    </w:p>
    <w:p w14:paraId="63B6684B" w14:textId="41240EC5" w:rsidR="0033718E" w:rsidRPr="001829C6" w:rsidRDefault="00E827BE" w:rsidP="00E827BE">
      <w:pPr>
        <w:spacing w:line="360" w:lineRule="auto"/>
        <w:rPr>
          <w:rFonts w:ascii="Arial" w:hAnsi="Arial" w:cs="Arial"/>
          <w:i/>
          <w:sz w:val="22"/>
        </w:rPr>
      </w:pPr>
      <w:r w:rsidRPr="001829C6">
        <w:rPr>
          <w:rFonts w:eastAsia="Malgun Gothic" w:cs="Times New Roman"/>
          <w:bCs/>
          <w:i/>
          <w:szCs w:val="24"/>
          <w:lang w:eastAsia="zh-CN"/>
        </w:rPr>
        <w:t xml:space="preserve">William C. Shiel Jr., MD, FACP, FACR 2021Herbs: Toxicities and Drug Interactions </w:t>
      </w:r>
      <w:proofErr w:type="spellStart"/>
      <w:r w:rsidRPr="001829C6">
        <w:rPr>
          <w:rFonts w:eastAsia="Malgun Gothic" w:cs="Times New Roman"/>
          <w:bCs/>
          <w:i/>
          <w:szCs w:val="24"/>
          <w:lang w:eastAsia="zh-CN"/>
        </w:rPr>
        <w:t>MedicineNet</w:t>
      </w:r>
      <w:proofErr w:type="spellEnd"/>
    </w:p>
    <w:sectPr w:rsidR="0033718E" w:rsidRPr="001829C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980AB" w14:textId="77777777" w:rsidR="00E57347" w:rsidRDefault="00E57347" w:rsidP="0033718E">
      <w:pPr>
        <w:spacing w:after="0" w:line="240" w:lineRule="auto"/>
      </w:pPr>
      <w:r>
        <w:separator/>
      </w:r>
    </w:p>
  </w:endnote>
  <w:endnote w:type="continuationSeparator" w:id="0">
    <w:p w14:paraId="1D1BFFD5" w14:textId="77777777" w:rsidR="00E57347" w:rsidRDefault="00E57347" w:rsidP="00337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32604"/>
      <w:docPartObj>
        <w:docPartGallery w:val="Page Numbers (Bottom of Page)"/>
        <w:docPartUnique/>
      </w:docPartObj>
    </w:sdtPr>
    <w:sdtEndPr>
      <w:rPr>
        <w:noProof/>
      </w:rPr>
    </w:sdtEndPr>
    <w:sdtContent>
      <w:p w14:paraId="62D8F316" w14:textId="2B84EFA1" w:rsidR="0033718E" w:rsidRDefault="0033718E">
        <w:pPr>
          <w:pStyle w:val="Footer"/>
          <w:jc w:val="center"/>
        </w:pPr>
        <w:r>
          <w:fldChar w:fldCharType="begin"/>
        </w:r>
        <w:r>
          <w:instrText xml:space="preserve"> PAGE   \* MERGEFORMAT </w:instrText>
        </w:r>
        <w:r>
          <w:fldChar w:fldCharType="separate"/>
        </w:r>
        <w:r w:rsidR="001829C6">
          <w:rPr>
            <w:noProof/>
          </w:rPr>
          <w:t>6</w:t>
        </w:r>
        <w:r>
          <w:rPr>
            <w:noProof/>
          </w:rPr>
          <w:fldChar w:fldCharType="end"/>
        </w:r>
      </w:p>
    </w:sdtContent>
  </w:sdt>
  <w:p w14:paraId="7E0B29EB" w14:textId="77777777" w:rsidR="0033718E" w:rsidRDefault="00337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18BB5" w14:textId="77777777" w:rsidR="00E57347" w:rsidRDefault="00E57347" w:rsidP="0033718E">
      <w:pPr>
        <w:spacing w:after="0" w:line="240" w:lineRule="auto"/>
      </w:pPr>
      <w:r>
        <w:separator/>
      </w:r>
    </w:p>
  </w:footnote>
  <w:footnote w:type="continuationSeparator" w:id="0">
    <w:p w14:paraId="2F6DBEDC" w14:textId="77777777" w:rsidR="00E57347" w:rsidRDefault="00E57347" w:rsidP="003371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5C60DA"/>
    <w:multiLevelType w:val="hybridMultilevel"/>
    <w:tmpl w:val="CEC61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426"/>
    <w:rsid w:val="001829C6"/>
    <w:rsid w:val="001A4A3F"/>
    <w:rsid w:val="001E78B5"/>
    <w:rsid w:val="00333492"/>
    <w:rsid w:val="0033718E"/>
    <w:rsid w:val="00387BCF"/>
    <w:rsid w:val="00522EAC"/>
    <w:rsid w:val="00561F0C"/>
    <w:rsid w:val="00705787"/>
    <w:rsid w:val="0092430C"/>
    <w:rsid w:val="009A1000"/>
    <w:rsid w:val="00C72E75"/>
    <w:rsid w:val="00E57347"/>
    <w:rsid w:val="00E827BE"/>
    <w:rsid w:val="00E944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FD1C"/>
  <w15:chartTrackingRefBased/>
  <w15:docId w15:val="{CC4809E3-BB2F-4FB2-A8CB-90AD3975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426"/>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18E"/>
    <w:pPr>
      <w:ind w:left="720"/>
      <w:contextualSpacing/>
    </w:pPr>
  </w:style>
  <w:style w:type="paragraph" w:styleId="Header">
    <w:name w:val="header"/>
    <w:basedOn w:val="Normal"/>
    <w:link w:val="HeaderChar"/>
    <w:uiPriority w:val="99"/>
    <w:unhideWhenUsed/>
    <w:rsid w:val="00337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18E"/>
    <w:rPr>
      <w:rFonts w:ascii="Times New Roman" w:eastAsiaTheme="minorHAnsi" w:hAnsi="Times New Roman"/>
      <w:sz w:val="24"/>
      <w:lang w:eastAsia="en-US"/>
    </w:rPr>
  </w:style>
  <w:style w:type="paragraph" w:styleId="Footer">
    <w:name w:val="footer"/>
    <w:basedOn w:val="Normal"/>
    <w:link w:val="FooterChar"/>
    <w:uiPriority w:val="99"/>
    <w:unhideWhenUsed/>
    <w:rsid w:val="00337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18E"/>
    <w:rPr>
      <w:rFonts w:ascii="Times New Roman" w:eastAsiaTheme="minorHAnsi"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1633</Words>
  <Characters>9310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Richard Kanjoma (1916228)</cp:lastModifiedBy>
  <cp:revision>2</cp:revision>
  <dcterms:created xsi:type="dcterms:W3CDTF">2021-12-10T20:57:00Z</dcterms:created>
  <dcterms:modified xsi:type="dcterms:W3CDTF">2021-12-10T20:57:00Z</dcterms:modified>
</cp:coreProperties>
</file>