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1D97" w:rsidRDefault="00C11D97" w:rsidP="00C11D97">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C11D97" w:rsidRDefault="00C11D97" w:rsidP="00C11D97">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C11D97" w:rsidRPr="001E50BB" w:rsidRDefault="00C11D97" w:rsidP="00C11D97">
      <w:pPr>
        <w:jc w:val="center"/>
        <w:rPr>
          <w:rFonts w:ascii="Arial" w:hAnsi="Arial" w:cs="Arial"/>
          <w:b/>
          <w:lang w:val="cy-GB"/>
        </w:rPr>
      </w:pPr>
      <w:r w:rsidRPr="001E50BB">
        <w:rPr>
          <w:rFonts w:ascii="Arial" w:hAnsi="Arial" w:cs="Arial"/>
          <w:b/>
          <w:lang w:val="cy-GB"/>
        </w:rPr>
        <w:t>(to be completed by marker)</w:t>
      </w:r>
    </w:p>
    <w:p w:rsidR="00C11D97" w:rsidRPr="001E50BB" w:rsidRDefault="00C11D97" w:rsidP="00C11D97">
      <w:pPr>
        <w:jc w:val="center"/>
        <w:rPr>
          <w:rFonts w:ascii="Arial" w:hAnsi="Arial" w:cs="Arial"/>
          <w:b/>
          <w:lang w:val="cy-GB"/>
        </w:rPr>
      </w:pPr>
    </w:p>
    <w:p w:rsidR="00C11D97" w:rsidRDefault="00C11D97" w:rsidP="00C11D97">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4"/>
        <w:gridCol w:w="1940"/>
        <w:gridCol w:w="1966"/>
      </w:tblGrid>
      <w:tr w:rsidR="00C11D97" w:rsidRPr="0065654E" w:rsidTr="00851D5E">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C11D97" w:rsidRDefault="00C11D97" w:rsidP="00851D5E">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w:t>
            </w:r>
            <w:r>
              <w:rPr>
                <w:rFonts w:ascii="Calibri" w:hAnsi="Calibri" w:cs="Tahoma"/>
                <w:i/>
                <w:sz w:val="24"/>
                <w:szCs w:val="24"/>
              </w:rPr>
              <w:t xml:space="preserve"> Rachel Owen</w:t>
            </w:r>
          </w:p>
          <w:p w:rsidR="00C11D97" w:rsidRPr="0065654E" w:rsidRDefault="00C11D97" w:rsidP="00851D5E">
            <w:pPr>
              <w:pStyle w:val="NormalWeb"/>
              <w:spacing w:before="0" w:beforeAutospacing="0" w:after="0" w:afterAutospacing="0"/>
              <w:ind w:right="34"/>
              <w:rPr>
                <w:rFonts w:ascii="Calibri" w:hAnsi="Calibri" w:cs="Tahoma"/>
                <w:i/>
                <w:sz w:val="24"/>
                <w:szCs w:val="24"/>
              </w:rPr>
            </w:pPr>
          </w:p>
        </w:tc>
      </w:tr>
      <w:tr w:rsidR="00C11D97" w:rsidRPr="0065654E" w:rsidTr="00851D5E">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F9145D" w:rsidRPr="00D250BC" w:rsidRDefault="00C11D97" w:rsidP="00F9145D">
            <w:pPr>
              <w:rPr>
                <w:rFonts w:cstheme="minorHAnsi"/>
                <w:sz w:val="52"/>
              </w:rPr>
            </w:pPr>
            <w:r>
              <w:rPr>
                <w:rFonts w:ascii="Calibri" w:hAnsi="Calibri" w:cs="Tahoma"/>
                <w:i/>
              </w:rPr>
              <w:t xml:space="preserve">Module Code: </w:t>
            </w:r>
            <w:r w:rsidR="00F9145D" w:rsidRPr="00F9145D">
              <w:rPr>
                <w:rFonts w:asciiTheme="minorHAnsi" w:hAnsiTheme="minorHAnsi" w:cstheme="minorHAnsi"/>
              </w:rPr>
              <w:t>HPHI4005</w:t>
            </w:r>
          </w:p>
          <w:p w:rsidR="00C11D97" w:rsidRDefault="00C11D97" w:rsidP="00851D5E">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sidR="00F9145D">
              <w:rPr>
                <w:rFonts w:ascii="Calibri" w:hAnsi="Calibri" w:cs="Tahoma"/>
                <w:i/>
                <w:sz w:val="24"/>
                <w:szCs w:val="24"/>
              </w:rPr>
              <w:t>Age of Revolution: Transformation &amp; Change in Europe &amp; Beyond, c. 1789-1848</w:t>
            </w:r>
          </w:p>
          <w:p w:rsidR="00C11D97" w:rsidRPr="0065654E" w:rsidRDefault="00C11D97" w:rsidP="00851D5E">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C11D97" w:rsidRPr="0065654E" w:rsidRDefault="00C11D97" w:rsidP="00851D5E">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sidR="00F9145D">
              <w:rPr>
                <w:rFonts w:ascii="Calibri" w:hAnsi="Calibri" w:cs="Tahoma"/>
                <w:i/>
                <w:sz w:val="24"/>
                <w:szCs w:val="24"/>
              </w:rPr>
              <w:t xml:space="preserve"> 1801974</w:t>
            </w:r>
          </w:p>
        </w:tc>
      </w:tr>
      <w:tr w:rsidR="00C11D97" w:rsidRPr="0065654E" w:rsidTr="00851D5E">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C11D97" w:rsidRPr="0065654E" w:rsidRDefault="00C11D97" w:rsidP="00851D5E">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C11D97" w:rsidRDefault="00C11D97" w:rsidP="00851D5E">
            <w:pPr>
              <w:pStyle w:val="NormalWeb"/>
              <w:rPr>
                <w:rFonts w:ascii="Calibri" w:hAnsi="Calibri" w:cs="Tahoma"/>
                <w:i/>
                <w:sz w:val="24"/>
                <w:szCs w:val="24"/>
              </w:rPr>
            </w:pPr>
            <w:r w:rsidRPr="0065654E">
              <w:rPr>
                <w:rFonts w:ascii="Calibri" w:hAnsi="Calibri" w:cs="Tahoma"/>
                <w:i/>
                <w:sz w:val="24"/>
                <w:szCs w:val="24"/>
              </w:rPr>
              <w:t>Comments:</w:t>
            </w:r>
          </w:p>
          <w:p w:rsidR="00C11D97" w:rsidRDefault="00C11D97" w:rsidP="00851D5E">
            <w:pPr>
              <w:pStyle w:val="NormalWeb"/>
              <w:rPr>
                <w:rFonts w:ascii="Calibri" w:hAnsi="Calibri" w:cs="Tahoma"/>
                <w:i/>
                <w:sz w:val="24"/>
                <w:szCs w:val="24"/>
              </w:rPr>
            </w:pPr>
          </w:p>
          <w:p w:rsidR="00C11D97" w:rsidRDefault="00C11D97" w:rsidP="00851D5E">
            <w:pPr>
              <w:pStyle w:val="NormalWeb"/>
              <w:rPr>
                <w:rFonts w:ascii="Calibri" w:hAnsi="Calibri" w:cs="Tahoma"/>
                <w:i/>
                <w:sz w:val="24"/>
                <w:szCs w:val="24"/>
              </w:rPr>
            </w:pPr>
          </w:p>
          <w:p w:rsidR="00C11D97" w:rsidRDefault="00C11D97" w:rsidP="00851D5E">
            <w:pPr>
              <w:pStyle w:val="NormalWeb"/>
              <w:rPr>
                <w:rFonts w:ascii="Calibri" w:hAnsi="Calibri" w:cs="Tahoma"/>
                <w:i/>
                <w:sz w:val="24"/>
                <w:szCs w:val="24"/>
              </w:rPr>
            </w:pPr>
          </w:p>
          <w:p w:rsidR="00C11D97" w:rsidRDefault="00C11D97" w:rsidP="00851D5E">
            <w:pPr>
              <w:pStyle w:val="NormalWeb"/>
              <w:rPr>
                <w:rFonts w:ascii="Calibri" w:hAnsi="Calibri" w:cs="Tahoma"/>
                <w:i/>
                <w:sz w:val="24"/>
                <w:szCs w:val="24"/>
              </w:rPr>
            </w:pPr>
          </w:p>
          <w:p w:rsidR="00C11D97" w:rsidRDefault="00C11D97" w:rsidP="00851D5E">
            <w:pPr>
              <w:pStyle w:val="NormalWeb"/>
              <w:rPr>
                <w:rFonts w:ascii="Calibri" w:hAnsi="Calibri" w:cs="Tahoma"/>
                <w:i/>
                <w:sz w:val="24"/>
                <w:szCs w:val="24"/>
              </w:rPr>
            </w:pPr>
          </w:p>
          <w:p w:rsidR="00C11D97" w:rsidRDefault="00C11D97" w:rsidP="00851D5E">
            <w:pPr>
              <w:pStyle w:val="NormalWeb"/>
              <w:rPr>
                <w:rFonts w:ascii="Calibri" w:hAnsi="Calibri" w:cs="Tahoma"/>
                <w:i/>
                <w:sz w:val="24"/>
                <w:szCs w:val="24"/>
              </w:rPr>
            </w:pPr>
          </w:p>
          <w:p w:rsidR="00C11D97" w:rsidRDefault="00C11D97" w:rsidP="00851D5E">
            <w:pPr>
              <w:pStyle w:val="NormalWeb"/>
              <w:rPr>
                <w:rFonts w:ascii="Calibri" w:hAnsi="Calibri" w:cs="Tahoma"/>
                <w:i/>
                <w:sz w:val="24"/>
                <w:szCs w:val="24"/>
              </w:rPr>
            </w:pPr>
          </w:p>
          <w:p w:rsidR="00C11D97" w:rsidRDefault="00C11D97" w:rsidP="00851D5E">
            <w:pPr>
              <w:pStyle w:val="NormalWeb"/>
              <w:rPr>
                <w:rFonts w:ascii="Calibri" w:hAnsi="Calibri" w:cs="Tahoma"/>
                <w:i/>
                <w:sz w:val="24"/>
                <w:szCs w:val="24"/>
              </w:rPr>
            </w:pPr>
          </w:p>
          <w:p w:rsidR="00C11D97" w:rsidRDefault="00C11D97" w:rsidP="00851D5E">
            <w:pPr>
              <w:pStyle w:val="NormalWeb"/>
              <w:rPr>
                <w:rFonts w:ascii="Calibri" w:hAnsi="Calibri" w:cs="Tahoma"/>
                <w:i/>
                <w:sz w:val="24"/>
                <w:szCs w:val="24"/>
              </w:rPr>
            </w:pPr>
          </w:p>
          <w:p w:rsidR="00C11D97" w:rsidRDefault="00C11D97" w:rsidP="00851D5E">
            <w:pPr>
              <w:pStyle w:val="NormalWeb"/>
              <w:rPr>
                <w:rFonts w:ascii="Calibri" w:hAnsi="Calibri" w:cs="Tahoma"/>
                <w:i/>
                <w:sz w:val="24"/>
                <w:szCs w:val="24"/>
              </w:rPr>
            </w:pPr>
          </w:p>
          <w:p w:rsidR="00C11D97" w:rsidRPr="0065654E" w:rsidRDefault="00C11D97" w:rsidP="00851D5E">
            <w:pPr>
              <w:pStyle w:val="NormalWeb"/>
              <w:rPr>
                <w:rFonts w:ascii="Calibri" w:hAnsi="Calibri" w:cs="Tahoma"/>
                <w:i/>
                <w:sz w:val="24"/>
                <w:szCs w:val="24"/>
              </w:rPr>
            </w:pPr>
          </w:p>
        </w:tc>
      </w:tr>
      <w:tr w:rsidR="00C11D97" w:rsidRPr="0065654E" w:rsidTr="00851D5E">
        <w:trPr>
          <w:trHeight w:val="492"/>
        </w:trPr>
        <w:tc>
          <w:tcPr>
            <w:tcW w:w="6768" w:type="dxa"/>
            <w:gridSpan w:val="2"/>
            <w:tcBorders>
              <w:top w:val="single" w:sz="4" w:space="0" w:color="auto"/>
            </w:tcBorders>
            <w:vAlign w:val="center"/>
          </w:tcPr>
          <w:p w:rsidR="00C11D97" w:rsidRPr="0065654E" w:rsidRDefault="00C11D97" w:rsidP="00851D5E">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C11D97" w:rsidRPr="0065654E" w:rsidRDefault="00C11D97" w:rsidP="00851D5E">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C11D97" w:rsidRPr="0065654E" w:rsidTr="00851D5E">
        <w:tc>
          <w:tcPr>
            <w:tcW w:w="8755" w:type="dxa"/>
            <w:gridSpan w:val="3"/>
            <w:vAlign w:val="center"/>
          </w:tcPr>
          <w:p w:rsidR="00C11D97" w:rsidRDefault="00C11D97" w:rsidP="00851D5E">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C11D97" w:rsidRPr="0065654E" w:rsidRDefault="00C11D97" w:rsidP="00851D5E">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lastRenderedPageBreak/>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C11D97" w:rsidRPr="004A372D" w:rsidRDefault="00C11D97" w:rsidP="00C11D97">
      <w:pPr>
        <w:pStyle w:val="NormalWeb"/>
        <w:spacing w:before="0" w:beforeAutospacing="0" w:after="0" w:afterAutospacing="0"/>
        <w:ind w:right="-334"/>
        <w:rPr>
          <w:rFonts w:ascii="Times New Roman" w:hAnsi="Times New Roman"/>
          <w:bCs/>
          <w:sz w:val="24"/>
          <w:szCs w:val="24"/>
        </w:rPr>
      </w:pPr>
    </w:p>
    <w:p w:rsidR="004A372D" w:rsidRDefault="004A372D"/>
    <w:p w:rsidR="004A372D" w:rsidRDefault="004A372D"/>
    <w:p w:rsidR="004A372D" w:rsidRDefault="004A372D" w:rsidP="00EE10A5">
      <w:pPr>
        <w:jc w:val="both"/>
      </w:pPr>
      <w:r>
        <w:t>Antoine-Francois Callet composed a full body</w:t>
      </w:r>
      <w:r w:rsidR="00FE098B">
        <w:t xml:space="preserve"> </w:t>
      </w:r>
      <w:r>
        <w:t>portrait of King Louis XVI at</w:t>
      </w:r>
      <w:r w:rsidR="00FE098B">
        <w:t xml:space="preserve"> his</w:t>
      </w:r>
      <w:r>
        <w:t xml:space="preserve"> home</w:t>
      </w:r>
      <w:r w:rsidR="0065733A">
        <w:rPr>
          <w:rStyle w:val="FootnoteReference"/>
        </w:rPr>
        <w:footnoteReference w:id="1"/>
      </w:r>
      <w:r>
        <w:t xml:space="preserve">. The portrait was later engraved by Charles Clement </w:t>
      </w:r>
      <w:r w:rsidR="00C77540">
        <w:t xml:space="preserve">Balvay and given to George Washington as Louis XVI was an important supporting figure and close personal friend during the American Revolution in 1765. </w:t>
      </w:r>
    </w:p>
    <w:p w:rsidR="00C77540" w:rsidRDefault="00C77540" w:rsidP="00EE10A5">
      <w:pPr>
        <w:jc w:val="both"/>
      </w:pPr>
    </w:p>
    <w:p w:rsidR="005E2339" w:rsidRDefault="00C77540" w:rsidP="00EE10A5">
      <w:pPr>
        <w:jc w:val="both"/>
      </w:pPr>
      <w:r>
        <w:t>Louis</w:t>
      </w:r>
      <w:r w:rsidR="002B5441">
        <w:t>’</w:t>
      </w:r>
      <w:r>
        <w:t xml:space="preserve"> portrayal is that of a strong, desirable King, he is depicted this way due to his being The Dauphin</w:t>
      </w:r>
      <w:r w:rsidR="004B0E77">
        <w:t xml:space="preserve">. </w:t>
      </w:r>
      <w:r>
        <w:t>Upon this duty, Louis married Marie Antoinette in 1770 in addition to securing an alliance between France and Austria. Callet’s construction of Louis</w:t>
      </w:r>
      <w:r w:rsidR="002B5441">
        <w:t>’</w:t>
      </w:r>
      <w:r>
        <w:t xml:space="preserve"> ‘strong legs’ highlights him as powerful and links to his love for horse-riding stress</w:t>
      </w:r>
      <w:r w:rsidR="005E2339">
        <w:t>ing</w:t>
      </w:r>
      <w:r>
        <w:t xml:space="preserve"> his athleticism</w:t>
      </w:r>
      <w:r w:rsidR="005E2339">
        <w:t>.</w:t>
      </w:r>
      <w:r w:rsidR="002B5441">
        <w:t xml:space="preserve"> </w:t>
      </w:r>
      <w:r w:rsidR="005E2339">
        <w:t xml:space="preserve">The ‘wig’ has a neat and professional style connotating his personal attributes; it is reminiscing of the wigs later used in court appearances but was more likely a symbol of fashion put forward by Charles II. </w:t>
      </w:r>
      <w:r w:rsidR="004B0E77">
        <w:t>Louis</w:t>
      </w:r>
      <w:r w:rsidR="005E2339">
        <w:t xml:space="preserve"> ‘hat’ is either a Tricorne or Bicorne </w:t>
      </w:r>
      <w:r w:rsidR="002B5441">
        <w:t xml:space="preserve">and is similar to </w:t>
      </w:r>
      <w:r w:rsidR="00272718">
        <w:t>one</w:t>
      </w:r>
      <w:r w:rsidR="002B5441">
        <w:t xml:space="preserve"> his grandfather possessed in his portraits, showing his respect for his predecessors. Further respect for his family can be shown in his similar ‘stance’ to Louis XIV portrait by Hyacinthe Rigaud. The example of ‘white clothing’ he wears are to lighten his skin tone intern making h</w:t>
      </w:r>
      <w:r w:rsidR="009252A3">
        <w:t>i</w:t>
      </w:r>
      <w:r w:rsidR="002B5441">
        <w:t>m appear more</w:t>
      </w:r>
      <w:r w:rsidR="004B0E77">
        <w:t xml:space="preserve"> aesthetically</w:t>
      </w:r>
      <w:r w:rsidR="002B5441">
        <w:t xml:space="preserve"> pleasing. </w:t>
      </w:r>
    </w:p>
    <w:p w:rsidR="002B5441" w:rsidRDefault="002B5441" w:rsidP="00EE10A5">
      <w:pPr>
        <w:jc w:val="both"/>
      </w:pPr>
    </w:p>
    <w:p w:rsidR="009252A3" w:rsidRDefault="002B5441" w:rsidP="00EE10A5">
      <w:pPr>
        <w:jc w:val="both"/>
      </w:pPr>
      <w:r>
        <w:t xml:space="preserve">The King </w:t>
      </w:r>
      <w:r w:rsidR="004B0E77">
        <w:t xml:space="preserve">has a reputation </w:t>
      </w:r>
      <w:r>
        <w:t>to shy away from certain responsibilities; David</w:t>
      </w:r>
      <w:r w:rsidR="0065733A">
        <w:t xml:space="preserve"> L. Dowd states: “He found it difficult to concentrate on the dull business of government”</w:t>
      </w:r>
      <w:r w:rsidR="0065733A">
        <w:rPr>
          <w:rStyle w:val="FootnoteReference"/>
        </w:rPr>
        <w:footnoteReference w:id="2"/>
      </w:r>
      <w:r w:rsidR="0065733A">
        <w:t>. His statement highlights the King</w:t>
      </w:r>
      <w:r w:rsidR="00E65D63">
        <w:t xml:space="preserve"> having</w:t>
      </w:r>
      <w:r w:rsidR="0065733A">
        <w:t xml:space="preserve"> mediocre</w:t>
      </w:r>
      <w:r w:rsidR="00E65D63">
        <w:t xml:space="preserve"> knowledge capability</w:t>
      </w:r>
      <w:r w:rsidR="0065733A">
        <w:t xml:space="preserve"> despite his being educated and excelling </w:t>
      </w:r>
      <w:r w:rsidR="004B0E77">
        <w:t>at</w:t>
      </w:r>
      <w:r w:rsidR="0065733A">
        <w:t xml:space="preserve"> History. </w:t>
      </w:r>
      <w:r w:rsidR="00E65D63">
        <w:t>Callet portrays this passion through the extensive Roman symbolism in the background. The ‘painting’ behind the column appears to be of a Roman Empire vessel likely</w:t>
      </w:r>
      <w:r w:rsidR="00367677">
        <w:t xml:space="preserve"> engaged</w:t>
      </w:r>
      <w:r w:rsidR="00E65D63">
        <w:t xml:space="preserve"> in the Battle of </w:t>
      </w:r>
      <w:r w:rsidR="00367677">
        <w:t>Actium, this speaks to Louis’ appreciation of the era of great heroes, power and theology. A ‘shield’</w:t>
      </w:r>
      <w:r w:rsidR="002D2CC7">
        <w:t xml:space="preserve"> </w:t>
      </w:r>
      <w:r w:rsidR="00367677">
        <w:t xml:space="preserve">depicts a form of Lady Justice; it could be </w:t>
      </w:r>
      <w:r w:rsidR="00367677" w:rsidRPr="00EE10A5">
        <w:rPr>
          <w:i/>
        </w:rPr>
        <w:t>Justitia</w:t>
      </w:r>
      <w:r w:rsidR="00367677">
        <w:t xml:space="preserve">, the Goddess of jurisdiction or </w:t>
      </w:r>
      <w:r w:rsidR="00367677" w:rsidRPr="00EE10A5">
        <w:rPr>
          <w:i/>
        </w:rPr>
        <w:t>Themis</w:t>
      </w:r>
      <w:r w:rsidR="00367677">
        <w:t>, the Titaness of divine law and order, both represent the law proceedings the King is meant to uphold. The ‘column’ represents power and authority signifying the King holds up the palace and the monarchy. These artefacts stress the iconography of western civilization that Louis admired from the Roman Empire and wished to bestow upon his people</w:t>
      </w:r>
      <w:r w:rsidR="009252A3">
        <w:t>.</w:t>
      </w:r>
      <w:r w:rsidR="00367677">
        <w:t xml:space="preserve"> </w:t>
      </w:r>
    </w:p>
    <w:p w:rsidR="009252A3" w:rsidRDefault="009252A3" w:rsidP="00EE10A5">
      <w:pPr>
        <w:jc w:val="both"/>
      </w:pPr>
    </w:p>
    <w:p w:rsidR="009252A3" w:rsidRDefault="009252A3" w:rsidP="00EE10A5">
      <w:pPr>
        <w:jc w:val="both"/>
      </w:pPr>
      <w:r>
        <w:t>Louis’ divided attention on matter</w:t>
      </w:r>
      <w:r w:rsidR="00E072DC">
        <w:t>s</w:t>
      </w:r>
      <w:r>
        <w:t xml:space="preserve"> of duty saw</w:t>
      </w:r>
      <w:r w:rsidR="00E072DC">
        <w:t xml:space="preserve"> his concentration drift to the pursuit of leisure</w:t>
      </w:r>
      <w:r w:rsidR="00B63303">
        <w:t xml:space="preserve">. Callet </w:t>
      </w:r>
      <w:r w:rsidR="00753103">
        <w:t>depicts this through the lavish decoration of the background and floor, the blue and purple ‘cloth’ signif</w:t>
      </w:r>
      <w:r w:rsidR="002D2CC7">
        <w:t>y</w:t>
      </w:r>
      <w:r w:rsidR="00753103">
        <w:t xml:space="preserve"> colours of wealth. The Kings possession of money is further connotated through his ‘shoes’ and silver and white ‘clothing’, these materials would be highly expensive and custom in court of Nobles.  </w:t>
      </w:r>
    </w:p>
    <w:p w:rsidR="00753103" w:rsidRDefault="00753103" w:rsidP="00EE10A5">
      <w:pPr>
        <w:jc w:val="both"/>
      </w:pPr>
    </w:p>
    <w:p w:rsidR="00753103" w:rsidRDefault="00753103" w:rsidP="00EE10A5">
      <w:pPr>
        <w:jc w:val="both"/>
      </w:pPr>
      <w:r>
        <w:t>David L. Dowd suggested Louis was under the spell of his ministers: “He [Louis] did not understand people, and his lack of judgement led him to rely on untrustworthy counsellors”</w:t>
      </w:r>
      <w:r>
        <w:rPr>
          <w:rStyle w:val="FootnoteReference"/>
        </w:rPr>
        <w:footnoteReference w:id="3"/>
      </w:r>
      <w:r>
        <w:t xml:space="preserve">. This opinion I believe is portrayed by </w:t>
      </w:r>
      <w:r w:rsidR="00831747">
        <w:t xml:space="preserve">‘Louis XV </w:t>
      </w:r>
      <w:r>
        <w:t>crown</w:t>
      </w:r>
      <w:r w:rsidR="00831747">
        <w:t xml:space="preserve">’ </w:t>
      </w:r>
      <w:r>
        <w:t xml:space="preserve">being positioned </w:t>
      </w:r>
      <w:r w:rsidR="00831747">
        <w:t xml:space="preserve">behind the King, signifying his lack of worry over its possession in addition to believing his government are ruling fairly. The ‘Hand of Justice sceptre’ is ironically pointing away </w:t>
      </w:r>
      <w:r w:rsidR="00831747">
        <w:lastRenderedPageBreak/>
        <w:t>from the King, indicating he does not carry out justice as is his duty but a second party, his ministers do.</w:t>
      </w:r>
      <w:r w:rsidR="004B0E77">
        <w:t xml:space="preserve"> Louis leans on</w:t>
      </w:r>
      <w:r w:rsidR="00831747">
        <w:t xml:space="preserve"> </w:t>
      </w:r>
      <w:r w:rsidR="00AF44A9">
        <w:t>‘Charles V sceptre’ hil</w:t>
      </w:r>
      <w:r w:rsidR="004B0E77">
        <w:t>ted with</w:t>
      </w:r>
      <w:r w:rsidR="00AF44A9">
        <w:t xml:space="preserve"> Charlemagne</w:t>
      </w:r>
      <w:r w:rsidR="004B0E77">
        <w:t>, a Holy Roman Emperor,</w:t>
      </w:r>
      <w:r w:rsidR="00AF44A9">
        <w:t xml:space="preserve"> holding a globe, signifying his authority over the known world</w:t>
      </w:r>
      <w:r w:rsidR="004B0E77">
        <w:t xml:space="preserve">. This was ironically stolen during the revolution. His coronation sword is almost hidden under his robe but still signifies him as the defender of the country. </w:t>
      </w:r>
    </w:p>
    <w:p w:rsidR="002D2CC7" w:rsidRDefault="002D2CC7" w:rsidP="00EE10A5">
      <w:pPr>
        <w:jc w:val="both"/>
      </w:pPr>
    </w:p>
    <w:p w:rsidR="002D2CC7" w:rsidRDefault="002D2CC7" w:rsidP="00EE10A5">
      <w:pPr>
        <w:jc w:val="both"/>
      </w:pPr>
      <w:r>
        <w:t>Louis was highly religious, he engaged in daily prayer as a result.</w:t>
      </w:r>
      <w:r w:rsidR="00FE098B">
        <w:t xml:space="preserve"> R</w:t>
      </w:r>
      <w:r>
        <w:t>eligious iconography present in his portrait reinforces his beliefs</w:t>
      </w:r>
      <w:r w:rsidR="00FE098B">
        <w:t>,</w:t>
      </w:r>
      <w:r>
        <w:t xml:space="preserve"> </w:t>
      </w:r>
      <w:r w:rsidR="00FE098B">
        <w:t>the</w:t>
      </w:r>
      <w:r>
        <w:t xml:space="preserve"> ‘Livery Collar’ is completed with a Catholic Cross signifying his faith origins. Saturation of the ‘Fleur-de-Lis’ further connotates his </w:t>
      </w:r>
      <w:r w:rsidR="00FE098B">
        <w:t xml:space="preserve">ideals </w:t>
      </w:r>
      <w:r>
        <w:t>as it represents the Holy Trinity</w:t>
      </w:r>
      <w:r w:rsidR="00FE098B">
        <w:t>, also</w:t>
      </w:r>
      <w:r>
        <w:t xml:space="preserve"> its presence on his ‘manteau</w:t>
      </w:r>
      <w:r w:rsidR="00FE098B">
        <w:t>’</w:t>
      </w:r>
      <w:r>
        <w:t xml:space="preserve"> highlights the divine right of the King</w:t>
      </w:r>
      <w:r w:rsidR="00FE098B">
        <w:t xml:space="preserve"> to bring the people to order under state religion. Further analysis of the symbol signifies his attributes as King: loyalty to country, royal blood, knighthood awarded by coronation sword and unity of the state. </w:t>
      </w:r>
    </w:p>
    <w:p w:rsidR="009252A3" w:rsidRDefault="009252A3"/>
    <w:p w:rsidR="002B5441" w:rsidRDefault="00367677">
      <w:r>
        <w:t xml:space="preserve">  </w:t>
      </w:r>
    </w:p>
    <w:p w:rsidR="00EE10A5" w:rsidRPr="00EE10A5" w:rsidRDefault="00EE10A5">
      <w:pPr>
        <w:rPr>
          <w:u w:val="single"/>
        </w:rPr>
      </w:pPr>
      <w:r w:rsidRPr="00EE10A5">
        <w:rPr>
          <w:u w:val="single"/>
        </w:rPr>
        <w:t>Bibliography</w:t>
      </w:r>
    </w:p>
    <w:p w:rsidR="00C77540" w:rsidRDefault="00C77540">
      <w:r>
        <w:t xml:space="preserve"> </w:t>
      </w:r>
      <w:r w:rsidR="00EE10A5">
        <w:t xml:space="preserve"> </w:t>
      </w:r>
    </w:p>
    <w:p w:rsidR="00EE10A5" w:rsidRDefault="00EE10A5" w:rsidP="00EE10A5">
      <w:pPr>
        <w:pStyle w:val="ListParagraph"/>
        <w:numPr>
          <w:ilvl w:val="0"/>
          <w:numId w:val="1"/>
        </w:numPr>
      </w:pPr>
      <w:r>
        <w:t xml:space="preserve">Antoine-Francois Callet. Portrait of Louis XVI (1779). Oil on canvas. Palace of Versailles.  </w:t>
      </w:r>
    </w:p>
    <w:p w:rsidR="00EE10A5" w:rsidRDefault="00EE10A5" w:rsidP="00EE10A5">
      <w:pPr>
        <w:pStyle w:val="ListParagraph"/>
        <w:numPr>
          <w:ilvl w:val="0"/>
          <w:numId w:val="1"/>
        </w:numPr>
      </w:pPr>
      <w:r>
        <w:t>David L Dowd</w:t>
      </w:r>
      <w:r>
        <w:t>., The French Revolution (American Heritage Publishing Co., New York) 1965</w:t>
      </w:r>
      <w:bookmarkStart w:id="0" w:name="_GoBack"/>
      <w:bookmarkEnd w:id="0"/>
    </w:p>
    <w:sectPr w:rsidR="00EE10A5" w:rsidSect="00F73533">
      <w:footerReference w:type="default" r:id="rId9"/>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372D" w:rsidRDefault="004A372D" w:rsidP="004A372D">
      <w:r>
        <w:separator/>
      </w:r>
    </w:p>
  </w:endnote>
  <w:endnote w:type="continuationSeparator" w:id="0">
    <w:p w:rsidR="004A372D" w:rsidRDefault="004A372D" w:rsidP="004A37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172556"/>
      <w:docPartObj>
        <w:docPartGallery w:val="Page Numbers (Bottom of Page)"/>
        <w:docPartUnique/>
      </w:docPartObj>
    </w:sdtPr>
    <w:sdtEndPr>
      <w:rPr>
        <w:noProof/>
      </w:rPr>
    </w:sdtEndPr>
    <w:sdtContent>
      <w:p w:rsidR="004A372D" w:rsidRDefault="004A37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65B73" w:rsidRPr="00337A70" w:rsidRDefault="00E863B8">
    <w:pPr>
      <w:pStyle w:val="Footer"/>
      <w:rPr>
        <w:rFonts w:ascii="Trebuchet MS" w:hAnsi="Trebuchet MS"/>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372D" w:rsidRDefault="004A372D" w:rsidP="004A372D">
      <w:r>
        <w:separator/>
      </w:r>
    </w:p>
  </w:footnote>
  <w:footnote w:type="continuationSeparator" w:id="0">
    <w:p w:rsidR="004A372D" w:rsidRDefault="004A372D" w:rsidP="004A372D">
      <w:r>
        <w:continuationSeparator/>
      </w:r>
    </w:p>
  </w:footnote>
  <w:footnote w:id="1">
    <w:p w:rsidR="0065733A" w:rsidRDefault="0065733A">
      <w:pPr>
        <w:pStyle w:val="FootnoteText"/>
      </w:pPr>
      <w:r>
        <w:rPr>
          <w:rStyle w:val="FootnoteReference"/>
        </w:rPr>
        <w:footnoteRef/>
      </w:r>
      <w:r>
        <w:t xml:space="preserve"> Antoine-Francois Callet. Portrait of Louis XVI (1779). Oil on canvas. Palace of Versailles.  </w:t>
      </w:r>
    </w:p>
  </w:footnote>
  <w:footnote w:id="2">
    <w:p w:rsidR="0065733A" w:rsidRDefault="0065733A">
      <w:pPr>
        <w:pStyle w:val="FootnoteText"/>
      </w:pPr>
      <w:r>
        <w:rPr>
          <w:rStyle w:val="FootnoteReference"/>
        </w:rPr>
        <w:footnoteRef/>
      </w:r>
      <w:r>
        <w:t xml:space="preserve"> Dowd, David L., The French Revolution (American Heritage Publishing Co., New York) 1965</w:t>
      </w:r>
    </w:p>
  </w:footnote>
  <w:footnote w:id="3">
    <w:p w:rsidR="00753103" w:rsidRDefault="00753103">
      <w:pPr>
        <w:pStyle w:val="FootnoteText"/>
      </w:pPr>
      <w:r>
        <w:rPr>
          <w:rStyle w:val="FootnoteReference"/>
        </w:rPr>
        <w:footnoteRef/>
      </w:r>
      <w:r>
        <w:t xml:space="preserve"> Dowd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6079C"/>
    <w:multiLevelType w:val="hybridMultilevel"/>
    <w:tmpl w:val="A5D46906"/>
    <w:lvl w:ilvl="0" w:tplc="746832F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D97"/>
    <w:rsid w:val="00272718"/>
    <w:rsid w:val="002B5441"/>
    <w:rsid w:val="002D2CC7"/>
    <w:rsid w:val="00367677"/>
    <w:rsid w:val="003B37A8"/>
    <w:rsid w:val="004A372D"/>
    <w:rsid w:val="004B0E77"/>
    <w:rsid w:val="005E2339"/>
    <w:rsid w:val="0065733A"/>
    <w:rsid w:val="00753103"/>
    <w:rsid w:val="007549AF"/>
    <w:rsid w:val="00831747"/>
    <w:rsid w:val="00846022"/>
    <w:rsid w:val="008E72CB"/>
    <w:rsid w:val="009252A3"/>
    <w:rsid w:val="00AF44A9"/>
    <w:rsid w:val="00B63303"/>
    <w:rsid w:val="00B70C78"/>
    <w:rsid w:val="00BC3258"/>
    <w:rsid w:val="00C11D97"/>
    <w:rsid w:val="00C77540"/>
    <w:rsid w:val="00E072DC"/>
    <w:rsid w:val="00E65D63"/>
    <w:rsid w:val="00EE10A5"/>
    <w:rsid w:val="00F9145D"/>
    <w:rsid w:val="00FE0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02022"/>
  <w15:chartTrackingRefBased/>
  <w15:docId w15:val="{82A355E4-9215-48A8-A300-266F96F66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1D97"/>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C11D97"/>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C11D97"/>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11D97"/>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C11D97"/>
    <w:rPr>
      <w:rFonts w:ascii="Tahoma" w:eastAsia="SimSun" w:hAnsi="Tahoma" w:cs="Tahoma"/>
      <w:b/>
      <w:bCs/>
      <w:sz w:val="20"/>
      <w:szCs w:val="20"/>
      <w:lang w:eastAsia="zh-CN"/>
    </w:rPr>
  </w:style>
  <w:style w:type="paragraph" w:styleId="NormalWeb">
    <w:name w:val="Normal (Web)"/>
    <w:basedOn w:val="Normal"/>
    <w:rsid w:val="00C11D97"/>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C11D97"/>
    <w:pPr>
      <w:tabs>
        <w:tab w:val="center" w:pos="4513"/>
        <w:tab w:val="right" w:pos="9026"/>
      </w:tabs>
    </w:pPr>
    <w:rPr>
      <w:lang w:val="x-none"/>
    </w:rPr>
  </w:style>
  <w:style w:type="character" w:customStyle="1" w:styleId="FooterChar">
    <w:name w:val="Footer Char"/>
    <w:basedOn w:val="DefaultParagraphFont"/>
    <w:link w:val="Footer"/>
    <w:uiPriority w:val="99"/>
    <w:rsid w:val="00C11D97"/>
    <w:rPr>
      <w:rFonts w:ascii="Times New Roman" w:eastAsia="SimSun" w:hAnsi="Times New Roman" w:cs="Times New Roman"/>
      <w:sz w:val="24"/>
      <w:szCs w:val="24"/>
      <w:lang w:val="x-none" w:eastAsia="zh-CN"/>
    </w:rPr>
  </w:style>
  <w:style w:type="paragraph" w:styleId="Header">
    <w:name w:val="header"/>
    <w:basedOn w:val="Normal"/>
    <w:link w:val="HeaderChar"/>
    <w:uiPriority w:val="99"/>
    <w:unhideWhenUsed/>
    <w:rsid w:val="004A372D"/>
    <w:pPr>
      <w:tabs>
        <w:tab w:val="center" w:pos="4513"/>
        <w:tab w:val="right" w:pos="9026"/>
      </w:tabs>
    </w:pPr>
  </w:style>
  <w:style w:type="character" w:customStyle="1" w:styleId="HeaderChar">
    <w:name w:val="Header Char"/>
    <w:basedOn w:val="DefaultParagraphFont"/>
    <w:link w:val="Header"/>
    <w:uiPriority w:val="99"/>
    <w:rsid w:val="004A372D"/>
    <w:rPr>
      <w:rFonts w:ascii="Times New Roman" w:eastAsia="SimSun" w:hAnsi="Times New Roman" w:cs="Times New Roman"/>
      <w:sz w:val="24"/>
      <w:szCs w:val="24"/>
      <w:lang w:eastAsia="zh-CN"/>
    </w:rPr>
  </w:style>
  <w:style w:type="paragraph" w:styleId="FootnoteText">
    <w:name w:val="footnote text"/>
    <w:basedOn w:val="Normal"/>
    <w:link w:val="FootnoteTextChar"/>
    <w:uiPriority w:val="99"/>
    <w:semiHidden/>
    <w:unhideWhenUsed/>
    <w:rsid w:val="0065733A"/>
    <w:rPr>
      <w:sz w:val="20"/>
      <w:szCs w:val="20"/>
    </w:rPr>
  </w:style>
  <w:style w:type="character" w:customStyle="1" w:styleId="FootnoteTextChar">
    <w:name w:val="Footnote Text Char"/>
    <w:basedOn w:val="DefaultParagraphFont"/>
    <w:link w:val="FootnoteText"/>
    <w:uiPriority w:val="99"/>
    <w:semiHidden/>
    <w:rsid w:val="0065733A"/>
    <w:rPr>
      <w:rFonts w:ascii="Times New Roman" w:eastAsia="SimSun" w:hAnsi="Times New Roman" w:cs="Times New Roman"/>
      <w:sz w:val="20"/>
      <w:szCs w:val="20"/>
      <w:lang w:eastAsia="zh-CN"/>
    </w:rPr>
  </w:style>
  <w:style w:type="character" w:styleId="FootnoteReference">
    <w:name w:val="footnote reference"/>
    <w:basedOn w:val="DefaultParagraphFont"/>
    <w:uiPriority w:val="99"/>
    <w:semiHidden/>
    <w:unhideWhenUsed/>
    <w:rsid w:val="0065733A"/>
    <w:rPr>
      <w:vertAlign w:val="superscript"/>
    </w:rPr>
  </w:style>
  <w:style w:type="paragraph" w:styleId="ListParagraph">
    <w:name w:val="List Paragraph"/>
    <w:basedOn w:val="Normal"/>
    <w:uiPriority w:val="34"/>
    <w:qFormat/>
    <w:rsid w:val="00EE10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72870-6B33-4F0C-A2EC-EA3C80B29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3</Pages>
  <Words>712</Words>
  <Characters>4060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13</cp:revision>
  <dcterms:created xsi:type="dcterms:W3CDTF">2018-10-31T15:43:00Z</dcterms:created>
  <dcterms:modified xsi:type="dcterms:W3CDTF">2018-10-31T18:31:00Z</dcterms:modified>
</cp:coreProperties>
</file>