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7D05A4CC"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3103D5">
              <w:rPr>
                <w:rFonts w:ascii="Times New Roman" w:hAnsi="Times New Roman" w:cs="Times New Roman"/>
                <w:b/>
                <w:color w:val="auto"/>
                <w:sz w:val="48"/>
              </w:rPr>
              <w:t>Ceri Leah Hughes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13DAF55"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3103D5">
              <w:rPr>
                <w:rFonts w:ascii="Times New Roman" w:hAnsi="Times New Roman" w:cs="Times New Roman"/>
                <w:b/>
                <w:color w:val="auto"/>
                <w:sz w:val="48"/>
              </w:rPr>
              <w:t xml:space="preserve"> cerilee1@hotmail.co.uk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70D173B4" w14:textId="77777777" w:rsidR="00761D6C"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3103D5">
              <w:rPr>
                <w:rFonts w:ascii="Times New Roman" w:hAnsi="Times New Roman" w:cs="Times New Roman"/>
                <w:b/>
                <w:color w:val="auto"/>
                <w:sz w:val="48"/>
              </w:rPr>
              <w:t xml:space="preserve"> </w:t>
            </w:r>
          </w:p>
          <w:p w14:paraId="0DE696B2" w14:textId="4A3F133A" w:rsidR="00F927A1" w:rsidRPr="005D3F07" w:rsidRDefault="003103D5"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2221744</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DC71EAE"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3103D5">
              <w:rPr>
                <w:rFonts w:ascii="Times New Roman" w:hAnsi="Times New Roman" w:cs="Times New Roman"/>
                <w:b/>
                <w:color w:val="auto"/>
                <w:sz w:val="48"/>
              </w:rPr>
              <w:t>20</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33FD9253" w14:textId="42C0BB25" w:rsidR="00DE0ABC" w:rsidRPr="003103D5" w:rsidRDefault="00DE0ABC" w:rsidP="00DE0ABC">
            <w:pPr>
              <w:rPr>
                <w:sz w:val="24"/>
                <w:szCs w:val="24"/>
                <w:lang w:val="en-US"/>
              </w:rPr>
            </w:pPr>
            <w:r w:rsidRPr="003103D5">
              <w:rPr>
                <w:sz w:val="24"/>
                <w:szCs w:val="24"/>
                <w:lang w:val="en-US"/>
              </w:rPr>
              <w:t>I will discuss relevant legislation, policies and procedures for safeguarding adults in Wales. Wales Safeguarding Procedures (202</w:t>
            </w:r>
            <w:r w:rsidRPr="003103D5">
              <w:rPr>
                <w:sz w:val="24"/>
                <w:szCs w:val="24"/>
                <w:lang w:val="en-US"/>
              </w:rPr>
              <w:t>4</w:t>
            </w:r>
            <w:r w:rsidRPr="003103D5">
              <w:rPr>
                <w:sz w:val="24"/>
                <w:szCs w:val="24"/>
                <w:lang w:val="en-US"/>
              </w:rPr>
              <w:t xml:space="preserve">) detail the roles and responsibilities for practitioners to ensure that they safeguard children and adults who are at risk of abuse and neglect. The procedures help practitioners to apply legislation in The Social Services and Wellbeing (Wales) Act (2014) (SSWBA 2014) and statutory safeguarding guidance ‘working together to safeguard people’. </w:t>
            </w:r>
          </w:p>
          <w:p w14:paraId="21E341B6" w14:textId="77777777" w:rsidR="00DE0ABC" w:rsidRPr="003103D5" w:rsidRDefault="00DE0ABC" w:rsidP="00DE0ABC">
            <w:pPr>
              <w:rPr>
                <w:sz w:val="24"/>
                <w:szCs w:val="24"/>
                <w:lang w:val="en-US"/>
              </w:rPr>
            </w:pPr>
          </w:p>
          <w:p w14:paraId="265CA881" w14:textId="77777777" w:rsidR="00DE0ABC" w:rsidRPr="003103D5" w:rsidRDefault="00DE0ABC" w:rsidP="00DE0ABC">
            <w:pPr>
              <w:rPr>
                <w:sz w:val="24"/>
                <w:szCs w:val="24"/>
                <w:lang w:val="en-US"/>
              </w:rPr>
            </w:pPr>
            <w:r w:rsidRPr="003103D5">
              <w:rPr>
                <w:sz w:val="24"/>
                <w:szCs w:val="24"/>
                <w:lang w:val="en-US"/>
              </w:rPr>
              <w:t xml:space="preserve">The SSWBA 2014 defines an adult as those over 18 years old. Section 126 defines an adult at risk as one “who is experiencing or is at risk of abuse and neglect; has needs for care and support (whether or not the local authority is meeting any of those needs); and as a result of those needs is unable to protect himself or herself against the abuse or neglect or the risk of it”.  </w:t>
            </w:r>
          </w:p>
          <w:p w14:paraId="4BB917FB" w14:textId="77777777" w:rsidR="00DE0ABC" w:rsidRPr="003103D5" w:rsidRDefault="00DE0ABC" w:rsidP="00DE0ABC">
            <w:pPr>
              <w:rPr>
                <w:sz w:val="24"/>
                <w:szCs w:val="24"/>
                <w:lang w:val="en-US"/>
              </w:rPr>
            </w:pPr>
          </w:p>
          <w:p w14:paraId="16D9DE17" w14:textId="7A14B080" w:rsidR="00DE0ABC" w:rsidRPr="003103D5" w:rsidRDefault="00DE0ABC" w:rsidP="00DE0ABC">
            <w:pPr>
              <w:rPr>
                <w:sz w:val="24"/>
                <w:szCs w:val="24"/>
                <w:lang w:val="en-US"/>
              </w:rPr>
            </w:pPr>
            <w:r w:rsidRPr="003103D5">
              <w:rPr>
                <w:sz w:val="24"/>
                <w:szCs w:val="24"/>
                <w:lang w:val="en-US"/>
              </w:rPr>
              <w:t>If a relevant partner (as defined in section 162 of SSWBA 2014) has reasonable cause to suspect that an adult is at risk in their area, it must inform the local authority (LA) of their concerns.  If the adult at risk is in another area, the relevant partner must inform that other LA. Any adult wellbeing concerns should be reported in writing within 24 hours. Adults at risk includes physical abuse, sexual abuse, emotional abuse, domestic violence, financial abuse, neglect, self-neglect and modern slavery (Wales Safeguarding Procedures, 202</w:t>
            </w:r>
            <w:r w:rsidRPr="003103D5">
              <w:rPr>
                <w:sz w:val="24"/>
                <w:szCs w:val="24"/>
                <w:lang w:val="en-US"/>
              </w:rPr>
              <w:t>4</w:t>
            </w:r>
            <w:r w:rsidRPr="003103D5">
              <w:rPr>
                <w:sz w:val="24"/>
                <w:szCs w:val="24"/>
                <w:lang w:val="en-US"/>
              </w:rPr>
              <w:t xml:space="preserve">). </w:t>
            </w:r>
          </w:p>
          <w:p w14:paraId="3F29CD08" w14:textId="77777777" w:rsidR="00DE0ABC" w:rsidRPr="003103D5" w:rsidRDefault="00DE0ABC" w:rsidP="00DE0ABC">
            <w:pPr>
              <w:rPr>
                <w:sz w:val="24"/>
                <w:szCs w:val="24"/>
                <w:lang w:val="en-US"/>
              </w:rPr>
            </w:pPr>
          </w:p>
          <w:p w14:paraId="424C2F71" w14:textId="1D6299A4" w:rsidR="000C4689" w:rsidRPr="003103D5" w:rsidRDefault="00DE0ABC" w:rsidP="00DE0ABC">
            <w:pPr>
              <w:rPr>
                <w:sz w:val="24"/>
                <w:szCs w:val="24"/>
                <w:lang w:val="en-US"/>
              </w:rPr>
            </w:pPr>
            <w:r w:rsidRPr="003103D5">
              <w:rPr>
                <w:sz w:val="24"/>
                <w:szCs w:val="24"/>
                <w:lang w:val="en-US"/>
              </w:rPr>
              <w:t xml:space="preserve">SSWBA 2014 states that if </w:t>
            </w:r>
            <w:proofErr w:type="gramStart"/>
            <w:r w:rsidRPr="003103D5">
              <w:rPr>
                <w:sz w:val="24"/>
                <w:szCs w:val="24"/>
                <w:lang w:val="en-US"/>
              </w:rPr>
              <w:t>a LA</w:t>
            </w:r>
            <w:proofErr w:type="gramEnd"/>
            <w:r w:rsidRPr="003103D5">
              <w:rPr>
                <w:sz w:val="24"/>
                <w:szCs w:val="24"/>
                <w:lang w:val="en-US"/>
              </w:rPr>
              <w:t xml:space="preserve"> reasonably suspects an adult in its area is at risk, it must make or initiate necessary enquiries to help decide if any action is needed and by whom (Section 126). In deciding what actions to take, consent of the adult is necessary and should be proportionate and promote the European Convention on Human Rights</w:t>
            </w:r>
            <w:r w:rsidRPr="003103D5">
              <w:rPr>
                <w:sz w:val="24"/>
                <w:szCs w:val="24"/>
                <w:lang w:val="en-US"/>
              </w:rPr>
              <w:t xml:space="preserve"> (1953)</w:t>
            </w:r>
            <w:r w:rsidRPr="003103D5">
              <w:rPr>
                <w:sz w:val="24"/>
                <w:szCs w:val="24"/>
                <w:lang w:val="en-US"/>
              </w:rPr>
              <w:t xml:space="preserve"> and Human Rights Act (1998), unless established as lacking capacity, an adult must be assumed to have capacity even if those decisions are considered unwise ones (The Mental Capacity Act 2005). However, adult protection</w:t>
            </w:r>
            <w:r w:rsidRPr="003103D5">
              <w:rPr>
                <w:sz w:val="24"/>
                <w:szCs w:val="24"/>
                <w:lang w:val="en-US"/>
              </w:rPr>
              <w:t xml:space="preserve"> </w:t>
            </w:r>
            <w:r w:rsidR="000C4689" w:rsidRPr="003103D5">
              <w:rPr>
                <w:sz w:val="24"/>
                <w:szCs w:val="24"/>
                <w:lang w:val="en-US"/>
              </w:rPr>
              <w:t xml:space="preserve">and </w:t>
            </w:r>
            <w:r w:rsidRPr="003103D5">
              <w:rPr>
                <w:sz w:val="24"/>
                <w:szCs w:val="24"/>
                <w:lang w:val="en-US"/>
              </w:rPr>
              <w:t>support orders (ASPO’s)</w:t>
            </w:r>
            <w:r w:rsidR="000C4689" w:rsidRPr="003103D5">
              <w:rPr>
                <w:sz w:val="24"/>
                <w:szCs w:val="24"/>
                <w:lang w:val="en-US"/>
              </w:rPr>
              <w:t xml:space="preserve"> can be granted. This </w:t>
            </w:r>
            <w:r w:rsidR="007F010B" w:rsidRPr="003103D5">
              <w:rPr>
                <w:sz w:val="24"/>
                <w:szCs w:val="24"/>
                <w:lang w:val="en-US"/>
              </w:rPr>
              <w:t>provides</w:t>
            </w:r>
            <w:r w:rsidR="000C4689" w:rsidRPr="003103D5">
              <w:rPr>
                <w:sz w:val="24"/>
                <w:szCs w:val="24"/>
                <w:lang w:val="en-US"/>
              </w:rPr>
              <w:t xml:space="preserve"> an opportunity for professionals to speak privately with the adult suspected of being at risk of harm and enables effective assessment, planning and intervention. </w:t>
            </w:r>
          </w:p>
          <w:p w14:paraId="6A73765C" w14:textId="77777777" w:rsidR="00DE0ABC" w:rsidRPr="003103D5" w:rsidRDefault="00DE0ABC" w:rsidP="00DE0ABC">
            <w:pPr>
              <w:rPr>
                <w:sz w:val="24"/>
                <w:szCs w:val="24"/>
                <w:lang w:val="en-US"/>
              </w:rPr>
            </w:pPr>
          </w:p>
          <w:p w14:paraId="6A90A201" w14:textId="3E14A448" w:rsidR="00DE0ABC" w:rsidRPr="003103D5" w:rsidRDefault="00DE0ABC" w:rsidP="00DE0ABC">
            <w:pPr>
              <w:rPr>
                <w:sz w:val="24"/>
                <w:szCs w:val="24"/>
                <w:lang w:val="en-US"/>
              </w:rPr>
            </w:pPr>
            <w:r w:rsidRPr="003103D5">
              <w:rPr>
                <w:sz w:val="24"/>
                <w:szCs w:val="24"/>
                <w:lang w:val="en-US"/>
              </w:rPr>
              <w:t xml:space="preserve">Adults should be empowered throughout the safeguarding process and supported to make choices and develop their capacity. Communication skills and respecting </w:t>
            </w:r>
            <w:r w:rsidR="007F010B" w:rsidRPr="003103D5">
              <w:rPr>
                <w:sz w:val="24"/>
                <w:szCs w:val="24"/>
                <w:lang w:val="en-US"/>
              </w:rPr>
              <w:t>individuals’</w:t>
            </w:r>
            <w:r w:rsidRPr="003103D5">
              <w:rPr>
                <w:sz w:val="24"/>
                <w:szCs w:val="24"/>
                <w:lang w:val="en-US"/>
              </w:rPr>
              <w:t xml:space="preserve"> views are essential to help identify an </w:t>
            </w:r>
            <w:r w:rsidR="007F010B" w:rsidRPr="003103D5">
              <w:rPr>
                <w:sz w:val="24"/>
                <w:szCs w:val="24"/>
                <w:lang w:val="en-US"/>
              </w:rPr>
              <w:t>individual’s</w:t>
            </w:r>
            <w:r w:rsidRPr="003103D5">
              <w:rPr>
                <w:sz w:val="24"/>
                <w:szCs w:val="24"/>
                <w:lang w:val="en-US"/>
              </w:rPr>
              <w:t xml:space="preserve"> own strengths and weaknesses (Teater 2010), which supports a strengths-based approach (Social Care Institute for Excellence 2023). Effective use of language is important, being proactive and ensuring the Actie Offer (</w:t>
            </w:r>
            <w:r w:rsidR="007F010B" w:rsidRPr="003103D5">
              <w:rPr>
                <w:sz w:val="24"/>
                <w:szCs w:val="24"/>
                <w:lang w:val="en-US"/>
              </w:rPr>
              <w:t>Welsh Government 2015</w:t>
            </w:r>
            <w:r w:rsidRPr="003103D5">
              <w:rPr>
                <w:sz w:val="24"/>
                <w:szCs w:val="24"/>
                <w:lang w:val="en-US"/>
              </w:rPr>
              <w:t>) principle is embedded in practice, supports a person-centered approach and combats anti-discriminatory Practice (SS</w:t>
            </w:r>
            <w:r w:rsidR="000C4689" w:rsidRPr="003103D5">
              <w:rPr>
                <w:sz w:val="24"/>
                <w:szCs w:val="24"/>
                <w:lang w:val="en-US"/>
              </w:rPr>
              <w:t>WB</w:t>
            </w:r>
            <w:r w:rsidRPr="003103D5">
              <w:rPr>
                <w:sz w:val="24"/>
                <w:szCs w:val="24"/>
                <w:lang w:val="en-US"/>
              </w:rPr>
              <w:t xml:space="preserve">A 2014). </w:t>
            </w:r>
          </w:p>
          <w:p w14:paraId="49A3E07F" w14:textId="77777777" w:rsidR="00DE0ABC" w:rsidRPr="003103D5" w:rsidRDefault="00DE0ABC" w:rsidP="00DE0ABC">
            <w:pPr>
              <w:rPr>
                <w:sz w:val="24"/>
                <w:szCs w:val="24"/>
                <w:lang w:val="en-US"/>
              </w:rPr>
            </w:pPr>
          </w:p>
          <w:p w14:paraId="2EE843B3" w14:textId="32E076C7" w:rsidR="00DE0ABC" w:rsidRPr="003103D5" w:rsidRDefault="00DE0ABC" w:rsidP="00DE0ABC">
            <w:pPr>
              <w:rPr>
                <w:sz w:val="24"/>
                <w:szCs w:val="24"/>
                <w:lang w:val="en-US"/>
              </w:rPr>
            </w:pPr>
            <w:r w:rsidRPr="003103D5">
              <w:rPr>
                <w:sz w:val="24"/>
                <w:szCs w:val="24"/>
                <w:lang w:val="en-US"/>
              </w:rPr>
              <w:t>A strategy meeting</w:t>
            </w:r>
            <w:r w:rsidR="007F010B" w:rsidRPr="003103D5">
              <w:rPr>
                <w:sz w:val="24"/>
                <w:szCs w:val="24"/>
                <w:lang w:val="en-US"/>
              </w:rPr>
              <w:t xml:space="preserve"> </w:t>
            </w:r>
            <w:r w:rsidR="0032406D" w:rsidRPr="003103D5">
              <w:rPr>
                <w:sz w:val="24"/>
                <w:szCs w:val="24"/>
                <w:lang w:val="en-US"/>
              </w:rPr>
              <w:t xml:space="preserve">includes </w:t>
            </w:r>
            <w:r w:rsidR="007F010B" w:rsidRPr="003103D5">
              <w:rPr>
                <w:sz w:val="24"/>
                <w:szCs w:val="24"/>
                <w:lang w:val="en-US"/>
              </w:rPr>
              <w:t>different agencies a</w:t>
            </w:r>
            <w:r w:rsidR="0032406D" w:rsidRPr="003103D5">
              <w:rPr>
                <w:sz w:val="24"/>
                <w:szCs w:val="24"/>
                <w:lang w:val="en-US"/>
              </w:rPr>
              <w:t>n</w:t>
            </w:r>
            <w:r w:rsidR="007F010B" w:rsidRPr="003103D5">
              <w:rPr>
                <w:sz w:val="24"/>
                <w:szCs w:val="24"/>
                <w:lang w:val="en-US"/>
              </w:rPr>
              <w:t>d the Police, if they are involved. This</w:t>
            </w:r>
            <w:r w:rsidRPr="003103D5">
              <w:rPr>
                <w:sz w:val="24"/>
                <w:szCs w:val="24"/>
                <w:lang w:val="en-US"/>
              </w:rPr>
              <w:t xml:space="preserve"> takes place 7 working days after the completion of an enquiry to discuss the referral and agree actions. Adult protection conferences should be held following investigations and includes the individual, to discuss outcomes</w:t>
            </w:r>
            <w:r w:rsidR="0032406D" w:rsidRPr="003103D5">
              <w:rPr>
                <w:sz w:val="24"/>
                <w:szCs w:val="24"/>
                <w:lang w:val="en-US"/>
              </w:rPr>
              <w:t>, plan and</w:t>
            </w:r>
            <w:r w:rsidRPr="003103D5">
              <w:rPr>
                <w:sz w:val="24"/>
                <w:szCs w:val="24"/>
                <w:lang w:val="en-US"/>
              </w:rPr>
              <w:t xml:space="preserve"> agree care and support plans</w:t>
            </w:r>
            <w:r w:rsidR="007F010B" w:rsidRPr="003103D5">
              <w:rPr>
                <w:sz w:val="24"/>
                <w:szCs w:val="24"/>
                <w:lang w:val="en-US"/>
              </w:rPr>
              <w:t xml:space="preserve">. </w:t>
            </w:r>
            <w:r w:rsidRPr="003103D5">
              <w:rPr>
                <w:sz w:val="24"/>
                <w:szCs w:val="24"/>
                <w:lang w:val="en-US"/>
              </w:rPr>
              <w:t xml:space="preserve">Information should be shared in accordance with the Data Protection Act </w:t>
            </w:r>
            <w:r w:rsidR="003103D5">
              <w:rPr>
                <w:sz w:val="24"/>
                <w:szCs w:val="24"/>
                <w:lang w:val="en-US"/>
              </w:rPr>
              <w:t>(</w:t>
            </w:r>
            <w:r w:rsidRPr="003103D5">
              <w:rPr>
                <w:sz w:val="24"/>
                <w:szCs w:val="24"/>
                <w:lang w:val="en-US"/>
              </w:rPr>
              <w:t>2018</w:t>
            </w:r>
            <w:r w:rsidR="003103D5">
              <w:rPr>
                <w:sz w:val="24"/>
                <w:szCs w:val="24"/>
                <w:lang w:val="en-US"/>
              </w:rPr>
              <w:t>)</w:t>
            </w:r>
            <w:r w:rsidRPr="003103D5">
              <w:rPr>
                <w:sz w:val="24"/>
                <w:szCs w:val="24"/>
                <w:lang w:val="en-US"/>
              </w:rPr>
              <w:t xml:space="preserve">. Conclusions of enquiries must be recorded in the care and support plan under Part 4 of the SSWBA 2014. Adult safeguarding is coordinated through safeguarding adult boards (SSWBA 2014, Section 135) which is a multi-agency partnership and aims to protect adults in its area. </w:t>
            </w:r>
          </w:p>
          <w:p w14:paraId="1F7A0285" w14:textId="77777777" w:rsidR="00DE0ABC" w:rsidRPr="003103D5" w:rsidRDefault="00DE0ABC" w:rsidP="00DE0ABC">
            <w:pPr>
              <w:rPr>
                <w:sz w:val="24"/>
                <w:szCs w:val="24"/>
                <w:lang w:val="en-US"/>
              </w:rPr>
            </w:pPr>
          </w:p>
          <w:p w14:paraId="206514B9" w14:textId="4F7E81F5" w:rsidR="00FC0334" w:rsidRPr="003103D5" w:rsidRDefault="00DE0ABC" w:rsidP="0032406D">
            <w:pPr>
              <w:rPr>
                <w:sz w:val="24"/>
                <w:szCs w:val="24"/>
              </w:rPr>
            </w:pPr>
            <w:r w:rsidRPr="003103D5">
              <w:rPr>
                <w:sz w:val="24"/>
                <w:szCs w:val="24"/>
                <w:lang w:val="en-US"/>
              </w:rPr>
              <w:t>Word Count: 54</w:t>
            </w:r>
            <w:r w:rsidR="0032406D" w:rsidRPr="003103D5">
              <w:rPr>
                <w:sz w:val="24"/>
                <w:szCs w:val="24"/>
                <w:lang w:val="en-US"/>
              </w:rPr>
              <w:t>6.</w:t>
            </w:r>
          </w:p>
          <w:p w14:paraId="60D8C669" w14:textId="77777777" w:rsidR="00FC0334" w:rsidRPr="003103D5" w:rsidRDefault="00FC0334" w:rsidP="00FF7EBB">
            <w:pPr>
              <w:jc w:val="both"/>
              <w:rPr>
                <w:sz w:val="24"/>
                <w:szCs w:val="24"/>
              </w:rPr>
            </w:pP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795C6051" w14:textId="77777777" w:rsidR="00FC0334" w:rsidRDefault="00FC0334" w:rsidP="00FC0334">
            <w:pPr>
              <w:jc w:val="both"/>
              <w:rPr>
                <w:sz w:val="24"/>
                <w:szCs w:val="24"/>
              </w:rPr>
            </w:pPr>
          </w:p>
          <w:p w14:paraId="0D9BA84B" w14:textId="6A3D834C" w:rsidR="00DE0ABC" w:rsidRPr="003103D5" w:rsidRDefault="00DE0ABC" w:rsidP="00DE0ABC">
            <w:pPr>
              <w:rPr>
                <w:sz w:val="24"/>
                <w:szCs w:val="24"/>
              </w:rPr>
            </w:pPr>
            <w:r w:rsidRPr="003103D5">
              <w:rPr>
                <w:sz w:val="24"/>
                <w:szCs w:val="24"/>
              </w:rPr>
              <w:t xml:space="preserve">Although there are some similarities in processes for safeguarding children and protecting adults at risk of abuse and neglect, there are some differences in legislation. The law defines a child as </w:t>
            </w:r>
            <w:r w:rsidR="0032406D" w:rsidRPr="003103D5">
              <w:rPr>
                <w:sz w:val="24"/>
                <w:szCs w:val="24"/>
              </w:rPr>
              <w:t xml:space="preserve">someone </w:t>
            </w:r>
            <w:r w:rsidRPr="003103D5">
              <w:rPr>
                <w:sz w:val="24"/>
                <w:szCs w:val="24"/>
              </w:rPr>
              <w:t xml:space="preserve">under 18 years </w:t>
            </w:r>
            <w:r w:rsidR="0032406D" w:rsidRPr="003103D5">
              <w:rPr>
                <w:sz w:val="24"/>
                <w:szCs w:val="24"/>
              </w:rPr>
              <w:t xml:space="preserve">old </w:t>
            </w:r>
            <w:r w:rsidRPr="003103D5">
              <w:rPr>
                <w:sz w:val="24"/>
                <w:szCs w:val="24"/>
              </w:rPr>
              <w:t xml:space="preserve">and an adult as being 18 </w:t>
            </w:r>
            <w:r w:rsidR="0032406D" w:rsidRPr="003103D5">
              <w:rPr>
                <w:sz w:val="24"/>
                <w:szCs w:val="24"/>
              </w:rPr>
              <w:t xml:space="preserve">years old </w:t>
            </w:r>
            <w:r w:rsidRPr="003103D5">
              <w:rPr>
                <w:sz w:val="24"/>
                <w:szCs w:val="24"/>
              </w:rPr>
              <w:t xml:space="preserve">and over (The Social Services and Wellbeing (Wales) Act 2014) (SSWBA 2014). Although some categories of risk of harm are the same for both children and adults, there are some additions to the categories of harm. For example, one additional category listed for adults is modern slavery (SSWBA 2014). </w:t>
            </w:r>
          </w:p>
          <w:p w14:paraId="2793F56D" w14:textId="77777777" w:rsidR="00DE0ABC" w:rsidRPr="003103D5" w:rsidRDefault="00DE0ABC" w:rsidP="00DE0ABC">
            <w:pPr>
              <w:rPr>
                <w:sz w:val="24"/>
                <w:szCs w:val="24"/>
              </w:rPr>
            </w:pPr>
          </w:p>
          <w:p w14:paraId="723B2891" w14:textId="269EF934" w:rsidR="00DE0ABC" w:rsidRPr="003103D5" w:rsidRDefault="00DE0ABC" w:rsidP="00DE0ABC">
            <w:pPr>
              <w:rPr>
                <w:sz w:val="24"/>
                <w:szCs w:val="24"/>
              </w:rPr>
            </w:pPr>
            <w:r w:rsidRPr="003103D5">
              <w:rPr>
                <w:sz w:val="24"/>
                <w:szCs w:val="24"/>
              </w:rPr>
              <w:t xml:space="preserve">The SSWBA 2014 guides adults and children’s safeguarding pathways. SSWBA 2014 places duties on relevant partners to inform the Local Authority (LA) if it suspects an adult is at risk. If an adult is considered to have capacity (Mental Capacity Act 2005), although the LA have a duty to make enquiries when they suspect an adult is at risk of abuse or neglect, adults do have the right to refuse intervention. Regardless of whether a child is deemed to be Gillick competent (NSPCC 2022), when an enquiry has been made about a child suspected to be at risk of abuse or neglect, the LA have a duty to complete an investigation </w:t>
            </w:r>
            <w:r w:rsidRPr="003103D5">
              <w:rPr>
                <w:sz w:val="24"/>
                <w:szCs w:val="24"/>
              </w:rPr>
              <w:lastRenderedPageBreak/>
              <w:t xml:space="preserve">in accordance with Section 47 of the Children Act (1989). </w:t>
            </w:r>
            <w:r w:rsidR="0032406D" w:rsidRPr="003103D5">
              <w:rPr>
                <w:sz w:val="24"/>
                <w:szCs w:val="24"/>
              </w:rPr>
              <w:t xml:space="preserve">A child aged between 16 and 17 years old, are deemed to have Gillick competence (NSPCC 2022). </w:t>
            </w:r>
          </w:p>
          <w:p w14:paraId="629037F0" w14:textId="77777777" w:rsidR="00DE0ABC" w:rsidRPr="003103D5" w:rsidRDefault="00DE0ABC" w:rsidP="00DE0ABC">
            <w:pPr>
              <w:rPr>
                <w:sz w:val="24"/>
                <w:szCs w:val="24"/>
              </w:rPr>
            </w:pPr>
          </w:p>
          <w:p w14:paraId="51BED65E" w14:textId="6A3DB99B" w:rsidR="00DE0ABC" w:rsidRPr="003103D5" w:rsidRDefault="00DE0ABC" w:rsidP="00DE0ABC">
            <w:pPr>
              <w:rPr>
                <w:sz w:val="24"/>
                <w:szCs w:val="24"/>
              </w:rPr>
            </w:pPr>
            <w:r w:rsidRPr="003103D5">
              <w:rPr>
                <w:sz w:val="24"/>
                <w:szCs w:val="24"/>
              </w:rPr>
              <w:t>Both adults and children have rights. However, these rights can sometimes conflict with one another. For example, Article 8 of the Human Rights Act (1998) asserts the right to respect for private and family life. However, Article 19 of the United Nations Convention on the Rights of the Child</w:t>
            </w:r>
            <w:r w:rsidR="0032406D" w:rsidRPr="003103D5">
              <w:rPr>
                <w:sz w:val="24"/>
                <w:szCs w:val="24"/>
              </w:rPr>
              <w:t xml:space="preserve"> (UNCRC 1989)</w:t>
            </w:r>
            <w:r w:rsidRPr="003103D5">
              <w:rPr>
                <w:sz w:val="24"/>
                <w:szCs w:val="24"/>
              </w:rPr>
              <w:t xml:space="preserve"> states </w:t>
            </w:r>
            <w:r w:rsidR="0032406D" w:rsidRPr="003103D5">
              <w:rPr>
                <w:sz w:val="24"/>
                <w:szCs w:val="24"/>
              </w:rPr>
              <w:t xml:space="preserve">that </w:t>
            </w:r>
            <w:r w:rsidRPr="003103D5">
              <w:rPr>
                <w:sz w:val="24"/>
                <w:szCs w:val="24"/>
              </w:rPr>
              <w:t>a child</w:t>
            </w:r>
            <w:r w:rsidR="0032406D" w:rsidRPr="003103D5">
              <w:rPr>
                <w:sz w:val="24"/>
                <w:szCs w:val="24"/>
              </w:rPr>
              <w:t xml:space="preserve"> has the</w:t>
            </w:r>
            <w:r w:rsidRPr="003103D5">
              <w:rPr>
                <w:sz w:val="24"/>
                <w:szCs w:val="24"/>
              </w:rPr>
              <w:t xml:space="preserve"> right to be protected from “harm and mistreatment, in body or mind”</w:t>
            </w:r>
            <w:r w:rsidR="0032406D" w:rsidRPr="003103D5">
              <w:rPr>
                <w:sz w:val="24"/>
                <w:szCs w:val="24"/>
              </w:rPr>
              <w:t xml:space="preserve"> (UNCRC 1989)</w:t>
            </w:r>
            <w:r w:rsidRPr="003103D5">
              <w:rPr>
                <w:sz w:val="24"/>
                <w:szCs w:val="24"/>
              </w:rPr>
              <w:t>. In a domestic violence situation, an adult can refuse intervention</w:t>
            </w:r>
            <w:r w:rsidR="0032406D" w:rsidRPr="003103D5">
              <w:rPr>
                <w:sz w:val="24"/>
                <w:szCs w:val="24"/>
              </w:rPr>
              <w:t>.</w:t>
            </w:r>
            <w:r w:rsidRPr="003103D5">
              <w:rPr>
                <w:sz w:val="24"/>
                <w:szCs w:val="24"/>
              </w:rPr>
              <w:t xml:space="preserve"> </w:t>
            </w:r>
            <w:r w:rsidR="0032406D" w:rsidRPr="003103D5">
              <w:rPr>
                <w:sz w:val="24"/>
                <w:szCs w:val="24"/>
              </w:rPr>
              <w:t>H</w:t>
            </w:r>
            <w:r w:rsidRPr="003103D5">
              <w:rPr>
                <w:sz w:val="24"/>
                <w:szCs w:val="24"/>
              </w:rPr>
              <w:t xml:space="preserve">owever, the Adoption and Children Act 2002 states that harm to a child includes “impairment suffered from seeing or hearing the ill treatment of another”. This demonstrates the competing rights of adults and children. </w:t>
            </w:r>
          </w:p>
          <w:p w14:paraId="2132A85F" w14:textId="77777777" w:rsidR="00DE0ABC" w:rsidRPr="003103D5" w:rsidRDefault="00DE0ABC" w:rsidP="00DE0ABC">
            <w:pPr>
              <w:rPr>
                <w:sz w:val="24"/>
                <w:szCs w:val="24"/>
              </w:rPr>
            </w:pPr>
          </w:p>
          <w:p w14:paraId="67E7ED72" w14:textId="0909698C" w:rsidR="00FC0334" w:rsidRPr="003103D5" w:rsidRDefault="00DE0ABC" w:rsidP="00DE0ABC">
            <w:pPr>
              <w:jc w:val="both"/>
              <w:rPr>
                <w:sz w:val="24"/>
                <w:szCs w:val="24"/>
              </w:rPr>
            </w:pPr>
            <w:r w:rsidRPr="003103D5">
              <w:rPr>
                <w:sz w:val="24"/>
                <w:szCs w:val="24"/>
              </w:rPr>
              <w:t>Adult safeguarding is coordinated through Safeguarding Adults Boards and children safeguarding is coordinated through local Children Safeguarding Boards</w:t>
            </w:r>
            <w:r w:rsidR="006E5013" w:rsidRPr="003103D5">
              <w:rPr>
                <w:sz w:val="24"/>
                <w:szCs w:val="24"/>
              </w:rPr>
              <w:t xml:space="preserve">. The National Independent Safeguarding Board Wales were set up under the SSWBA 2014 and have a duty to provide advice, guidance and support to safeguarding boards and ensure they are effective </w:t>
            </w:r>
            <w:r w:rsidR="006E5013" w:rsidRPr="003103D5">
              <w:rPr>
                <w:sz w:val="24"/>
                <w:szCs w:val="24"/>
              </w:rPr>
              <w:t>(The National Independent Safeguarding Board Wales 2024)</w:t>
            </w:r>
            <w:r w:rsidR="006E5013" w:rsidRPr="003103D5">
              <w:rPr>
                <w:sz w:val="24"/>
                <w:szCs w:val="24"/>
              </w:rPr>
              <w:t>. They also provide recommendations to the Welsh Ministers on how things can be improved (The National Independent Safeguarding Board Wales 2024).</w:t>
            </w:r>
          </w:p>
          <w:p w14:paraId="478D2F84" w14:textId="77777777" w:rsidR="00FC0334" w:rsidRPr="003103D5" w:rsidRDefault="00FC0334" w:rsidP="00FC0334">
            <w:pPr>
              <w:jc w:val="both"/>
              <w:rPr>
                <w:sz w:val="24"/>
                <w:szCs w:val="24"/>
              </w:rPr>
            </w:pPr>
          </w:p>
          <w:p w14:paraId="0E64B386" w14:textId="4D3CF553" w:rsidR="00FC0334" w:rsidRPr="003103D5" w:rsidRDefault="006E5013" w:rsidP="00FC0334">
            <w:pPr>
              <w:jc w:val="both"/>
              <w:rPr>
                <w:sz w:val="24"/>
                <w:szCs w:val="24"/>
              </w:rPr>
            </w:pPr>
            <w:r w:rsidRPr="003103D5">
              <w:rPr>
                <w:sz w:val="24"/>
                <w:szCs w:val="24"/>
              </w:rPr>
              <w:t>Word Count: 423</w:t>
            </w:r>
          </w:p>
          <w:p w14:paraId="4847C39E" w14:textId="77777777" w:rsidR="00FC0334" w:rsidRPr="003103D5" w:rsidRDefault="00FC0334" w:rsidP="00FC0334">
            <w:pPr>
              <w:jc w:val="both"/>
              <w:rPr>
                <w:sz w:val="24"/>
                <w:szCs w:val="24"/>
              </w:rPr>
            </w:pPr>
          </w:p>
          <w:p w14:paraId="04285720" w14:textId="77777777" w:rsidR="00FC0334" w:rsidRDefault="00FC0334" w:rsidP="00FC0334">
            <w:pPr>
              <w:jc w:val="both"/>
              <w:rPr>
                <w:sz w:val="24"/>
                <w:szCs w:val="24"/>
              </w:rPr>
            </w:pPr>
          </w:p>
          <w:p w14:paraId="1AA3081F" w14:textId="77777777" w:rsidR="00FC0334" w:rsidRDefault="00FC0334" w:rsidP="00FC0334">
            <w:pPr>
              <w:jc w:val="both"/>
              <w:rPr>
                <w:sz w:val="24"/>
                <w:szCs w:val="24"/>
              </w:rPr>
            </w:pP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106EA66" w14:textId="77777777" w:rsidR="009A5F08" w:rsidRDefault="009A5F08">
      <w:r>
        <w:separator/>
      </w:r>
    </w:p>
  </w:endnote>
  <w:endnote w:type="continuationSeparator" w:id="0">
    <w:p w14:paraId="19CC49A5" w14:textId="77777777" w:rsidR="009A5F08" w:rsidRDefault="009A5F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D0CB571" w14:textId="77777777" w:rsidR="009A5F08" w:rsidRDefault="009A5F08">
      <w:r>
        <w:separator/>
      </w:r>
    </w:p>
  </w:footnote>
  <w:footnote w:type="continuationSeparator" w:id="0">
    <w:p w14:paraId="02B237DD" w14:textId="77777777" w:rsidR="009A5F08" w:rsidRDefault="009A5F0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53128E" w14:textId="3EB6D46E" w:rsidR="00A5656A" w:rsidRDefault="00A5656A">
    <w:pPr>
      <w:pStyle w:val="Header"/>
    </w:pPr>
    <w:r>
      <w:t xml:space="preserve">Version </w:t>
    </w:r>
    <w:r w:rsidR="00DC2924">
      <w:t xml:space="preserve">1_Cohort </w:t>
    </w:r>
    <w:r w:rsidR="003103D5">
      <w:t>20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2EE7"/>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4689"/>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14AB"/>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3D5"/>
    <w:rsid w:val="003106DB"/>
    <w:rsid w:val="0031350A"/>
    <w:rsid w:val="00316815"/>
    <w:rsid w:val="003168CA"/>
    <w:rsid w:val="00321255"/>
    <w:rsid w:val="0032230D"/>
    <w:rsid w:val="00322A0B"/>
    <w:rsid w:val="0032406D"/>
    <w:rsid w:val="00330881"/>
    <w:rsid w:val="00331CD2"/>
    <w:rsid w:val="00332426"/>
    <w:rsid w:val="00335C41"/>
    <w:rsid w:val="00335FC5"/>
    <w:rsid w:val="0033771E"/>
    <w:rsid w:val="00337FEF"/>
    <w:rsid w:val="00354B6D"/>
    <w:rsid w:val="00355210"/>
    <w:rsid w:val="00355CFD"/>
    <w:rsid w:val="00364730"/>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53C9D"/>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5013"/>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1D6C"/>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010B"/>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72E30"/>
    <w:rsid w:val="0098262C"/>
    <w:rsid w:val="0098427C"/>
    <w:rsid w:val="00986B43"/>
    <w:rsid w:val="00986C0B"/>
    <w:rsid w:val="00986D46"/>
    <w:rsid w:val="00991FDA"/>
    <w:rsid w:val="00992ACA"/>
    <w:rsid w:val="009A5F08"/>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6560"/>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06A7"/>
    <w:rsid w:val="00DC1B10"/>
    <w:rsid w:val="00DC2924"/>
    <w:rsid w:val="00DC4729"/>
    <w:rsid w:val="00DD31C5"/>
    <w:rsid w:val="00DD5020"/>
    <w:rsid w:val="00DD63BE"/>
    <w:rsid w:val="00DE0ABC"/>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4</Pages>
  <Words>1177</Words>
  <Characters>6283</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Ceri Hughes</cp:lastModifiedBy>
  <cp:revision>3</cp:revision>
  <cp:lastPrinted>2020-02-11T19:20:00Z</cp:lastPrinted>
  <dcterms:created xsi:type="dcterms:W3CDTF">2024-07-31T09:27:00Z</dcterms:created>
  <dcterms:modified xsi:type="dcterms:W3CDTF">2024-07-31T10:59:00Z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