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518032" w14:textId="77777777" w:rsidR="00F9358D" w:rsidRDefault="00F9358D" w:rsidP="00F9358D">
      <w:pPr>
        <w:spacing w:line="278" w:lineRule="auto"/>
        <w:jc w:val="center"/>
      </w:pPr>
      <w:r>
        <w:rPr>
          <w:noProof/>
        </w:rPr>
        <w:drawing>
          <wp:inline distT="0" distB="0" distL="0" distR="0" wp14:anchorId="59BAE89C" wp14:editId="727A7EC3">
            <wp:extent cx="2865120" cy="1592580"/>
            <wp:effectExtent l="0" t="0" r="0" b="7620"/>
            <wp:docPr id="31612014" name="Picture 1"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5120" cy="1592580"/>
                    </a:xfrm>
                    <a:prstGeom prst="rect">
                      <a:avLst/>
                    </a:prstGeom>
                    <a:noFill/>
                    <a:ln>
                      <a:noFill/>
                    </a:ln>
                  </pic:spPr>
                </pic:pic>
              </a:graphicData>
            </a:graphic>
          </wp:inline>
        </w:drawing>
      </w:r>
    </w:p>
    <w:p w14:paraId="15B71BCA" w14:textId="77777777" w:rsidR="00B32A5C" w:rsidRDefault="00B32A5C" w:rsidP="00F9358D">
      <w:pPr>
        <w:spacing w:line="278" w:lineRule="auto"/>
        <w:jc w:val="center"/>
      </w:pPr>
    </w:p>
    <w:p w14:paraId="3B2A9625" w14:textId="77777777" w:rsidR="00B32A5C" w:rsidRDefault="00B32A5C" w:rsidP="00F9358D">
      <w:pPr>
        <w:spacing w:line="278" w:lineRule="auto"/>
        <w:jc w:val="center"/>
      </w:pPr>
    </w:p>
    <w:p w14:paraId="7C8A4076" w14:textId="77777777" w:rsidR="00B32A5C" w:rsidRDefault="00B32A5C" w:rsidP="00F9358D">
      <w:pPr>
        <w:spacing w:line="278" w:lineRule="auto"/>
        <w:jc w:val="center"/>
      </w:pPr>
    </w:p>
    <w:p w14:paraId="74BCC543" w14:textId="77777777" w:rsidR="00B32A5C" w:rsidRDefault="00B32A5C" w:rsidP="00F9358D">
      <w:pPr>
        <w:spacing w:line="278" w:lineRule="auto"/>
        <w:jc w:val="center"/>
      </w:pPr>
    </w:p>
    <w:p w14:paraId="3786597D" w14:textId="77777777" w:rsidR="009A795F" w:rsidRPr="00B32A5C" w:rsidRDefault="009A795F" w:rsidP="00F9358D">
      <w:pPr>
        <w:spacing w:line="278" w:lineRule="auto"/>
        <w:jc w:val="center"/>
        <w:rPr>
          <w:b/>
          <w:bCs/>
          <w:sz w:val="44"/>
          <w:szCs w:val="44"/>
        </w:rPr>
      </w:pPr>
      <w:r w:rsidRPr="00B32A5C">
        <w:rPr>
          <w:b/>
          <w:bCs/>
          <w:sz w:val="44"/>
          <w:szCs w:val="44"/>
        </w:rPr>
        <w:t xml:space="preserve">Global Business Environment </w:t>
      </w:r>
    </w:p>
    <w:p w14:paraId="4A2E3A7F" w14:textId="77777777" w:rsidR="00B32A5C" w:rsidRDefault="009A795F" w:rsidP="00F9358D">
      <w:pPr>
        <w:spacing w:line="278" w:lineRule="auto"/>
        <w:jc w:val="center"/>
        <w:rPr>
          <w:sz w:val="44"/>
          <w:szCs w:val="44"/>
        </w:rPr>
      </w:pPr>
      <w:r w:rsidRPr="00B32A5C">
        <w:rPr>
          <w:b/>
          <w:bCs/>
          <w:sz w:val="44"/>
          <w:szCs w:val="44"/>
        </w:rPr>
        <w:t>LCBB4010</w:t>
      </w:r>
      <w:r w:rsidRPr="00B32A5C">
        <w:rPr>
          <w:sz w:val="44"/>
          <w:szCs w:val="44"/>
        </w:rPr>
        <w:t xml:space="preserve"> </w:t>
      </w:r>
    </w:p>
    <w:p w14:paraId="545F059B" w14:textId="77777777" w:rsidR="00B32A5C" w:rsidRDefault="00B32A5C" w:rsidP="00F9358D">
      <w:pPr>
        <w:spacing w:line="278" w:lineRule="auto"/>
        <w:jc w:val="center"/>
        <w:rPr>
          <w:sz w:val="44"/>
          <w:szCs w:val="44"/>
        </w:rPr>
      </w:pPr>
    </w:p>
    <w:p w14:paraId="747FBCCF" w14:textId="77777777" w:rsidR="00B32A5C" w:rsidRDefault="00B32A5C" w:rsidP="00F9358D">
      <w:pPr>
        <w:spacing w:line="278" w:lineRule="auto"/>
        <w:jc w:val="center"/>
        <w:rPr>
          <w:sz w:val="44"/>
          <w:szCs w:val="44"/>
        </w:rPr>
      </w:pPr>
    </w:p>
    <w:p w14:paraId="0914BA74" w14:textId="77777777" w:rsidR="00B32A5C" w:rsidRDefault="00B32A5C" w:rsidP="00F9358D">
      <w:pPr>
        <w:spacing w:line="278" w:lineRule="auto"/>
        <w:jc w:val="center"/>
        <w:rPr>
          <w:sz w:val="44"/>
          <w:szCs w:val="44"/>
        </w:rPr>
      </w:pPr>
    </w:p>
    <w:p w14:paraId="1FD3D511" w14:textId="77777777" w:rsidR="00B32A5C" w:rsidRDefault="00B32A5C" w:rsidP="00F9358D">
      <w:pPr>
        <w:spacing w:line="278" w:lineRule="auto"/>
        <w:jc w:val="center"/>
        <w:rPr>
          <w:sz w:val="44"/>
          <w:szCs w:val="44"/>
        </w:rPr>
      </w:pPr>
    </w:p>
    <w:p w14:paraId="004F3053" w14:textId="77777777" w:rsidR="00B32A5C" w:rsidRDefault="00B32A5C" w:rsidP="00F9358D">
      <w:pPr>
        <w:spacing w:line="278" w:lineRule="auto"/>
        <w:jc w:val="center"/>
        <w:rPr>
          <w:sz w:val="44"/>
          <w:szCs w:val="44"/>
        </w:rPr>
      </w:pPr>
    </w:p>
    <w:p w14:paraId="34F84370" w14:textId="77777777" w:rsidR="00B32A5C" w:rsidRDefault="00B32A5C" w:rsidP="00F9358D">
      <w:pPr>
        <w:spacing w:line="278" w:lineRule="auto"/>
        <w:jc w:val="center"/>
        <w:rPr>
          <w:sz w:val="44"/>
          <w:szCs w:val="44"/>
        </w:rPr>
      </w:pPr>
    </w:p>
    <w:p w14:paraId="34666EFB" w14:textId="77777777" w:rsidR="00B32A5C" w:rsidRDefault="00B32A5C" w:rsidP="00F9358D">
      <w:pPr>
        <w:spacing w:line="278" w:lineRule="auto"/>
        <w:jc w:val="center"/>
        <w:rPr>
          <w:sz w:val="44"/>
          <w:szCs w:val="44"/>
        </w:rPr>
      </w:pPr>
    </w:p>
    <w:p w14:paraId="29014D5D" w14:textId="72FE498B" w:rsidR="00B32A5C" w:rsidRPr="00B32A5C" w:rsidRDefault="00B32A5C" w:rsidP="00F9358D">
      <w:pPr>
        <w:spacing w:line="278" w:lineRule="auto"/>
        <w:jc w:val="center"/>
        <w:rPr>
          <w:b/>
          <w:bCs/>
          <w:sz w:val="44"/>
          <w:szCs w:val="44"/>
        </w:rPr>
      </w:pPr>
      <w:r w:rsidRPr="00B32A5C">
        <w:rPr>
          <w:b/>
          <w:bCs/>
          <w:sz w:val="44"/>
          <w:szCs w:val="44"/>
        </w:rPr>
        <w:t>Student name:</w:t>
      </w:r>
      <w:r w:rsidR="00B20A0D">
        <w:rPr>
          <w:b/>
          <w:bCs/>
          <w:sz w:val="44"/>
          <w:szCs w:val="44"/>
        </w:rPr>
        <w:t xml:space="preserve"> Andreea Alina Tudorache</w:t>
      </w:r>
    </w:p>
    <w:p w14:paraId="491A1B35" w14:textId="6CFEC2C8" w:rsidR="009D749A" w:rsidRDefault="00B32A5C" w:rsidP="00F9358D">
      <w:pPr>
        <w:spacing w:line="278" w:lineRule="auto"/>
        <w:jc w:val="center"/>
        <w:rPr>
          <w:b/>
          <w:bCs/>
          <w:sz w:val="44"/>
          <w:szCs w:val="44"/>
        </w:rPr>
      </w:pPr>
      <w:r w:rsidRPr="00B32A5C">
        <w:rPr>
          <w:b/>
          <w:bCs/>
          <w:sz w:val="44"/>
          <w:szCs w:val="44"/>
        </w:rPr>
        <w:t>Student Id:</w:t>
      </w:r>
      <w:r w:rsidR="00B20A0D">
        <w:rPr>
          <w:b/>
          <w:bCs/>
          <w:sz w:val="44"/>
          <w:szCs w:val="44"/>
        </w:rPr>
        <w:t xml:space="preserve"> 2130698</w:t>
      </w:r>
    </w:p>
    <w:p w14:paraId="3E33FDC6" w14:textId="136D54FB" w:rsidR="00B20A0D" w:rsidRDefault="00B20A0D" w:rsidP="00F9358D">
      <w:pPr>
        <w:spacing w:line="278" w:lineRule="auto"/>
        <w:jc w:val="center"/>
        <w:rPr>
          <w:b/>
          <w:bCs/>
          <w:sz w:val="44"/>
          <w:szCs w:val="44"/>
        </w:rPr>
      </w:pPr>
      <w:r>
        <w:rPr>
          <w:b/>
          <w:bCs/>
          <w:sz w:val="44"/>
          <w:szCs w:val="44"/>
        </w:rPr>
        <w:t>Lecturer name: Adbi Rahman</w:t>
      </w:r>
    </w:p>
    <w:p w14:paraId="5A30F0B4" w14:textId="77777777" w:rsidR="009D749A" w:rsidRDefault="009D749A" w:rsidP="00F9358D">
      <w:pPr>
        <w:spacing w:line="278" w:lineRule="auto"/>
        <w:jc w:val="center"/>
        <w:rPr>
          <w:b/>
          <w:bCs/>
          <w:sz w:val="44"/>
          <w:szCs w:val="44"/>
        </w:rPr>
      </w:pPr>
    </w:p>
    <w:sdt>
      <w:sdtPr>
        <w:rPr>
          <w:rFonts w:ascii="Times New Roman" w:eastAsiaTheme="minorHAnsi" w:hAnsi="Times New Roman" w:cstheme="minorBidi"/>
          <w:color w:val="0D0D0D" w:themeColor="text1" w:themeTint="F2"/>
          <w:kern w:val="2"/>
          <w:sz w:val="24"/>
          <w:szCs w:val="24"/>
          <w:lang w:val="en-GB"/>
          <w14:ligatures w14:val="standardContextual"/>
        </w:rPr>
        <w:id w:val="-1942442533"/>
        <w:docPartObj>
          <w:docPartGallery w:val="Table of Contents"/>
          <w:docPartUnique/>
        </w:docPartObj>
      </w:sdtPr>
      <w:sdtEndPr>
        <w:rPr>
          <w:b/>
          <w:bCs/>
          <w:noProof/>
        </w:rPr>
      </w:sdtEndPr>
      <w:sdtContent>
        <w:p w14:paraId="2F2E96B5" w14:textId="6FC7267F" w:rsidR="009D749A" w:rsidRPr="0015158A" w:rsidRDefault="009D749A">
          <w:pPr>
            <w:pStyle w:val="TOCHeading"/>
            <w:rPr>
              <w:rFonts w:ascii="Times New Roman" w:hAnsi="Times New Roman" w:cs="Times New Roman"/>
              <w:b/>
              <w:bCs/>
              <w:color w:val="0D0D0D" w:themeColor="text1" w:themeTint="F2"/>
            </w:rPr>
          </w:pPr>
          <w:r w:rsidRPr="0015158A">
            <w:rPr>
              <w:rFonts w:ascii="Times New Roman" w:hAnsi="Times New Roman" w:cs="Times New Roman"/>
              <w:b/>
              <w:bCs/>
              <w:color w:val="0D0D0D" w:themeColor="text1" w:themeTint="F2"/>
            </w:rPr>
            <w:t>Table of Contents</w:t>
          </w:r>
        </w:p>
        <w:p w14:paraId="1D358B62" w14:textId="7F611F83" w:rsidR="0015158A" w:rsidRDefault="009D749A">
          <w:pPr>
            <w:pStyle w:val="TOC1"/>
            <w:tabs>
              <w:tab w:val="right" w:leader="dot" w:pos="9016"/>
            </w:tabs>
            <w:rPr>
              <w:rFonts w:asciiTheme="minorHAnsi" w:eastAsiaTheme="minorEastAsia" w:hAnsiTheme="minorHAnsi"/>
              <w:noProof/>
              <w:color w:val="auto"/>
              <w:sz w:val="22"/>
              <w:szCs w:val="22"/>
              <w:lang w:val="en-IN" w:eastAsia="en-IN"/>
            </w:rPr>
          </w:pPr>
          <w:r>
            <w:fldChar w:fldCharType="begin"/>
          </w:r>
          <w:r>
            <w:instrText xml:space="preserve"> TOC \o "1-3" \h \z \u </w:instrText>
          </w:r>
          <w:r>
            <w:fldChar w:fldCharType="separate"/>
          </w:r>
          <w:hyperlink w:anchor="_Toc171336782" w:history="1">
            <w:r w:rsidR="0015158A" w:rsidRPr="00B26688">
              <w:rPr>
                <w:rStyle w:val="Hyperlink"/>
                <w:noProof/>
              </w:rPr>
              <w:t>Introduction</w:t>
            </w:r>
            <w:r w:rsidR="0015158A">
              <w:rPr>
                <w:noProof/>
                <w:webHidden/>
              </w:rPr>
              <w:tab/>
            </w:r>
            <w:r w:rsidR="0015158A">
              <w:rPr>
                <w:noProof/>
                <w:webHidden/>
              </w:rPr>
              <w:fldChar w:fldCharType="begin"/>
            </w:r>
            <w:r w:rsidR="0015158A">
              <w:rPr>
                <w:noProof/>
                <w:webHidden/>
              </w:rPr>
              <w:instrText xml:space="preserve"> PAGEREF _Toc171336782 \h </w:instrText>
            </w:r>
            <w:r w:rsidR="0015158A">
              <w:rPr>
                <w:noProof/>
                <w:webHidden/>
              </w:rPr>
            </w:r>
            <w:r w:rsidR="0015158A">
              <w:rPr>
                <w:noProof/>
                <w:webHidden/>
              </w:rPr>
              <w:fldChar w:fldCharType="separate"/>
            </w:r>
            <w:r w:rsidR="0015158A">
              <w:rPr>
                <w:noProof/>
                <w:webHidden/>
              </w:rPr>
              <w:t>3</w:t>
            </w:r>
            <w:r w:rsidR="0015158A">
              <w:rPr>
                <w:noProof/>
                <w:webHidden/>
              </w:rPr>
              <w:fldChar w:fldCharType="end"/>
            </w:r>
          </w:hyperlink>
        </w:p>
        <w:p w14:paraId="2A30E3A7" w14:textId="7E235AB5" w:rsidR="0015158A" w:rsidRDefault="00000000">
          <w:pPr>
            <w:pStyle w:val="TOC1"/>
            <w:tabs>
              <w:tab w:val="right" w:leader="dot" w:pos="9016"/>
            </w:tabs>
            <w:rPr>
              <w:rFonts w:asciiTheme="minorHAnsi" w:eastAsiaTheme="minorEastAsia" w:hAnsiTheme="minorHAnsi"/>
              <w:noProof/>
              <w:color w:val="auto"/>
              <w:sz w:val="22"/>
              <w:szCs w:val="22"/>
              <w:lang w:val="en-IN" w:eastAsia="en-IN"/>
            </w:rPr>
          </w:pPr>
          <w:hyperlink w:anchor="_Toc171336783" w:history="1">
            <w:r w:rsidR="0015158A" w:rsidRPr="00B26688">
              <w:rPr>
                <w:rStyle w:val="Hyperlink"/>
                <w:rFonts w:eastAsia="Times New Roman"/>
                <w:noProof/>
                <w:lang w:val="en-IN" w:eastAsia="en-IN"/>
              </w:rPr>
              <w:t>Main Discussions</w:t>
            </w:r>
            <w:r w:rsidR="0015158A">
              <w:rPr>
                <w:noProof/>
                <w:webHidden/>
              </w:rPr>
              <w:tab/>
            </w:r>
            <w:r w:rsidR="0015158A">
              <w:rPr>
                <w:noProof/>
                <w:webHidden/>
              </w:rPr>
              <w:fldChar w:fldCharType="begin"/>
            </w:r>
            <w:r w:rsidR="0015158A">
              <w:rPr>
                <w:noProof/>
                <w:webHidden/>
              </w:rPr>
              <w:instrText xml:space="preserve"> PAGEREF _Toc171336783 \h </w:instrText>
            </w:r>
            <w:r w:rsidR="0015158A">
              <w:rPr>
                <w:noProof/>
                <w:webHidden/>
              </w:rPr>
            </w:r>
            <w:r w:rsidR="0015158A">
              <w:rPr>
                <w:noProof/>
                <w:webHidden/>
              </w:rPr>
              <w:fldChar w:fldCharType="separate"/>
            </w:r>
            <w:r w:rsidR="0015158A">
              <w:rPr>
                <w:noProof/>
                <w:webHidden/>
              </w:rPr>
              <w:t>3</w:t>
            </w:r>
            <w:r w:rsidR="0015158A">
              <w:rPr>
                <w:noProof/>
                <w:webHidden/>
              </w:rPr>
              <w:fldChar w:fldCharType="end"/>
            </w:r>
          </w:hyperlink>
        </w:p>
        <w:p w14:paraId="309A4839" w14:textId="707D6144" w:rsidR="0015158A" w:rsidRDefault="00000000">
          <w:pPr>
            <w:pStyle w:val="TOC1"/>
            <w:tabs>
              <w:tab w:val="right" w:leader="dot" w:pos="9016"/>
            </w:tabs>
            <w:rPr>
              <w:rFonts w:asciiTheme="minorHAnsi" w:eastAsiaTheme="minorEastAsia" w:hAnsiTheme="minorHAnsi"/>
              <w:noProof/>
              <w:color w:val="auto"/>
              <w:sz w:val="22"/>
              <w:szCs w:val="22"/>
              <w:lang w:val="en-IN" w:eastAsia="en-IN"/>
            </w:rPr>
          </w:pPr>
          <w:hyperlink w:anchor="_Toc171336784" w:history="1">
            <w:r w:rsidR="0015158A" w:rsidRPr="00B26688">
              <w:rPr>
                <w:rStyle w:val="Hyperlink"/>
                <w:noProof/>
              </w:rPr>
              <w:t>Conclusion</w:t>
            </w:r>
            <w:r w:rsidR="0015158A">
              <w:rPr>
                <w:noProof/>
                <w:webHidden/>
              </w:rPr>
              <w:tab/>
            </w:r>
            <w:r w:rsidR="0015158A">
              <w:rPr>
                <w:noProof/>
                <w:webHidden/>
              </w:rPr>
              <w:fldChar w:fldCharType="begin"/>
            </w:r>
            <w:r w:rsidR="0015158A">
              <w:rPr>
                <w:noProof/>
                <w:webHidden/>
              </w:rPr>
              <w:instrText xml:space="preserve"> PAGEREF _Toc171336784 \h </w:instrText>
            </w:r>
            <w:r w:rsidR="0015158A">
              <w:rPr>
                <w:noProof/>
                <w:webHidden/>
              </w:rPr>
            </w:r>
            <w:r w:rsidR="0015158A">
              <w:rPr>
                <w:noProof/>
                <w:webHidden/>
              </w:rPr>
              <w:fldChar w:fldCharType="separate"/>
            </w:r>
            <w:r w:rsidR="0015158A">
              <w:rPr>
                <w:noProof/>
                <w:webHidden/>
              </w:rPr>
              <w:t>7</w:t>
            </w:r>
            <w:r w:rsidR="0015158A">
              <w:rPr>
                <w:noProof/>
                <w:webHidden/>
              </w:rPr>
              <w:fldChar w:fldCharType="end"/>
            </w:r>
          </w:hyperlink>
        </w:p>
        <w:p w14:paraId="29D18248" w14:textId="2DAA7DA4" w:rsidR="0015158A" w:rsidRDefault="00000000">
          <w:pPr>
            <w:pStyle w:val="TOC1"/>
            <w:tabs>
              <w:tab w:val="right" w:leader="dot" w:pos="9016"/>
            </w:tabs>
            <w:rPr>
              <w:rFonts w:asciiTheme="minorHAnsi" w:eastAsiaTheme="minorEastAsia" w:hAnsiTheme="minorHAnsi"/>
              <w:noProof/>
              <w:color w:val="auto"/>
              <w:sz w:val="22"/>
              <w:szCs w:val="22"/>
              <w:lang w:val="en-IN" w:eastAsia="en-IN"/>
            </w:rPr>
          </w:pPr>
          <w:hyperlink w:anchor="_Toc171336785" w:history="1">
            <w:r w:rsidR="0015158A" w:rsidRPr="00B26688">
              <w:rPr>
                <w:rStyle w:val="Hyperlink"/>
                <w:noProof/>
              </w:rPr>
              <w:t>References</w:t>
            </w:r>
            <w:r w:rsidR="0015158A">
              <w:rPr>
                <w:noProof/>
                <w:webHidden/>
              </w:rPr>
              <w:tab/>
            </w:r>
            <w:r w:rsidR="0015158A">
              <w:rPr>
                <w:noProof/>
                <w:webHidden/>
              </w:rPr>
              <w:fldChar w:fldCharType="begin"/>
            </w:r>
            <w:r w:rsidR="0015158A">
              <w:rPr>
                <w:noProof/>
                <w:webHidden/>
              </w:rPr>
              <w:instrText xml:space="preserve"> PAGEREF _Toc171336785 \h </w:instrText>
            </w:r>
            <w:r w:rsidR="0015158A">
              <w:rPr>
                <w:noProof/>
                <w:webHidden/>
              </w:rPr>
            </w:r>
            <w:r w:rsidR="0015158A">
              <w:rPr>
                <w:noProof/>
                <w:webHidden/>
              </w:rPr>
              <w:fldChar w:fldCharType="separate"/>
            </w:r>
            <w:r w:rsidR="0015158A">
              <w:rPr>
                <w:noProof/>
                <w:webHidden/>
              </w:rPr>
              <w:t>8</w:t>
            </w:r>
            <w:r w:rsidR="0015158A">
              <w:rPr>
                <w:noProof/>
                <w:webHidden/>
              </w:rPr>
              <w:fldChar w:fldCharType="end"/>
            </w:r>
          </w:hyperlink>
        </w:p>
        <w:p w14:paraId="29587C17" w14:textId="657FDA3F" w:rsidR="009D749A" w:rsidRDefault="009D749A">
          <w:r>
            <w:rPr>
              <w:b/>
              <w:bCs/>
              <w:noProof/>
            </w:rPr>
            <w:fldChar w:fldCharType="end"/>
          </w:r>
        </w:p>
      </w:sdtContent>
    </w:sdt>
    <w:p w14:paraId="053F4D35" w14:textId="0992A783" w:rsidR="00F9358D" w:rsidRDefault="00F9358D" w:rsidP="00F9358D">
      <w:pPr>
        <w:spacing w:line="278" w:lineRule="auto"/>
        <w:jc w:val="center"/>
        <w:rPr>
          <w:rFonts w:eastAsiaTheme="majorEastAsia" w:cstheme="majorBidi"/>
          <w:b/>
          <w:sz w:val="36"/>
          <w:szCs w:val="32"/>
        </w:rPr>
      </w:pPr>
      <w:r>
        <w:br w:type="page"/>
      </w:r>
    </w:p>
    <w:p w14:paraId="71CDE16E" w14:textId="67460BCB" w:rsidR="007D48CF" w:rsidRDefault="007D48CF" w:rsidP="007D48CF">
      <w:pPr>
        <w:pStyle w:val="Heading1"/>
      </w:pPr>
      <w:bookmarkStart w:id="0" w:name="_Toc171336782"/>
      <w:r>
        <w:lastRenderedPageBreak/>
        <w:t>Introduction</w:t>
      </w:r>
      <w:bookmarkEnd w:id="0"/>
    </w:p>
    <w:p w14:paraId="156174C2" w14:textId="76B6CEDB" w:rsidR="00B865C9" w:rsidRDefault="00B865C9" w:rsidP="003D66AA">
      <w:pPr>
        <w:rPr>
          <w:b/>
        </w:rPr>
      </w:pPr>
      <w:r w:rsidRPr="00B865C9">
        <w:t>In the modern world, considering the existence of globali</w:t>
      </w:r>
      <w:r w:rsidR="00EB2D38">
        <w:t>s</w:t>
      </w:r>
      <w:r w:rsidRPr="00B865C9">
        <w:t xml:space="preserve">ation, enterprises function in a diverse and evolving environment that is influenced by different factors. One that is indispensable in dealing with these influences is the PESTLE analysis comprised of Political, Economic, Social, Technological, Legal, and </w:t>
      </w:r>
      <w:r w:rsidRPr="003D66AA">
        <w:t>Environmental aspects. Identifying and studying such factors allows business organi</w:t>
      </w:r>
      <w:r w:rsidR="00EB2D38">
        <w:t>s</w:t>
      </w:r>
      <w:r w:rsidRPr="003D66AA">
        <w:t xml:space="preserve">ations to predict risks and </w:t>
      </w:r>
      <w:r w:rsidR="00B71117" w:rsidRPr="003D66AA">
        <w:t>favourable</w:t>
      </w:r>
      <w:r w:rsidRPr="003D66AA">
        <w:t xml:space="preserve"> conditions ahead of time making it easy to make good strategic moves. This essay’s objective is to ascertain and discuss variables within every PESTLE category with examples showcasing their influence over businesses. Recogni</w:t>
      </w:r>
      <w:r w:rsidR="00EB2D38">
        <w:t>s</w:t>
      </w:r>
      <w:r w:rsidRPr="003D66AA">
        <w:t>ing such factors will enable organi</w:t>
      </w:r>
      <w:r w:rsidR="00EB2D38">
        <w:t>s</w:t>
      </w:r>
      <w:r w:rsidRPr="003D66AA">
        <w:t>ations to appreciate</w:t>
      </w:r>
      <w:r w:rsidRPr="00B865C9">
        <w:t xml:space="preserve"> and align themselves with their environment, and hence, earn sustainable competitive advantage in today’s cut-throat global economy.</w:t>
      </w:r>
    </w:p>
    <w:p w14:paraId="55AA2120" w14:textId="77777777" w:rsidR="000C0001" w:rsidRDefault="000C0001">
      <w:pPr>
        <w:spacing w:line="278" w:lineRule="auto"/>
        <w:jc w:val="left"/>
        <w:rPr>
          <w:rFonts w:eastAsia="Times New Roman" w:cstheme="majorBidi"/>
          <w:b/>
          <w:sz w:val="36"/>
          <w:szCs w:val="32"/>
          <w:lang w:val="en-IN" w:eastAsia="en-IN"/>
        </w:rPr>
      </w:pPr>
      <w:bookmarkStart w:id="1" w:name="_Toc171336783"/>
      <w:r>
        <w:rPr>
          <w:rFonts w:eastAsia="Times New Roman"/>
          <w:lang w:val="en-IN" w:eastAsia="en-IN"/>
        </w:rPr>
        <w:br w:type="page"/>
      </w:r>
    </w:p>
    <w:p w14:paraId="6C8E27B3" w14:textId="6293A83D" w:rsidR="007D48CF" w:rsidRPr="007D48CF" w:rsidRDefault="007D48CF" w:rsidP="007D48CF">
      <w:pPr>
        <w:pStyle w:val="Heading1"/>
        <w:rPr>
          <w:rFonts w:eastAsia="Times New Roman"/>
          <w:lang w:val="en-IN" w:eastAsia="en-IN"/>
        </w:rPr>
      </w:pPr>
      <w:r w:rsidRPr="007D48CF">
        <w:rPr>
          <w:rFonts w:eastAsia="Times New Roman"/>
          <w:lang w:val="en-IN" w:eastAsia="en-IN"/>
        </w:rPr>
        <w:lastRenderedPageBreak/>
        <w:t>Main Discussions</w:t>
      </w:r>
      <w:bookmarkEnd w:id="1"/>
    </w:p>
    <w:p w14:paraId="2495FE75" w14:textId="77777777" w:rsidR="007D48CF" w:rsidRPr="007D48CF" w:rsidRDefault="007D48CF" w:rsidP="007D48CF">
      <w:pPr>
        <w:spacing w:before="100" w:beforeAutospacing="1" w:after="100" w:afterAutospacing="1" w:line="240" w:lineRule="auto"/>
        <w:outlineLvl w:val="3"/>
        <w:rPr>
          <w:rFonts w:eastAsia="Times New Roman" w:cs="Times New Roman"/>
          <w:b/>
          <w:bCs/>
          <w:kern w:val="0"/>
          <w:lang w:val="en-IN" w:eastAsia="en-IN"/>
          <w14:ligatures w14:val="none"/>
        </w:rPr>
      </w:pPr>
      <w:r w:rsidRPr="007D48CF">
        <w:rPr>
          <w:rFonts w:eastAsia="Times New Roman" w:cs="Times New Roman"/>
          <w:b/>
          <w:bCs/>
          <w:kern w:val="0"/>
          <w:lang w:val="en-IN" w:eastAsia="en-IN"/>
          <w14:ligatures w14:val="none"/>
        </w:rPr>
        <w:t>Political Environment</w:t>
      </w:r>
    </w:p>
    <w:p w14:paraId="4C4BE516" w14:textId="23FB48C7" w:rsidR="005919A5" w:rsidRDefault="000126B6" w:rsidP="000C0001">
      <w:pPr>
        <w:rPr>
          <w:b/>
          <w:bCs/>
        </w:rPr>
      </w:pPr>
      <w:r w:rsidRPr="000126B6">
        <w:t>The political factor consists of the government policies and stability in the country that affect business performance and its strategies for operation (Kobrin, 2022)</w:t>
      </w:r>
      <w:r w:rsidR="00B71117">
        <w:t>.</w:t>
      </w:r>
      <w:r w:rsidRPr="000126B6">
        <w:t xml:space="preserve"> Policies of governments for example are trade policies </w:t>
      </w:r>
      <w:r w:rsidR="00B71117">
        <w:t>about</w:t>
      </w:r>
      <w:r w:rsidRPr="000126B6">
        <w:t xml:space="preserve"> labour policies and environmental policies and quotas that can influence </w:t>
      </w:r>
      <w:r w:rsidR="00B71117">
        <w:t xml:space="preserve">the </w:t>
      </w:r>
      <w:r w:rsidRPr="000126B6">
        <w:t>costs of doing business and legal obligations for enterprise (</w:t>
      </w:r>
      <w:proofErr w:type="spellStart"/>
      <w:r w:rsidRPr="000126B6">
        <w:t>Dechezleprêtre</w:t>
      </w:r>
      <w:proofErr w:type="spellEnd"/>
      <w:r w:rsidRPr="000126B6">
        <w:t xml:space="preserve"> and Sato, 2017). Higher standards of environmental policies may require additional capital outlay towards </w:t>
      </w:r>
      <w:r w:rsidR="00B71117">
        <w:t>environmentally</w:t>
      </w:r>
      <w:r w:rsidRPr="000126B6">
        <w:t xml:space="preserve"> friendly production methods, thus raising the overall costs of production amongst manufacturing industries. However, a vital function of foreign policy is observed in the sphere of international commerce and trade since </w:t>
      </w:r>
      <w:r w:rsidR="00B71117">
        <w:t xml:space="preserve">the </w:t>
      </w:r>
      <w:r w:rsidRPr="000126B6">
        <w:t xml:space="preserve">market entrance and the level of competition heavily </w:t>
      </w:r>
      <w:r w:rsidR="00B71117">
        <w:t>depend</w:t>
      </w:r>
      <w:r w:rsidRPr="000126B6">
        <w:t xml:space="preserve"> on trade agreements and tariffs (Bozyk, 2019). The trade tensions between the United States and China are expressed through imposing high tariffs on products produced and affecting companies that trade between the two countries, which, accordingly, contributed to higher supply chain costs (Choudary and Saleem, 2023). Political stability is another variable; stable </w:t>
      </w:r>
      <w:r w:rsidR="00B71117">
        <w:t>policies</w:t>
      </w:r>
      <w:r w:rsidRPr="000126B6">
        <w:t xml:space="preserve"> encourage business confidence and investment, while instabilities discourage investment and intimidate. For example, the Brexit referendum that was made caused a lot of unpredictability in the economy of the UK and the entire EU that impacted investment and strategic management decisions (Bloom et. al., 2019).</w:t>
      </w:r>
    </w:p>
    <w:p w14:paraId="062DCD38" w14:textId="238F5210" w:rsidR="007D48CF" w:rsidRPr="00EB75C0" w:rsidRDefault="007D48CF" w:rsidP="007D48CF">
      <w:pPr>
        <w:pStyle w:val="NormalWeb"/>
        <w:rPr>
          <w:b/>
          <w:bCs/>
        </w:rPr>
      </w:pPr>
      <w:r w:rsidRPr="00EB75C0">
        <w:rPr>
          <w:b/>
          <w:bCs/>
        </w:rPr>
        <w:t>Economic Environment</w:t>
      </w:r>
    </w:p>
    <w:p w14:paraId="41E5B80D" w14:textId="7FA466B7" w:rsidR="00FB3635" w:rsidRDefault="00FB3635" w:rsidP="003D66AA">
      <w:r w:rsidRPr="00FB3635">
        <w:t xml:space="preserve">Macro business environment forces including inflation rate, exchange rates and economic growth have effects on the business operating strategies and results (Avelino and Coronel, 2021). Inflation affects the purchasing power, cost, and prices that enhance consumer demand; therefore, high inflation affects all these factors, and a final push to higher prices (KPANGBALA, 2023). For instance, Venezuela </w:t>
      </w:r>
      <w:r w:rsidR="00B71117">
        <w:t>which</w:t>
      </w:r>
      <w:r w:rsidRPr="00FB3635">
        <w:t xml:space="preserve"> was going through hyperinflation had a negative influence on companies, which stopped operations and the economy was harmed. Another key economic parameter is </w:t>
      </w:r>
      <w:r w:rsidR="003D66AA" w:rsidRPr="00FB3635">
        <w:t>exchanging</w:t>
      </w:r>
      <w:r w:rsidRPr="00FB3635">
        <w:t xml:space="preserve"> rates since changes impact export and import prices and profitability and competitive advantage (</w:t>
      </w:r>
      <w:proofErr w:type="spellStart"/>
      <w:r w:rsidRPr="00FB3635">
        <w:t>Saboin</w:t>
      </w:r>
      <w:proofErr w:type="spellEnd"/>
      <w:r w:rsidRPr="00FB3635">
        <w:t xml:space="preserve">, 2021). If the dollar strengthens, imports to the USA will be cheaper and its exports become less affordable in other countries hence, export </w:t>
      </w:r>
      <w:r w:rsidR="00B71117">
        <w:t>earnings</w:t>
      </w:r>
      <w:r w:rsidRPr="00FB3635">
        <w:t xml:space="preserve"> could be affected. On the other hand, a depreciation of the dollar helps </w:t>
      </w:r>
      <w:r w:rsidR="00B71117">
        <w:t>make</w:t>
      </w:r>
      <w:r w:rsidRPr="00FB3635">
        <w:t xml:space="preserve"> </w:t>
      </w:r>
      <w:r w:rsidR="00B71117">
        <w:t>exports</w:t>
      </w:r>
      <w:r w:rsidRPr="00FB3635">
        <w:t xml:space="preserve"> cheaper but makes imported goods more expensive. GDP or economic growth rates define </w:t>
      </w:r>
      <w:r w:rsidR="00B71117">
        <w:t xml:space="preserve">the </w:t>
      </w:r>
      <w:r w:rsidRPr="00FB3635">
        <w:t>market si</w:t>
      </w:r>
      <w:r w:rsidR="00E555F4">
        <w:t>z</w:t>
      </w:r>
      <w:r w:rsidRPr="00FB3635">
        <w:t xml:space="preserve">e and therefore the purchasing capabilities of a country’s population. </w:t>
      </w:r>
      <w:r w:rsidRPr="00FB3635">
        <w:lastRenderedPageBreak/>
        <w:t xml:space="preserve">The situation where a country’s economy has grown, such as in the case of China, is good for multinationals because they </w:t>
      </w:r>
      <w:r w:rsidR="00B71117">
        <w:t>can</w:t>
      </w:r>
      <w:r w:rsidRPr="00FB3635">
        <w:t xml:space="preserve"> expand and thereby attain greater sales. On the other hand, economic changes such as recession can affect spending by </w:t>
      </w:r>
      <w:r w:rsidR="00B71117">
        <w:t>customers</w:t>
      </w:r>
      <w:r w:rsidRPr="00FB3635">
        <w:t xml:space="preserve">, hence affecting sales and revenue. Awareness of these economic factors is crucial to adjusting </w:t>
      </w:r>
      <w:r w:rsidR="00B71117">
        <w:t xml:space="preserve">a </w:t>
      </w:r>
      <w:r w:rsidRPr="00FB3635">
        <w:t xml:space="preserve">business’s approaches to the fluctuating economic environment and </w:t>
      </w:r>
      <w:r w:rsidR="00B71117">
        <w:t>remaining</w:t>
      </w:r>
      <w:r w:rsidRPr="00FB3635">
        <w:t xml:space="preserve"> relevant (Vafin, 2018). </w:t>
      </w:r>
    </w:p>
    <w:p w14:paraId="4E4938C7" w14:textId="11AD56C0" w:rsidR="007D48CF" w:rsidRPr="00EB75C0" w:rsidRDefault="007D48CF" w:rsidP="007D48CF">
      <w:pPr>
        <w:pStyle w:val="NormalWeb"/>
        <w:rPr>
          <w:b/>
          <w:bCs/>
        </w:rPr>
      </w:pPr>
      <w:r w:rsidRPr="00EB75C0">
        <w:rPr>
          <w:b/>
          <w:bCs/>
        </w:rPr>
        <w:t>Social Environment</w:t>
      </w:r>
    </w:p>
    <w:p w14:paraId="0BB64AAC" w14:textId="2AD5D699" w:rsidR="00D309E0" w:rsidRDefault="00C07165" w:rsidP="00EF2688">
      <w:pPr>
        <w:rPr>
          <w:b/>
          <w:bCs/>
        </w:rPr>
      </w:pPr>
      <w:r w:rsidRPr="00C07165">
        <w:t xml:space="preserve">It entails demography, culture and the buying propensity of societies, societies’ relations, attitudes and beliefs/Uncertainties refer to social factors that influence buyers and business operations (Etuk et. al., 2022). Incidental social factors that can be observed and measured include demographic characteristics like growth rates and ageing or youth–bulges which affect </w:t>
      </w:r>
      <w:r w:rsidR="00B71117">
        <w:t>product</w:t>
      </w:r>
      <w:r w:rsidRPr="00C07165">
        <w:t xml:space="preserve"> consumption and </w:t>
      </w:r>
      <w:r w:rsidR="00B71117">
        <w:t>labour</w:t>
      </w:r>
      <w:r w:rsidRPr="00C07165">
        <w:t xml:space="preserve"> markets. For instance, Japan’s ageing population has exerted the pressure of high demand </w:t>
      </w:r>
      <w:r w:rsidR="00B71117">
        <w:t>for</w:t>
      </w:r>
      <w:r w:rsidRPr="00C07165">
        <w:t xml:space="preserve"> health care and retirement products but at the same time poses the need to have a pool of employees (Vogt, 2018). The cultural variables include; the level of values and lifestyle since these are factors that define the likely consumerism or consumer purchasing </w:t>
      </w:r>
      <w:proofErr w:type="spellStart"/>
      <w:r w:rsidRPr="00C07165">
        <w:t>behavior</w:t>
      </w:r>
      <w:proofErr w:type="spellEnd"/>
      <w:r w:rsidRPr="00C07165">
        <w:t xml:space="preserve">. The increasing consciousness level about health has helped the organic food sector and the fitness segment pushing companies to cause changes in the current market (Sulaiman et. </w:t>
      </w:r>
      <w:r w:rsidR="003D66AA">
        <w:t>a</w:t>
      </w:r>
      <w:r w:rsidRPr="00C07165">
        <w:t>l, 2017). Another factor that depends on societal perceptions is the concept of corporate social responsibility and sustainability in the organi</w:t>
      </w:r>
      <w:r w:rsidR="00E555F4">
        <w:t>s</w:t>
      </w:r>
      <w:r w:rsidRPr="00C07165">
        <w:t xml:space="preserve">ations’ activities. Businesses such as Patagonia receive a positive reception </w:t>
      </w:r>
      <w:r w:rsidR="00B71117">
        <w:t>for</w:t>
      </w:r>
      <w:r w:rsidRPr="00C07165">
        <w:t xml:space="preserve"> their dedication to reducing the negative effects on the environment as sustainable customers are drawn to such companies, making the company’s image better (</w:t>
      </w:r>
      <w:proofErr w:type="spellStart"/>
      <w:r w:rsidRPr="00C07165">
        <w:t>Rattalino</w:t>
      </w:r>
      <w:proofErr w:type="spellEnd"/>
      <w:r w:rsidRPr="00C07165">
        <w:t>, 2018).</w:t>
      </w:r>
    </w:p>
    <w:p w14:paraId="000CC1DB" w14:textId="5A30583F" w:rsidR="007D48CF" w:rsidRPr="00EB75C0" w:rsidRDefault="007D48CF" w:rsidP="007D48CF">
      <w:pPr>
        <w:pStyle w:val="NormalWeb"/>
        <w:rPr>
          <w:b/>
          <w:bCs/>
        </w:rPr>
      </w:pPr>
      <w:r w:rsidRPr="00EB75C0">
        <w:rPr>
          <w:b/>
          <w:bCs/>
        </w:rPr>
        <w:t>Technological Environment</w:t>
      </w:r>
    </w:p>
    <w:p w14:paraId="0202D3C8" w14:textId="1905FECA" w:rsidR="00715514" w:rsidRDefault="00715514" w:rsidP="00EF2688">
      <w:r w:rsidRPr="00715514">
        <w:t>Technology is the key to establishing various managerial motivations and developing organi</w:t>
      </w:r>
      <w:r w:rsidR="00E555F4">
        <w:t>s</w:t>
      </w:r>
      <w:r w:rsidRPr="00715514">
        <w:t xml:space="preserve">ational competitive advantages and </w:t>
      </w:r>
      <w:r w:rsidR="00B71117">
        <w:t>entities</w:t>
      </w:r>
      <w:r w:rsidRPr="00715514">
        <w:t xml:space="preserve">, yet it constitutes a threat </w:t>
      </w:r>
      <w:r w:rsidR="00B71117">
        <w:t>regarding</w:t>
      </w:r>
      <w:r w:rsidRPr="00715514">
        <w:t xml:space="preserve"> change adjustment and investment (Prasanna et. al., 2019). </w:t>
      </w:r>
      <w:r w:rsidR="00B71117">
        <w:t>It</w:t>
      </w:r>
      <w:r w:rsidRPr="00715514">
        <w:t xml:space="preserve"> is a global concept and refers to the fast growth of technology that may bring changes in industries and business possibilities. </w:t>
      </w:r>
      <w:r w:rsidR="00B71117">
        <w:t>The emergence</w:t>
      </w:r>
      <w:r w:rsidRPr="00715514">
        <w:t xml:space="preserve"> of other selling platforms such as Amazon changed the face of retail, by offering convenience and a large customer base business that forced traditional retailers to look for other unique selling </w:t>
      </w:r>
      <w:r w:rsidR="00B71117">
        <w:t>propositions</w:t>
      </w:r>
      <w:r w:rsidRPr="00715514">
        <w:t xml:space="preserve"> </w:t>
      </w:r>
      <w:r w:rsidR="00B71117">
        <w:t>to</w:t>
      </w:r>
      <w:r w:rsidRPr="00715514">
        <w:t xml:space="preserve"> be competitive (</w:t>
      </w:r>
      <w:proofErr w:type="spellStart"/>
      <w:r w:rsidRPr="00715514">
        <w:t>Pallivalappil</w:t>
      </w:r>
      <w:proofErr w:type="spellEnd"/>
      <w:r w:rsidRPr="00715514">
        <w:t xml:space="preserve"> and </w:t>
      </w:r>
      <w:proofErr w:type="spellStart"/>
      <w:r w:rsidRPr="00715514">
        <w:t>Jagadeesha</w:t>
      </w:r>
      <w:proofErr w:type="spellEnd"/>
      <w:r w:rsidRPr="00715514">
        <w:t xml:space="preserve">, 2021). Any company must invest in </w:t>
      </w:r>
      <w:r w:rsidR="00B71117">
        <w:t>R&amp;D</w:t>
      </w:r>
      <w:r w:rsidRPr="00715514">
        <w:t xml:space="preserve"> so that they can have new and competitive products in the </w:t>
      </w:r>
      <w:r w:rsidR="00B71117">
        <w:t>marketplace</w:t>
      </w:r>
      <w:r w:rsidRPr="00715514">
        <w:t xml:space="preserve">. (Braunfels, 2021) reports that there is constant innovation to respond to the changes in the market and the particular spending is especially high for R&amp;D by high-tech </w:t>
      </w:r>
      <w:r w:rsidRPr="00715514">
        <w:lastRenderedPageBreak/>
        <w:t>companies such as Tesla to manufacture new electric cars and energy systems. Digitali</w:t>
      </w:r>
      <w:r w:rsidR="00E555F4">
        <w:t>s</w:t>
      </w:r>
      <w:r w:rsidRPr="00715514">
        <w:t xml:space="preserve">ation, the conversion of business processes into digital, can increase </w:t>
      </w:r>
      <w:r w:rsidR="00B71117">
        <w:t xml:space="preserve">the </w:t>
      </w:r>
      <w:r w:rsidRPr="00715514">
        <w:t xml:space="preserve">quality of services and interactions with customers, yet, it is a highly capital and </w:t>
      </w:r>
      <w:r w:rsidR="00B71117">
        <w:t>skill-intensive</w:t>
      </w:r>
      <w:r w:rsidRPr="00715514">
        <w:t xml:space="preserve"> process (Zaki, 2019). Technological advancement is dynamic and any organi</w:t>
      </w:r>
      <w:r w:rsidR="00E555F4">
        <w:t>s</w:t>
      </w:r>
      <w:r w:rsidRPr="00715514">
        <w:t xml:space="preserve">ation needs to consistently evolve </w:t>
      </w:r>
      <w:r w:rsidR="00B71117">
        <w:t>to</w:t>
      </w:r>
      <w:r w:rsidRPr="00715514">
        <w:t xml:space="preserve"> fit into the new changes as well as exploit any arising opportunities. </w:t>
      </w:r>
    </w:p>
    <w:p w14:paraId="0C9731ED" w14:textId="7BAB9F15" w:rsidR="007D48CF" w:rsidRPr="00EB75C0" w:rsidRDefault="007D48CF" w:rsidP="00715514">
      <w:pPr>
        <w:rPr>
          <w:b/>
          <w:bCs/>
        </w:rPr>
      </w:pPr>
      <w:r w:rsidRPr="00EB75C0">
        <w:rPr>
          <w:b/>
          <w:bCs/>
        </w:rPr>
        <w:t>Legal Environment</w:t>
      </w:r>
    </w:p>
    <w:p w14:paraId="39230167" w14:textId="5E6D4BF1" w:rsidR="009A702C" w:rsidRDefault="009A702C" w:rsidP="00EF2688">
      <w:r w:rsidRPr="009A702C">
        <w:t xml:space="preserve">Legal factors are the rules of the game that govern and control business operations, as well as the outcome of various activities by the courts (Arlen and Kahan, 2017). Minimum wage rules, working conditions, </w:t>
      </w:r>
      <w:r w:rsidR="00B71117">
        <w:t>and protect</w:t>
      </w:r>
      <w:r w:rsidRPr="009A702C">
        <w:t xml:space="preserve"> employees’ rights also interfere with labour costs and human resource management. For instance, new regiments on labour laws in Europe influence </w:t>
      </w:r>
      <w:r w:rsidR="00B71117">
        <w:t>how</w:t>
      </w:r>
      <w:r w:rsidRPr="009A702C">
        <w:t xml:space="preserve"> companies run their businesses because they </w:t>
      </w:r>
      <w:r w:rsidR="00B71117">
        <w:t xml:space="preserve">are </w:t>
      </w:r>
      <w:r w:rsidRPr="009A702C">
        <w:t xml:space="preserve">being asked to provide better means of taking care of their employees (Keune and Pedaci, 2020). Intellectual property (IP) rules that govern the protection of IP rights </w:t>
      </w:r>
      <w:r w:rsidR="00B71117">
        <w:t>to</w:t>
      </w:r>
      <w:r w:rsidRPr="009A702C">
        <w:t xml:space="preserve"> spur new products’ innovations and investments. The current legislation </w:t>
      </w:r>
      <w:r w:rsidR="00B71117">
        <w:t>on</w:t>
      </w:r>
      <w:r w:rsidRPr="009A702C">
        <w:t xml:space="preserve"> Intellectual Property in the US </w:t>
      </w:r>
      <w:r w:rsidR="00B71117">
        <w:t>has</w:t>
      </w:r>
      <w:r w:rsidRPr="009A702C">
        <w:t xml:space="preserve"> strong foundations that support innovations and </w:t>
      </w:r>
      <w:r w:rsidR="00B71117">
        <w:t>creativity</w:t>
      </w:r>
      <w:r w:rsidRPr="009A702C">
        <w:t xml:space="preserve"> in technology areas and </w:t>
      </w:r>
      <w:r w:rsidR="00B71117">
        <w:t>give</w:t>
      </w:r>
      <w:r w:rsidRPr="009A702C">
        <w:t xml:space="preserve"> business companies </w:t>
      </w:r>
      <w:r w:rsidR="00B71117">
        <w:t xml:space="preserve">the </w:t>
      </w:r>
      <w:r w:rsidRPr="009A702C">
        <w:t xml:space="preserve">confidence to invest in innovative projects (Hillman and Baydoun, 2020). Laws that deal with the protection of consumers and their rights affect product safety and marketing strategies. These regulations are legal requirements that companies have to meet in order not to face legal consequences they also aim at protecting the consumers. Failure to abide by the laws could cost a firm a lot of money through </w:t>
      </w:r>
      <w:r w:rsidR="00B71117">
        <w:t>lawsuits</w:t>
      </w:r>
      <w:r w:rsidRPr="009A702C">
        <w:t xml:space="preserve"> as well as </w:t>
      </w:r>
      <w:r w:rsidR="001C7B6D">
        <w:t xml:space="preserve">the </w:t>
      </w:r>
      <w:r w:rsidRPr="009A702C">
        <w:t xml:space="preserve">destruction of the </w:t>
      </w:r>
      <w:r w:rsidR="00B71117">
        <w:t>firm's</w:t>
      </w:r>
      <w:r w:rsidRPr="009A702C">
        <w:t xml:space="preserve"> reputation.</w:t>
      </w:r>
    </w:p>
    <w:p w14:paraId="4EA96700" w14:textId="669D3C66" w:rsidR="007D48CF" w:rsidRPr="00EB75C0" w:rsidRDefault="007D48CF" w:rsidP="007D48CF">
      <w:pPr>
        <w:pStyle w:val="NormalWeb"/>
        <w:rPr>
          <w:b/>
          <w:bCs/>
        </w:rPr>
      </w:pPr>
      <w:r w:rsidRPr="00EB75C0">
        <w:rPr>
          <w:b/>
          <w:bCs/>
        </w:rPr>
        <w:t>Environmental Environment</w:t>
      </w:r>
    </w:p>
    <w:p w14:paraId="6E48DB74" w14:textId="28A3FD75" w:rsidR="009A7E3D" w:rsidRDefault="009A7E3D" w:rsidP="00EF2688">
      <w:r w:rsidRPr="009A7E3D">
        <w:t>Environmental factors consist of the ecological and environmental characteristics that affect business processes and sustainability initiatives (Abbas et. al. 2019). Climate change consciousness and its effects make organi</w:t>
      </w:r>
      <w:r w:rsidR="00E555F4">
        <w:t>s</w:t>
      </w:r>
      <w:r w:rsidRPr="009A7E3D">
        <w:t>ations change their policies and minimi</w:t>
      </w:r>
      <w:r w:rsidR="00E555F4">
        <w:t>s</w:t>
      </w:r>
      <w:r w:rsidRPr="009A7E3D">
        <w:t xml:space="preserve">e emissions and other hazardous effects </w:t>
      </w:r>
      <w:r w:rsidR="00B71117">
        <w:t>on</w:t>
      </w:r>
      <w:r w:rsidRPr="009A7E3D">
        <w:t xml:space="preserve"> the environment. Global Players such as IKEA are coming up with policies of investing in renewable energy and also through sustainable sourcing </w:t>
      </w:r>
      <w:r w:rsidR="00B71117">
        <w:t>strategies</w:t>
      </w:r>
      <w:r w:rsidRPr="009A7E3D">
        <w:t xml:space="preserve"> in </w:t>
      </w:r>
      <w:r w:rsidR="001C7B6D">
        <w:t xml:space="preserve">the </w:t>
      </w:r>
      <w:r w:rsidRPr="009A7E3D">
        <w:t>reali</w:t>
      </w:r>
      <w:r w:rsidR="00E555F4">
        <w:t>s</w:t>
      </w:r>
      <w:r w:rsidRPr="009A7E3D">
        <w:t xml:space="preserve">ation </w:t>
      </w:r>
      <w:r w:rsidR="00B71117">
        <w:t>of</w:t>
      </w:r>
      <w:r w:rsidRPr="009A7E3D">
        <w:t xml:space="preserve"> the current growing demand </w:t>
      </w:r>
      <w:r w:rsidR="00B71117">
        <w:t>for</w:t>
      </w:r>
      <w:r w:rsidRPr="009A7E3D">
        <w:t xml:space="preserve"> sustainability strategies (Mahalakshmi et. al., 2024). Production processes and costs are influenced by environmental legal requirements as they relate to the organi</w:t>
      </w:r>
      <w:r w:rsidR="00E555F4">
        <w:t>s</w:t>
      </w:r>
      <w:r w:rsidRPr="009A7E3D">
        <w:t xml:space="preserve">ation. </w:t>
      </w:r>
      <w:r w:rsidR="00B71117">
        <w:t>EU</w:t>
      </w:r>
      <w:r w:rsidRPr="009A7E3D">
        <w:t xml:space="preserve"> has strict laws in dealing with electronic waste hence most of the firms involved in the use of technology </w:t>
      </w:r>
      <w:r w:rsidR="00B71117">
        <w:t>have</w:t>
      </w:r>
      <w:r w:rsidRPr="009A7E3D">
        <w:t xml:space="preserve"> embarked on recycling programs hence improving their sustainability and compliance (Shittu, Williams, and Shaw, 2021). This is true because the scarcity of resources particularly those that are natural </w:t>
      </w:r>
      <w:r w:rsidR="00B71117">
        <w:t>compels</w:t>
      </w:r>
      <w:r w:rsidRPr="009A7E3D">
        <w:t xml:space="preserve"> </w:t>
      </w:r>
      <w:r w:rsidRPr="009A7E3D">
        <w:lastRenderedPageBreak/>
        <w:t>organi</w:t>
      </w:r>
      <w:r w:rsidR="00E555F4">
        <w:t>s</w:t>
      </w:r>
      <w:r w:rsidRPr="009A7E3D">
        <w:t>ations to come up with innovations in ways of minimi</w:t>
      </w:r>
      <w:r w:rsidR="00E555F4">
        <w:t>s</w:t>
      </w:r>
      <w:r w:rsidRPr="009A7E3D">
        <w:t xml:space="preserve">ing the use of these resources. Hence, some industries especially the agricultural and manufacturing sectors have </w:t>
      </w:r>
      <w:r w:rsidR="00B71117">
        <w:t>begun</w:t>
      </w:r>
      <w:r w:rsidRPr="009A7E3D">
        <w:t xml:space="preserve"> to find out how they can develop methods that can help them use less water and make the resource more sustainable </w:t>
      </w:r>
      <w:r w:rsidR="00B71117">
        <w:t>to</w:t>
      </w:r>
      <w:r w:rsidRPr="009A7E3D">
        <w:t xml:space="preserve"> be ready to handle the risks of scarcity.</w:t>
      </w:r>
    </w:p>
    <w:p w14:paraId="07394291" w14:textId="3043812E" w:rsidR="008F0414" w:rsidRDefault="008A4D0E" w:rsidP="00EC7002">
      <w:pPr>
        <w:rPr>
          <w:b/>
        </w:rPr>
      </w:pPr>
      <w:r>
        <w:t xml:space="preserve">Therefore, it is concluded that the </w:t>
      </w:r>
      <w:r w:rsidR="008F0414" w:rsidRPr="008F0414">
        <w:t xml:space="preserve">PESTLE is a strategy that helps business leaders comprehend the nature of the external environment, and it is vital to understand each of the variables (Vlados and Chatzinikolaou, 2019). </w:t>
      </w:r>
    </w:p>
    <w:p w14:paraId="495E8A47" w14:textId="77777777" w:rsidR="00EC7002" w:rsidRDefault="00EC7002">
      <w:pPr>
        <w:spacing w:line="278" w:lineRule="auto"/>
        <w:jc w:val="left"/>
        <w:rPr>
          <w:rFonts w:eastAsiaTheme="majorEastAsia" w:cstheme="majorBidi"/>
          <w:b/>
          <w:sz w:val="36"/>
          <w:szCs w:val="32"/>
        </w:rPr>
      </w:pPr>
      <w:r>
        <w:br w:type="page"/>
      </w:r>
    </w:p>
    <w:p w14:paraId="12AC4071" w14:textId="4A08A995" w:rsidR="007D48CF" w:rsidRDefault="007D48CF" w:rsidP="007D48CF">
      <w:pPr>
        <w:pStyle w:val="Heading1"/>
      </w:pPr>
      <w:bookmarkStart w:id="2" w:name="_Toc171336784"/>
      <w:r>
        <w:lastRenderedPageBreak/>
        <w:t>Conclusion</w:t>
      </w:r>
      <w:bookmarkEnd w:id="2"/>
    </w:p>
    <w:p w14:paraId="240004D1" w14:textId="4FA86EBF" w:rsidR="00CA1F43" w:rsidRDefault="00094E3C" w:rsidP="00EC7002">
      <w:r w:rsidRPr="00094E3C">
        <w:t xml:space="preserve">Hence, the PESTLE analysis is a useful tool for identifying the forces that define the environment and their impact on the business. Taking the </w:t>
      </w:r>
      <w:r w:rsidR="00B71117">
        <w:t>acronym</w:t>
      </w:r>
      <w:r w:rsidRPr="00094E3C">
        <w:t xml:space="preserve"> PESTL operating environment concerns refers to political issues that seek to affect the operations and strategies of a business. By </w:t>
      </w:r>
      <w:r w:rsidR="00EC7002" w:rsidRPr="00094E3C">
        <w:t>analysing</w:t>
      </w:r>
      <w:r w:rsidRPr="00094E3C">
        <w:t xml:space="preserve"> these variables, </w:t>
      </w:r>
      <w:r w:rsidR="00B71117">
        <w:t>possible</w:t>
      </w:r>
      <w:r w:rsidRPr="00094E3C">
        <w:t xml:space="preserve"> changes in the external environment are easier to predict and control, thus, securing </w:t>
      </w:r>
      <w:r w:rsidR="00EB2D38">
        <w:t>the</w:t>
      </w:r>
      <w:r w:rsidRPr="00094E3C">
        <w:t xml:space="preserve"> company’s long-term success. The conduct of this PESTLE analysis highlights detailing of how these above factors play out in practice </w:t>
      </w:r>
      <w:r w:rsidR="00B71117">
        <w:t xml:space="preserve">and </w:t>
      </w:r>
      <w:r w:rsidRPr="00094E3C">
        <w:t xml:space="preserve">argues the need for a detailed and continuous analysis of this nature for best </w:t>
      </w:r>
      <w:r w:rsidR="00B71117">
        <w:t>decision-making</w:t>
      </w:r>
      <w:r w:rsidRPr="00094E3C">
        <w:t xml:space="preserve"> and </w:t>
      </w:r>
      <w:proofErr w:type="spellStart"/>
      <w:r w:rsidRPr="00094E3C">
        <w:t>strategi</w:t>
      </w:r>
      <w:r w:rsidR="00EB2D38">
        <w:t>s</w:t>
      </w:r>
      <w:r w:rsidRPr="00094E3C">
        <w:t>ing</w:t>
      </w:r>
      <w:proofErr w:type="spellEnd"/>
      <w:r w:rsidRPr="00094E3C">
        <w:t xml:space="preserve">. </w:t>
      </w:r>
      <w:r w:rsidR="00CA1F43">
        <w:br w:type="page"/>
      </w:r>
    </w:p>
    <w:p w14:paraId="7CFD338D" w14:textId="19289072" w:rsidR="007D48CF" w:rsidRDefault="00CA1F43" w:rsidP="00CA1F43">
      <w:pPr>
        <w:pStyle w:val="Heading1"/>
      </w:pPr>
      <w:bookmarkStart w:id="3" w:name="_Toc171336785"/>
      <w:r>
        <w:lastRenderedPageBreak/>
        <w:t>References</w:t>
      </w:r>
      <w:bookmarkEnd w:id="3"/>
    </w:p>
    <w:p w14:paraId="20081E3E" w14:textId="688448E9" w:rsidR="00B657E8" w:rsidRDefault="00B657E8" w:rsidP="00B657E8">
      <w:pPr>
        <w:rPr>
          <w:lang w:val="en-IN" w:eastAsia="en-IN"/>
        </w:rPr>
      </w:pPr>
      <w:r w:rsidRPr="00D26404">
        <w:rPr>
          <w:lang w:val="en-IN" w:eastAsia="en-IN"/>
        </w:rPr>
        <w:t xml:space="preserve">Abbas, J., Mahmood, S., Ali, H., Ali Raza, M., Ali, G., Aman, J., Bano, S. and Nurunnabi, M., </w:t>
      </w:r>
      <w:r>
        <w:rPr>
          <w:lang w:val="en-IN" w:eastAsia="en-IN"/>
        </w:rPr>
        <w:t>(</w:t>
      </w:r>
      <w:r w:rsidRPr="00D26404">
        <w:rPr>
          <w:lang w:val="en-IN" w:eastAsia="en-IN"/>
        </w:rPr>
        <w:t>2019</w:t>
      </w:r>
      <w:r>
        <w:rPr>
          <w:lang w:val="en-IN" w:eastAsia="en-IN"/>
        </w:rPr>
        <w:t>)</w:t>
      </w:r>
      <w:r w:rsidRPr="00D26404">
        <w:rPr>
          <w:lang w:val="en-IN" w:eastAsia="en-IN"/>
        </w:rPr>
        <w:t xml:space="preserve">. The effects of corporate social responsibility practices and environmental factors through a moderating role of social media marketing on </w:t>
      </w:r>
      <w:r w:rsidR="00B71117">
        <w:rPr>
          <w:lang w:val="en-IN" w:eastAsia="en-IN"/>
        </w:rPr>
        <w:t xml:space="preserve">the </w:t>
      </w:r>
      <w:r w:rsidRPr="00D26404">
        <w:rPr>
          <w:lang w:val="en-IN" w:eastAsia="en-IN"/>
        </w:rPr>
        <w:t xml:space="preserve">sustainable performance of business firms. </w:t>
      </w:r>
      <w:r w:rsidRPr="00D26404">
        <w:rPr>
          <w:i/>
          <w:iCs/>
          <w:lang w:val="en-IN" w:eastAsia="en-IN"/>
        </w:rPr>
        <w:t>Sustainability</w:t>
      </w:r>
      <w:r w:rsidRPr="00D26404">
        <w:rPr>
          <w:lang w:val="en-IN" w:eastAsia="en-IN"/>
        </w:rPr>
        <w:t xml:space="preserve">, </w:t>
      </w:r>
      <w:r w:rsidRPr="00D26404">
        <w:rPr>
          <w:i/>
          <w:iCs/>
          <w:lang w:val="en-IN" w:eastAsia="en-IN"/>
        </w:rPr>
        <w:t>11</w:t>
      </w:r>
      <w:r w:rsidRPr="00D26404">
        <w:rPr>
          <w:lang w:val="en-IN" w:eastAsia="en-IN"/>
        </w:rPr>
        <w:t>(12), p.3434.</w:t>
      </w:r>
    </w:p>
    <w:p w14:paraId="727CE5CB" w14:textId="77777777" w:rsidR="00B657E8" w:rsidRDefault="00B657E8" w:rsidP="00B657E8">
      <w:pPr>
        <w:rPr>
          <w:lang w:val="en-IN" w:eastAsia="en-IN"/>
        </w:rPr>
      </w:pPr>
      <w:r w:rsidRPr="00C366A6">
        <w:rPr>
          <w:lang w:val="en-IN" w:eastAsia="en-IN"/>
        </w:rPr>
        <w:t xml:space="preserve">Arlen, J. and Kahan, M., </w:t>
      </w:r>
      <w:r>
        <w:rPr>
          <w:lang w:val="en-IN" w:eastAsia="en-IN"/>
        </w:rPr>
        <w:t>(</w:t>
      </w:r>
      <w:r w:rsidRPr="00C366A6">
        <w:rPr>
          <w:lang w:val="en-IN" w:eastAsia="en-IN"/>
        </w:rPr>
        <w:t>2017</w:t>
      </w:r>
      <w:r>
        <w:rPr>
          <w:lang w:val="en-IN" w:eastAsia="en-IN"/>
        </w:rPr>
        <w:t>)</w:t>
      </w:r>
      <w:r w:rsidRPr="00C366A6">
        <w:rPr>
          <w:lang w:val="en-IN" w:eastAsia="en-IN"/>
        </w:rPr>
        <w:t xml:space="preserve">. Corporate governance regulation through </w:t>
      </w:r>
      <w:proofErr w:type="spellStart"/>
      <w:r w:rsidRPr="00C366A6">
        <w:rPr>
          <w:lang w:val="en-IN" w:eastAsia="en-IN"/>
        </w:rPr>
        <w:t>nonprosecution</w:t>
      </w:r>
      <w:proofErr w:type="spellEnd"/>
      <w:r w:rsidRPr="00C366A6">
        <w:rPr>
          <w:lang w:val="en-IN" w:eastAsia="en-IN"/>
        </w:rPr>
        <w:t xml:space="preserve">. </w:t>
      </w:r>
      <w:r w:rsidRPr="00C366A6">
        <w:rPr>
          <w:i/>
          <w:iCs/>
          <w:lang w:val="en-IN" w:eastAsia="en-IN"/>
        </w:rPr>
        <w:t>The University of Chicago Law Review</w:t>
      </w:r>
      <w:r w:rsidRPr="00C366A6">
        <w:rPr>
          <w:lang w:val="en-IN" w:eastAsia="en-IN"/>
        </w:rPr>
        <w:t>, pp.323-387.</w:t>
      </w:r>
    </w:p>
    <w:p w14:paraId="3C88A292" w14:textId="77777777" w:rsidR="00B657E8" w:rsidRDefault="00B657E8" w:rsidP="00B657E8">
      <w:pPr>
        <w:rPr>
          <w:lang w:val="en-IN" w:eastAsia="en-IN"/>
        </w:rPr>
      </w:pPr>
      <w:r w:rsidRPr="00C534FA">
        <w:rPr>
          <w:lang w:val="en-IN" w:eastAsia="en-IN"/>
        </w:rPr>
        <w:t xml:space="preserve">Avelino, G. and Coronel, D.A., </w:t>
      </w:r>
      <w:r>
        <w:rPr>
          <w:lang w:val="en-IN" w:eastAsia="en-IN"/>
        </w:rPr>
        <w:t>(</w:t>
      </w:r>
      <w:r w:rsidRPr="00C534FA">
        <w:rPr>
          <w:lang w:val="en-IN" w:eastAsia="en-IN"/>
        </w:rPr>
        <w:t>2021</w:t>
      </w:r>
      <w:r>
        <w:rPr>
          <w:lang w:val="en-IN" w:eastAsia="en-IN"/>
        </w:rPr>
        <w:t>)</w:t>
      </w:r>
      <w:r w:rsidRPr="00C534FA">
        <w:rPr>
          <w:lang w:val="en-IN" w:eastAsia="en-IN"/>
        </w:rPr>
        <w:t xml:space="preserve">. Macroeconomic Determinants of Economic Growth in Developing Countries: A Cross-Sectional Analysis. </w:t>
      </w:r>
      <w:r w:rsidRPr="00C534FA">
        <w:rPr>
          <w:i/>
          <w:iCs/>
          <w:lang w:val="en-IN" w:eastAsia="en-IN"/>
        </w:rPr>
        <w:t>Journal of Business and Economic Options</w:t>
      </w:r>
      <w:r w:rsidRPr="00C534FA">
        <w:rPr>
          <w:lang w:val="en-IN" w:eastAsia="en-IN"/>
        </w:rPr>
        <w:t xml:space="preserve">, </w:t>
      </w:r>
      <w:r w:rsidRPr="00C534FA">
        <w:rPr>
          <w:i/>
          <w:iCs/>
          <w:lang w:val="en-IN" w:eastAsia="en-IN"/>
        </w:rPr>
        <w:t>4</w:t>
      </w:r>
      <w:r w:rsidRPr="00C534FA">
        <w:rPr>
          <w:lang w:val="en-IN" w:eastAsia="en-IN"/>
        </w:rPr>
        <w:t>(1), pp.16-24.</w:t>
      </w:r>
    </w:p>
    <w:p w14:paraId="60D17E66" w14:textId="77777777" w:rsidR="00B657E8" w:rsidRDefault="00B657E8" w:rsidP="00B657E8">
      <w:pPr>
        <w:rPr>
          <w:lang w:val="en-IN" w:eastAsia="en-IN"/>
        </w:rPr>
      </w:pPr>
      <w:r w:rsidRPr="00E11574">
        <w:rPr>
          <w:lang w:val="en-IN" w:eastAsia="en-IN"/>
        </w:rPr>
        <w:t xml:space="preserve">Bloom, N., Bunn, P., Chen, S., Mizen, P., </w:t>
      </w:r>
      <w:proofErr w:type="spellStart"/>
      <w:r w:rsidRPr="00E11574">
        <w:rPr>
          <w:lang w:val="en-IN" w:eastAsia="en-IN"/>
        </w:rPr>
        <w:t>Smietanka</w:t>
      </w:r>
      <w:proofErr w:type="spellEnd"/>
      <w:r w:rsidRPr="00E11574">
        <w:rPr>
          <w:lang w:val="en-IN" w:eastAsia="en-IN"/>
        </w:rPr>
        <w:t xml:space="preserve">, P. and Thwaites, G., </w:t>
      </w:r>
      <w:r>
        <w:rPr>
          <w:lang w:val="en-IN" w:eastAsia="en-IN"/>
        </w:rPr>
        <w:t>(</w:t>
      </w:r>
      <w:r w:rsidRPr="00E11574">
        <w:rPr>
          <w:lang w:val="en-IN" w:eastAsia="en-IN"/>
        </w:rPr>
        <w:t>2019</w:t>
      </w:r>
      <w:r>
        <w:rPr>
          <w:lang w:val="en-IN" w:eastAsia="en-IN"/>
        </w:rPr>
        <w:t>)</w:t>
      </w:r>
      <w:r w:rsidRPr="00E11574">
        <w:rPr>
          <w:lang w:val="en-IN" w:eastAsia="en-IN"/>
        </w:rPr>
        <w:t xml:space="preserve">. </w:t>
      </w:r>
      <w:r w:rsidRPr="00E11574">
        <w:rPr>
          <w:i/>
          <w:iCs/>
          <w:lang w:val="en-IN" w:eastAsia="en-IN"/>
        </w:rPr>
        <w:t>The impact of Brexit on UK firms</w:t>
      </w:r>
      <w:r w:rsidRPr="00E11574">
        <w:rPr>
          <w:lang w:val="en-IN" w:eastAsia="en-IN"/>
        </w:rPr>
        <w:t xml:space="preserve"> (No. w26218). National Bureau of Economic Research.</w:t>
      </w:r>
    </w:p>
    <w:p w14:paraId="5FEAF435" w14:textId="77777777" w:rsidR="00B657E8" w:rsidRDefault="00B657E8" w:rsidP="00B657E8">
      <w:pPr>
        <w:rPr>
          <w:lang w:val="en-IN" w:eastAsia="en-IN"/>
        </w:rPr>
      </w:pPr>
      <w:r w:rsidRPr="000959D2">
        <w:rPr>
          <w:lang w:val="en-IN" w:eastAsia="en-IN"/>
        </w:rPr>
        <w:t>Bozyk, P., 2019. Globalization and the transformation of foreign economic policy. Routledge.</w:t>
      </w:r>
    </w:p>
    <w:p w14:paraId="53A77756" w14:textId="77777777" w:rsidR="00B657E8" w:rsidRDefault="00B657E8" w:rsidP="00B657E8">
      <w:pPr>
        <w:rPr>
          <w:lang w:val="en-IN" w:eastAsia="en-IN"/>
        </w:rPr>
      </w:pPr>
      <w:r w:rsidRPr="00B0695A">
        <w:rPr>
          <w:lang w:val="en-IN" w:eastAsia="en-IN"/>
        </w:rPr>
        <w:t xml:space="preserve">Braunfels, N.S.J., </w:t>
      </w:r>
      <w:r>
        <w:rPr>
          <w:lang w:val="en-IN" w:eastAsia="en-IN"/>
        </w:rPr>
        <w:t>(</w:t>
      </w:r>
      <w:r w:rsidRPr="00B0695A">
        <w:rPr>
          <w:lang w:val="en-IN" w:eastAsia="en-IN"/>
        </w:rPr>
        <w:t>2021</w:t>
      </w:r>
      <w:r>
        <w:rPr>
          <w:lang w:val="en-IN" w:eastAsia="en-IN"/>
        </w:rPr>
        <w:t>)</w:t>
      </w:r>
      <w:r w:rsidRPr="00B0695A">
        <w:rPr>
          <w:lang w:val="en-IN" w:eastAsia="en-IN"/>
        </w:rPr>
        <w:t xml:space="preserve">. </w:t>
      </w:r>
      <w:r w:rsidRPr="00B0695A">
        <w:rPr>
          <w:i/>
          <w:iCs/>
          <w:lang w:val="en-IN" w:eastAsia="en-IN"/>
        </w:rPr>
        <w:t>Tesla Motors: Disrupting the automotive industry</w:t>
      </w:r>
      <w:r w:rsidRPr="00B0695A">
        <w:rPr>
          <w:lang w:val="en-IN" w:eastAsia="en-IN"/>
        </w:rPr>
        <w:t xml:space="preserve"> (Master's thesis, </w:t>
      </w:r>
      <w:proofErr w:type="spellStart"/>
      <w:r w:rsidRPr="00B0695A">
        <w:rPr>
          <w:lang w:val="en-IN" w:eastAsia="en-IN"/>
        </w:rPr>
        <w:t>Universidade</w:t>
      </w:r>
      <w:proofErr w:type="spellEnd"/>
      <w:r w:rsidRPr="00B0695A">
        <w:rPr>
          <w:lang w:val="en-IN" w:eastAsia="en-IN"/>
        </w:rPr>
        <w:t xml:space="preserve"> NOVA de Lisboa (Portugal)).</w:t>
      </w:r>
    </w:p>
    <w:p w14:paraId="5A99EF2A" w14:textId="77777777" w:rsidR="00B657E8" w:rsidRDefault="00B657E8" w:rsidP="00B657E8">
      <w:pPr>
        <w:rPr>
          <w:lang w:val="en-IN" w:eastAsia="en-IN"/>
        </w:rPr>
      </w:pPr>
      <w:r w:rsidRPr="00023E1F">
        <w:rPr>
          <w:lang w:val="en-IN" w:eastAsia="en-IN"/>
        </w:rPr>
        <w:t xml:space="preserve">Choudary, E. and Saleem, Z., </w:t>
      </w:r>
      <w:r>
        <w:rPr>
          <w:lang w:val="en-IN" w:eastAsia="en-IN"/>
        </w:rPr>
        <w:t>(</w:t>
      </w:r>
      <w:r w:rsidRPr="00023E1F">
        <w:rPr>
          <w:lang w:val="en-IN" w:eastAsia="en-IN"/>
        </w:rPr>
        <w:t>2023</w:t>
      </w:r>
      <w:r>
        <w:rPr>
          <w:lang w:val="en-IN" w:eastAsia="en-IN"/>
        </w:rPr>
        <w:t>)</w:t>
      </w:r>
      <w:r w:rsidRPr="00023E1F">
        <w:rPr>
          <w:lang w:val="en-IN" w:eastAsia="en-IN"/>
        </w:rPr>
        <w:t xml:space="preserve">. US-China Trade Rivalry: Ramifications on Global Economic Politics. </w:t>
      </w:r>
      <w:r w:rsidRPr="00023E1F">
        <w:rPr>
          <w:i/>
          <w:iCs/>
          <w:lang w:val="en-IN" w:eastAsia="en-IN"/>
        </w:rPr>
        <w:t>Journal of Development and Social Sciences</w:t>
      </w:r>
      <w:r w:rsidRPr="00023E1F">
        <w:rPr>
          <w:lang w:val="en-IN" w:eastAsia="en-IN"/>
        </w:rPr>
        <w:t xml:space="preserve">, </w:t>
      </w:r>
      <w:r w:rsidRPr="00023E1F">
        <w:rPr>
          <w:i/>
          <w:iCs/>
          <w:lang w:val="en-IN" w:eastAsia="en-IN"/>
        </w:rPr>
        <w:t>4</w:t>
      </w:r>
      <w:r w:rsidRPr="00023E1F">
        <w:rPr>
          <w:lang w:val="en-IN" w:eastAsia="en-IN"/>
        </w:rPr>
        <w:t>(3), pp.392-402.</w:t>
      </w:r>
    </w:p>
    <w:p w14:paraId="5E78FEB0" w14:textId="77777777" w:rsidR="00B657E8" w:rsidRDefault="00B657E8" w:rsidP="00B657E8">
      <w:pPr>
        <w:rPr>
          <w:lang w:val="en-IN" w:eastAsia="en-IN"/>
        </w:rPr>
      </w:pPr>
      <w:proofErr w:type="spellStart"/>
      <w:r w:rsidRPr="00E251F8">
        <w:rPr>
          <w:lang w:val="en-IN" w:eastAsia="en-IN"/>
        </w:rPr>
        <w:t>Dechezleprêtre</w:t>
      </w:r>
      <w:proofErr w:type="spellEnd"/>
      <w:r w:rsidRPr="00E251F8">
        <w:rPr>
          <w:lang w:val="en-IN" w:eastAsia="en-IN"/>
        </w:rPr>
        <w:t xml:space="preserve">, A. and Sato, M., </w:t>
      </w:r>
      <w:r>
        <w:rPr>
          <w:lang w:val="en-IN" w:eastAsia="en-IN"/>
        </w:rPr>
        <w:t>(</w:t>
      </w:r>
      <w:r w:rsidRPr="00E251F8">
        <w:rPr>
          <w:lang w:val="en-IN" w:eastAsia="en-IN"/>
        </w:rPr>
        <w:t>2017</w:t>
      </w:r>
      <w:r>
        <w:rPr>
          <w:lang w:val="en-IN" w:eastAsia="en-IN"/>
        </w:rPr>
        <w:t>)</w:t>
      </w:r>
      <w:r w:rsidRPr="00E251F8">
        <w:rPr>
          <w:lang w:val="en-IN" w:eastAsia="en-IN"/>
        </w:rPr>
        <w:t xml:space="preserve">. The impacts of environmental regulations on competitiveness. </w:t>
      </w:r>
      <w:r w:rsidRPr="00E251F8">
        <w:rPr>
          <w:i/>
          <w:iCs/>
          <w:lang w:val="en-IN" w:eastAsia="en-IN"/>
        </w:rPr>
        <w:t>Review of environmental economics and policy</w:t>
      </w:r>
      <w:r w:rsidRPr="00E251F8">
        <w:rPr>
          <w:lang w:val="en-IN" w:eastAsia="en-IN"/>
        </w:rPr>
        <w:t>.</w:t>
      </w:r>
    </w:p>
    <w:p w14:paraId="62CF9D5F" w14:textId="77777777" w:rsidR="00B657E8" w:rsidRDefault="00B657E8" w:rsidP="00B657E8">
      <w:pPr>
        <w:rPr>
          <w:lang w:val="en-IN" w:eastAsia="en-IN"/>
        </w:rPr>
      </w:pPr>
      <w:r w:rsidRPr="00313548">
        <w:rPr>
          <w:lang w:val="en-IN" w:eastAsia="en-IN"/>
        </w:rPr>
        <w:t xml:space="preserve">Etuk, A., </w:t>
      </w:r>
      <w:proofErr w:type="spellStart"/>
      <w:r w:rsidRPr="00313548">
        <w:rPr>
          <w:lang w:val="en-IN" w:eastAsia="en-IN"/>
        </w:rPr>
        <w:t>Anyadighibe</w:t>
      </w:r>
      <w:proofErr w:type="spellEnd"/>
      <w:r w:rsidRPr="00313548">
        <w:rPr>
          <w:lang w:val="en-IN" w:eastAsia="en-IN"/>
        </w:rPr>
        <w:t xml:space="preserve">, J.A., James, E.E. and </w:t>
      </w:r>
      <w:proofErr w:type="spellStart"/>
      <w:r w:rsidRPr="00313548">
        <w:rPr>
          <w:lang w:val="en-IN" w:eastAsia="en-IN"/>
        </w:rPr>
        <w:t>Ukpe</w:t>
      </w:r>
      <w:proofErr w:type="spellEnd"/>
      <w:r w:rsidRPr="00313548">
        <w:rPr>
          <w:lang w:val="en-IN" w:eastAsia="en-IN"/>
        </w:rPr>
        <w:t xml:space="preserve">, M.U., </w:t>
      </w:r>
      <w:r>
        <w:rPr>
          <w:lang w:val="en-IN" w:eastAsia="en-IN"/>
        </w:rPr>
        <w:t>(</w:t>
      </w:r>
      <w:r w:rsidRPr="00313548">
        <w:rPr>
          <w:lang w:val="en-IN" w:eastAsia="en-IN"/>
        </w:rPr>
        <w:t>2022</w:t>
      </w:r>
      <w:r>
        <w:rPr>
          <w:lang w:val="en-IN" w:eastAsia="en-IN"/>
        </w:rPr>
        <w:t>)</w:t>
      </w:r>
      <w:r w:rsidRPr="00313548">
        <w:rPr>
          <w:lang w:val="en-IN" w:eastAsia="en-IN"/>
        </w:rPr>
        <w:t xml:space="preserve">. Sociological factors and consumer buying behaviour towards fashion clothing. </w:t>
      </w:r>
      <w:r w:rsidRPr="00313548">
        <w:rPr>
          <w:i/>
          <w:iCs/>
          <w:lang w:val="en-IN" w:eastAsia="en-IN"/>
        </w:rPr>
        <w:t>International Journal of Applied Research in Social Sciences</w:t>
      </w:r>
      <w:r w:rsidRPr="00313548">
        <w:rPr>
          <w:lang w:val="en-IN" w:eastAsia="en-IN"/>
        </w:rPr>
        <w:t xml:space="preserve">, </w:t>
      </w:r>
      <w:r w:rsidRPr="00313548">
        <w:rPr>
          <w:i/>
          <w:iCs/>
          <w:lang w:val="en-IN" w:eastAsia="en-IN"/>
        </w:rPr>
        <w:t>4</w:t>
      </w:r>
      <w:r w:rsidRPr="00313548">
        <w:rPr>
          <w:lang w:val="en-IN" w:eastAsia="en-IN"/>
        </w:rPr>
        <w:t>(2), pp.21-34.</w:t>
      </w:r>
    </w:p>
    <w:p w14:paraId="51D533E1" w14:textId="77777777" w:rsidR="00B657E8" w:rsidRDefault="00B657E8" w:rsidP="00B657E8">
      <w:pPr>
        <w:rPr>
          <w:lang w:val="en-IN" w:eastAsia="en-IN"/>
        </w:rPr>
      </w:pPr>
      <w:r w:rsidRPr="004A16DA">
        <w:rPr>
          <w:lang w:val="en-IN" w:eastAsia="en-IN"/>
        </w:rPr>
        <w:t xml:space="preserve">Hillman, J.R. and Baydoun, E., </w:t>
      </w:r>
      <w:r>
        <w:rPr>
          <w:lang w:val="en-IN" w:eastAsia="en-IN"/>
        </w:rPr>
        <w:t>(</w:t>
      </w:r>
      <w:r w:rsidRPr="004A16DA">
        <w:rPr>
          <w:lang w:val="en-IN" w:eastAsia="en-IN"/>
        </w:rPr>
        <w:t>2020</w:t>
      </w:r>
      <w:r>
        <w:rPr>
          <w:lang w:val="en-IN" w:eastAsia="en-IN"/>
        </w:rPr>
        <w:t>)</w:t>
      </w:r>
      <w:r w:rsidRPr="004A16DA">
        <w:rPr>
          <w:lang w:val="en-IN" w:eastAsia="en-IN"/>
        </w:rPr>
        <w:t xml:space="preserve">. Innovation, creativity, and entrepreneurship in Academia: A review. </w:t>
      </w:r>
      <w:r w:rsidRPr="004A16DA">
        <w:rPr>
          <w:i/>
          <w:iCs/>
          <w:lang w:val="en-IN" w:eastAsia="en-IN"/>
        </w:rPr>
        <w:t>Higher Education in the Arab World: Building a Culture of Innovation and Entrepreneurship</w:t>
      </w:r>
      <w:r w:rsidRPr="004A16DA">
        <w:rPr>
          <w:lang w:val="en-IN" w:eastAsia="en-IN"/>
        </w:rPr>
        <w:t>, pp.13-71.</w:t>
      </w:r>
    </w:p>
    <w:p w14:paraId="7B342DEE" w14:textId="77777777" w:rsidR="00B657E8" w:rsidRDefault="00B657E8" w:rsidP="00B657E8">
      <w:pPr>
        <w:rPr>
          <w:lang w:val="en-IN" w:eastAsia="en-IN"/>
        </w:rPr>
      </w:pPr>
      <w:r w:rsidRPr="0062552E">
        <w:rPr>
          <w:lang w:val="en-IN" w:eastAsia="en-IN"/>
        </w:rPr>
        <w:t xml:space="preserve">Keune, M. and Pedaci, M., </w:t>
      </w:r>
      <w:r>
        <w:rPr>
          <w:lang w:val="en-IN" w:eastAsia="en-IN"/>
        </w:rPr>
        <w:t>(</w:t>
      </w:r>
      <w:r w:rsidRPr="0062552E">
        <w:rPr>
          <w:lang w:val="en-IN" w:eastAsia="en-IN"/>
        </w:rPr>
        <w:t>2020</w:t>
      </w:r>
      <w:r>
        <w:rPr>
          <w:lang w:val="en-IN" w:eastAsia="en-IN"/>
        </w:rPr>
        <w:t>)</w:t>
      </w:r>
      <w:r w:rsidRPr="0062552E">
        <w:rPr>
          <w:lang w:val="en-IN" w:eastAsia="en-IN"/>
        </w:rPr>
        <w:t xml:space="preserve">. Trade union strategies against precarious work: Common trends and sectoral divergence in the EU. </w:t>
      </w:r>
      <w:r w:rsidRPr="0062552E">
        <w:rPr>
          <w:i/>
          <w:iCs/>
          <w:lang w:val="en-IN" w:eastAsia="en-IN"/>
        </w:rPr>
        <w:t>European Journal of Industrial Relations</w:t>
      </w:r>
      <w:r w:rsidRPr="0062552E">
        <w:rPr>
          <w:lang w:val="en-IN" w:eastAsia="en-IN"/>
        </w:rPr>
        <w:t xml:space="preserve">, </w:t>
      </w:r>
      <w:r w:rsidRPr="0062552E">
        <w:rPr>
          <w:i/>
          <w:iCs/>
          <w:lang w:val="en-IN" w:eastAsia="en-IN"/>
        </w:rPr>
        <w:t>26</w:t>
      </w:r>
      <w:r w:rsidRPr="0062552E">
        <w:rPr>
          <w:lang w:val="en-IN" w:eastAsia="en-IN"/>
        </w:rPr>
        <w:t>(2), pp.139-155.</w:t>
      </w:r>
    </w:p>
    <w:p w14:paraId="1BD2F295" w14:textId="77777777" w:rsidR="00B657E8" w:rsidRDefault="00B657E8" w:rsidP="00B657E8">
      <w:pPr>
        <w:rPr>
          <w:lang w:val="en-IN" w:eastAsia="en-IN"/>
        </w:rPr>
      </w:pPr>
      <w:r w:rsidRPr="00C6325C">
        <w:rPr>
          <w:lang w:val="en-IN" w:eastAsia="en-IN"/>
        </w:rPr>
        <w:lastRenderedPageBreak/>
        <w:t xml:space="preserve">Kobrin, S.J., </w:t>
      </w:r>
      <w:r>
        <w:rPr>
          <w:lang w:val="en-IN" w:eastAsia="en-IN"/>
        </w:rPr>
        <w:t>(</w:t>
      </w:r>
      <w:r w:rsidRPr="00C6325C">
        <w:rPr>
          <w:lang w:val="en-IN" w:eastAsia="en-IN"/>
        </w:rPr>
        <w:t>2022</w:t>
      </w:r>
      <w:r>
        <w:rPr>
          <w:lang w:val="en-IN" w:eastAsia="en-IN"/>
        </w:rPr>
        <w:t>)</w:t>
      </w:r>
      <w:r w:rsidRPr="00C6325C">
        <w:rPr>
          <w:lang w:val="en-IN" w:eastAsia="en-IN"/>
        </w:rPr>
        <w:t xml:space="preserve">. Managing political risk assessment: Strategic response to environmental change. </w:t>
      </w:r>
      <w:proofErr w:type="spellStart"/>
      <w:r w:rsidRPr="00C6325C">
        <w:rPr>
          <w:lang w:val="en-IN" w:eastAsia="en-IN"/>
        </w:rPr>
        <w:t>Univ</w:t>
      </w:r>
      <w:proofErr w:type="spellEnd"/>
      <w:r w:rsidRPr="00C6325C">
        <w:rPr>
          <w:lang w:val="en-IN" w:eastAsia="en-IN"/>
        </w:rPr>
        <w:t xml:space="preserve"> of California Press.</w:t>
      </w:r>
    </w:p>
    <w:p w14:paraId="06B0FFFF" w14:textId="508121A3" w:rsidR="00B657E8" w:rsidRDefault="00B657E8" w:rsidP="00B657E8">
      <w:pPr>
        <w:rPr>
          <w:lang w:val="en-IN" w:eastAsia="en-IN"/>
        </w:rPr>
      </w:pPr>
      <w:r w:rsidRPr="00FE1FDB">
        <w:rPr>
          <w:lang w:val="en-IN" w:eastAsia="en-IN"/>
        </w:rPr>
        <w:t xml:space="preserve">KPANGBALA, G.Y., </w:t>
      </w:r>
      <w:r>
        <w:rPr>
          <w:lang w:val="en-IN" w:eastAsia="en-IN"/>
        </w:rPr>
        <w:t>(</w:t>
      </w:r>
      <w:r w:rsidRPr="00FE1FDB">
        <w:rPr>
          <w:lang w:val="en-IN" w:eastAsia="en-IN"/>
        </w:rPr>
        <w:t>2023</w:t>
      </w:r>
      <w:r>
        <w:rPr>
          <w:lang w:val="en-IN" w:eastAsia="en-IN"/>
        </w:rPr>
        <w:t>)</w:t>
      </w:r>
      <w:r w:rsidRPr="00FE1FDB">
        <w:rPr>
          <w:lang w:val="en-IN" w:eastAsia="en-IN"/>
        </w:rPr>
        <w:t xml:space="preserve">. THE EFFECT OF INFLATION, EXCHANGE RATE AND </w:t>
      </w:r>
      <w:r w:rsidR="00B71117">
        <w:rPr>
          <w:lang w:val="en-IN" w:eastAsia="en-IN"/>
        </w:rPr>
        <w:t>CONSUMER</w:t>
      </w:r>
      <w:r w:rsidRPr="00FE1FDB">
        <w:rPr>
          <w:lang w:val="en-IN" w:eastAsia="en-IN"/>
        </w:rPr>
        <w:t>.</w:t>
      </w:r>
    </w:p>
    <w:p w14:paraId="4F598026" w14:textId="77777777" w:rsidR="00B657E8" w:rsidRDefault="00B657E8" w:rsidP="00B657E8">
      <w:pPr>
        <w:rPr>
          <w:lang w:val="en-IN" w:eastAsia="en-IN"/>
        </w:rPr>
      </w:pPr>
      <w:r w:rsidRPr="000D7C2C">
        <w:rPr>
          <w:lang w:val="en-IN" w:eastAsia="en-IN"/>
        </w:rPr>
        <w:t xml:space="preserve">Mahalakshmi, S., Nallasivam, A., Kumar, S.H., Kalavathy, K.S. and Desai, K., </w:t>
      </w:r>
      <w:r>
        <w:rPr>
          <w:lang w:val="en-IN" w:eastAsia="en-IN"/>
        </w:rPr>
        <w:t>(</w:t>
      </w:r>
      <w:r w:rsidRPr="000D7C2C">
        <w:rPr>
          <w:lang w:val="en-IN" w:eastAsia="en-IN"/>
        </w:rPr>
        <w:t>2024</w:t>
      </w:r>
      <w:r>
        <w:rPr>
          <w:lang w:val="en-IN" w:eastAsia="en-IN"/>
        </w:rPr>
        <w:t>)</w:t>
      </w:r>
      <w:r w:rsidRPr="000D7C2C">
        <w:rPr>
          <w:lang w:val="en-IN" w:eastAsia="en-IN"/>
        </w:rPr>
        <w:t xml:space="preserve">, February. Sustainability by Design: IKEA’s Eco-Friendly Marketing Efforts. In </w:t>
      </w:r>
      <w:r w:rsidRPr="000D7C2C">
        <w:rPr>
          <w:i/>
          <w:iCs/>
          <w:lang w:val="en-IN" w:eastAsia="en-IN"/>
        </w:rPr>
        <w:t>3rd International Conference on Reinventing Business Practices, Start-ups and Sustainability (ICRBSS 2023)</w:t>
      </w:r>
      <w:r w:rsidRPr="000D7C2C">
        <w:rPr>
          <w:lang w:val="en-IN" w:eastAsia="en-IN"/>
        </w:rPr>
        <w:t xml:space="preserve"> (pp. 145-161). Atlantis Press.</w:t>
      </w:r>
    </w:p>
    <w:p w14:paraId="37961995" w14:textId="77777777" w:rsidR="00B657E8" w:rsidRDefault="00B657E8" w:rsidP="00B657E8">
      <w:pPr>
        <w:rPr>
          <w:lang w:val="en-IN" w:eastAsia="en-IN"/>
        </w:rPr>
      </w:pPr>
      <w:proofErr w:type="spellStart"/>
      <w:r w:rsidRPr="00A45023">
        <w:rPr>
          <w:lang w:val="en-IN" w:eastAsia="en-IN"/>
        </w:rPr>
        <w:t>Pallivalappil</w:t>
      </w:r>
      <w:proofErr w:type="spellEnd"/>
      <w:r w:rsidRPr="00A45023">
        <w:rPr>
          <w:lang w:val="en-IN" w:eastAsia="en-IN"/>
        </w:rPr>
        <w:t xml:space="preserve">, A.S. and </w:t>
      </w:r>
      <w:proofErr w:type="spellStart"/>
      <w:r w:rsidRPr="00A45023">
        <w:rPr>
          <w:lang w:val="en-IN" w:eastAsia="en-IN"/>
        </w:rPr>
        <w:t>Jagadeesha</w:t>
      </w:r>
      <w:proofErr w:type="spellEnd"/>
      <w:r w:rsidRPr="00A45023">
        <w:rPr>
          <w:lang w:val="en-IN" w:eastAsia="en-IN"/>
        </w:rPr>
        <w:t xml:space="preserve">, S.N., </w:t>
      </w:r>
      <w:r>
        <w:rPr>
          <w:lang w:val="en-IN" w:eastAsia="en-IN"/>
        </w:rPr>
        <w:t>(</w:t>
      </w:r>
      <w:r w:rsidRPr="00A45023">
        <w:rPr>
          <w:lang w:val="en-IN" w:eastAsia="en-IN"/>
        </w:rPr>
        <w:t>2021</w:t>
      </w:r>
      <w:r>
        <w:rPr>
          <w:lang w:val="en-IN" w:eastAsia="en-IN"/>
        </w:rPr>
        <w:t>)</w:t>
      </w:r>
      <w:r w:rsidRPr="00A45023">
        <w:rPr>
          <w:lang w:val="en-IN" w:eastAsia="en-IN"/>
        </w:rPr>
        <w:t xml:space="preserve">. India's E-Commerce Industry's Growth and Projected Breakthroughs. </w:t>
      </w:r>
      <w:r w:rsidRPr="00A45023">
        <w:rPr>
          <w:i/>
          <w:iCs/>
          <w:lang w:val="en-IN" w:eastAsia="en-IN"/>
        </w:rPr>
        <w:t>International Journal of Case Studies in Business, IT and Education (IJCSBE)</w:t>
      </w:r>
      <w:r w:rsidRPr="00A45023">
        <w:rPr>
          <w:lang w:val="en-IN" w:eastAsia="en-IN"/>
        </w:rPr>
        <w:t xml:space="preserve">, </w:t>
      </w:r>
      <w:r w:rsidRPr="00A45023">
        <w:rPr>
          <w:i/>
          <w:iCs/>
          <w:lang w:val="en-IN" w:eastAsia="en-IN"/>
        </w:rPr>
        <w:t>5</w:t>
      </w:r>
      <w:r w:rsidRPr="00A45023">
        <w:rPr>
          <w:lang w:val="en-IN" w:eastAsia="en-IN"/>
        </w:rPr>
        <w:t>(2), pp.314-328.</w:t>
      </w:r>
    </w:p>
    <w:p w14:paraId="14603290" w14:textId="77777777" w:rsidR="00B657E8" w:rsidRDefault="00B657E8" w:rsidP="00B657E8">
      <w:pPr>
        <w:rPr>
          <w:lang w:val="en-IN" w:eastAsia="en-IN"/>
        </w:rPr>
      </w:pPr>
      <w:r w:rsidRPr="00D40B22">
        <w:rPr>
          <w:lang w:val="en-IN" w:eastAsia="en-IN"/>
        </w:rPr>
        <w:t xml:space="preserve">Prasanna, R.P.I.R., Jayasundara, J.M.S.B., </w:t>
      </w:r>
      <w:proofErr w:type="spellStart"/>
      <w:r w:rsidRPr="00D40B22">
        <w:rPr>
          <w:lang w:val="en-IN" w:eastAsia="en-IN"/>
        </w:rPr>
        <w:t>Naradda</w:t>
      </w:r>
      <w:proofErr w:type="spellEnd"/>
      <w:r w:rsidRPr="00D40B22">
        <w:rPr>
          <w:lang w:val="en-IN" w:eastAsia="en-IN"/>
        </w:rPr>
        <w:t xml:space="preserve"> Gamage, S.K., Ekanayake, E.M.S., Rajapakshe, P.S.K. and </w:t>
      </w:r>
      <w:proofErr w:type="spellStart"/>
      <w:r w:rsidRPr="00D40B22">
        <w:rPr>
          <w:lang w:val="en-IN" w:eastAsia="en-IN"/>
        </w:rPr>
        <w:t>Abeyrathne</w:t>
      </w:r>
      <w:proofErr w:type="spellEnd"/>
      <w:r w:rsidRPr="00D40B22">
        <w:rPr>
          <w:lang w:val="en-IN" w:eastAsia="en-IN"/>
        </w:rPr>
        <w:t xml:space="preserve">, G.A.K.N.J., </w:t>
      </w:r>
      <w:r>
        <w:rPr>
          <w:lang w:val="en-IN" w:eastAsia="en-IN"/>
        </w:rPr>
        <w:t>(</w:t>
      </w:r>
      <w:r w:rsidRPr="00D40B22">
        <w:rPr>
          <w:lang w:val="en-IN" w:eastAsia="en-IN"/>
        </w:rPr>
        <w:t>2019</w:t>
      </w:r>
      <w:r>
        <w:rPr>
          <w:lang w:val="en-IN" w:eastAsia="en-IN"/>
        </w:rPr>
        <w:t>)</w:t>
      </w:r>
      <w:r w:rsidRPr="00D40B22">
        <w:rPr>
          <w:lang w:val="en-IN" w:eastAsia="en-IN"/>
        </w:rPr>
        <w:t xml:space="preserve">. Sustainability of SMEs in the competition: A systemic review on technological challenges and SME performance. </w:t>
      </w:r>
      <w:r w:rsidRPr="00D40B22">
        <w:rPr>
          <w:i/>
          <w:iCs/>
          <w:lang w:val="en-IN" w:eastAsia="en-IN"/>
        </w:rPr>
        <w:t>Journal of Open Innovation: Technology, Market, and Complexity</w:t>
      </w:r>
      <w:r w:rsidRPr="00D40B22">
        <w:rPr>
          <w:lang w:val="en-IN" w:eastAsia="en-IN"/>
        </w:rPr>
        <w:t xml:space="preserve">, </w:t>
      </w:r>
      <w:r w:rsidRPr="00D40B22">
        <w:rPr>
          <w:i/>
          <w:iCs/>
          <w:lang w:val="en-IN" w:eastAsia="en-IN"/>
        </w:rPr>
        <w:t>5</w:t>
      </w:r>
      <w:r w:rsidRPr="00D40B22">
        <w:rPr>
          <w:lang w:val="en-IN" w:eastAsia="en-IN"/>
        </w:rPr>
        <w:t>(4), p.100.</w:t>
      </w:r>
    </w:p>
    <w:p w14:paraId="49807216" w14:textId="77777777" w:rsidR="00B657E8" w:rsidRDefault="00B657E8" w:rsidP="00B657E8">
      <w:pPr>
        <w:rPr>
          <w:lang w:val="en-IN" w:eastAsia="en-IN"/>
        </w:rPr>
      </w:pPr>
      <w:proofErr w:type="spellStart"/>
      <w:r w:rsidRPr="00D309E0">
        <w:rPr>
          <w:lang w:val="en-IN" w:eastAsia="en-IN"/>
        </w:rPr>
        <w:t>Rattalino</w:t>
      </w:r>
      <w:proofErr w:type="spellEnd"/>
      <w:r w:rsidRPr="00D309E0">
        <w:rPr>
          <w:lang w:val="en-IN" w:eastAsia="en-IN"/>
        </w:rPr>
        <w:t xml:space="preserve">, F., </w:t>
      </w:r>
      <w:r>
        <w:rPr>
          <w:lang w:val="en-IN" w:eastAsia="en-IN"/>
        </w:rPr>
        <w:t>(</w:t>
      </w:r>
      <w:r w:rsidRPr="00D309E0">
        <w:rPr>
          <w:lang w:val="en-IN" w:eastAsia="en-IN"/>
        </w:rPr>
        <w:t>2018</w:t>
      </w:r>
      <w:r>
        <w:rPr>
          <w:lang w:val="en-IN" w:eastAsia="en-IN"/>
        </w:rPr>
        <w:t>)</w:t>
      </w:r>
      <w:r w:rsidRPr="00D309E0">
        <w:rPr>
          <w:lang w:val="en-IN" w:eastAsia="en-IN"/>
        </w:rPr>
        <w:t xml:space="preserve">. Circular advantage anyone? Sustainability‐driven innovation and circularity at Patagonia, Inc. </w:t>
      </w:r>
      <w:r w:rsidRPr="00D309E0">
        <w:rPr>
          <w:i/>
          <w:iCs/>
          <w:lang w:val="en-IN" w:eastAsia="en-IN"/>
        </w:rPr>
        <w:t>Thunderbird International Business Review</w:t>
      </w:r>
      <w:r w:rsidRPr="00D309E0">
        <w:rPr>
          <w:lang w:val="en-IN" w:eastAsia="en-IN"/>
        </w:rPr>
        <w:t xml:space="preserve">, </w:t>
      </w:r>
      <w:r w:rsidRPr="00D309E0">
        <w:rPr>
          <w:i/>
          <w:iCs/>
          <w:lang w:val="en-IN" w:eastAsia="en-IN"/>
        </w:rPr>
        <w:t>60</w:t>
      </w:r>
      <w:r w:rsidRPr="00D309E0">
        <w:rPr>
          <w:lang w:val="en-IN" w:eastAsia="en-IN"/>
        </w:rPr>
        <w:t>(5), pp.747-755.</w:t>
      </w:r>
    </w:p>
    <w:p w14:paraId="5FA5A389" w14:textId="77777777" w:rsidR="00B657E8" w:rsidRDefault="00B657E8" w:rsidP="00B657E8">
      <w:pPr>
        <w:rPr>
          <w:lang w:val="en-IN" w:eastAsia="en-IN"/>
        </w:rPr>
      </w:pPr>
      <w:proofErr w:type="spellStart"/>
      <w:r w:rsidRPr="00341CC3">
        <w:rPr>
          <w:lang w:val="en-IN" w:eastAsia="en-IN"/>
        </w:rPr>
        <w:t>Saboin</w:t>
      </w:r>
      <w:proofErr w:type="spellEnd"/>
      <w:r w:rsidRPr="00341CC3">
        <w:rPr>
          <w:lang w:val="en-IN" w:eastAsia="en-IN"/>
        </w:rPr>
        <w:t xml:space="preserve">, J.L., </w:t>
      </w:r>
      <w:r>
        <w:rPr>
          <w:lang w:val="en-IN" w:eastAsia="en-IN"/>
        </w:rPr>
        <w:t>(</w:t>
      </w:r>
      <w:r w:rsidRPr="00341CC3">
        <w:rPr>
          <w:lang w:val="en-IN" w:eastAsia="en-IN"/>
        </w:rPr>
        <w:t>2021</w:t>
      </w:r>
      <w:r>
        <w:rPr>
          <w:lang w:val="en-IN" w:eastAsia="en-IN"/>
        </w:rPr>
        <w:t>)</w:t>
      </w:r>
      <w:r w:rsidRPr="00341CC3">
        <w:rPr>
          <w:lang w:val="en-IN" w:eastAsia="en-IN"/>
        </w:rPr>
        <w:t>. The Venezuelan Enterprise: Current Situation, Challenges and Opportunities.</w:t>
      </w:r>
    </w:p>
    <w:p w14:paraId="707FAE09" w14:textId="77777777" w:rsidR="00B657E8" w:rsidRDefault="00B657E8" w:rsidP="00B657E8">
      <w:pPr>
        <w:rPr>
          <w:lang w:val="en-IN" w:eastAsia="en-IN"/>
        </w:rPr>
      </w:pPr>
      <w:r w:rsidRPr="008C1663">
        <w:rPr>
          <w:lang w:val="en-IN" w:eastAsia="en-IN"/>
        </w:rPr>
        <w:t xml:space="preserve">Shittu, O.S., Williams, I.D. and Shaw, P.J., </w:t>
      </w:r>
      <w:r>
        <w:rPr>
          <w:lang w:val="en-IN" w:eastAsia="en-IN"/>
        </w:rPr>
        <w:t>(</w:t>
      </w:r>
      <w:r w:rsidRPr="008C1663">
        <w:rPr>
          <w:lang w:val="en-IN" w:eastAsia="en-IN"/>
        </w:rPr>
        <w:t>2021</w:t>
      </w:r>
      <w:r>
        <w:rPr>
          <w:lang w:val="en-IN" w:eastAsia="en-IN"/>
        </w:rPr>
        <w:t>)</w:t>
      </w:r>
      <w:r w:rsidRPr="008C1663">
        <w:rPr>
          <w:lang w:val="en-IN" w:eastAsia="en-IN"/>
        </w:rPr>
        <w:t xml:space="preserve">. Global E-waste management: Can WEEE make a difference? A review of e-waste trends, legislation, contemporary issues and future challenges. </w:t>
      </w:r>
      <w:r w:rsidRPr="008C1663">
        <w:rPr>
          <w:i/>
          <w:iCs/>
          <w:lang w:val="en-IN" w:eastAsia="en-IN"/>
        </w:rPr>
        <w:t>Waste Management</w:t>
      </w:r>
      <w:r w:rsidRPr="008C1663">
        <w:rPr>
          <w:lang w:val="en-IN" w:eastAsia="en-IN"/>
        </w:rPr>
        <w:t xml:space="preserve">, </w:t>
      </w:r>
      <w:r w:rsidRPr="008C1663">
        <w:rPr>
          <w:i/>
          <w:iCs/>
          <w:lang w:val="en-IN" w:eastAsia="en-IN"/>
        </w:rPr>
        <w:t>120</w:t>
      </w:r>
      <w:r w:rsidRPr="008C1663">
        <w:rPr>
          <w:lang w:val="en-IN" w:eastAsia="en-IN"/>
        </w:rPr>
        <w:t>, pp.549-563.</w:t>
      </w:r>
    </w:p>
    <w:p w14:paraId="6D44855B" w14:textId="77777777" w:rsidR="00B657E8" w:rsidRDefault="00B657E8" w:rsidP="00B657E8">
      <w:pPr>
        <w:rPr>
          <w:lang w:val="en-IN" w:eastAsia="en-IN"/>
        </w:rPr>
      </w:pPr>
      <w:r w:rsidRPr="009A0FEB">
        <w:rPr>
          <w:lang w:val="en-IN" w:eastAsia="en-IN"/>
        </w:rPr>
        <w:t xml:space="preserve">Sulaiman, Y.N.N.A.A., Bakar, N.N.A.A., Ismail, M.Y.S., Mat, N.K.N. and Musa, R., </w:t>
      </w:r>
      <w:r>
        <w:rPr>
          <w:lang w:val="en-IN" w:eastAsia="en-IN"/>
        </w:rPr>
        <w:t>(</w:t>
      </w:r>
      <w:r w:rsidRPr="009A0FEB">
        <w:rPr>
          <w:lang w:val="en-IN" w:eastAsia="en-IN"/>
        </w:rPr>
        <w:t>2017</w:t>
      </w:r>
      <w:r>
        <w:rPr>
          <w:lang w:val="en-IN" w:eastAsia="en-IN"/>
        </w:rPr>
        <w:t>)</w:t>
      </w:r>
      <w:r w:rsidRPr="009A0FEB">
        <w:rPr>
          <w:lang w:val="en-IN" w:eastAsia="en-IN"/>
        </w:rPr>
        <w:t xml:space="preserve">. The function of marketing mix and consumer preferences on healthy food consumption among UUM students. </w:t>
      </w:r>
      <w:r w:rsidRPr="009A0FEB">
        <w:rPr>
          <w:i/>
          <w:iCs/>
          <w:lang w:val="en-IN" w:eastAsia="en-IN"/>
        </w:rPr>
        <w:t>International Journal of Economic Research</w:t>
      </w:r>
      <w:r w:rsidRPr="009A0FEB">
        <w:rPr>
          <w:lang w:val="en-IN" w:eastAsia="en-IN"/>
        </w:rPr>
        <w:t xml:space="preserve">, </w:t>
      </w:r>
      <w:r w:rsidRPr="009A0FEB">
        <w:rPr>
          <w:i/>
          <w:iCs/>
          <w:lang w:val="en-IN" w:eastAsia="en-IN"/>
        </w:rPr>
        <w:t>14</w:t>
      </w:r>
      <w:r w:rsidRPr="009A0FEB">
        <w:rPr>
          <w:lang w:val="en-IN" w:eastAsia="en-IN"/>
        </w:rPr>
        <w:t>(19), pp.103-122.</w:t>
      </w:r>
    </w:p>
    <w:p w14:paraId="78BCD816" w14:textId="77777777" w:rsidR="00B657E8" w:rsidRDefault="00B657E8" w:rsidP="00B657E8">
      <w:pPr>
        <w:rPr>
          <w:lang w:val="en-IN" w:eastAsia="en-IN"/>
        </w:rPr>
      </w:pPr>
      <w:r w:rsidRPr="005E25B9">
        <w:rPr>
          <w:lang w:val="en-IN" w:eastAsia="en-IN"/>
        </w:rPr>
        <w:t xml:space="preserve">Vafin, A., </w:t>
      </w:r>
      <w:r>
        <w:rPr>
          <w:lang w:val="en-IN" w:eastAsia="en-IN"/>
        </w:rPr>
        <w:t>(</w:t>
      </w:r>
      <w:r w:rsidRPr="005E25B9">
        <w:rPr>
          <w:lang w:val="en-IN" w:eastAsia="en-IN"/>
        </w:rPr>
        <w:t>2018</w:t>
      </w:r>
      <w:r>
        <w:rPr>
          <w:lang w:val="en-IN" w:eastAsia="en-IN"/>
        </w:rPr>
        <w:t>)</w:t>
      </w:r>
      <w:r w:rsidRPr="005E25B9">
        <w:rPr>
          <w:lang w:val="en-IN" w:eastAsia="en-IN"/>
        </w:rPr>
        <w:t xml:space="preserve">. Should firms lower product price in recession? A review on pricing challenges for firms in economic downturn. </w:t>
      </w:r>
      <w:proofErr w:type="spellStart"/>
      <w:r w:rsidRPr="005E25B9">
        <w:rPr>
          <w:i/>
          <w:iCs/>
          <w:lang w:val="en-IN" w:eastAsia="en-IN"/>
        </w:rPr>
        <w:t>ResearchBerg</w:t>
      </w:r>
      <w:proofErr w:type="spellEnd"/>
      <w:r w:rsidRPr="005E25B9">
        <w:rPr>
          <w:i/>
          <w:iCs/>
          <w:lang w:val="en-IN" w:eastAsia="en-IN"/>
        </w:rPr>
        <w:t xml:space="preserve"> Review of Science and Technology</w:t>
      </w:r>
      <w:r w:rsidRPr="005E25B9">
        <w:rPr>
          <w:lang w:val="en-IN" w:eastAsia="en-IN"/>
        </w:rPr>
        <w:t xml:space="preserve">, </w:t>
      </w:r>
      <w:r w:rsidRPr="005E25B9">
        <w:rPr>
          <w:i/>
          <w:iCs/>
          <w:lang w:val="en-IN" w:eastAsia="en-IN"/>
        </w:rPr>
        <w:t>2</w:t>
      </w:r>
      <w:r w:rsidRPr="005E25B9">
        <w:rPr>
          <w:lang w:val="en-IN" w:eastAsia="en-IN"/>
        </w:rPr>
        <w:t>(3), pp.1-24.</w:t>
      </w:r>
    </w:p>
    <w:p w14:paraId="7FBAB0B6" w14:textId="77777777" w:rsidR="00B657E8" w:rsidRPr="0098671F" w:rsidRDefault="00B657E8" w:rsidP="00B657E8">
      <w:pPr>
        <w:rPr>
          <w:lang w:val="en-IN" w:eastAsia="en-IN"/>
        </w:rPr>
      </w:pPr>
      <w:r w:rsidRPr="0098671F">
        <w:rPr>
          <w:lang w:val="en-IN" w:eastAsia="en-IN"/>
        </w:rPr>
        <w:t xml:space="preserve">Vlados, C. and Chatzinikolaou, D., </w:t>
      </w:r>
      <w:r>
        <w:rPr>
          <w:lang w:val="en-IN" w:eastAsia="en-IN"/>
        </w:rPr>
        <w:t>(</w:t>
      </w:r>
      <w:r w:rsidRPr="0098671F">
        <w:rPr>
          <w:lang w:val="en-IN" w:eastAsia="en-IN"/>
        </w:rPr>
        <w:t>2019</w:t>
      </w:r>
      <w:r>
        <w:rPr>
          <w:lang w:val="en-IN" w:eastAsia="en-IN"/>
        </w:rPr>
        <w:t>)</w:t>
      </w:r>
      <w:r w:rsidRPr="0098671F">
        <w:rPr>
          <w:lang w:val="en-IN" w:eastAsia="en-IN"/>
        </w:rPr>
        <w:t xml:space="preserve">. Methodological redirections for an evolutionary approach of the external business environment. </w:t>
      </w:r>
      <w:r w:rsidRPr="0098671F">
        <w:rPr>
          <w:i/>
          <w:iCs/>
          <w:lang w:val="en-IN" w:eastAsia="en-IN"/>
        </w:rPr>
        <w:t>J. Mgmt. &amp; Sustainability</w:t>
      </w:r>
      <w:r w:rsidRPr="0098671F">
        <w:rPr>
          <w:lang w:val="en-IN" w:eastAsia="en-IN"/>
        </w:rPr>
        <w:t xml:space="preserve">, </w:t>
      </w:r>
      <w:r w:rsidRPr="0098671F">
        <w:rPr>
          <w:i/>
          <w:iCs/>
          <w:lang w:val="en-IN" w:eastAsia="en-IN"/>
        </w:rPr>
        <w:t>9</w:t>
      </w:r>
      <w:r w:rsidRPr="0098671F">
        <w:rPr>
          <w:lang w:val="en-IN" w:eastAsia="en-IN"/>
        </w:rPr>
        <w:t>, p.25.</w:t>
      </w:r>
    </w:p>
    <w:p w14:paraId="381A2589" w14:textId="77777777" w:rsidR="00B657E8" w:rsidRDefault="00B657E8" w:rsidP="00B657E8">
      <w:pPr>
        <w:rPr>
          <w:lang w:val="en-IN" w:eastAsia="en-IN"/>
        </w:rPr>
      </w:pPr>
      <w:r w:rsidRPr="00CB3C64">
        <w:rPr>
          <w:lang w:val="en-IN" w:eastAsia="en-IN"/>
        </w:rPr>
        <w:lastRenderedPageBreak/>
        <w:t xml:space="preserve">Vogt, G., </w:t>
      </w:r>
      <w:r>
        <w:rPr>
          <w:lang w:val="en-IN" w:eastAsia="en-IN"/>
        </w:rPr>
        <w:t>(</w:t>
      </w:r>
      <w:r w:rsidRPr="00CB3C64">
        <w:rPr>
          <w:lang w:val="en-IN" w:eastAsia="en-IN"/>
        </w:rPr>
        <w:t>2018</w:t>
      </w:r>
      <w:r>
        <w:rPr>
          <w:lang w:val="en-IN" w:eastAsia="en-IN"/>
        </w:rPr>
        <w:t>)</w:t>
      </w:r>
      <w:r w:rsidRPr="00CB3C64">
        <w:rPr>
          <w:lang w:val="en-IN" w:eastAsia="en-IN"/>
        </w:rPr>
        <w:t>. Population aging and international health-caregiver migration to Japan. New York: Springer International Publishing.</w:t>
      </w:r>
    </w:p>
    <w:p w14:paraId="5E1ED681" w14:textId="77777777" w:rsidR="00B657E8" w:rsidRDefault="00B657E8" w:rsidP="00B657E8">
      <w:pPr>
        <w:rPr>
          <w:lang w:val="en-IN" w:eastAsia="en-IN"/>
        </w:rPr>
      </w:pPr>
      <w:r w:rsidRPr="00B37C2C">
        <w:rPr>
          <w:lang w:val="en-IN" w:eastAsia="en-IN"/>
        </w:rPr>
        <w:t xml:space="preserve">Zaki, M., </w:t>
      </w:r>
      <w:r>
        <w:rPr>
          <w:lang w:val="en-IN" w:eastAsia="en-IN"/>
        </w:rPr>
        <w:t>(</w:t>
      </w:r>
      <w:r w:rsidRPr="00B37C2C">
        <w:rPr>
          <w:lang w:val="en-IN" w:eastAsia="en-IN"/>
        </w:rPr>
        <w:t>2019</w:t>
      </w:r>
      <w:r>
        <w:rPr>
          <w:lang w:val="en-IN" w:eastAsia="en-IN"/>
        </w:rPr>
        <w:t>)</w:t>
      </w:r>
      <w:r w:rsidRPr="00B37C2C">
        <w:rPr>
          <w:lang w:val="en-IN" w:eastAsia="en-IN"/>
        </w:rPr>
        <w:t xml:space="preserve">. Digital transformation: harnessing digital technologies for the next generation of services. </w:t>
      </w:r>
      <w:r w:rsidRPr="00B37C2C">
        <w:rPr>
          <w:i/>
          <w:iCs/>
          <w:lang w:val="en-IN" w:eastAsia="en-IN"/>
        </w:rPr>
        <w:t>Journal of Services Marketing</w:t>
      </w:r>
      <w:r w:rsidRPr="00B37C2C">
        <w:rPr>
          <w:lang w:val="en-IN" w:eastAsia="en-IN"/>
        </w:rPr>
        <w:t xml:space="preserve">, </w:t>
      </w:r>
      <w:r w:rsidRPr="00B37C2C">
        <w:rPr>
          <w:i/>
          <w:iCs/>
          <w:lang w:val="en-IN" w:eastAsia="en-IN"/>
        </w:rPr>
        <w:t>33</w:t>
      </w:r>
      <w:r w:rsidRPr="00B37C2C">
        <w:rPr>
          <w:lang w:val="en-IN" w:eastAsia="en-IN"/>
        </w:rPr>
        <w:t>(4), pp.429-435.</w:t>
      </w:r>
    </w:p>
    <w:p w14:paraId="18624BB0" w14:textId="77777777" w:rsidR="0098671F" w:rsidRPr="008C1663" w:rsidRDefault="0098671F" w:rsidP="008C1663">
      <w:pPr>
        <w:rPr>
          <w:lang w:val="en-IN" w:eastAsia="en-IN"/>
        </w:rPr>
      </w:pPr>
    </w:p>
    <w:p w14:paraId="79C94FB5" w14:textId="77777777" w:rsidR="008C1663" w:rsidRPr="000D7C2C" w:rsidRDefault="008C1663" w:rsidP="000D7C2C">
      <w:pPr>
        <w:rPr>
          <w:lang w:val="en-IN" w:eastAsia="en-IN"/>
        </w:rPr>
      </w:pPr>
    </w:p>
    <w:p w14:paraId="1175C10F" w14:textId="77777777" w:rsidR="000D7C2C" w:rsidRPr="00D26404" w:rsidRDefault="000D7C2C" w:rsidP="00D26404">
      <w:pPr>
        <w:rPr>
          <w:lang w:val="en-IN" w:eastAsia="en-IN"/>
        </w:rPr>
      </w:pPr>
    </w:p>
    <w:p w14:paraId="4D769735" w14:textId="77777777" w:rsidR="00D26404" w:rsidRPr="004A16DA" w:rsidRDefault="00D26404" w:rsidP="004A16DA">
      <w:pPr>
        <w:rPr>
          <w:lang w:val="en-IN" w:eastAsia="en-IN"/>
        </w:rPr>
      </w:pPr>
    </w:p>
    <w:p w14:paraId="32D9020D" w14:textId="77777777" w:rsidR="008D7830" w:rsidRPr="0062552E" w:rsidRDefault="008D7830" w:rsidP="0062552E">
      <w:pPr>
        <w:rPr>
          <w:lang w:val="en-IN" w:eastAsia="en-IN"/>
        </w:rPr>
      </w:pPr>
    </w:p>
    <w:p w14:paraId="006B40FA" w14:textId="77777777" w:rsidR="0062552E" w:rsidRPr="00C366A6" w:rsidRDefault="0062552E" w:rsidP="00C366A6">
      <w:pPr>
        <w:rPr>
          <w:lang w:val="en-IN" w:eastAsia="en-IN"/>
        </w:rPr>
      </w:pPr>
    </w:p>
    <w:p w14:paraId="1158F634" w14:textId="77777777" w:rsidR="00C366A6" w:rsidRPr="00B37C2C" w:rsidRDefault="00C366A6" w:rsidP="00B37C2C">
      <w:pPr>
        <w:rPr>
          <w:lang w:val="en-IN" w:eastAsia="en-IN"/>
        </w:rPr>
      </w:pPr>
    </w:p>
    <w:p w14:paraId="470D4737" w14:textId="77777777" w:rsidR="006C47AE" w:rsidRDefault="006C47AE"/>
    <w:sectPr w:rsidR="006C47A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87D2C5" w14:textId="77777777" w:rsidR="00DB08AE" w:rsidRDefault="00DB08AE" w:rsidP="009D749A">
      <w:pPr>
        <w:spacing w:after="0" w:line="240" w:lineRule="auto"/>
      </w:pPr>
      <w:r>
        <w:separator/>
      </w:r>
    </w:p>
  </w:endnote>
  <w:endnote w:type="continuationSeparator" w:id="0">
    <w:p w14:paraId="04469AA0" w14:textId="77777777" w:rsidR="00DB08AE" w:rsidRDefault="00DB08AE" w:rsidP="009D7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9391953"/>
      <w:docPartObj>
        <w:docPartGallery w:val="Page Numbers (Bottom of Page)"/>
        <w:docPartUnique/>
      </w:docPartObj>
    </w:sdtPr>
    <w:sdtEndPr>
      <w:rPr>
        <w:noProof/>
      </w:rPr>
    </w:sdtEndPr>
    <w:sdtContent>
      <w:p w14:paraId="0F92EA9E" w14:textId="24B57D91" w:rsidR="009D749A" w:rsidRDefault="009D74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55DB4D" w14:textId="77777777" w:rsidR="009D749A" w:rsidRDefault="009D74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28AE4F" w14:textId="77777777" w:rsidR="00DB08AE" w:rsidRDefault="00DB08AE" w:rsidP="009D749A">
      <w:pPr>
        <w:spacing w:after="0" w:line="240" w:lineRule="auto"/>
      </w:pPr>
      <w:r>
        <w:separator/>
      </w:r>
    </w:p>
  </w:footnote>
  <w:footnote w:type="continuationSeparator" w:id="0">
    <w:p w14:paraId="0018F3E3" w14:textId="77777777" w:rsidR="00DB08AE" w:rsidRDefault="00DB08AE" w:rsidP="009D74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8CF"/>
    <w:rsid w:val="000126B6"/>
    <w:rsid w:val="00023E1F"/>
    <w:rsid w:val="00067271"/>
    <w:rsid w:val="00094E3C"/>
    <w:rsid w:val="000959D2"/>
    <w:rsid w:val="000A6D7D"/>
    <w:rsid w:val="000C0001"/>
    <w:rsid w:val="000D7C2C"/>
    <w:rsid w:val="000E5830"/>
    <w:rsid w:val="00137D8E"/>
    <w:rsid w:val="0015158A"/>
    <w:rsid w:val="001541A9"/>
    <w:rsid w:val="001C7B6D"/>
    <w:rsid w:val="00271547"/>
    <w:rsid w:val="00313548"/>
    <w:rsid w:val="00341CC3"/>
    <w:rsid w:val="00356576"/>
    <w:rsid w:val="00393911"/>
    <w:rsid w:val="003B3F40"/>
    <w:rsid w:val="003B5371"/>
    <w:rsid w:val="003C003C"/>
    <w:rsid w:val="003D66AA"/>
    <w:rsid w:val="003E4BD8"/>
    <w:rsid w:val="004A16DA"/>
    <w:rsid w:val="00530EC6"/>
    <w:rsid w:val="005638FD"/>
    <w:rsid w:val="00590A67"/>
    <w:rsid w:val="005919A5"/>
    <w:rsid w:val="005E25B9"/>
    <w:rsid w:val="0062552E"/>
    <w:rsid w:val="00642E9E"/>
    <w:rsid w:val="006C47AE"/>
    <w:rsid w:val="00715514"/>
    <w:rsid w:val="007D48CF"/>
    <w:rsid w:val="00883731"/>
    <w:rsid w:val="008A4D0E"/>
    <w:rsid w:val="008C1663"/>
    <w:rsid w:val="008D7830"/>
    <w:rsid w:val="008F0414"/>
    <w:rsid w:val="008F4BE8"/>
    <w:rsid w:val="00984466"/>
    <w:rsid w:val="0098671F"/>
    <w:rsid w:val="009A0FEB"/>
    <w:rsid w:val="009A702C"/>
    <w:rsid w:val="009A795F"/>
    <w:rsid w:val="009A7E3D"/>
    <w:rsid w:val="009D749A"/>
    <w:rsid w:val="00A27477"/>
    <w:rsid w:val="00A45023"/>
    <w:rsid w:val="00A54B30"/>
    <w:rsid w:val="00AB6A14"/>
    <w:rsid w:val="00B0695A"/>
    <w:rsid w:val="00B20A0D"/>
    <w:rsid w:val="00B32A5C"/>
    <w:rsid w:val="00B37C2C"/>
    <w:rsid w:val="00B657E8"/>
    <w:rsid w:val="00B71117"/>
    <w:rsid w:val="00B865C9"/>
    <w:rsid w:val="00BF0FEF"/>
    <w:rsid w:val="00C07165"/>
    <w:rsid w:val="00C366A6"/>
    <w:rsid w:val="00C534FA"/>
    <w:rsid w:val="00C6325C"/>
    <w:rsid w:val="00CA1F43"/>
    <w:rsid w:val="00CA76E1"/>
    <w:rsid w:val="00CB3C64"/>
    <w:rsid w:val="00D26404"/>
    <w:rsid w:val="00D309E0"/>
    <w:rsid w:val="00D40B22"/>
    <w:rsid w:val="00D4326D"/>
    <w:rsid w:val="00DB08AE"/>
    <w:rsid w:val="00E077F5"/>
    <w:rsid w:val="00E11574"/>
    <w:rsid w:val="00E251F8"/>
    <w:rsid w:val="00E555F4"/>
    <w:rsid w:val="00E878FE"/>
    <w:rsid w:val="00EB2D38"/>
    <w:rsid w:val="00EB75C0"/>
    <w:rsid w:val="00EC7002"/>
    <w:rsid w:val="00EF2688"/>
    <w:rsid w:val="00F05227"/>
    <w:rsid w:val="00F30D8D"/>
    <w:rsid w:val="00F4663C"/>
    <w:rsid w:val="00F9358D"/>
    <w:rsid w:val="00FA01F5"/>
    <w:rsid w:val="00FB3635"/>
    <w:rsid w:val="00FC2783"/>
    <w:rsid w:val="00FE1F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716A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8CF"/>
    <w:pPr>
      <w:spacing w:line="360" w:lineRule="auto"/>
      <w:jc w:val="both"/>
    </w:pPr>
    <w:rPr>
      <w:rFonts w:ascii="Times New Roman" w:hAnsi="Times New Roman"/>
      <w:color w:val="0D0D0D" w:themeColor="text1" w:themeTint="F2"/>
      <w:lang w:val="en-GB"/>
    </w:rPr>
  </w:style>
  <w:style w:type="paragraph" w:styleId="Heading1">
    <w:name w:val="heading 1"/>
    <w:basedOn w:val="Normal"/>
    <w:next w:val="Normal"/>
    <w:link w:val="Heading1Char"/>
    <w:uiPriority w:val="9"/>
    <w:qFormat/>
    <w:rsid w:val="007D48CF"/>
    <w:pPr>
      <w:keepNext/>
      <w:keepLines/>
      <w:spacing w:before="240" w:after="0"/>
      <w:outlineLvl w:val="0"/>
    </w:pPr>
    <w:rPr>
      <w:rFonts w:eastAsiaTheme="majorEastAsia" w:cstheme="majorBidi"/>
      <w:b/>
      <w:sz w:val="36"/>
      <w:szCs w:val="32"/>
    </w:rPr>
  </w:style>
  <w:style w:type="paragraph" w:styleId="Heading3">
    <w:name w:val="heading 3"/>
    <w:basedOn w:val="Normal"/>
    <w:link w:val="Heading3Char"/>
    <w:uiPriority w:val="9"/>
    <w:qFormat/>
    <w:rsid w:val="007D48CF"/>
    <w:pPr>
      <w:spacing w:before="100" w:beforeAutospacing="1" w:after="100" w:afterAutospacing="1" w:line="240" w:lineRule="auto"/>
      <w:outlineLvl w:val="2"/>
    </w:pPr>
    <w:rPr>
      <w:rFonts w:eastAsia="Times New Roman" w:cs="Times New Roman"/>
      <w:b/>
      <w:bCs/>
      <w:kern w:val="0"/>
      <w:sz w:val="27"/>
      <w:szCs w:val="27"/>
      <w:lang w:val="en-IN" w:eastAsia="en-IN"/>
      <w14:ligatures w14:val="none"/>
    </w:rPr>
  </w:style>
  <w:style w:type="paragraph" w:styleId="Heading4">
    <w:name w:val="heading 4"/>
    <w:basedOn w:val="Normal"/>
    <w:link w:val="Heading4Char"/>
    <w:uiPriority w:val="9"/>
    <w:qFormat/>
    <w:rsid w:val="007D48CF"/>
    <w:pPr>
      <w:spacing w:before="100" w:beforeAutospacing="1" w:after="100" w:afterAutospacing="1" w:line="240" w:lineRule="auto"/>
      <w:outlineLvl w:val="3"/>
    </w:pPr>
    <w:rPr>
      <w:rFonts w:eastAsia="Times New Roman" w:cs="Times New Roman"/>
      <w:b/>
      <w:bCs/>
      <w:kern w:val="0"/>
      <w:lang w:val="en-IN"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48CF"/>
    <w:pPr>
      <w:spacing w:before="100" w:beforeAutospacing="1" w:after="100" w:afterAutospacing="1" w:line="240" w:lineRule="auto"/>
    </w:pPr>
    <w:rPr>
      <w:rFonts w:eastAsia="Times New Roman" w:cs="Times New Roman"/>
      <w:kern w:val="0"/>
      <w:lang w:val="en-IN" w:eastAsia="en-IN"/>
      <w14:ligatures w14:val="none"/>
    </w:rPr>
  </w:style>
  <w:style w:type="character" w:customStyle="1" w:styleId="Heading3Char">
    <w:name w:val="Heading 3 Char"/>
    <w:basedOn w:val="DefaultParagraphFont"/>
    <w:link w:val="Heading3"/>
    <w:uiPriority w:val="9"/>
    <w:rsid w:val="007D48CF"/>
    <w:rPr>
      <w:rFonts w:ascii="Times New Roman" w:eastAsia="Times New Roman" w:hAnsi="Times New Roman" w:cs="Times New Roman"/>
      <w:b/>
      <w:bCs/>
      <w:kern w:val="0"/>
      <w:sz w:val="27"/>
      <w:szCs w:val="27"/>
      <w:lang w:eastAsia="en-IN"/>
      <w14:ligatures w14:val="none"/>
    </w:rPr>
  </w:style>
  <w:style w:type="character" w:customStyle="1" w:styleId="Heading4Char">
    <w:name w:val="Heading 4 Char"/>
    <w:basedOn w:val="DefaultParagraphFont"/>
    <w:link w:val="Heading4"/>
    <w:uiPriority w:val="9"/>
    <w:rsid w:val="007D48CF"/>
    <w:rPr>
      <w:rFonts w:ascii="Times New Roman" w:eastAsia="Times New Roman" w:hAnsi="Times New Roman" w:cs="Times New Roman"/>
      <w:b/>
      <w:bCs/>
      <w:kern w:val="0"/>
      <w:lang w:eastAsia="en-IN"/>
      <w14:ligatures w14:val="none"/>
    </w:rPr>
  </w:style>
  <w:style w:type="character" w:customStyle="1" w:styleId="Heading1Char">
    <w:name w:val="Heading 1 Char"/>
    <w:basedOn w:val="DefaultParagraphFont"/>
    <w:link w:val="Heading1"/>
    <w:uiPriority w:val="9"/>
    <w:rsid w:val="007D48CF"/>
    <w:rPr>
      <w:rFonts w:ascii="Times New Roman" w:eastAsiaTheme="majorEastAsia" w:hAnsi="Times New Roman" w:cstheme="majorBidi"/>
      <w:b/>
      <w:color w:val="0D0D0D" w:themeColor="text1" w:themeTint="F2"/>
      <w:sz w:val="36"/>
      <w:szCs w:val="32"/>
      <w:lang w:val="en-GB"/>
    </w:rPr>
  </w:style>
  <w:style w:type="paragraph" w:styleId="TOCHeading">
    <w:name w:val="TOC Heading"/>
    <w:basedOn w:val="Heading1"/>
    <w:next w:val="Normal"/>
    <w:uiPriority w:val="39"/>
    <w:unhideWhenUsed/>
    <w:qFormat/>
    <w:rsid w:val="009D749A"/>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9D749A"/>
    <w:pPr>
      <w:spacing w:after="100"/>
    </w:pPr>
  </w:style>
  <w:style w:type="character" w:styleId="Hyperlink">
    <w:name w:val="Hyperlink"/>
    <w:basedOn w:val="DefaultParagraphFont"/>
    <w:uiPriority w:val="99"/>
    <w:unhideWhenUsed/>
    <w:rsid w:val="009D749A"/>
    <w:rPr>
      <w:color w:val="467886" w:themeColor="hyperlink"/>
      <w:u w:val="single"/>
    </w:rPr>
  </w:style>
  <w:style w:type="paragraph" w:styleId="Header">
    <w:name w:val="header"/>
    <w:basedOn w:val="Normal"/>
    <w:link w:val="HeaderChar"/>
    <w:uiPriority w:val="99"/>
    <w:unhideWhenUsed/>
    <w:rsid w:val="009D7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49A"/>
    <w:rPr>
      <w:rFonts w:ascii="Times New Roman" w:hAnsi="Times New Roman"/>
      <w:color w:val="0D0D0D" w:themeColor="text1" w:themeTint="F2"/>
      <w:lang w:val="en-GB"/>
    </w:rPr>
  </w:style>
  <w:style w:type="paragraph" w:styleId="Footer">
    <w:name w:val="footer"/>
    <w:basedOn w:val="Normal"/>
    <w:link w:val="FooterChar"/>
    <w:uiPriority w:val="99"/>
    <w:unhideWhenUsed/>
    <w:rsid w:val="009D7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49A"/>
    <w:rPr>
      <w:rFonts w:ascii="Times New Roman" w:hAnsi="Times New Roman"/>
      <w:color w:val="0D0D0D" w:themeColor="text1" w:themeTint="F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597072">
      <w:bodyDiv w:val="1"/>
      <w:marLeft w:val="0"/>
      <w:marRight w:val="0"/>
      <w:marTop w:val="0"/>
      <w:marBottom w:val="0"/>
      <w:divBdr>
        <w:top w:val="none" w:sz="0" w:space="0" w:color="auto"/>
        <w:left w:val="none" w:sz="0" w:space="0" w:color="auto"/>
        <w:bottom w:val="none" w:sz="0" w:space="0" w:color="auto"/>
        <w:right w:val="none" w:sz="0" w:space="0" w:color="auto"/>
      </w:divBdr>
      <w:divsChild>
        <w:div w:id="1563634784">
          <w:marLeft w:val="0"/>
          <w:marRight w:val="0"/>
          <w:marTop w:val="0"/>
          <w:marBottom w:val="0"/>
          <w:divBdr>
            <w:top w:val="none" w:sz="0" w:space="0" w:color="auto"/>
            <w:left w:val="none" w:sz="0" w:space="0" w:color="auto"/>
            <w:bottom w:val="none" w:sz="0" w:space="0" w:color="auto"/>
            <w:right w:val="none" w:sz="0" w:space="0" w:color="auto"/>
          </w:divBdr>
        </w:div>
      </w:divsChild>
    </w:div>
    <w:div w:id="222177610">
      <w:bodyDiv w:val="1"/>
      <w:marLeft w:val="0"/>
      <w:marRight w:val="0"/>
      <w:marTop w:val="0"/>
      <w:marBottom w:val="0"/>
      <w:divBdr>
        <w:top w:val="none" w:sz="0" w:space="0" w:color="auto"/>
        <w:left w:val="none" w:sz="0" w:space="0" w:color="auto"/>
        <w:bottom w:val="none" w:sz="0" w:space="0" w:color="auto"/>
        <w:right w:val="none" w:sz="0" w:space="0" w:color="auto"/>
      </w:divBdr>
      <w:divsChild>
        <w:div w:id="1426726511">
          <w:marLeft w:val="0"/>
          <w:marRight w:val="0"/>
          <w:marTop w:val="0"/>
          <w:marBottom w:val="0"/>
          <w:divBdr>
            <w:top w:val="none" w:sz="0" w:space="0" w:color="auto"/>
            <w:left w:val="none" w:sz="0" w:space="0" w:color="auto"/>
            <w:bottom w:val="none" w:sz="0" w:space="0" w:color="auto"/>
            <w:right w:val="none" w:sz="0" w:space="0" w:color="auto"/>
          </w:divBdr>
        </w:div>
      </w:divsChild>
    </w:div>
    <w:div w:id="237905857">
      <w:bodyDiv w:val="1"/>
      <w:marLeft w:val="0"/>
      <w:marRight w:val="0"/>
      <w:marTop w:val="0"/>
      <w:marBottom w:val="0"/>
      <w:divBdr>
        <w:top w:val="none" w:sz="0" w:space="0" w:color="auto"/>
        <w:left w:val="none" w:sz="0" w:space="0" w:color="auto"/>
        <w:bottom w:val="none" w:sz="0" w:space="0" w:color="auto"/>
        <w:right w:val="none" w:sz="0" w:space="0" w:color="auto"/>
      </w:divBdr>
      <w:divsChild>
        <w:div w:id="2065905641">
          <w:marLeft w:val="0"/>
          <w:marRight w:val="0"/>
          <w:marTop w:val="0"/>
          <w:marBottom w:val="0"/>
          <w:divBdr>
            <w:top w:val="none" w:sz="0" w:space="0" w:color="auto"/>
            <w:left w:val="none" w:sz="0" w:space="0" w:color="auto"/>
            <w:bottom w:val="none" w:sz="0" w:space="0" w:color="auto"/>
            <w:right w:val="none" w:sz="0" w:space="0" w:color="auto"/>
          </w:divBdr>
        </w:div>
      </w:divsChild>
    </w:div>
    <w:div w:id="297564766">
      <w:bodyDiv w:val="1"/>
      <w:marLeft w:val="0"/>
      <w:marRight w:val="0"/>
      <w:marTop w:val="0"/>
      <w:marBottom w:val="0"/>
      <w:divBdr>
        <w:top w:val="none" w:sz="0" w:space="0" w:color="auto"/>
        <w:left w:val="none" w:sz="0" w:space="0" w:color="auto"/>
        <w:bottom w:val="none" w:sz="0" w:space="0" w:color="auto"/>
        <w:right w:val="none" w:sz="0" w:space="0" w:color="auto"/>
      </w:divBdr>
      <w:divsChild>
        <w:div w:id="2058316050">
          <w:marLeft w:val="0"/>
          <w:marRight w:val="0"/>
          <w:marTop w:val="0"/>
          <w:marBottom w:val="0"/>
          <w:divBdr>
            <w:top w:val="none" w:sz="0" w:space="0" w:color="auto"/>
            <w:left w:val="none" w:sz="0" w:space="0" w:color="auto"/>
            <w:bottom w:val="none" w:sz="0" w:space="0" w:color="auto"/>
            <w:right w:val="none" w:sz="0" w:space="0" w:color="auto"/>
          </w:divBdr>
        </w:div>
      </w:divsChild>
    </w:div>
    <w:div w:id="410471047">
      <w:bodyDiv w:val="1"/>
      <w:marLeft w:val="0"/>
      <w:marRight w:val="0"/>
      <w:marTop w:val="0"/>
      <w:marBottom w:val="0"/>
      <w:divBdr>
        <w:top w:val="none" w:sz="0" w:space="0" w:color="auto"/>
        <w:left w:val="none" w:sz="0" w:space="0" w:color="auto"/>
        <w:bottom w:val="none" w:sz="0" w:space="0" w:color="auto"/>
        <w:right w:val="none" w:sz="0" w:space="0" w:color="auto"/>
      </w:divBdr>
      <w:divsChild>
        <w:div w:id="874318022">
          <w:marLeft w:val="0"/>
          <w:marRight w:val="0"/>
          <w:marTop w:val="0"/>
          <w:marBottom w:val="0"/>
          <w:divBdr>
            <w:top w:val="none" w:sz="0" w:space="0" w:color="auto"/>
            <w:left w:val="none" w:sz="0" w:space="0" w:color="auto"/>
            <w:bottom w:val="none" w:sz="0" w:space="0" w:color="auto"/>
            <w:right w:val="none" w:sz="0" w:space="0" w:color="auto"/>
          </w:divBdr>
        </w:div>
      </w:divsChild>
    </w:div>
    <w:div w:id="413551500">
      <w:bodyDiv w:val="1"/>
      <w:marLeft w:val="0"/>
      <w:marRight w:val="0"/>
      <w:marTop w:val="0"/>
      <w:marBottom w:val="0"/>
      <w:divBdr>
        <w:top w:val="none" w:sz="0" w:space="0" w:color="auto"/>
        <w:left w:val="none" w:sz="0" w:space="0" w:color="auto"/>
        <w:bottom w:val="none" w:sz="0" w:space="0" w:color="auto"/>
        <w:right w:val="none" w:sz="0" w:space="0" w:color="auto"/>
      </w:divBdr>
      <w:divsChild>
        <w:div w:id="49227496">
          <w:marLeft w:val="0"/>
          <w:marRight w:val="0"/>
          <w:marTop w:val="0"/>
          <w:marBottom w:val="0"/>
          <w:divBdr>
            <w:top w:val="none" w:sz="0" w:space="0" w:color="auto"/>
            <w:left w:val="none" w:sz="0" w:space="0" w:color="auto"/>
            <w:bottom w:val="none" w:sz="0" w:space="0" w:color="auto"/>
            <w:right w:val="none" w:sz="0" w:space="0" w:color="auto"/>
          </w:divBdr>
        </w:div>
      </w:divsChild>
    </w:div>
    <w:div w:id="557396645">
      <w:bodyDiv w:val="1"/>
      <w:marLeft w:val="0"/>
      <w:marRight w:val="0"/>
      <w:marTop w:val="0"/>
      <w:marBottom w:val="0"/>
      <w:divBdr>
        <w:top w:val="none" w:sz="0" w:space="0" w:color="auto"/>
        <w:left w:val="none" w:sz="0" w:space="0" w:color="auto"/>
        <w:bottom w:val="none" w:sz="0" w:space="0" w:color="auto"/>
        <w:right w:val="none" w:sz="0" w:space="0" w:color="auto"/>
      </w:divBdr>
      <w:divsChild>
        <w:div w:id="222568488">
          <w:marLeft w:val="0"/>
          <w:marRight w:val="0"/>
          <w:marTop w:val="0"/>
          <w:marBottom w:val="0"/>
          <w:divBdr>
            <w:top w:val="none" w:sz="0" w:space="0" w:color="auto"/>
            <w:left w:val="none" w:sz="0" w:space="0" w:color="auto"/>
            <w:bottom w:val="none" w:sz="0" w:space="0" w:color="auto"/>
            <w:right w:val="none" w:sz="0" w:space="0" w:color="auto"/>
          </w:divBdr>
        </w:div>
      </w:divsChild>
    </w:div>
    <w:div w:id="571038469">
      <w:bodyDiv w:val="1"/>
      <w:marLeft w:val="0"/>
      <w:marRight w:val="0"/>
      <w:marTop w:val="0"/>
      <w:marBottom w:val="0"/>
      <w:divBdr>
        <w:top w:val="none" w:sz="0" w:space="0" w:color="auto"/>
        <w:left w:val="none" w:sz="0" w:space="0" w:color="auto"/>
        <w:bottom w:val="none" w:sz="0" w:space="0" w:color="auto"/>
        <w:right w:val="none" w:sz="0" w:space="0" w:color="auto"/>
      </w:divBdr>
      <w:divsChild>
        <w:div w:id="670448004">
          <w:marLeft w:val="0"/>
          <w:marRight w:val="0"/>
          <w:marTop w:val="0"/>
          <w:marBottom w:val="0"/>
          <w:divBdr>
            <w:top w:val="none" w:sz="0" w:space="0" w:color="auto"/>
            <w:left w:val="none" w:sz="0" w:space="0" w:color="auto"/>
            <w:bottom w:val="none" w:sz="0" w:space="0" w:color="auto"/>
            <w:right w:val="none" w:sz="0" w:space="0" w:color="auto"/>
          </w:divBdr>
        </w:div>
      </w:divsChild>
    </w:div>
    <w:div w:id="780227389">
      <w:bodyDiv w:val="1"/>
      <w:marLeft w:val="0"/>
      <w:marRight w:val="0"/>
      <w:marTop w:val="0"/>
      <w:marBottom w:val="0"/>
      <w:divBdr>
        <w:top w:val="none" w:sz="0" w:space="0" w:color="auto"/>
        <w:left w:val="none" w:sz="0" w:space="0" w:color="auto"/>
        <w:bottom w:val="none" w:sz="0" w:space="0" w:color="auto"/>
        <w:right w:val="none" w:sz="0" w:space="0" w:color="auto"/>
      </w:divBdr>
      <w:divsChild>
        <w:div w:id="1810198470">
          <w:marLeft w:val="0"/>
          <w:marRight w:val="0"/>
          <w:marTop w:val="0"/>
          <w:marBottom w:val="0"/>
          <w:divBdr>
            <w:top w:val="none" w:sz="0" w:space="0" w:color="auto"/>
            <w:left w:val="none" w:sz="0" w:space="0" w:color="auto"/>
            <w:bottom w:val="none" w:sz="0" w:space="0" w:color="auto"/>
            <w:right w:val="none" w:sz="0" w:space="0" w:color="auto"/>
          </w:divBdr>
        </w:div>
      </w:divsChild>
    </w:div>
    <w:div w:id="808984350">
      <w:bodyDiv w:val="1"/>
      <w:marLeft w:val="0"/>
      <w:marRight w:val="0"/>
      <w:marTop w:val="0"/>
      <w:marBottom w:val="0"/>
      <w:divBdr>
        <w:top w:val="none" w:sz="0" w:space="0" w:color="auto"/>
        <w:left w:val="none" w:sz="0" w:space="0" w:color="auto"/>
        <w:bottom w:val="none" w:sz="0" w:space="0" w:color="auto"/>
        <w:right w:val="none" w:sz="0" w:space="0" w:color="auto"/>
      </w:divBdr>
    </w:div>
    <w:div w:id="867370985">
      <w:bodyDiv w:val="1"/>
      <w:marLeft w:val="0"/>
      <w:marRight w:val="0"/>
      <w:marTop w:val="0"/>
      <w:marBottom w:val="0"/>
      <w:divBdr>
        <w:top w:val="none" w:sz="0" w:space="0" w:color="auto"/>
        <w:left w:val="none" w:sz="0" w:space="0" w:color="auto"/>
        <w:bottom w:val="none" w:sz="0" w:space="0" w:color="auto"/>
        <w:right w:val="none" w:sz="0" w:space="0" w:color="auto"/>
      </w:divBdr>
      <w:divsChild>
        <w:div w:id="141315042">
          <w:marLeft w:val="0"/>
          <w:marRight w:val="0"/>
          <w:marTop w:val="0"/>
          <w:marBottom w:val="0"/>
          <w:divBdr>
            <w:top w:val="none" w:sz="0" w:space="0" w:color="auto"/>
            <w:left w:val="none" w:sz="0" w:space="0" w:color="auto"/>
            <w:bottom w:val="none" w:sz="0" w:space="0" w:color="auto"/>
            <w:right w:val="none" w:sz="0" w:space="0" w:color="auto"/>
          </w:divBdr>
        </w:div>
      </w:divsChild>
    </w:div>
    <w:div w:id="1058169872">
      <w:bodyDiv w:val="1"/>
      <w:marLeft w:val="0"/>
      <w:marRight w:val="0"/>
      <w:marTop w:val="0"/>
      <w:marBottom w:val="0"/>
      <w:divBdr>
        <w:top w:val="none" w:sz="0" w:space="0" w:color="auto"/>
        <w:left w:val="none" w:sz="0" w:space="0" w:color="auto"/>
        <w:bottom w:val="none" w:sz="0" w:space="0" w:color="auto"/>
        <w:right w:val="none" w:sz="0" w:space="0" w:color="auto"/>
      </w:divBdr>
      <w:divsChild>
        <w:div w:id="1888445031">
          <w:marLeft w:val="0"/>
          <w:marRight w:val="0"/>
          <w:marTop w:val="0"/>
          <w:marBottom w:val="0"/>
          <w:divBdr>
            <w:top w:val="none" w:sz="0" w:space="0" w:color="auto"/>
            <w:left w:val="none" w:sz="0" w:space="0" w:color="auto"/>
            <w:bottom w:val="none" w:sz="0" w:space="0" w:color="auto"/>
            <w:right w:val="none" w:sz="0" w:space="0" w:color="auto"/>
          </w:divBdr>
        </w:div>
      </w:divsChild>
    </w:div>
    <w:div w:id="1099988412">
      <w:bodyDiv w:val="1"/>
      <w:marLeft w:val="0"/>
      <w:marRight w:val="0"/>
      <w:marTop w:val="0"/>
      <w:marBottom w:val="0"/>
      <w:divBdr>
        <w:top w:val="none" w:sz="0" w:space="0" w:color="auto"/>
        <w:left w:val="none" w:sz="0" w:space="0" w:color="auto"/>
        <w:bottom w:val="none" w:sz="0" w:space="0" w:color="auto"/>
        <w:right w:val="none" w:sz="0" w:space="0" w:color="auto"/>
      </w:divBdr>
      <w:divsChild>
        <w:div w:id="1408460762">
          <w:marLeft w:val="0"/>
          <w:marRight w:val="0"/>
          <w:marTop w:val="0"/>
          <w:marBottom w:val="0"/>
          <w:divBdr>
            <w:top w:val="none" w:sz="0" w:space="0" w:color="auto"/>
            <w:left w:val="none" w:sz="0" w:space="0" w:color="auto"/>
            <w:bottom w:val="none" w:sz="0" w:space="0" w:color="auto"/>
            <w:right w:val="none" w:sz="0" w:space="0" w:color="auto"/>
          </w:divBdr>
        </w:div>
      </w:divsChild>
    </w:div>
    <w:div w:id="1232808103">
      <w:bodyDiv w:val="1"/>
      <w:marLeft w:val="0"/>
      <w:marRight w:val="0"/>
      <w:marTop w:val="0"/>
      <w:marBottom w:val="0"/>
      <w:divBdr>
        <w:top w:val="none" w:sz="0" w:space="0" w:color="auto"/>
        <w:left w:val="none" w:sz="0" w:space="0" w:color="auto"/>
        <w:bottom w:val="none" w:sz="0" w:space="0" w:color="auto"/>
        <w:right w:val="none" w:sz="0" w:space="0" w:color="auto"/>
      </w:divBdr>
      <w:divsChild>
        <w:div w:id="1165776463">
          <w:marLeft w:val="0"/>
          <w:marRight w:val="0"/>
          <w:marTop w:val="0"/>
          <w:marBottom w:val="0"/>
          <w:divBdr>
            <w:top w:val="none" w:sz="0" w:space="0" w:color="auto"/>
            <w:left w:val="none" w:sz="0" w:space="0" w:color="auto"/>
            <w:bottom w:val="none" w:sz="0" w:space="0" w:color="auto"/>
            <w:right w:val="none" w:sz="0" w:space="0" w:color="auto"/>
          </w:divBdr>
        </w:div>
      </w:divsChild>
    </w:div>
    <w:div w:id="1257400377">
      <w:bodyDiv w:val="1"/>
      <w:marLeft w:val="0"/>
      <w:marRight w:val="0"/>
      <w:marTop w:val="0"/>
      <w:marBottom w:val="0"/>
      <w:divBdr>
        <w:top w:val="none" w:sz="0" w:space="0" w:color="auto"/>
        <w:left w:val="none" w:sz="0" w:space="0" w:color="auto"/>
        <w:bottom w:val="none" w:sz="0" w:space="0" w:color="auto"/>
        <w:right w:val="none" w:sz="0" w:space="0" w:color="auto"/>
      </w:divBdr>
      <w:divsChild>
        <w:div w:id="185799897">
          <w:marLeft w:val="0"/>
          <w:marRight w:val="0"/>
          <w:marTop w:val="0"/>
          <w:marBottom w:val="0"/>
          <w:divBdr>
            <w:top w:val="none" w:sz="0" w:space="0" w:color="auto"/>
            <w:left w:val="none" w:sz="0" w:space="0" w:color="auto"/>
            <w:bottom w:val="none" w:sz="0" w:space="0" w:color="auto"/>
            <w:right w:val="none" w:sz="0" w:space="0" w:color="auto"/>
          </w:divBdr>
        </w:div>
      </w:divsChild>
    </w:div>
    <w:div w:id="1271739945">
      <w:bodyDiv w:val="1"/>
      <w:marLeft w:val="0"/>
      <w:marRight w:val="0"/>
      <w:marTop w:val="0"/>
      <w:marBottom w:val="0"/>
      <w:divBdr>
        <w:top w:val="none" w:sz="0" w:space="0" w:color="auto"/>
        <w:left w:val="none" w:sz="0" w:space="0" w:color="auto"/>
        <w:bottom w:val="none" w:sz="0" w:space="0" w:color="auto"/>
        <w:right w:val="none" w:sz="0" w:space="0" w:color="auto"/>
      </w:divBdr>
      <w:divsChild>
        <w:div w:id="2009672749">
          <w:marLeft w:val="0"/>
          <w:marRight w:val="0"/>
          <w:marTop w:val="0"/>
          <w:marBottom w:val="0"/>
          <w:divBdr>
            <w:top w:val="none" w:sz="0" w:space="0" w:color="auto"/>
            <w:left w:val="none" w:sz="0" w:space="0" w:color="auto"/>
            <w:bottom w:val="none" w:sz="0" w:space="0" w:color="auto"/>
            <w:right w:val="none" w:sz="0" w:space="0" w:color="auto"/>
          </w:divBdr>
        </w:div>
      </w:divsChild>
    </w:div>
    <w:div w:id="1334410656">
      <w:bodyDiv w:val="1"/>
      <w:marLeft w:val="0"/>
      <w:marRight w:val="0"/>
      <w:marTop w:val="0"/>
      <w:marBottom w:val="0"/>
      <w:divBdr>
        <w:top w:val="none" w:sz="0" w:space="0" w:color="auto"/>
        <w:left w:val="none" w:sz="0" w:space="0" w:color="auto"/>
        <w:bottom w:val="none" w:sz="0" w:space="0" w:color="auto"/>
        <w:right w:val="none" w:sz="0" w:space="0" w:color="auto"/>
      </w:divBdr>
      <w:divsChild>
        <w:div w:id="778839642">
          <w:marLeft w:val="0"/>
          <w:marRight w:val="0"/>
          <w:marTop w:val="0"/>
          <w:marBottom w:val="0"/>
          <w:divBdr>
            <w:top w:val="none" w:sz="0" w:space="0" w:color="auto"/>
            <w:left w:val="none" w:sz="0" w:space="0" w:color="auto"/>
            <w:bottom w:val="none" w:sz="0" w:space="0" w:color="auto"/>
            <w:right w:val="none" w:sz="0" w:space="0" w:color="auto"/>
          </w:divBdr>
        </w:div>
      </w:divsChild>
    </w:div>
    <w:div w:id="1377586682">
      <w:bodyDiv w:val="1"/>
      <w:marLeft w:val="0"/>
      <w:marRight w:val="0"/>
      <w:marTop w:val="0"/>
      <w:marBottom w:val="0"/>
      <w:divBdr>
        <w:top w:val="none" w:sz="0" w:space="0" w:color="auto"/>
        <w:left w:val="none" w:sz="0" w:space="0" w:color="auto"/>
        <w:bottom w:val="none" w:sz="0" w:space="0" w:color="auto"/>
        <w:right w:val="none" w:sz="0" w:space="0" w:color="auto"/>
      </w:divBdr>
      <w:divsChild>
        <w:div w:id="2099204918">
          <w:marLeft w:val="0"/>
          <w:marRight w:val="0"/>
          <w:marTop w:val="0"/>
          <w:marBottom w:val="0"/>
          <w:divBdr>
            <w:top w:val="none" w:sz="0" w:space="0" w:color="auto"/>
            <w:left w:val="none" w:sz="0" w:space="0" w:color="auto"/>
            <w:bottom w:val="none" w:sz="0" w:space="0" w:color="auto"/>
            <w:right w:val="none" w:sz="0" w:space="0" w:color="auto"/>
          </w:divBdr>
        </w:div>
      </w:divsChild>
    </w:div>
    <w:div w:id="1591811580">
      <w:bodyDiv w:val="1"/>
      <w:marLeft w:val="0"/>
      <w:marRight w:val="0"/>
      <w:marTop w:val="0"/>
      <w:marBottom w:val="0"/>
      <w:divBdr>
        <w:top w:val="none" w:sz="0" w:space="0" w:color="auto"/>
        <w:left w:val="none" w:sz="0" w:space="0" w:color="auto"/>
        <w:bottom w:val="none" w:sz="0" w:space="0" w:color="auto"/>
        <w:right w:val="none" w:sz="0" w:space="0" w:color="auto"/>
      </w:divBdr>
      <w:divsChild>
        <w:div w:id="1511261844">
          <w:marLeft w:val="0"/>
          <w:marRight w:val="0"/>
          <w:marTop w:val="0"/>
          <w:marBottom w:val="0"/>
          <w:divBdr>
            <w:top w:val="none" w:sz="0" w:space="0" w:color="auto"/>
            <w:left w:val="none" w:sz="0" w:space="0" w:color="auto"/>
            <w:bottom w:val="none" w:sz="0" w:space="0" w:color="auto"/>
            <w:right w:val="none" w:sz="0" w:space="0" w:color="auto"/>
          </w:divBdr>
        </w:div>
      </w:divsChild>
    </w:div>
    <w:div w:id="1626109853">
      <w:bodyDiv w:val="1"/>
      <w:marLeft w:val="0"/>
      <w:marRight w:val="0"/>
      <w:marTop w:val="0"/>
      <w:marBottom w:val="0"/>
      <w:divBdr>
        <w:top w:val="none" w:sz="0" w:space="0" w:color="auto"/>
        <w:left w:val="none" w:sz="0" w:space="0" w:color="auto"/>
        <w:bottom w:val="none" w:sz="0" w:space="0" w:color="auto"/>
        <w:right w:val="none" w:sz="0" w:space="0" w:color="auto"/>
      </w:divBdr>
      <w:divsChild>
        <w:div w:id="129370302">
          <w:marLeft w:val="0"/>
          <w:marRight w:val="0"/>
          <w:marTop w:val="0"/>
          <w:marBottom w:val="0"/>
          <w:divBdr>
            <w:top w:val="none" w:sz="0" w:space="0" w:color="auto"/>
            <w:left w:val="none" w:sz="0" w:space="0" w:color="auto"/>
            <w:bottom w:val="none" w:sz="0" w:space="0" w:color="auto"/>
            <w:right w:val="none" w:sz="0" w:space="0" w:color="auto"/>
          </w:divBdr>
        </w:div>
      </w:divsChild>
    </w:div>
    <w:div w:id="1649019108">
      <w:bodyDiv w:val="1"/>
      <w:marLeft w:val="0"/>
      <w:marRight w:val="0"/>
      <w:marTop w:val="0"/>
      <w:marBottom w:val="0"/>
      <w:divBdr>
        <w:top w:val="none" w:sz="0" w:space="0" w:color="auto"/>
        <w:left w:val="none" w:sz="0" w:space="0" w:color="auto"/>
        <w:bottom w:val="none" w:sz="0" w:space="0" w:color="auto"/>
        <w:right w:val="none" w:sz="0" w:space="0" w:color="auto"/>
      </w:divBdr>
      <w:divsChild>
        <w:div w:id="1109737232">
          <w:marLeft w:val="0"/>
          <w:marRight w:val="0"/>
          <w:marTop w:val="0"/>
          <w:marBottom w:val="0"/>
          <w:divBdr>
            <w:top w:val="none" w:sz="0" w:space="0" w:color="auto"/>
            <w:left w:val="none" w:sz="0" w:space="0" w:color="auto"/>
            <w:bottom w:val="none" w:sz="0" w:space="0" w:color="auto"/>
            <w:right w:val="none" w:sz="0" w:space="0" w:color="auto"/>
          </w:divBdr>
        </w:div>
      </w:divsChild>
    </w:div>
    <w:div w:id="1758019243">
      <w:bodyDiv w:val="1"/>
      <w:marLeft w:val="0"/>
      <w:marRight w:val="0"/>
      <w:marTop w:val="0"/>
      <w:marBottom w:val="0"/>
      <w:divBdr>
        <w:top w:val="none" w:sz="0" w:space="0" w:color="auto"/>
        <w:left w:val="none" w:sz="0" w:space="0" w:color="auto"/>
        <w:bottom w:val="none" w:sz="0" w:space="0" w:color="auto"/>
        <w:right w:val="none" w:sz="0" w:space="0" w:color="auto"/>
      </w:divBdr>
      <w:divsChild>
        <w:div w:id="271593888">
          <w:marLeft w:val="0"/>
          <w:marRight w:val="0"/>
          <w:marTop w:val="0"/>
          <w:marBottom w:val="0"/>
          <w:divBdr>
            <w:top w:val="none" w:sz="0" w:space="0" w:color="auto"/>
            <w:left w:val="none" w:sz="0" w:space="0" w:color="auto"/>
            <w:bottom w:val="none" w:sz="0" w:space="0" w:color="auto"/>
            <w:right w:val="none" w:sz="0" w:space="0" w:color="auto"/>
          </w:divBdr>
        </w:div>
      </w:divsChild>
    </w:div>
    <w:div w:id="1774126231">
      <w:bodyDiv w:val="1"/>
      <w:marLeft w:val="0"/>
      <w:marRight w:val="0"/>
      <w:marTop w:val="0"/>
      <w:marBottom w:val="0"/>
      <w:divBdr>
        <w:top w:val="none" w:sz="0" w:space="0" w:color="auto"/>
        <w:left w:val="none" w:sz="0" w:space="0" w:color="auto"/>
        <w:bottom w:val="none" w:sz="0" w:space="0" w:color="auto"/>
        <w:right w:val="none" w:sz="0" w:space="0" w:color="auto"/>
      </w:divBdr>
      <w:divsChild>
        <w:div w:id="506793994">
          <w:marLeft w:val="0"/>
          <w:marRight w:val="0"/>
          <w:marTop w:val="0"/>
          <w:marBottom w:val="0"/>
          <w:divBdr>
            <w:top w:val="none" w:sz="0" w:space="0" w:color="auto"/>
            <w:left w:val="none" w:sz="0" w:space="0" w:color="auto"/>
            <w:bottom w:val="none" w:sz="0" w:space="0" w:color="auto"/>
            <w:right w:val="none" w:sz="0" w:space="0" w:color="auto"/>
          </w:divBdr>
        </w:div>
      </w:divsChild>
    </w:div>
    <w:div w:id="1796021628">
      <w:bodyDiv w:val="1"/>
      <w:marLeft w:val="0"/>
      <w:marRight w:val="0"/>
      <w:marTop w:val="0"/>
      <w:marBottom w:val="0"/>
      <w:divBdr>
        <w:top w:val="none" w:sz="0" w:space="0" w:color="auto"/>
        <w:left w:val="none" w:sz="0" w:space="0" w:color="auto"/>
        <w:bottom w:val="none" w:sz="0" w:space="0" w:color="auto"/>
        <w:right w:val="none" w:sz="0" w:space="0" w:color="auto"/>
      </w:divBdr>
      <w:divsChild>
        <w:div w:id="153499027">
          <w:marLeft w:val="0"/>
          <w:marRight w:val="0"/>
          <w:marTop w:val="0"/>
          <w:marBottom w:val="0"/>
          <w:divBdr>
            <w:top w:val="none" w:sz="0" w:space="0" w:color="auto"/>
            <w:left w:val="none" w:sz="0" w:space="0" w:color="auto"/>
            <w:bottom w:val="none" w:sz="0" w:space="0" w:color="auto"/>
            <w:right w:val="none" w:sz="0" w:space="0" w:color="auto"/>
          </w:divBdr>
        </w:div>
      </w:divsChild>
    </w:div>
    <w:div w:id="1849976228">
      <w:bodyDiv w:val="1"/>
      <w:marLeft w:val="0"/>
      <w:marRight w:val="0"/>
      <w:marTop w:val="0"/>
      <w:marBottom w:val="0"/>
      <w:divBdr>
        <w:top w:val="none" w:sz="0" w:space="0" w:color="auto"/>
        <w:left w:val="none" w:sz="0" w:space="0" w:color="auto"/>
        <w:bottom w:val="none" w:sz="0" w:space="0" w:color="auto"/>
        <w:right w:val="none" w:sz="0" w:space="0" w:color="auto"/>
      </w:divBdr>
      <w:divsChild>
        <w:div w:id="155268262">
          <w:marLeft w:val="0"/>
          <w:marRight w:val="0"/>
          <w:marTop w:val="0"/>
          <w:marBottom w:val="0"/>
          <w:divBdr>
            <w:top w:val="none" w:sz="0" w:space="0" w:color="auto"/>
            <w:left w:val="none" w:sz="0" w:space="0" w:color="auto"/>
            <w:bottom w:val="none" w:sz="0" w:space="0" w:color="auto"/>
            <w:right w:val="none" w:sz="0" w:space="0" w:color="auto"/>
          </w:divBdr>
        </w:div>
      </w:divsChild>
    </w:div>
    <w:div w:id="1856192508">
      <w:bodyDiv w:val="1"/>
      <w:marLeft w:val="0"/>
      <w:marRight w:val="0"/>
      <w:marTop w:val="0"/>
      <w:marBottom w:val="0"/>
      <w:divBdr>
        <w:top w:val="none" w:sz="0" w:space="0" w:color="auto"/>
        <w:left w:val="none" w:sz="0" w:space="0" w:color="auto"/>
        <w:bottom w:val="none" w:sz="0" w:space="0" w:color="auto"/>
        <w:right w:val="none" w:sz="0" w:space="0" w:color="auto"/>
      </w:divBdr>
    </w:div>
    <w:div w:id="2109957621">
      <w:bodyDiv w:val="1"/>
      <w:marLeft w:val="0"/>
      <w:marRight w:val="0"/>
      <w:marTop w:val="0"/>
      <w:marBottom w:val="0"/>
      <w:divBdr>
        <w:top w:val="none" w:sz="0" w:space="0" w:color="auto"/>
        <w:left w:val="none" w:sz="0" w:space="0" w:color="auto"/>
        <w:bottom w:val="none" w:sz="0" w:space="0" w:color="auto"/>
        <w:right w:val="none" w:sz="0" w:space="0" w:color="auto"/>
      </w:divBdr>
      <w:divsChild>
        <w:div w:id="9105756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611DC1-F99A-4981-9FCD-751983008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2114</Words>
  <Characters>12822</Characters>
  <Application>Microsoft Office Word</Application>
  <DocSecurity>0</DocSecurity>
  <Lines>218</Lines>
  <Paragraphs>53</Paragraphs>
  <ScaleCrop>false</ScaleCrop>
  <Company/>
  <LinksUpToDate>false</LinksUpToDate>
  <CharactersWithSpaces>14888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2024-07-08T07:44:00Z</dcterms:created>
  <dcterms:modified xsi:type="dcterms:W3CDTF">2024-07-14T13:59:00Z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86251ca4f8fcf9eda5c5430146d8a7b6eb419647fd256a4ac3c9a800b65433fd</vt:lpwstr>
  </property>
</Properties>
</file>