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3412" w:rsidRPr="000944BF" w:rsidRDefault="00523412" w:rsidP="00523412">
      <w:pPr>
        <w:jc w:val="center"/>
        <w:rPr>
          <w:rFonts w:cstheme="minorHAnsi"/>
          <w:i/>
          <w:sz w:val="24"/>
          <w:szCs w:val="24"/>
        </w:rPr>
      </w:pPr>
      <w:r w:rsidRPr="000944BF">
        <w:rPr>
          <w:rFonts w:cstheme="minorHAnsi"/>
          <w:i/>
          <w:sz w:val="24"/>
          <w:szCs w:val="24"/>
        </w:rPr>
        <w:t>‘What is the purpose of the dowry in classical Athens?’</w:t>
      </w:r>
    </w:p>
    <w:p w:rsidR="00523412" w:rsidRPr="000944BF" w:rsidRDefault="00523412" w:rsidP="00523412">
      <w:pPr>
        <w:jc w:val="center"/>
        <w:rPr>
          <w:rFonts w:cstheme="minorHAnsi"/>
          <w:i/>
          <w:sz w:val="24"/>
          <w:szCs w:val="24"/>
        </w:rPr>
      </w:pPr>
    </w:p>
    <w:p w:rsidR="00CC2D02" w:rsidRPr="000944BF" w:rsidRDefault="00523412" w:rsidP="00523412">
      <w:pPr>
        <w:rPr>
          <w:rFonts w:cstheme="minorHAnsi"/>
          <w:sz w:val="24"/>
          <w:szCs w:val="24"/>
        </w:rPr>
      </w:pPr>
      <w:r w:rsidRPr="000944BF">
        <w:rPr>
          <w:rFonts w:cstheme="minorHAnsi"/>
          <w:sz w:val="24"/>
          <w:szCs w:val="24"/>
        </w:rPr>
        <w:t xml:space="preserve">The purpose of a dowry is to </w:t>
      </w:r>
      <w:r w:rsidR="00E452B1" w:rsidRPr="000944BF">
        <w:rPr>
          <w:rFonts w:cstheme="minorHAnsi"/>
          <w:sz w:val="24"/>
          <w:szCs w:val="24"/>
        </w:rPr>
        <w:t xml:space="preserve">act as a gift given to the </w:t>
      </w:r>
      <w:r w:rsidR="000705DD">
        <w:rPr>
          <w:rFonts w:cstheme="minorHAnsi"/>
          <w:sz w:val="24"/>
          <w:szCs w:val="24"/>
        </w:rPr>
        <w:t>groom</w:t>
      </w:r>
      <w:r w:rsidR="00E452B1" w:rsidRPr="000944BF">
        <w:rPr>
          <w:rFonts w:cstheme="minorHAnsi"/>
          <w:sz w:val="24"/>
          <w:szCs w:val="24"/>
        </w:rPr>
        <w:t xml:space="preserve"> by the </w:t>
      </w:r>
      <w:r w:rsidR="000705DD">
        <w:rPr>
          <w:rFonts w:cstheme="minorHAnsi"/>
          <w:sz w:val="24"/>
          <w:szCs w:val="24"/>
        </w:rPr>
        <w:t>bride’s oikos</w:t>
      </w:r>
      <w:r w:rsidR="006E1FC7" w:rsidRPr="000944BF">
        <w:rPr>
          <w:rFonts w:cstheme="minorHAnsi"/>
          <w:sz w:val="24"/>
          <w:szCs w:val="24"/>
        </w:rPr>
        <w:t xml:space="preserve"> (</w:t>
      </w:r>
      <w:proofErr w:type="spellStart"/>
      <w:r w:rsidR="006E1FC7" w:rsidRPr="000944BF">
        <w:rPr>
          <w:rFonts w:cstheme="minorHAnsi"/>
          <w:sz w:val="24"/>
          <w:szCs w:val="24"/>
        </w:rPr>
        <w:t>Thür</w:t>
      </w:r>
      <w:proofErr w:type="spellEnd"/>
      <w:r w:rsidR="006E1FC7" w:rsidRPr="000944BF">
        <w:rPr>
          <w:rFonts w:cstheme="minorHAnsi"/>
          <w:sz w:val="24"/>
          <w:szCs w:val="24"/>
        </w:rPr>
        <w:t xml:space="preserve">, G. </w:t>
      </w:r>
      <w:r w:rsidR="008B36D5" w:rsidRPr="000944BF">
        <w:rPr>
          <w:rFonts w:cstheme="minorHAnsi"/>
          <w:sz w:val="24"/>
          <w:szCs w:val="24"/>
        </w:rPr>
        <w:t>‘</w:t>
      </w:r>
      <w:proofErr w:type="spellStart"/>
      <w:r w:rsidR="006E1FC7" w:rsidRPr="000944BF">
        <w:rPr>
          <w:rFonts w:cstheme="minorHAnsi"/>
          <w:sz w:val="24"/>
          <w:szCs w:val="24"/>
        </w:rPr>
        <w:t>Hedna</w:t>
      </w:r>
      <w:proofErr w:type="spellEnd"/>
      <w:r w:rsidR="008B36D5" w:rsidRPr="000944BF">
        <w:rPr>
          <w:rFonts w:cstheme="minorHAnsi"/>
          <w:sz w:val="24"/>
          <w:szCs w:val="24"/>
        </w:rPr>
        <w:t>’</w:t>
      </w:r>
      <w:r w:rsidR="006E1FC7" w:rsidRPr="000944BF">
        <w:rPr>
          <w:rFonts w:cstheme="minorHAnsi"/>
          <w:sz w:val="24"/>
          <w:szCs w:val="24"/>
        </w:rPr>
        <w:t xml:space="preserve"> (2006))</w:t>
      </w:r>
      <w:r w:rsidR="00E452B1" w:rsidRPr="000944BF">
        <w:rPr>
          <w:rFonts w:cstheme="minorHAnsi"/>
          <w:sz w:val="24"/>
          <w:szCs w:val="24"/>
        </w:rPr>
        <w:t xml:space="preserve">. In classical Athens, it was very important that the husband was given an appropriately sized dowry compared to the wealth of the bride’s household. </w:t>
      </w:r>
    </w:p>
    <w:p w:rsidR="00523412" w:rsidRPr="000944BF" w:rsidRDefault="006F5F33" w:rsidP="00523412">
      <w:pPr>
        <w:rPr>
          <w:rFonts w:cstheme="minorHAnsi"/>
          <w:sz w:val="24"/>
          <w:szCs w:val="24"/>
        </w:rPr>
      </w:pPr>
      <w:r w:rsidRPr="000944BF">
        <w:rPr>
          <w:rFonts w:cstheme="minorHAnsi"/>
          <w:sz w:val="24"/>
          <w:szCs w:val="24"/>
        </w:rPr>
        <w:t xml:space="preserve">The men in the bride’s life were the ones who organised the dowry and, subsequently, the marriage. The bride had little to no say in any of the events surrounding her life and marriage. </w:t>
      </w:r>
      <w:r w:rsidR="00E452B1" w:rsidRPr="000944BF">
        <w:rPr>
          <w:rFonts w:cstheme="minorHAnsi"/>
          <w:sz w:val="24"/>
          <w:szCs w:val="24"/>
        </w:rPr>
        <w:t>Anything bellow at least 1/10</w:t>
      </w:r>
      <w:r w:rsidR="00E452B1" w:rsidRPr="000944BF">
        <w:rPr>
          <w:rFonts w:cstheme="minorHAnsi"/>
          <w:sz w:val="24"/>
          <w:szCs w:val="24"/>
          <w:vertAlign w:val="superscript"/>
        </w:rPr>
        <w:t>th</w:t>
      </w:r>
      <w:r w:rsidR="00E452B1" w:rsidRPr="000944BF">
        <w:rPr>
          <w:rFonts w:cstheme="minorHAnsi"/>
          <w:sz w:val="24"/>
          <w:szCs w:val="24"/>
        </w:rPr>
        <w:t xml:space="preserve"> of the household earnings was seen as disrespectful to the groom (</w:t>
      </w:r>
      <w:proofErr w:type="spellStart"/>
      <w:r w:rsidR="00E452B1" w:rsidRPr="000944BF">
        <w:rPr>
          <w:rFonts w:cstheme="minorHAnsi"/>
          <w:sz w:val="24"/>
          <w:szCs w:val="24"/>
        </w:rPr>
        <w:t>Isa</w:t>
      </w:r>
      <w:r w:rsidR="00CC2D02" w:rsidRPr="000944BF">
        <w:rPr>
          <w:rFonts w:cstheme="minorHAnsi"/>
          <w:sz w:val="24"/>
          <w:szCs w:val="24"/>
        </w:rPr>
        <w:t>eus</w:t>
      </w:r>
      <w:proofErr w:type="spellEnd"/>
      <w:r w:rsidR="00CC2D02" w:rsidRPr="000944BF">
        <w:rPr>
          <w:rFonts w:cstheme="minorHAnsi"/>
          <w:sz w:val="24"/>
          <w:szCs w:val="24"/>
        </w:rPr>
        <w:t xml:space="preserve"> 3. 107). </w:t>
      </w:r>
      <w:r w:rsidR="006E1FC7" w:rsidRPr="000944BF">
        <w:rPr>
          <w:rFonts w:cstheme="minorHAnsi"/>
          <w:sz w:val="24"/>
          <w:szCs w:val="24"/>
        </w:rPr>
        <w:t>The dowry essentially acts as a bond between the two families and, as such, if the groom were to ever divorce the bride</w:t>
      </w:r>
      <w:r w:rsidR="008B36D5" w:rsidRPr="000944BF">
        <w:rPr>
          <w:rFonts w:cstheme="minorHAnsi"/>
          <w:sz w:val="24"/>
          <w:szCs w:val="24"/>
        </w:rPr>
        <w:t xml:space="preserve"> or she died</w:t>
      </w:r>
      <w:r w:rsidR="006E1FC7" w:rsidRPr="000944BF">
        <w:rPr>
          <w:rFonts w:cstheme="minorHAnsi"/>
          <w:sz w:val="24"/>
          <w:szCs w:val="24"/>
        </w:rPr>
        <w:t xml:space="preserve"> then the dowry would return to the bride’s family</w:t>
      </w:r>
      <w:r w:rsidR="008B36D5" w:rsidRPr="000944BF">
        <w:rPr>
          <w:rFonts w:cstheme="minorHAnsi"/>
          <w:sz w:val="24"/>
          <w:szCs w:val="24"/>
        </w:rPr>
        <w:t xml:space="preserve">. However, if she died and had already given birth to sons then the worth of the dowry would be given to them </w:t>
      </w:r>
      <w:r w:rsidR="006E1FC7" w:rsidRPr="000944BF">
        <w:rPr>
          <w:rFonts w:cstheme="minorHAnsi"/>
          <w:sz w:val="24"/>
          <w:szCs w:val="24"/>
        </w:rPr>
        <w:t>(</w:t>
      </w:r>
      <w:proofErr w:type="spellStart"/>
      <w:r w:rsidR="008B36D5" w:rsidRPr="000944BF">
        <w:rPr>
          <w:rFonts w:cstheme="minorHAnsi"/>
          <w:sz w:val="24"/>
          <w:szCs w:val="24"/>
        </w:rPr>
        <w:t>Thür</w:t>
      </w:r>
      <w:proofErr w:type="spellEnd"/>
      <w:r w:rsidR="008B36D5" w:rsidRPr="000944BF">
        <w:rPr>
          <w:rFonts w:cstheme="minorHAnsi"/>
          <w:sz w:val="24"/>
          <w:szCs w:val="24"/>
        </w:rPr>
        <w:t>, G. ‘</w:t>
      </w:r>
      <w:proofErr w:type="spellStart"/>
      <w:r w:rsidR="008B36D5" w:rsidRPr="000944BF">
        <w:rPr>
          <w:rFonts w:cstheme="minorHAnsi"/>
          <w:sz w:val="24"/>
          <w:szCs w:val="24"/>
        </w:rPr>
        <w:t>Proix</w:t>
      </w:r>
      <w:proofErr w:type="spellEnd"/>
      <w:r w:rsidR="008B36D5" w:rsidRPr="000944BF">
        <w:rPr>
          <w:rFonts w:cstheme="minorHAnsi"/>
          <w:sz w:val="24"/>
          <w:szCs w:val="24"/>
        </w:rPr>
        <w:t xml:space="preserve">’ (2006)). </w:t>
      </w:r>
      <w:r w:rsidR="006223EC" w:rsidRPr="000944BF">
        <w:rPr>
          <w:rFonts w:cstheme="minorHAnsi"/>
          <w:sz w:val="24"/>
          <w:szCs w:val="24"/>
        </w:rPr>
        <w:t xml:space="preserve"> </w:t>
      </w:r>
    </w:p>
    <w:p w:rsidR="00E01602" w:rsidRPr="000944BF" w:rsidRDefault="00E01602" w:rsidP="00523412">
      <w:pPr>
        <w:rPr>
          <w:rFonts w:cstheme="minorHAnsi"/>
          <w:sz w:val="24"/>
          <w:szCs w:val="24"/>
        </w:rPr>
      </w:pPr>
      <w:r w:rsidRPr="000944BF">
        <w:rPr>
          <w:rFonts w:cstheme="minorHAnsi"/>
          <w:sz w:val="24"/>
          <w:szCs w:val="24"/>
        </w:rPr>
        <w:t>Whereas in a Roman dowry all the woman’s property would then become the husbands (</w:t>
      </w:r>
      <w:proofErr w:type="spellStart"/>
      <w:r w:rsidRPr="000944BF">
        <w:rPr>
          <w:rFonts w:cstheme="minorHAnsi"/>
          <w:sz w:val="24"/>
          <w:szCs w:val="24"/>
        </w:rPr>
        <w:t>Treggiari</w:t>
      </w:r>
      <w:proofErr w:type="spellEnd"/>
      <w:r w:rsidRPr="000944BF">
        <w:rPr>
          <w:rFonts w:cstheme="minorHAnsi"/>
          <w:sz w:val="24"/>
          <w:szCs w:val="24"/>
        </w:rPr>
        <w:t>, S. ‘Dos’ (2006)), in the case of an Athenian dowry, the only thing that the husband technically owns is the wife and whatever was included in the dowry (</w:t>
      </w:r>
      <w:proofErr w:type="spellStart"/>
      <w:r w:rsidRPr="000944BF">
        <w:rPr>
          <w:rFonts w:cstheme="minorHAnsi"/>
          <w:sz w:val="24"/>
          <w:szCs w:val="24"/>
        </w:rPr>
        <w:t>Thür</w:t>
      </w:r>
      <w:proofErr w:type="spellEnd"/>
      <w:r w:rsidRPr="000944BF">
        <w:rPr>
          <w:rFonts w:cstheme="minorHAnsi"/>
          <w:sz w:val="24"/>
          <w:szCs w:val="24"/>
        </w:rPr>
        <w:t>, G. ‘</w:t>
      </w:r>
      <w:proofErr w:type="spellStart"/>
      <w:r w:rsidRPr="000944BF">
        <w:rPr>
          <w:rFonts w:cstheme="minorHAnsi"/>
          <w:sz w:val="24"/>
          <w:szCs w:val="24"/>
        </w:rPr>
        <w:t>Proix</w:t>
      </w:r>
      <w:proofErr w:type="spellEnd"/>
      <w:r w:rsidRPr="000944BF">
        <w:rPr>
          <w:rFonts w:cstheme="minorHAnsi"/>
          <w:sz w:val="24"/>
          <w:szCs w:val="24"/>
        </w:rPr>
        <w:t xml:space="preserve">’ (2006)). </w:t>
      </w:r>
      <w:r w:rsidR="00E269FD" w:rsidRPr="000944BF">
        <w:rPr>
          <w:rFonts w:cstheme="minorHAnsi"/>
          <w:sz w:val="24"/>
          <w:szCs w:val="24"/>
        </w:rPr>
        <w:t>Because of this, under</w:t>
      </w:r>
      <w:r w:rsidR="00CA0414" w:rsidRPr="000944BF">
        <w:rPr>
          <w:rFonts w:cstheme="minorHAnsi"/>
          <w:sz w:val="24"/>
          <w:szCs w:val="24"/>
        </w:rPr>
        <w:t xml:space="preserve"> an</w:t>
      </w:r>
      <w:r w:rsidR="00E269FD" w:rsidRPr="000944BF">
        <w:rPr>
          <w:rFonts w:cstheme="minorHAnsi"/>
          <w:sz w:val="24"/>
          <w:szCs w:val="24"/>
        </w:rPr>
        <w:t xml:space="preserve"> Athenian dowry</w:t>
      </w:r>
      <w:r w:rsidR="00CA0414" w:rsidRPr="000944BF">
        <w:rPr>
          <w:rFonts w:cstheme="minorHAnsi"/>
          <w:sz w:val="24"/>
          <w:szCs w:val="24"/>
        </w:rPr>
        <w:t>, the groom is allowed to sell and any and all of the property that has been given to him by the bride’s family but not any belongings that she ch</w:t>
      </w:r>
      <w:r w:rsidR="000705DD">
        <w:rPr>
          <w:rFonts w:cstheme="minorHAnsi"/>
          <w:sz w:val="24"/>
          <w:szCs w:val="24"/>
        </w:rPr>
        <w:t>o</w:t>
      </w:r>
      <w:r w:rsidR="00CA0414" w:rsidRPr="000944BF">
        <w:rPr>
          <w:rFonts w:cstheme="minorHAnsi"/>
          <w:sz w:val="24"/>
          <w:szCs w:val="24"/>
        </w:rPr>
        <w:t>oses to bring into the household when she moves in with the groom.</w:t>
      </w:r>
      <w:r w:rsidR="009D6450" w:rsidRPr="000944BF">
        <w:rPr>
          <w:rFonts w:cstheme="minorHAnsi"/>
          <w:sz w:val="24"/>
          <w:szCs w:val="24"/>
        </w:rPr>
        <w:t xml:space="preserve"> Whilst the items included in the dowry (such as property, land, gold or items) are known as </w:t>
      </w:r>
      <w:proofErr w:type="spellStart"/>
      <w:r w:rsidR="009D6450" w:rsidRPr="000944BF">
        <w:rPr>
          <w:rFonts w:cstheme="minorHAnsi"/>
          <w:sz w:val="24"/>
          <w:szCs w:val="24"/>
        </w:rPr>
        <w:t>proix</w:t>
      </w:r>
      <w:proofErr w:type="spellEnd"/>
      <w:r w:rsidR="009D6450" w:rsidRPr="000944BF">
        <w:rPr>
          <w:rFonts w:cstheme="minorHAnsi"/>
          <w:sz w:val="24"/>
          <w:szCs w:val="24"/>
        </w:rPr>
        <w:t xml:space="preserve">, the items which the bride brings with her are known as </w:t>
      </w:r>
      <w:proofErr w:type="spellStart"/>
      <w:r w:rsidR="009D6450" w:rsidRPr="000944BF">
        <w:rPr>
          <w:rFonts w:cstheme="minorHAnsi"/>
          <w:sz w:val="24"/>
          <w:szCs w:val="24"/>
        </w:rPr>
        <w:t>pherne</w:t>
      </w:r>
      <w:proofErr w:type="spellEnd"/>
      <w:r w:rsidR="009D6450" w:rsidRPr="000944BF">
        <w:rPr>
          <w:rFonts w:cstheme="minorHAnsi"/>
          <w:sz w:val="24"/>
          <w:szCs w:val="24"/>
        </w:rPr>
        <w:t xml:space="preserve"> and the husband does not have rights to them</w:t>
      </w:r>
      <w:r w:rsidR="006F7086" w:rsidRPr="000944BF">
        <w:rPr>
          <w:rFonts w:cstheme="minorHAnsi"/>
          <w:sz w:val="24"/>
          <w:szCs w:val="24"/>
        </w:rPr>
        <w:t xml:space="preserve"> </w:t>
      </w:r>
      <w:r w:rsidR="006F7086" w:rsidRPr="000944BF">
        <w:rPr>
          <w:rFonts w:cstheme="minorHAnsi"/>
          <w:sz w:val="24"/>
          <w:szCs w:val="24"/>
        </w:rPr>
        <w:t>(</w:t>
      </w:r>
      <w:proofErr w:type="spellStart"/>
      <w:r w:rsidR="006F7086" w:rsidRPr="000944BF">
        <w:rPr>
          <w:rFonts w:cstheme="minorHAnsi"/>
          <w:sz w:val="24"/>
          <w:szCs w:val="24"/>
        </w:rPr>
        <w:t>Thür</w:t>
      </w:r>
      <w:proofErr w:type="spellEnd"/>
      <w:r w:rsidR="006F7086" w:rsidRPr="000944BF">
        <w:rPr>
          <w:rFonts w:cstheme="minorHAnsi"/>
          <w:sz w:val="24"/>
          <w:szCs w:val="24"/>
        </w:rPr>
        <w:t>, G. ‘</w:t>
      </w:r>
      <w:proofErr w:type="spellStart"/>
      <w:r w:rsidR="006F7086" w:rsidRPr="000944BF">
        <w:rPr>
          <w:rFonts w:cstheme="minorHAnsi"/>
          <w:sz w:val="24"/>
          <w:szCs w:val="24"/>
        </w:rPr>
        <w:t>P</w:t>
      </w:r>
      <w:r w:rsidR="006F7086" w:rsidRPr="000944BF">
        <w:rPr>
          <w:rFonts w:cstheme="minorHAnsi"/>
          <w:sz w:val="24"/>
          <w:szCs w:val="24"/>
        </w:rPr>
        <w:t>herne</w:t>
      </w:r>
      <w:proofErr w:type="spellEnd"/>
      <w:r w:rsidR="006F7086" w:rsidRPr="000944BF">
        <w:rPr>
          <w:rFonts w:cstheme="minorHAnsi"/>
          <w:sz w:val="24"/>
          <w:szCs w:val="24"/>
        </w:rPr>
        <w:t xml:space="preserve">’ (2006)). </w:t>
      </w:r>
      <w:r w:rsidR="006F7086" w:rsidRPr="000944BF">
        <w:rPr>
          <w:rFonts w:cstheme="minorHAnsi"/>
          <w:sz w:val="24"/>
          <w:szCs w:val="24"/>
        </w:rPr>
        <w:t xml:space="preserve">However, no matter where you are, the dowry in ancient times provides the same purpose, as a gift to the groom that accompanies the bride. The </w:t>
      </w:r>
      <w:proofErr w:type="spellStart"/>
      <w:r w:rsidR="006F7086" w:rsidRPr="000944BF">
        <w:rPr>
          <w:rFonts w:cstheme="minorHAnsi"/>
          <w:sz w:val="24"/>
          <w:szCs w:val="24"/>
        </w:rPr>
        <w:t>proix</w:t>
      </w:r>
      <w:proofErr w:type="spellEnd"/>
      <w:r w:rsidR="006F7086" w:rsidRPr="000944BF">
        <w:rPr>
          <w:rFonts w:cstheme="minorHAnsi"/>
          <w:sz w:val="24"/>
          <w:szCs w:val="24"/>
        </w:rPr>
        <w:t xml:space="preserve"> which was given with the bride in Athenian dowries always came with a value for the equivalent that it would be in money. This was </w:t>
      </w:r>
      <w:r w:rsidR="005C61BA" w:rsidRPr="000944BF">
        <w:rPr>
          <w:rFonts w:cstheme="minorHAnsi"/>
          <w:sz w:val="24"/>
          <w:szCs w:val="24"/>
        </w:rPr>
        <w:t>to ensure that</w:t>
      </w:r>
      <w:r w:rsidR="006F7086" w:rsidRPr="000944BF">
        <w:rPr>
          <w:rFonts w:cstheme="minorHAnsi"/>
          <w:sz w:val="24"/>
          <w:szCs w:val="24"/>
        </w:rPr>
        <w:t xml:space="preserve"> if the marriage was broken by death, or the husband divorcing the woman, then the bride’s family could claim the appropriate amount of money back. This meant that if the marriage was broken then the wife could live off of those funds i</w:t>
      </w:r>
      <w:r w:rsidR="005C61BA" w:rsidRPr="000944BF">
        <w:rPr>
          <w:rFonts w:cstheme="minorHAnsi"/>
          <w:sz w:val="24"/>
          <w:szCs w:val="24"/>
        </w:rPr>
        <w:t xml:space="preserve">f necessary and acted as a sort of insurance to the bride and her family. </w:t>
      </w:r>
      <w:r w:rsidR="0082741D">
        <w:rPr>
          <w:rFonts w:cstheme="minorHAnsi"/>
          <w:sz w:val="24"/>
          <w:szCs w:val="24"/>
        </w:rPr>
        <w:t>As such,</w:t>
      </w:r>
      <w:r w:rsidR="005C61BA" w:rsidRPr="000944BF">
        <w:rPr>
          <w:rFonts w:cstheme="minorHAnsi"/>
          <w:sz w:val="24"/>
          <w:szCs w:val="24"/>
        </w:rPr>
        <w:t xml:space="preserve"> if the dowry consists of materialistic items such as land and jewellery, the husband can technically keep those items and just provide the former wife’s family with a monetary sum equivalent </w:t>
      </w:r>
      <w:r w:rsidR="005C61BA" w:rsidRPr="000944BF">
        <w:rPr>
          <w:rFonts w:cstheme="minorHAnsi"/>
          <w:sz w:val="24"/>
          <w:szCs w:val="24"/>
        </w:rPr>
        <w:t>(</w:t>
      </w:r>
      <w:proofErr w:type="spellStart"/>
      <w:r w:rsidR="005C61BA" w:rsidRPr="000944BF">
        <w:rPr>
          <w:rFonts w:cstheme="minorHAnsi"/>
          <w:sz w:val="24"/>
          <w:szCs w:val="24"/>
        </w:rPr>
        <w:t>Thür</w:t>
      </w:r>
      <w:proofErr w:type="spellEnd"/>
      <w:r w:rsidR="005C61BA" w:rsidRPr="000944BF">
        <w:rPr>
          <w:rFonts w:cstheme="minorHAnsi"/>
          <w:sz w:val="24"/>
          <w:szCs w:val="24"/>
        </w:rPr>
        <w:t>, G. ‘</w:t>
      </w:r>
      <w:proofErr w:type="spellStart"/>
      <w:r w:rsidR="005C61BA" w:rsidRPr="000944BF">
        <w:rPr>
          <w:rFonts w:cstheme="minorHAnsi"/>
          <w:sz w:val="24"/>
          <w:szCs w:val="24"/>
        </w:rPr>
        <w:t>Proix</w:t>
      </w:r>
      <w:proofErr w:type="spellEnd"/>
      <w:r w:rsidR="005C61BA" w:rsidRPr="000944BF">
        <w:rPr>
          <w:rFonts w:cstheme="minorHAnsi"/>
          <w:sz w:val="24"/>
          <w:szCs w:val="24"/>
        </w:rPr>
        <w:t>’ (2006))</w:t>
      </w:r>
      <w:r w:rsidR="005C61BA" w:rsidRPr="000944BF">
        <w:rPr>
          <w:rFonts w:cstheme="minorHAnsi"/>
          <w:sz w:val="24"/>
          <w:szCs w:val="24"/>
        </w:rPr>
        <w:t xml:space="preserve">. </w:t>
      </w:r>
    </w:p>
    <w:p w:rsidR="005C61BA" w:rsidRPr="000944BF" w:rsidRDefault="005C61BA" w:rsidP="00523412">
      <w:pPr>
        <w:rPr>
          <w:rFonts w:cstheme="minorHAnsi"/>
          <w:sz w:val="24"/>
          <w:szCs w:val="24"/>
        </w:rPr>
      </w:pPr>
      <w:r w:rsidRPr="000944BF">
        <w:rPr>
          <w:rFonts w:cstheme="minorHAnsi"/>
          <w:sz w:val="24"/>
          <w:szCs w:val="24"/>
        </w:rPr>
        <w:t>In conclusion, the dowry acts as a gift to the husband by the family of the bride which the husband can do with as he sees fit. However, if the marriage is dissolved then the bride’s family has a right to claim the gifts bestowed to the husband or a financial equivalent of the gifts.</w:t>
      </w:r>
    </w:p>
    <w:p w:rsidR="000944BF" w:rsidRPr="000944BF" w:rsidRDefault="000944BF" w:rsidP="00523412">
      <w:pPr>
        <w:rPr>
          <w:rFonts w:cstheme="minorHAnsi"/>
          <w:sz w:val="24"/>
          <w:szCs w:val="24"/>
        </w:rPr>
      </w:pPr>
    </w:p>
    <w:p w:rsidR="000944BF" w:rsidRPr="000944BF" w:rsidRDefault="003E02F5" w:rsidP="00523412">
      <w:pPr>
        <w:rPr>
          <w:rFonts w:cstheme="minorHAnsi"/>
          <w:sz w:val="24"/>
          <w:szCs w:val="24"/>
        </w:rPr>
      </w:pPr>
      <w:r>
        <w:rPr>
          <w:rFonts w:cstheme="minorHAnsi"/>
          <w:sz w:val="24"/>
          <w:szCs w:val="24"/>
        </w:rPr>
        <w:t>Word Count: 504</w:t>
      </w:r>
      <w:bookmarkStart w:id="0" w:name="_GoBack"/>
      <w:bookmarkEnd w:id="0"/>
    </w:p>
    <w:p w:rsidR="000944BF" w:rsidRPr="000944BF" w:rsidRDefault="000944BF" w:rsidP="00523412">
      <w:pPr>
        <w:rPr>
          <w:rFonts w:cstheme="minorHAnsi"/>
          <w:sz w:val="24"/>
          <w:szCs w:val="24"/>
        </w:rPr>
      </w:pPr>
    </w:p>
    <w:p w:rsidR="000944BF" w:rsidRPr="000944BF" w:rsidRDefault="000944BF" w:rsidP="00523412">
      <w:pPr>
        <w:rPr>
          <w:rFonts w:cstheme="minorHAnsi"/>
          <w:sz w:val="24"/>
          <w:szCs w:val="24"/>
        </w:rPr>
      </w:pPr>
    </w:p>
    <w:p w:rsidR="000944BF" w:rsidRPr="000944BF" w:rsidRDefault="000944BF" w:rsidP="00523412">
      <w:pPr>
        <w:rPr>
          <w:rFonts w:cstheme="minorHAnsi"/>
          <w:sz w:val="24"/>
          <w:szCs w:val="24"/>
        </w:rPr>
      </w:pPr>
    </w:p>
    <w:p w:rsidR="008A4D8D" w:rsidRDefault="000944BF" w:rsidP="000944BF">
      <w:pPr>
        <w:rPr>
          <w:rFonts w:cstheme="minorHAnsi"/>
          <w:sz w:val="24"/>
          <w:szCs w:val="24"/>
          <w:u w:val="single"/>
        </w:rPr>
      </w:pPr>
      <w:r w:rsidRPr="000944BF">
        <w:rPr>
          <w:rFonts w:cstheme="minorHAnsi"/>
          <w:sz w:val="24"/>
          <w:szCs w:val="24"/>
          <w:u w:val="single"/>
        </w:rPr>
        <w:lastRenderedPageBreak/>
        <w:t>Bibliography:</w:t>
      </w:r>
    </w:p>
    <w:p w:rsidR="000944BF" w:rsidRPr="000944BF" w:rsidRDefault="000944BF" w:rsidP="000944BF">
      <w:pPr>
        <w:rPr>
          <w:rFonts w:cstheme="minorHAnsi"/>
          <w:sz w:val="24"/>
          <w:szCs w:val="24"/>
          <w:u w:val="single"/>
        </w:rPr>
      </w:pPr>
      <w:r w:rsidRPr="000944BF">
        <w:rPr>
          <w:rFonts w:cstheme="minorHAnsi"/>
          <w:sz w:val="24"/>
          <w:szCs w:val="24"/>
          <w:u w:val="single"/>
        </w:rPr>
        <w:t xml:space="preserve"> </w:t>
      </w:r>
    </w:p>
    <w:p w:rsidR="000944BF" w:rsidRPr="000944BF" w:rsidRDefault="000944BF" w:rsidP="000944BF">
      <w:pPr>
        <w:rPr>
          <w:sz w:val="24"/>
          <w:szCs w:val="24"/>
        </w:rPr>
      </w:pPr>
      <w:proofErr w:type="spellStart"/>
      <w:r w:rsidRPr="000944BF">
        <w:rPr>
          <w:sz w:val="24"/>
          <w:szCs w:val="24"/>
        </w:rPr>
        <w:t>Thür</w:t>
      </w:r>
      <w:proofErr w:type="spellEnd"/>
      <w:r w:rsidRPr="000944BF">
        <w:rPr>
          <w:sz w:val="24"/>
          <w:szCs w:val="24"/>
        </w:rPr>
        <w:t>, Gerhard (Graz), “</w:t>
      </w:r>
      <w:proofErr w:type="spellStart"/>
      <w:r w:rsidRPr="000944BF">
        <w:rPr>
          <w:sz w:val="24"/>
          <w:szCs w:val="24"/>
        </w:rPr>
        <w:t>Hedna</w:t>
      </w:r>
      <w:proofErr w:type="spellEnd"/>
      <w:r w:rsidRPr="000944BF">
        <w:rPr>
          <w:sz w:val="24"/>
          <w:szCs w:val="24"/>
        </w:rPr>
        <w:t xml:space="preserve">”, in: Brill’s New Pauly, Antiquity volumes edited by: Hubert </w:t>
      </w:r>
      <w:proofErr w:type="spellStart"/>
      <w:r w:rsidRPr="000944BF">
        <w:rPr>
          <w:sz w:val="24"/>
          <w:szCs w:val="24"/>
        </w:rPr>
        <w:t>Cancik</w:t>
      </w:r>
      <w:proofErr w:type="spellEnd"/>
      <w:r w:rsidRPr="000944BF">
        <w:rPr>
          <w:sz w:val="24"/>
          <w:szCs w:val="24"/>
        </w:rPr>
        <w:t xml:space="preserve"> </w:t>
      </w:r>
      <w:proofErr w:type="gramStart"/>
      <w:r w:rsidRPr="000944BF">
        <w:rPr>
          <w:sz w:val="24"/>
          <w:szCs w:val="24"/>
        </w:rPr>
        <w:t>and ,</w:t>
      </w:r>
      <w:proofErr w:type="gramEnd"/>
      <w:r w:rsidRPr="000944BF">
        <w:rPr>
          <w:sz w:val="24"/>
          <w:szCs w:val="24"/>
        </w:rPr>
        <w:t xml:space="preserve"> Helmuth Schneider, English Edition by: Christine F. Salazar, Classical Tradition volumes edited by: Manfred </w:t>
      </w:r>
      <w:proofErr w:type="spellStart"/>
      <w:r w:rsidRPr="000944BF">
        <w:rPr>
          <w:sz w:val="24"/>
          <w:szCs w:val="24"/>
        </w:rPr>
        <w:t>Landfester</w:t>
      </w:r>
      <w:proofErr w:type="spellEnd"/>
      <w:r w:rsidRPr="000944BF">
        <w:rPr>
          <w:sz w:val="24"/>
          <w:szCs w:val="24"/>
        </w:rPr>
        <w:t xml:space="preserve">, English Edition by: Francis G. Gentry. Consulted online on 26 September 2018 </w:t>
      </w:r>
      <w:r w:rsidR="008A4D8D" w:rsidRPr="008A4D8D">
        <w:rPr>
          <w:sz w:val="24"/>
          <w:szCs w:val="24"/>
        </w:rPr>
        <w:t>http://dx.doi.org.ezproxy.uwtsd.ac.uk/10.1163/1574-9347_bnp_e504680</w:t>
      </w:r>
      <w:r w:rsidR="008A4D8D">
        <w:rPr>
          <w:sz w:val="24"/>
          <w:szCs w:val="24"/>
        </w:rPr>
        <w:br/>
      </w:r>
      <w:r w:rsidRPr="000944BF">
        <w:rPr>
          <w:sz w:val="24"/>
          <w:szCs w:val="24"/>
        </w:rPr>
        <w:t>First published online: 2006</w:t>
      </w:r>
      <w:r w:rsidR="008A4D8D">
        <w:rPr>
          <w:sz w:val="24"/>
          <w:szCs w:val="24"/>
        </w:rPr>
        <w:br/>
      </w:r>
      <w:r w:rsidRPr="000944BF">
        <w:rPr>
          <w:sz w:val="24"/>
          <w:szCs w:val="24"/>
        </w:rPr>
        <w:t>First print edition: 9789004122598, 20110510</w:t>
      </w:r>
    </w:p>
    <w:p w:rsidR="000944BF" w:rsidRPr="000944BF" w:rsidRDefault="000944BF" w:rsidP="000944BF">
      <w:pPr>
        <w:rPr>
          <w:sz w:val="24"/>
          <w:szCs w:val="24"/>
        </w:rPr>
      </w:pPr>
    </w:p>
    <w:p w:rsidR="000944BF" w:rsidRPr="000944BF" w:rsidRDefault="000944BF" w:rsidP="000944BF">
      <w:pPr>
        <w:rPr>
          <w:sz w:val="24"/>
          <w:szCs w:val="24"/>
        </w:rPr>
      </w:pPr>
      <w:r w:rsidRPr="000944BF">
        <w:rPr>
          <w:sz w:val="24"/>
          <w:szCs w:val="24"/>
        </w:rPr>
        <w:t>ISAEUS 3, On the Estate of Pyrrhus. Page 107</w:t>
      </w:r>
    </w:p>
    <w:p w:rsidR="000944BF" w:rsidRPr="000944BF" w:rsidRDefault="000944BF" w:rsidP="000944BF">
      <w:pPr>
        <w:rPr>
          <w:sz w:val="24"/>
          <w:szCs w:val="24"/>
        </w:rPr>
      </w:pPr>
    </w:p>
    <w:p w:rsidR="000944BF" w:rsidRPr="000944BF" w:rsidRDefault="000944BF" w:rsidP="000944BF">
      <w:pPr>
        <w:rPr>
          <w:sz w:val="24"/>
          <w:szCs w:val="24"/>
        </w:rPr>
      </w:pPr>
      <w:proofErr w:type="spellStart"/>
      <w:r w:rsidRPr="000944BF">
        <w:rPr>
          <w:sz w:val="24"/>
          <w:szCs w:val="24"/>
        </w:rPr>
        <w:t>Thür</w:t>
      </w:r>
      <w:proofErr w:type="spellEnd"/>
      <w:r w:rsidRPr="000944BF">
        <w:rPr>
          <w:sz w:val="24"/>
          <w:szCs w:val="24"/>
        </w:rPr>
        <w:t>, Gerhard (Graz), “</w:t>
      </w:r>
      <w:proofErr w:type="spellStart"/>
      <w:r w:rsidRPr="000944BF">
        <w:rPr>
          <w:sz w:val="24"/>
          <w:szCs w:val="24"/>
        </w:rPr>
        <w:t>Pherne</w:t>
      </w:r>
      <w:proofErr w:type="spellEnd"/>
      <w:r w:rsidRPr="000944BF">
        <w:rPr>
          <w:sz w:val="24"/>
          <w:szCs w:val="24"/>
        </w:rPr>
        <w:t xml:space="preserve">”, in: Brill’s New Pauly, Antiquity volumes edited by: Hubert </w:t>
      </w:r>
      <w:proofErr w:type="spellStart"/>
      <w:r w:rsidRPr="000944BF">
        <w:rPr>
          <w:sz w:val="24"/>
          <w:szCs w:val="24"/>
        </w:rPr>
        <w:t>Cancik</w:t>
      </w:r>
      <w:proofErr w:type="spellEnd"/>
      <w:r w:rsidRPr="000944BF">
        <w:rPr>
          <w:sz w:val="24"/>
          <w:szCs w:val="24"/>
        </w:rPr>
        <w:t xml:space="preserve"> </w:t>
      </w:r>
      <w:proofErr w:type="gramStart"/>
      <w:r w:rsidRPr="000944BF">
        <w:rPr>
          <w:sz w:val="24"/>
          <w:szCs w:val="24"/>
        </w:rPr>
        <w:t>and ,</w:t>
      </w:r>
      <w:proofErr w:type="gramEnd"/>
      <w:r w:rsidRPr="000944BF">
        <w:rPr>
          <w:sz w:val="24"/>
          <w:szCs w:val="24"/>
        </w:rPr>
        <w:t xml:space="preserve"> Helmuth Schneider, English Edition by: Christine F. Salazar, Classical Tradition volumes edited by: Manfred </w:t>
      </w:r>
      <w:proofErr w:type="spellStart"/>
      <w:r w:rsidRPr="000944BF">
        <w:rPr>
          <w:sz w:val="24"/>
          <w:szCs w:val="24"/>
        </w:rPr>
        <w:t>Landfester</w:t>
      </w:r>
      <w:proofErr w:type="spellEnd"/>
      <w:r w:rsidRPr="000944BF">
        <w:rPr>
          <w:sz w:val="24"/>
          <w:szCs w:val="24"/>
        </w:rPr>
        <w:t xml:space="preserve">, English Edition by: Francis G. Gentry. Consulted online on 26 September 2018 </w:t>
      </w:r>
      <w:r w:rsidR="008A4D8D" w:rsidRPr="008A4D8D">
        <w:rPr>
          <w:sz w:val="24"/>
          <w:szCs w:val="24"/>
        </w:rPr>
        <w:t>http://dx.doi.org.ezproxy.uwtsd.ac.uk/10.1163/1574-9347_bnp_e919340</w:t>
      </w:r>
      <w:r w:rsidR="008A4D8D">
        <w:rPr>
          <w:sz w:val="24"/>
          <w:szCs w:val="24"/>
        </w:rPr>
        <w:br/>
      </w:r>
      <w:r w:rsidRPr="000944BF">
        <w:rPr>
          <w:sz w:val="24"/>
          <w:szCs w:val="24"/>
        </w:rPr>
        <w:t>First published online: 2006</w:t>
      </w:r>
      <w:r w:rsidR="008A4D8D">
        <w:rPr>
          <w:sz w:val="24"/>
          <w:szCs w:val="24"/>
        </w:rPr>
        <w:br/>
      </w:r>
      <w:r w:rsidRPr="000944BF">
        <w:rPr>
          <w:sz w:val="24"/>
          <w:szCs w:val="24"/>
        </w:rPr>
        <w:t>First print edition: 9789004122598, 20110510</w:t>
      </w:r>
    </w:p>
    <w:p w:rsidR="000944BF" w:rsidRPr="000944BF" w:rsidRDefault="000944BF" w:rsidP="000944BF">
      <w:pPr>
        <w:rPr>
          <w:sz w:val="24"/>
          <w:szCs w:val="24"/>
        </w:rPr>
      </w:pPr>
    </w:p>
    <w:p w:rsidR="000944BF" w:rsidRPr="000944BF" w:rsidRDefault="000944BF" w:rsidP="000944BF">
      <w:pPr>
        <w:rPr>
          <w:sz w:val="24"/>
          <w:szCs w:val="24"/>
        </w:rPr>
      </w:pPr>
      <w:proofErr w:type="spellStart"/>
      <w:r w:rsidRPr="000944BF">
        <w:rPr>
          <w:sz w:val="24"/>
          <w:szCs w:val="24"/>
        </w:rPr>
        <w:t>Thür</w:t>
      </w:r>
      <w:proofErr w:type="spellEnd"/>
      <w:r w:rsidRPr="000944BF">
        <w:rPr>
          <w:sz w:val="24"/>
          <w:szCs w:val="24"/>
        </w:rPr>
        <w:t>, Gerhard (Graz), “</w:t>
      </w:r>
      <w:proofErr w:type="spellStart"/>
      <w:r w:rsidRPr="000944BF">
        <w:rPr>
          <w:sz w:val="24"/>
          <w:szCs w:val="24"/>
        </w:rPr>
        <w:t>Proix</w:t>
      </w:r>
      <w:proofErr w:type="spellEnd"/>
      <w:r w:rsidRPr="000944BF">
        <w:rPr>
          <w:sz w:val="24"/>
          <w:szCs w:val="24"/>
        </w:rPr>
        <w:t xml:space="preserve">”, in: Brill’s New Pauly, Antiquity volumes edited by: Hubert </w:t>
      </w:r>
      <w:proofErr w:type="spellStart"/>
      <w:r w:rsidRPr="000944BF">
        <w:rPr>
          <w:sz w:val="24"/>
          <w:szCs w:val="24"/>
        </w:rPr>
        <w:t>Cancik</w:t>
      </w:r>
      <w:proofErr w:type="spellEnd"/>
      <w:r w:rsidRPr="000944BF">
        <w:rPr>
          <w:sz w:val="24"/>
          <w:szCs w:val="24"/>
        </w:rPr>
        <w:t xml:space="preserve"> </w:t>
      </w:r>
      <w:proofErr w:type="gramStart"/>
      <w:r w:rsidRPr="000944BF">
        <w:rPr>
          <w:sz w:val="24"/>
          <w:szCs w:val="24"/>
        </w:rPr>
        <w:t>and ,</w:t>
      </w:r>
      <w:proofErr w:type="gramEnd"/>
      <w:r w:rsidRPr="000944BF">
        <w:rPr>
          <w:sz w:val="24"/>
          <w:szCs w:val="24"/>
        </w:rPr>
        <w:t xml:space="preserve"> Helmuth Schneider, English Edition by: Christine F. Salazar, Classical Tradition volumes edited by: Manfred </w:t>
      </w:r>
      <w:proofErr w:type="spellStart"/>
      <w:r w:rsidRPr="000944BF">
        <w:rPr>
          <w:sz w:val="24"/>
          <w:szCs w:val="24"/>
        </w:rPr>
        <w:t>Landfester</w:t>
      </w:r>
      <w:proofErr w:type="spellEnd"/>
      <w:r w:rsidRPr="000944BF">
        <w:rPr>
          <w:sz w:val="24"/>
          <w:szCs w:val="24"/>
        </w:rPr>
        <w:t xml:space="preserve">, English Edition by: Francis G. Gentry. Consulted online on 26 September 2018 </w:t>
      </w:r>
      <w:r w:rsidR="008A4D8D" w:rsidRPr="008A4D8D">
        <w:rPr>
          <w:sz w:val="24"/>
          <w:szCs w:val="24"/>
        </w:rPr>
        <w:t>http://dx.doi.org.ezproxy.uwtsd.ac.uk/10.1163/1574-9347_bnp_e1009670</w:t>
      </w:r>
      <w:r w:rsidR="008A4D8D">
        <w:rPr>
          <w:sz w:val="24"/>
          <w:szCs w:val="24"/>
        </w:rPr>
        <w:br/>
      </w:r>
      <w:r w:rsidRPr="000944BF">
        <w:rPr>
          <w:sz w:val="24"/>
          <w:szCs w:val="24"/>
        </w:rPr>
        <w:t>First published online: 2006</w:t>
      </w:r>
      <w:r w:rsidR="008A4D8D">
        <w:rPr>
          <w:sz w:val="24"/>
          <w:szCs w:val="24"/>
        </w:rPr>
        <w:br/>
      </w:r>
      <w:r w:rsidRPr="000944BF">
        <w:rPr>
          <w:sz w:val="24"/>
          <w:szCs w:val="24"/>
        </w:rPr>
        <w:t>First print edition: 9789004122598, 20110510</w:t>
      </w:r>
      <w:r w:rsidRPr="000944BF">
        <w:rPr>
          <w:sz w:val="24"/>
          <w:szCs w:val="24"/>
        </w:rPr>
        <w:br/>
      </w:r>
    </w:p>
    <w:p w:rsidR="000944BF" w:rsidRPr="000944BF" w:rsidRDefault="000944BF" w:rsidP="000944BF">
      <w:pPr>
        <w:rPr>
          <w:sz w:val="24"/>
          <w:szCs w:val="24"/>
        </w:rPr>
      </w:pPr>
      <w:proofErr w:type="spellStart"/>
      <w:r w:rsidRPr="000944BF">
        <w:rPr>
          <w:sz w:val="24"/>
          <w:szCs w:val="24"/>
        </w:rPr>
        <w:t>Treggiari</w:t>
      </w:r>
      <w:proofErr w:type="spellEnd"/>
      <w:r w:rsidRPr="000944BF">
        <w:rPr>
          <w:sz w:val="24"/>
          <w:szCs w:val="24"/>
        </w:rPr>
        <w:t xml:space="preserve">, Susan (Stanford), “Dos”, in: Brill’s New Pauly, Antiquity volumes edited by: Hubert </w:t>
      </w:r>
      <w:proofErr w:type="spellStart"/>
      <w:r w:rsidRPr="000944BF">
        <w:rPr>
          <w:sz w:val="24"/>
          <w:szCs w:val="24"/>
        </w:rPr>
        <w:t>Cancik</w:t>
      </w:r>
      <w:proofErr w:type="spellEnd"/>
      <w:r w:rsidRPr="000944BF">
        <w:rPr>
          <w:sz w:val="24"/>
          <w:szCs w:val="24"/>
        </w:rPr>
        <w:t xml:space="preserve"> </w:t>
      </w:r>
      <w:proofErr w:type="gramStart"/>
      <w:r w:rsidRPr="000944BF">
        <w:rPr>
          <w:sz w:val="24"/>
          <w:szCs w:val="24"/>
        </w:rPr>
        <w:t>and ,</w:t>
      </w:r>
      <w:proofErr w:type="gramEnd"/>
      <w:r w:rsidRPr="000944BF">
        <w:rPr>
          <w:sz w:val="24"/>
          <w:szCs w:val="24"/>
        </w:rPr>
        <w:t xml:space="preserve"> Helmuth Schneider, English Edition by: Christine F. Salazar, Classical Tradition volumes edited by: Manfred </w:t>
      </w:r>
      <w:proofErr w:type="spellStart"/>
      <w:r w:rsidRPr="000944BF">
        <w:rPr>
          <w:sz w:val="24"/>
          <w:szCs w:val="24"/>
        </w:rPr>
        <w:t>Landfester</w:t>
      </w:r>
      <w:proofErr w:type="spellEnd"/>
      <w:r w:rsidRPr="000944BF">
        <w:rPr>
          <w:sz w:val="24"/>
          <w:szCs w:val="24"/>
        </w:rPr>
        <w:t xml:space="preserve">, English Edition by: Francis G. Gentry. Consulted online on 26 September 2018 </w:t>
      </w:r>
      <w:r w:rsidR="008A4D8D" w:rsidRPr="008A4D8D">
        <w:rPr>
          <w:sz w:val="24"/>
          <w:szCs w:val="24"/>
        </w:rPr>
        <w:t>http://dx.doi.org.ezproxy.uwtsd.ac.uk/10.1163/1574-9347_bnp_e323770</w:t>
      </w:r>
      <w:r w:rsidR="008A4D8D">
        <w:rPr>
          <w:sz w:val="24"/>
          <w:szCs w:val="24"/>
        </w:rPr>
        <w:br/>
      </w:r>
      <w:r w:rsidRPr="000944BF">
        <w:rPr>
          <w:sz w:val="24"/>
          <w:szCs w:val="24"/>
        </w:rPr>
        <w:t>First published online: 2006</w:t>
      </w:r>
      <w:r w:rsidR="008A4D8D">
        <w:rPr>
          <w:sz w:val="24"/>
          <w:szCs w:val="24"/>
        </w:rPr>
        <w:br/>
      </w:r>
      <w:r w:rsidRPr="000944BF">
        <w:rPr>
          <w:sz w:val="24"/>
          <w:szCs w:val="24"/>
        </w:rPr>
        <w:t>First print edition: 9789004122598, 20110510</w:t>
      </w:r>
    </w:p>
    <w:p w:rsidR="000944BF" w:rsidRPr="000944BF" w:rsidRDefault="000944BF" w:rsidP="00523412">
      <w:pPr>
        <w:rPr>
          <w:rFonts w:cstheme="minorHAnsi"/>
          <w:sz w:val="24"/>
          <w:szCs w:val="24"/>
          <w:u w:val="single"/>
        </w:rPr>
      </w:pPr>
    </w:p>
    <w:sectPr w:rsidR="000944BF" w:rsidRPr="000944B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1DB3" w:rsidRDefault="00D71DB3" w:rsidP="00E01602">
      <w:pPr>
        <w:spacing w:after="0" w:line="240" w:lineRule="auto"/>
      </w:pPr>
      <w:r>
        <w:separator/>
      </w:r>
    </w:p>
  </w:endnote>
  <w:endnote w:type="continuationSeparator" w:id="0">
    <w:p w:rsidR="00D71DB3" w:rsidRDefault="00D71DB3" w:rsidP="00E01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1DB3" w:rsidRDefault="00D71DB3" w:rsidP="00E01602">
      <w:pPr>
        <w:spacing w:after="0" w:line="240" w:lineRule="auto"/>
      </w:pPr>
      <w:r>
        <w:separator/>
      </w:r>
    </w:p>
  </w:footnote>
  <w:footnote w:type="continuationSeparator" w:id="0">
    <w:p w:rsidR="00D71DB3" w:rsidRDefault="00D71DB3" w:rsidP="00E016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61BA" w:rsidRDefault="005C61BA">
    <w:pPr>
      <w:pStyle w:val="Header"/>
    </w:pPr>
    <w:r>
      <w:t xml:space="preserve">Hazel Dawn Carter – Assignment 3 – Due </w:t>
    </w:r>
    <w:r w:rsidR="000944BF">
      <w:t>26/09/2018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412"/>
    <w:rsid w:val="000705DD"/>
    <w:rsid w:val="000944BF"/>
    <w:rsid w:val="003E02F5"/>
    <w:rsid w:val="00523412"/>
    <w:rsid w:val="005942A5"/>
    <w:rsid w:val="005C61BA"/>
    <w:rsid w:val="006223EC"/>
    <w:rsid w:val="006E1FC7"/>
    <w:rsid w:val="006F5F33"/>
    <w:rsid w:val="006F7086"/>
    <w:rsid w:val="0082741D"/>
    <w:rsid w:val="008A4D8D"/>
    <w:rsid w:val="008B36D5"/>
    <w:rsid w:val="009D6450"/>
    <w:rsid w:val="00CA0414"/>
    <w:rsid w:val="00CC2D02"/>
    <w:rsid w:val="00D71DB3"/>
    <w:rsid w:val="00E01602"/>
    <w:rsid w:val="00E269FD"/>
    <w:rsid w:val="00E45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B4D68"/>
  <w15:chartTrackingRefBased/>
  <w15:docId w15:val="{2BC58226-F693-48CB-8783-41458EDAE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944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16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602"/>
  </w:style>
  <w:style w:type="paragraph" w:styleId="Footer">
    <w:name w:val="footer"/>
    <w:basedOn w:val="Normal"/>
    <w:link w:val="FooterChar"/>
    <w:uiPriority w:val="99"/>
    <w:unhideWhenUsed/>
    <w:rsid w:val="00E016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602"/>
  </w:style>
  <w:style w:type="character" w:customStyle="1" w:styleId="Heading1Char">
    <w:name w:val="Heading 1 Char"/>
    <w:basedOn w:val="DefaultParagraphFont"/>
    <w:link w:val="Heading1"/>
    <w:uiPriority w:val="9"/>
    <w:rsid w:val="000944BF"/>
    <w:rPr>
      <w:rFonts w:ascii="Times New Roman" w:eastAsia="Times New Roman" w:hAnsi="Times New Roman" w:cs="Times New Roman"/>
      <w:b/>
      <w:bCs/>
      <w:kern w:val="36"/>
      <w:sz w:val="48"/>
      <w:szCs w:val="48"/>
      <w:lang w:eastAsia="en-GB"/>
    </w:rPr>
  </w:style>
  <w:style w:type="character" w:customStyle="1" w:styleId="author">
    <w:name w:val="author"/>
    <w:basedOn w:val="DefaultParagraphFont"/>
    <w:rsid w:val="000944BF"/>
  </w:style>
  <w:style w:type="character" w:customStyle="1" w:styleId="worktitle">
    <w:name w:val="worktitle"/>
    <w:basedOn w:val="DefaultParagraphFont"/>
    <w:rsid w:val="000944BF"/>
  </w:style>
  <w:style w:type="character" w:styleId="Hyperlink">
    <w:name w:val="Hyperlink"/>
    <w:basedOn w:val="DefaultParagraphFont"/>
    <w:uiPriority w:val="99"/>
    <w:unhideWhenUsed/>
    <w:rsid w:val="000944BF"/>
    <w:rPr>
      <w:color w:val="0563C1" w:themeColor="hyperlink"/>
      <w:u w:val="single"/>
    </w:rPr>
  </w:style>
  <w:style w:type="character" w:styleId="UnresolvedMention">
    <w:name w:val="Unresolved Mention"/>
    <w:basedOn w:val="DefaultParagraphFont"/>
    <w:uiPriority w:val="99"/>
    <w:semiHidden/>
    <w:unhideWhenUsed/>
    <w:rsid w:val="008A4D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55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2</Pages>
  <Words>697</Words>
  <Characters>3977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5</cp:revision>
  <dcterms:created xsi:type="dcterms:W3CDTF">2018-09-26T15:25:00Z</dcterms:created>
  <dcterms:modified xsi:type="dcterms:W3CDTF">2018-09-26T19:53:00Z</dcterms:modified>
</cp:coreProperties>
</file>