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105E47" w14:textId="6785B281" w:rsidR="009B6441" w:rsidRPr="007649BC" w:rsidRDefault="009B6441" w:rsidP="009B6441">
      <w:pPr>
        <w:spacing w:after="0" w:line="360" w:lineRule="auto"/>
        <w:jc w:val="center"/>
        <w:rPr>
          <w:rFonts w:ascii="Arial" w:hAnsi="Arial" w:cs="Arial"/>
          <w:b/>
          <w:sz w:val="32"/>
          <w:szCs w:val="32"/>
        </w:rPr>
      </w:pPr>
      <w:r w:rsidRPr="007649BC">
        <w:rPr>
          <w:rFonts w:ascii="Arial" w:hAnsi="Arial" w:cs="Arial"/>
          <w:b/>
          <w:sz w:val="32"/>
          <w:szCs w:val="32"/>
        </w:rPr>
        <w:t>LCLM</w:t>
      </w:r>
      <w:r>
        <w:rPr>
          <w:rFonts w:ascii="Arial" w:hAnsi="Arial" w:cs="Arial"/>
          <w:b/>
          <w:sz w:val="32"/>
          <w:szCs w:val="32"/>
        </w:rPr>
        <w:t>6001</w:t>
      </w:r>
      <w:r w:rsidRPr="007649BC">
        <w:rPr>
          <w:rFonts w:ascii="Arial" w:hAnsi="Arial" w:cs="Arial"/>
          <w:b/>
          <w:sz w:val="32"/>
          <w:szCs w:val="32"/>
        </w:rPr>
        <w:t xml:space="preserve"> – </w:t>
      </w:r>
      <w:r w:rsidRPr="009B6441">
        <w:rPr>
          <w:rFonts w:ascii="Arial" w:hAnsi="Arial" w:cs="Arial"/>
          <w:b/>
          <w:sz w:val="32"/>
          <w:szCs w:val="32"/>
        </w:rPr>
        <w:t>Strategic Management for Business</w:t>
      </w:r>
    </w:p>
    <w:p w14:paraId="0EFD6DE9" w14:textId="03B6E79D" w:rsidR="009B6441" w:rsidRPr="007649BC" w:rsidRDefault="009B6441" w:rsidP="009B6441">
      <w:pPr>
        <w:spacing w:after="0" w:line="360" w:lineRule="auto"/>
        <w:jc w:val="center"/>
        <w:rPr>
          <w:rFonts w:ascii="Arial" w:hAnsi="Arial" w:cs="Arial"/>
          <w:sz w:val="32"/>
          <w:szCs w:val="32"/>
        </w:rPr>
      </w:pPr>
      <w:r w:rsidRPr="007649BC">
        <w:rPr>
          <w:rFonts w:ascii="Arial" w:hAnsi="Arial" w:cs="Arial"/>
          <w:b/>
          <w:sz w:val="32"/>
          <w:szCs w:val="32"/>
        </w:rPr>
        <w:t>Title:</w:t>
      </w:r>
      <w:r w:rsidRPr="007649BC">
        <w:rPr>
          <w:rFonts w:ascii="Arial" w:hAnsi="Arial" w:cs="Arial"/>
          <w:sz w:val="32"/>
          <w:szCs w:val="32"/>
        </w:rPr>
        <w:t xml:space="preserve"> </w:t>
      </w:r>
      <w:r>
        <w:rPr>
          <w:rFonts w:ascii="Arial" w:hAnsi="Arial" w:cs="Arial"/>
          <w:sz w:val="32"/>
          <w:szCs w:val="32"/>
        </w:rPr>
        <w:t>C1</w:t>
      </w:r>
      <w:r w:rsidRPr="007649BC">
        <w:rPr>
          <w:rFonts w:ascii="Arial" w:hAnsi="Arial" w:cs="Arial"/>
          <w:sz w:val="32"/>
          <w:szCs w:val="32"/>
        </w:rPr>
        <w:t xml:space="preserve"> – </w:t>
      </w:r>
      <w:r>
        <w:rPr>
          <w:rFonts w:ascii="Arial" w:hAnsi="Arial" w:cs="Arial"/>
          <w:sz w:val="32"/>
          <w:szCs w:val="32"/>
        </w:rPr>
        <w:t>Individual Report: An analysis of Innocent Drinks Ltd</w:t>
      </w:r>
    </w:p>
    <w:p w14:paraId="2B6E4C41" w14:textId="77777777" w:rsidR="009B6441" w:rsidRDefault="009B6441" w:rsidP="009B6441">
      <w:pPr>
        <w:spacing w:after="0"/>
        <w:jc w:val="center"/>
      </w:pPr>
    </w:p>
    <w:p w14:paraId="41701B1F" w14:textId="77777777" w:rsidR="009B6441" w:rsidRDefault="009B6441" w:rsidP="009B6441">
      <w:pPr>
        <w:spacing w:after="0"/>
        <w:jc w:val="center"/>
      </w:pPr>
    </w:p>
    <w:p w14:paraId="04CD3CCC" w14:textId="77777777" w:rsidR="009B6441" w:rsidRDefault="009B6441" w:rsidP="009B6441">
      <w:pPr>
        <w:spacing w:after="0"/>
        <w:jc w:val="center"/>
      </w:pPr>
    </w:p>
    <w:p w14:paraId="50A20AFE" w14:textId="77777777" w:rsidR="009B6441" w:rsidRDefault="009B6441" w:rsidP="009B6441">
      <w:pPr>
        <w:spacing w:after="0"/>
        <w:jc w:val="center"/>
      </w:pPr>
    </w:p>
    <w:p w14:paraId="738C848B" w14:textId="77777777" w:rsidR="009B6441" w:rsidRDefault="009B6441" w:rsidP="009B6441">
      <w:pPr>
        <w:spacing w:after="0"/>
        <w:jc w:val="center"/>
      </w:pPr>
    </w:p>
    <w:p w14:paraId="70C5B344" w14:textId="77777777" w:rsidR="009B6441" w:rsidRDefault="009B6441" w:rsidP="009B6441">
      <w:pPr>
        <w:spacing w:after="0"/>
        <w:jc w:val="center"/>
      </w:pPr>
    </w:p>
    <w:p w14:paraId="6B7B31C2" w14:textId="77777777" w:rsidR="009B6441" w:rsidRDefault="009B6441" w:rsidP="009B6441">
      <w:pPr>
        <w:spacing w:after="0"/>
        <w:jc w:val="center"/>
      </w:pPr>
    </w:p>
    <w:p w14:paraId="7030DBA1" w14:textId="77777777" w:rsidR="009B6441" w:rsidRDefault="009B6441" w:rsidP="009B6441">
      <w:pPr>
        <w:spacing w:after="0"/>
        <w:jc w:val="center"/>
      </w:pPr>
    </w:p>
    <w:p w14:paraId="1D66AEF2" w14:textId="77777777" w:rsidR="009B6441" w:rsidRDefault="009B6441" w:rsidP="009B6441">
      <w:pPr>
        <w:spacing w:after="0"/>
        <w:jc w:val="center"/>
      </w:pPr>
    </w:p>
    <w:p w14:paraId="07522C58" w14:textId="77777777" w:rsidR="009B6441" w:rsidRDefault="009B6441" w:rsidP="009B6441">
      <w:pPr>
        <w:spacing w:after="0"/>
      </w:pPr>
    </w:p>
    <w:p w14:paraId="767BE8CF" w14:textId="77777777" w:rsidR="009B6441" w:rsidRDefault="009B6441" w:rsidP="009B6441">
      <w:pPr>
        <w:spacing w:after="0"/>
        <w:jc w:val="center"/>
      </w:pPr>
    </w:p>
    <w:p w14:paraId="0A9F39EC" w14:textId="77777777" w:rsidR="009B6441" w:rsidRDefault="009B6441" w:rsidP="009B6441">
      <w:pPr>
        <w:spacing w:after="0"/>
        <w:jc w:val="center"/>
      </w:pPr>
    </w:p>
    <w:p w14:paraId="197DDBCB" w14:textId="77777777" w:rsidR="009B6441" w:rsidRDefault="009B6441" w:rsidP="009B6441">
      <w:pPr>
        <w:spacing w:after="0"/>
        <w:jc w:val="center"/>
      </w:pPr>
    </w:p>
    <w:p w14:paraId="0C65B20C" w14:textId="77777777" w:rsidR="009B6441" w:rsidRDefault="009B6441" w:rsidP="009B6441">
      <w:pPr>
        <w:spacing w:after="0"/>
        <w:jc w:val="center"/>
      </w:pPr>
    </w:p>
    <w:p w14:paraId="346C2BC9" w14:textId="77777777" w:rsidR="009B6441" w:rsidRDefault="009B6441" w:rsidP="009B6441">
      <w:pPr>
        <w:spacing w:after="0"/>
        <w:jc w:val="center"/>
      </w:pPr>
    </w:p>
    <w:p w14:paraId="34D8850D" w14:textId="77777777" w:rsidR="009B6441" w:rsidRDefault="009B6441" w:rsidP="009B6441">
      <w:pPr>
        <w:spacing w:after="0"/>
        <w:jc w:val="center"/>
      </w:pPr>
    </w:p>
    <w:p w14:paraId="7175250D" w14:textId="77777777" w:rsidR="009B6441" w:rsidRDefault="009B6441" w:rsidP="009B6441">
      <w:pPr>
        <w:spacing w:after="0"/>
        <w:jc w:val="center"/>
      </w:pPr>
    </w:p>
    <w:p w14:paraId="361B620D" w14:textId="77777777" w:rsidR="009B6441" w:rsidRPr="007649BC" w:rsidRDefault="009B6441" w:rsidP="009B6441">
      <w:pPr>
        <w:spacing w:after="0"/>
        <w:jc w:val="center"/>
        <w:rPr>
          <w:rFonts w:ascii="Arial" w:hAnsi="Arial" w:cs="Arial"/>
          <w:sz w:val="28"/>
          <w:szCs w:val="28"/>
        </w:rPr>
      </w:pPr>
      <w:r w:rsidRPr="00481F4B">
        <w:br/>
      </w:r>
      <w:r w:rsidRPr="007649BC">
        <w:rPr>
          <w:rFonts w:ascii="Arial" w:hAnsi="Arial" w:cs="Arial"/>
          <w:b/>
          <w:sz w:val="28"/>
          <w:szCs w:val="28"/>
        </w:rPr>
        <w:t>Student:</w:t>
      </w:r>
      <w:r w:rsidRPr="007649BC">
        <w:rPr>
          <w:rFonts w:ascii="Arial" w:hAnsi="Arial" w:cs="Arial"/>
          <w:sz w:val="28"/>
          <w:szCs w:val="28"/>
        </w:rPr>
        <w:t xml:space="preserve"> Andrei Valentin Gavrila</w:t>
      </w:r>
      <w:r w:rsidRPr="007649BC">
        <w:rPr>
          <w:rFonts w:ascii="Arial" w:hAnsi="Arial" w:cs="Arial"/>
          <w:sz w:val="28"/>
          <w:szCs w:val="28"/>
        </w:rPr>
        <w:br/>
      </w:r>
      <w:r w:rsidRPr="007649BC">
        <w:rPr>
          <w:rFonts w:ascii="Arial" w:hAnsi="Arial" w:cs="Arial"/>
          <w:b/>
          <w:sz w:val="28"/>
          <w:szCs w:val="28"/>
        </w:rPr>
        <w:t>Student ID:</w:t>
      </w:r>
      <w:r w:rsidRPr="007649BC">
        <w:rPr>
          <w:rFonts w:ascii="Arial" w:hAnsi="Arial" w:cs="Arial"/>
          <w:sz w:val="28"/>
          <w:szCs w:val="28"/>
        </w:rPr>
        <w:t xml:space="preserve"> 2311201</w:t>
      </w:r>
    </w:p>
    <w:p w14:paraId="538D7027" w14:textId="28814EB6" w:rsidR="009B6441" w:rsidRPr="00505BC4" w:rsidRDefault="009B6441" w:rsidP="009B6441">
      <w:pPr>
        <w:spacing w:after="0"/>
        <w:jc w:val="center"/>
        <w:rPr>
          <w:rFonts w:ascii="Arial" w:hAnsi="Arial" w:cs="Arial"/>
          <w:bCs/>
          <w:sz w:val="28"/>
          <w:szCs w:val="28"/>
        </w:rPr>
      </w:pPr>
      <w:r w:rsidRPr="007649BC">
        <w:rPr>
          <w:rFonts w:ascii="Arial" w:hAnsi="Arial" w:cs="Arial"/>
          <w:b/>
          <w:sz w:val="28"/>
          <w:szCs w:val="28"/>
        </w:rPr>
        <w:t>Word count:</w:t>
      </w:r>
      <w:r>
        <w:rPr>
          <w:rFonts w:ascii="Arial" w:hAnsi="Arial" w:cs="Arial"/>
          <w:b/>
          <w:sz w:val="28"/>
          <w:szCs w:val="28"/>
        </w:rPr>
        <w:t xml:space="preserve"> </w:t>
      </w:r>
      <w:r w:rsidR="00505BC4" w:rsidRPr="00505BC4">
        <w:rPr>
          <w:rFonts w:ascii="Arial" w:hAnsi="Arial" w:cs="Arial"/>
          <w:bCs/>
          <w:sz w:val="28"/>
          <w:szCs w:val="28"/>
        </w:rPr>
        <w:t>3094</w:t>
      </w:r>
    </w:p>
    <w:p w14:paraId="6F8B3FD2" w14:textId="77777777" w:rsidR="009B6441" w:rsidRDefault="009B6441" w:rsidP="009B6441">
      <w:pPr>
        <w:spacing w:after="0"/>
        <w:jc w:val="center"/>
        <w:rPr>
          <w:rFonts w:ascii="Arial" w:hAnsi="Arial" w:cs="Arial"/>
          <w:sz w:val="28"/>
          <w:szCs w:val="28"/>
        </w:rPr>
      </w:pPr>
    </w:p>
    <w:p w14:paraId="73232E3B" w14:textId="77777777" w:rsidR="009B6441" w:rsidRDefault="009B6441" w:rsidP="009B6441">
      <w:pPr>
        <w:spacing w:after="0"/>
        <w:jc w:val="center"/>
        <w:rPr>
          <w:rFonts w:ascii="Arial" w:hAnsi="Arial" w:cs="Arial"/>
          <w:sz w:val="28"/>
          <w:szCs w:val="28"/>
        </w:rPr>
      </w:pPr>
    </w:p>
    <w:p w14:paraId="5E93FA6A" w14:textId="77777777" w:rsidR="009B6441" w:rsidRDefault="009B6441" w:rsidP="009B6441">
      <w:pPr>
        <w:spacing w:after="0"/>
        <w:jc w:val="center"/>
        <w:rPr>
          <w:rFonts w:ascii="Arial" w:hAnsi="Arial" w:cs="Arial"/>
          <w:sz w:val="28"/>
          <w:szCs w:val="28"/>
        </w:rPr>
      </w:pPr>
    </w:p>
    <w:p w14:paraId="440DB1A5" w14:textId="77777777" w:rsidR="009B6441" w:rsidRDefault="009B6441" w:rsidP="009B6441">
      <w:pPr>
        <w:spacing w:after="0"/>
        <w:jc w:val="center"/>
        <w:rPr>
          <w:rFonts w:ascii="Arial" w:hAnsi="Arial" w:cs="Arial"/>
          <w:sz w:val="28"/>
          <w:szCs w:val="28"/>
        </w:rPr>
      </w:pPr>
    </w:p>
    <w:p w14:paraId="25E4E0C3" w14:textId="77777777" w:rsidR="009B6441" w:rsidRDefault="009B6441" w:rsidP="009B6441">
      <w:pPr>
        <w:spacing w:after="0"/>
        <w:jc w:val="center"/>
        <w:rPr>
          <w:rFonts w:ascii="Arial" w:hAnsi="Arial" w:cs="Arial"/>
          <w:sz w:val="28"/>
          <w:szCs w:val="28"/>
        </w:rPr>
      </w:pPr>
    </w:p>
    <w:p w14:paraId="0CA90E84" w14:textId="77777777" w:rsidR="009B6441" w:rsidRDefault="009B6441" w:rsidP="009B6441">
      <w:pPr>
        <w:spacing w:after="0"/>
        <w:jc w:val="center"/>
        <w:rPr>
          <w:rFonts w:ascii="Arial" w:hAnsi="Arial" w:cs="Arial"/>
          <w:sz w:val="28"/>
          <w:szCs w:val="28"/>
        </w:rPr>
      </w:pPr>
    </w:p>
    <w:p w14:paraId="7952453C" w14:textId="77777777" w:rsidR="009B6441" w:rsidRDefault="009B6441" w:rsidP="009B6441">
      <w:pPr>
        <w:spacing w:after="0"/>
        <w:jc w:val="center"/>
        <w:rPr>
          <w:rFonts w:ascii="Arial" w:hAnsi="Arial" w:cs="Arial"/>
          <w:sz w:val="28"/>
          <w:szCs w:val="28"/>
        </w:rPr>
      </w:pPr>
    </w:p>
    <w:p w14:paraId="2E1C5233" w14:textId="77777777" w:rsidR="009B6441" w:rsidRDefault="009B6441" w:rsidP="009B6441">
      <w:pPr>
        <w:spacing w:after="0"/>
        <w:jc w:val="center"/>
        <w:rPr>
          <w:rFonts w:ascii="Arial" w:hAnsi="Arial" w:cs="Arial"/>
          <w:sz w:val="28"/>
          <w:szCs w:val="28"/>
        </w:rPr>
      </w:pPr>
    </w:p>
    <w:p w14:paraId="433E5B67" w14:textId="77777777" w:rsidR="009B6441" w:rsidRDefault="009B6441" w:rsidP="009B6441">
      <w:pPr>
        <w:spacing w:after="0"/>
        <w:jc w:val="center"/>
        <w:rPr>
          <w:rFonts w:ascii="Arial" w:hAnsi="Arial" w:cs="Arial"/>
          <w:sz w:val="28"/>
          <w:szCs w:val="28"/>
        </w:rPr>
      </w:pPr>
    </w:p>
    <w:p w14:paraId="626E811A" w14:textId="77777777" w:rsidR="009B6441" w:rsidRDefault="009B6441" w:rsidP="009B6441">
      <w:pPr>
        <w:spacing w:after="0"/>
        <w:jc w:val="center"/>
        <w:rPr>
          <w:rFonts w:ascii="Arial" w:hAnsi="Arial" w:cs="Arial"/>
          <w:sz w:val="28"/>
          <w:szCs w:val="28"/>
        </w:rPr>
      </w:pPr>
    </w:p>
    <w:p w14:paraId="0CCBE890" w14:textId="77777777" w:rsidR="009B6441" w:rsidRDefault="009B6441" w:rsidP="009B6441">
      <w:pPr>
        <w:spacing w:after="0"/>
        <w:jc w:val="center"/>
        <w:rPr>
          <w:rFonts w:ascii="Arial" w:hAnsi="Arial" w:cs="Arial"/>
          <w:sz w:val="28"/>
          <w:szCs w:val="28"/>
        </w:rPr>
      </w:pPr>
    </w:p>
    <w:p w14:paraId="39FA7C08" w14:textId="77777777" w:rsidR="009B6441" w:rsidRDefault="009B6441" w:rsidP="009B6441">
      <w:pPr>
        <w:spacing w:after="0"/>
        <w:jc w:val="center"/>
        <w:rPr>
          <w:rFonts w:ascii="Arial" w:hAnsi="Arial" w:cs="Arial"/>
          <w:sz w:val="28"/>
          <w:szCs w:val="28"/>
        </w:rPr>
      </w:pPr>
    </w:p>
    <w:p w14:paraId="7BCD4E5C" w14:textId="77777777" w:rsidR="009B6441" w:rsidRDefault="009B6441" w:rsidP="009B6441">
      <w:pPr>
        <w:spacing w:after="0"/>
        <w:jc w:val="center"/>
        <w:rPr>
          <w:rFonts w:ascii="Arial" w:hAnsi="Arial" w:cs="Arial"/>
          <w:sz w:val="28"/>
          <w:szCs w:val="28"/>
        </w:rPr>
      </w:pPr>
    </w:p>
    <w:p w14:paraId="63001704" w14:textId="77777777" w:rsidR="009B6441" w:rsidRDefault="009B6441" w:rsidP="009B6441">
      <w:pPr>
        <w:spacing w:after="0"/>
        <w:jc w:val="center"/>
        <w:rPr>
          <w:rFonts w:ascii="Arial" w:hAnsi="Arial" w:cs="Arial"/>
          <w:sz w:val="28"/>
          <w:szCs w:val="28"/>
        </w:rPr>
      </w:pPr>
    </w:p>
    <w:p w14:paraId="46DCF2D0" w14:textId="28A7BEB3" w:rsidR="002B63C3" w:rsidRDefault="002B63C3" w:rsidP="002B63C3">
      <w:pPr>
        <w:spacing w:after="0" w:line="360" w:lineRule="auto"/>
        <w:jc w:val="center"/>
        <w:rPr>
          <w:rFonts w:ascii="Arial" w:hAnsi="Arial" w:cs="Arial"/>
          <w:b/>
          <w:bCs/>
          <w:sz w:val="24"/>
          <w:szCs w:val="24"/>
          <w:lang w:val="en-US"/>
        </w:rPr>
      </w:pPr>
      <w:r w:rsidRPr="002B63C3">
        <w:rPr>
          <w:rFonts w:ascii="Arial" w:hAnsi="Arial" w:cs="Arial"/>
          <w:b/>
          <w:bCs/>
          <w:sz w:val="24"/>
          <w:szCs w:val="24"/>
          <w:lang w:val="en-US"/>
        </w:rPr>
        <w:lastRenderedPageBreak/>
        <w:t xml:space="preserve">Executive Summary </w:t>
      </w:r>
    </w:p>
    <w:p w14:paraId="5BBBBE23" w14:textId="77777777" w:rsidR="002B63C3" w:rsidRPr="002B63C3" w:rsidRDefault="002B63C3" w:rsidP="002B63C3">
      <w:pPr>
        <w:spacing w:after="0" w:line="360" w:lineRule="auto"/>
        <w:jc w:val="center"/>
        <w:rPr>
          <w:rFonts w:ascii="Arial" w:hAnsi="Arial" w:cs="Arial"/>
          <w:b/>
          <w:bCs/>
          <w:sz w:val="24"/>
          <w:szCs w:val="24"/>
          <w:lang w:val="en-US"/>
        </w:rPr>
      </w:pPr>
    </w:p>
    <w:p w14:paraId="35E7626C" w14:textId="77777777" w:rsidR="005D1FC7" w:rsidRDefault="005D1FC7" w:rsidP="005D1FC7">
      <w:pPr>
        <w:spacing w:after="0" w:line="360" w:lineRule="auto"/>
        <w:ind w:firstLine="720"/>
        <w:jc w:val="both"/>
        <w:rPr>
          <w:rFonts w:ascii="Arial" w:hAnsi="Arial" w:cs="Arial"/>
          <w:sz w:val="24"/>
          <w:szCs w:val="24"/>
        </w:rPr>
      </w:pPr>
      <w:r w:rsidRPr="005D1FC7">
        <w:rPr>
          <w:rFonts w:ascii="Arial" w:hAnsi="Arial" w:cs="Arial"/>
          <w:sz w:val="24"/>
          <w:szCs w:val="24"/>
        </w:rPr>
        <w:t xml:space="preserve">This report provides a detailed strategic analysis of the UK-based SME Innocent Drinks Ltd, founded in 1999 and now one of the country’s leading smoothie, juice and plant drink brands. Added to the portfolio of Coca-Cola Hellenic Bottling Company (HBC) in 2010, it has since then consolidated its positioning as an ethical brand leader within fast-moving consumer goods: natural ingredients; environmentally friendly; innovation through new product development (NPD). </w:t>
      </w:r>
    </w:p>
    <w:p w14:paraId="7945ECF8" w14:textId="77777777" w:rsidR="005D1FC7" w:rsidRDefault="005D1FC7" w:rsidP="005D1FC7">
      <w:pPr>
        <w:spacing w:after="0" w:line="360" w:lineRule="auto"/>
        <w:ind w:firstLine="720"/>
        <w:jc w:val="both"/>
        <w:rPr>
          <w:rFonts w:ascii="Arial" w:hAnsi="Arial" w:cs="Arial"/>
          <w:sz w:val="24"/>
          <w:szCs w:val="24"/>
        </w:rPr>
      </w:pPr>
      <w:r w:rsidRPr="005D1FC7">
        <w:rPr>
          <w:rFonts w:ascii="Arial" w:hAnsi="Arial" w:cs="Arial"/>
          <w:sz w:val="24"/>
          <w:szCs w:val="24"/>
        </w:rPr>
        <w:t>The report makes a critical assessment of current strategy inside this highly competitive international beverage market-in terms of corporate direction at large as well as specific tactics related to opportunity exploitation.</w:t>
      </w:r>
    </w:p>
    <w:p w14:paraId="1019132F" w14:textId="0B7947AB" w:rsidR="005D1FC7" w:rsidRDefault="005D1FC7" w:rsidP="005D1FC7">
      <w:pPr>
        <w:spacing w:after="0" w:line="360" w:lineRule="auto"/>
        <w:ind w:firstLine="720"/>
        <w:jc w:val="both"/>
        <w:rPr>
          <w:rFonts w:ascii="Arial" w:hAnsi="Arial" w:cs="Arial"/>
          <w:sz w:val="24"/>
          <w:szCs w:val="24"/>
        </w:rPr>
      </w:pPr>
      <w:r>
        <w:rPr>
          <w:rFonts w:ascii="Arial" w:hAnsi="Arial" w:cs="Arial"/>
          <w:sz w:val="24"/>
          <w:szCs w:val="24"/>
        </w:rPr>
        <w:t>It also</w:t>
      </w:r>
      <w:r w:rsidRPr="005D1FC7">
        <w:rPr>
          <w:rFonts w:ascii="Arial" w:hAnsi="Arial" w:cs="Arial"/>
          <w:sz w:val="24"/>
          <w:szCs w:val="24"/>
        </w:rPr>
        <w:t xml:space="preserve"> </w:t>
      </w:r>
      <w:r w:rsidRPr="005D1FC7">
        <w:rPr>
          <w:rFonts w:ascii="Arial" w:hAnsi="Arial" w:cs="Arial"/>
          <w:sz w:val="24"/>
          <w:szCs w:val="24"/>
        </w:rPr>
        <w:t>analyses</w:t>
      </w:r>
      <w:r w:rsidRPr="005D1FC7">
        <w:rPr>
          <w:rFonts w:ascii="Arial" w:hAnsi="Arial" w:cs="Arial"/>
          <w:sz w:val="24"/>
          <w:szCs w:val="24"/>
        </w:rPr>
        <w:t xml:space="preserve"> Innocent</w:t>
      </w:r>
      <w:r>
        <w:rPr>
          <w:rFonts w:ascii="Arial" w:hAnsi="Arial" w:cs="Arial"/>
          <w:sz w:val="24"/>
          <w:szCs w:val="24"/>
        </w:rPr>
        <w:t xml:space="preserve"> Drinks</w:t>
      </w:r>
      <w:r w:rsidRPr="005D1FC7">
        <w:rPr>
          <w:rFonts w:ascii="Arial" w:hAnsi="Arial" w:cs="Arial"/>
          <w:sz w:val="24"/>
          <w:szCs w:val="24"/>
        </w:rPr>
        <w:t>’ vision, mission, and strategic objectives, spotting perfect alignment between its sustainability-driven culture and market positioning. Next, using frameworks such as SWOT, Value Chain, PESTEL, and Five Forces of Porter to be applied inside and outside challenges-including environmental regulations on the market for health-conscious consumers as well as competition from big global players like Coca-Cola and PepsiCo-this report provides findings.</w:t>
      </w:r>
    </w:p>
    <w:p w14:paraId="5BD17FD8" w14:textId="77777777" w:rsidR="005D1FC7" w:rsidRDefault="005D1FC7" w:rsidP="005D1FC7">
      <w:pPr>
        <w:spacing w:after="0" w:line="360" w:lineRule="auto"/>
        <w:ind w:firstLine="720"/>
        <w:jc w:val="both"/>
        <w:rPr>
          <w:rFonts w:ascii="Arial" w:hAnsi="Arial" w:cs="Arial"/>
          <w:sz w:val="24"/>
          <w:szCs w:val="24"/>
        </w:rPr>
      </w:pPr>
      <w:r w:rsidRPr="005D1FC7">
        <w:rPr>
          <w:rFonts w:ascii="Arial" w:hAnsi="Arial" w:cs="Arial"/>
          <w:sz w:val="24"/>
          <w:szCs w:val="24"/>
        </w:rPr>
        <w:t>Based on the three above findings, this report recommends a hybrid long-term growth strategy in sustainable international expansion, digital transformation, and product diversification into functional nutrition. The viable and profitable as well as feasible paths for such an approach are identified by Porter’s Generic Strategies, the Ansoff Matrix, and Bowman’s Strategic Clock within their frameworks.</w:t>
      </w:r>
    </w:p>
    <w:p w14:paraId="05E16905" w14:textId="32C8C8F0" w:rsidR="002B63C3" w:rsidRDefault="005D1FC7" w:rsidP="005D1FC7">
      <w:pPr>
        <w:spacing w:after="0" w:line="360" w:lineRule="auto"/>
        <w:ind w:firstLine="720"/>
        <w:jc w:val="both"/>
        <w:rPr>
          <w:rFonts w:ascii="Arial" w:hAnsi="Arial" w:cs="Arial"/>
          <w:sz w:val="24"/>
          <w:szCs w:val="24"/>
          <w:lang w:val="en-US"/>
        </w:rPr>
      </w:pPr>
      <w:r w:rsidRPr="005D1FC7">
        <w:rPr>
          <w:rFonts w:ascii="Arial" w:hAnsi="Arial" w:cs="Arial"/>
          <w:sz w:val="24"/>
          <w:szCs w:val="24"/>
        </w:rPr>
        <w:t>Later sections include an explicit stakeholder analysis through Mendelow’s Matrix and a RACI framework to ensure governance and accountability in implementation. It will finally give, based on evidence, strategic recommendations on how to keep the company competitive with ethical leadership and sustainability of net earnings in the changing global beverages industry.</w:t>
      </w:r>
    </w:p>
    <w:p w14:paraId="4ABEA740" w14:textId="77777777" w:rsidR="002B63C3" w:rsidRDefault="002B63C3" w:rsidP="002B63C3">
      <w:pPr>
        <w:spacing w:after="0" w:line="360" w:lineRule="auto"/>
        <w:jc w:val="both"/>
        <w:rPr>
          <w:rFonts w:ascii="Arial" w:hAnsi="Arial" w:cs="Arial"/>
          <w:sz w:val="24"/>
          <w:szCs w:val="24"/>
          <w:lang w:val="en-US"/>
        </w:rPr>
      </w:pPr>
    </w:p>
    <w:p w14:paraId="50137A5F" w14:textId="77777777" w:rsidR="002B63C3" w:rsidRDefault="002B63C3" w:rsidP="002B63C3">
      <w:pPr>
        <w:spacing w:after="0" w:line="360" w:lineRule="auto"/>
        <w:jc w:val="both"/>
        <w:rPr>
          <w:rFonts w:ascii="Arial" w:hAnsi="Arial" w:cs="Arial"/>
          <w:sz w:val="24"/>
          <w:szCs w:val="24"/>
          <w:lang w:val="en-US"/>
        </w:rPr>
      </w:pPr>
    </w:p>
    <w:p w14:paraId="42EAAFD4" w14:textId="77777777" w:rsidR="002B63C3" w:rsidRDefault="002B63C3" w:rsidP="002B63C3">
      <w:pPr>
        <w:spacing w:after="0" w:line="360" w:lineRule="auto"/>
        <w:jc w:val="both"/>
        <w:rPr>
          <w:rFonts w:ascii="Arial" w:hAnsi="Arial" w:cs="Arial"/>
          <w:sz w:val="24"/>
          <w:szCs w:val="24"/>
          <w:lang w:val="en-US"/>
        </w:rPr>
      </w:pPr>
    </w:p>
    <w:p w14:paraId="303EA023" w14:textId="77777777" w:rsidR="005D1FC7" w:rsidRDefault="005D1FC7" w:rsidP="002B63C3">
      <w:pPr>
        <w:spacing w:after="0" w:line="360" w:lineRule="auto"/>
        <w:jc w:val="both"/>
        <w:rPr>
          <w:rFonts w:ascii="Arial" w:hAnsi="Arial" w:cs="Arial"/>
          <w:sz w:val="24"/>
          <w:szCs w:val="24"/>
          <w:lang w:val="en-US"/>
        </w:rPr>
      </w:pPr>
    </w:p>
    <w:sdt>
      <w:sdtPr>
        <w:id w:val="-991482713"/>
        <w:docPartObj>
          <w:docPartGallery w:val="Table of Contents"/>
          <w:docPartUnique/>
        </w:docPartObj>
      </w:sdtPr>
      <w:sdtEndPr>
        <w:rPr>
          <w:rFonts w:asciiTheme="minorHAnsi" w:eastAsiaTheme="minorEastAsia" w:hAnsiTheme="minorHAnsi" w:cstheme="minorBidi"/>
          <w:b/>
          <w:bCs/>
          <w:noProof/>
          <w:color w:val="auto"/>
          <w:sz w:val="22"/>
          <w:szCs w:val="22"/>
          <w:lang w:val="en-GB"/>
        </w:rPr>
      </w:sdtEndPr>
      <w:sdtContent>
        <w:p w14:paraId="272736CF" w14:textId="0D0EA381" w:rsidR="00505BC4" w:rsidRDefault="00505BC4" w:rsidP="00505BC4">
          <w:pPr>
            <w:pStyle w:val="TOCHeading"/>
            <w:spacing w:before="0" w:line="360" w:lineRule="auto"/>
            <w:jc w:val="center"/>
            <w:rPr>
              <w:rFonts w:ascii="Arial" w:hAnsi="Arial" w:cs="Arial"/>
              <w:b/>
              <w:bCs/>
              <w:color w:val="000000" w:themeColor="text1"/>
            </w:rPr>
          </w:pPr>
          <w:r w:rsidRPr="00505BC4">
            <w:rPr>
              <w:rFonts w:ascii="Arial" w:hAnsi="Arial" w:cs="Arial"/>
              <w:b/>
              <w:bCs/>
              <w:color w:val="000000" w:themeColor="text1"/>
            </w:rPr>
            <w:t>Contents</w:t>
          </w:r>
        </w:p>
        <w:p w14:paraId="6E68D82E" w14:textId="77777777" w:rsidR="00505BC4" w:rsidRPr="00505BC4" w:rsidRDefault="00505BC4" w:rsidP="00505BC4">
          <w:pPr>
            <w:rPr>
              <w:lang w:val="en-US"/>
            </w:rPr>
          </w:pPr>
        </w:p>
        <w:p w14:paraId="353CA27C" w14:textId="5F565965" w:rsidR="00505BC4" w:rsidRDefault="00505BC4">
          <w:pPr>
            <w:pStyle w:val="TOC1"/>
            <w:tabs>
              <w:tab w:val="right" w:leader="dot" w:pos="9350"/>
            </w:tabs>
            <w:rPr>
              <w:noProof/>
            </w:rPr>
          </w:pPr>
          <w:r>
            <w:fldChar w:fldCharType="begin"/>
          </w:r>
          <w:r>
            <w:instrText xml:space="preserve"> TOC \o "1-3" \h \z \u </w:instrText>
          </w:r>
          <w:r>
            <w:fldChar w:fldCharType="separate"/>
          </w:r>
          <w:hyperlink w:anchor="_Toc211933651" w:history="1">
            <w:r w:rsidRPr="00884A30">
              <w:rPr>
                <w:rStyle w:val="Hyperlink"/>
                <w:rFonts w:ascii="Arial" w:hAnsi="Arial" w:cs="Arial"/>
                <w:b/>
                <w:bCs/>
                <w:noProof/>
                <w:lang w:val="en-US"/>
              </w:rPr>
              <w:t>Introduction</w:t>
            </w:r>
            <w:r>
              <w:rPr>
                <w:noProof/>
                <w:webHidden/>
              </w:rPr>
              <w:tab/>
            </w:r>
            <w:r>
              <w:rPr>
                <w:noProof/>
                <w:webHidden/>
              </w:rPr>
              <w:fldChar w:fldCharType="begin"/>
            </w:r>
            <w:r>
              <w:rPr>
                <w:noProof/>
                <w:webHidden/>
              </w:rPr>
              <w:instrText xml:space="preserve"> PAGEREF _Toc211933651 \h </w:instrText>
            </w:r>
            <w:r>
              <w:rPr>
                <w:noProof/>
                <w:webHidden/>
              </w:rPr>
            </w:r>
            <w:r>
              <w:rPr>
                <w:noProof/>
                <w:webHidden/>
              </w:rPr>
              <w:fldChar w:fldCharType="separate"/>
            </w:r>
            <w:r>
              <w:rPr>
                <w:noProof/>
                <w:webHidden/>
              </w:rPr>
              <w:t>4</w:t>
            </w:r>
            <w:r>
              <w:rPr>
                <w:noProof/>
                <w:webHidden/>
              </w:rPr>
              <w:fldChar w:fldCharType="end"/>
            </w:r>
          </w:hyperlink>
        </w:p>
        <w:p w14:paraId="72324F41" w14:textId="20CF5691" w:rsidR="00505BC4" w:rsidRDefault="00505BC4">
          <w:pPr>
            <w:pStyle w:val="TOC1"/>
            <w:tabs>
              <w:tab w:val="right" w:leader="dot" w:pos="9350"/>
            </w:tabs>
            <w:rPr>
              <w:noProof/>
            </w:rPr>
          </w:pPr>
          <w:hyperlink w:anchor="_Toc211933652" w:history="1">
            <w:r w:rsidRPr="00884A30">
              <w:rPr>
                <w:rStyle w:val="Hyperlink"/>
                <w:rFonts w:ascii="Arial" w:hAnsi="Arial" w:cs="Arial"/>
                <w:b/>
                <w:bCs/>
                <w:noProof/>
                <w:lang w:val="en-US"/>
              </w:rPr>
              <w:t>Strategic Direction and Goals</w:t>
            </w:r>
            <w:r>
              <w:rPr>
                <w:noProof/>
                <w:webHidden/>
              </w:rPr>
              <w:tab/>
            </w:r>
            <w:r>
              <w:rPr>
                <w:noProof/>
                <w:webHidden/>
              </w:rPr>
              <w:fldChar w:fldCharType="begin"/>
            </w:r>
            <w:r>
              <w:rPr>
                <w:noProof/>
                <w:webHidden/>
              </w:rPr>
              <w:instrText xml:space="preserve"> PAGEREF _Toc211933652 \h </w:instrText>
            </w:r>
            <w:r>
              <w:rPr>
                <w:noProof/>
                <w:webHidden/>
              </w:rPr>
            </w:r>
            <w:r>
              <w:rPr>
                <w:noProof/>
                <w:webHidden/>
              </w:rPr>
              <w:fldChar w:fldCharType="separate"/>
            </w:r>
            <w:r>
              <w:rPr>
                <w:noProof/>
                <w:webHidden/>
              </w:rPr>
              <w:t>5</w:t>
            </w:r>
            <w:r>
              <w:rPr>
                <w:noProof/>
                <w:webHidden/>
              </w:rPr>
              <w:fldChar w:fldCharType="end"/>
            </w:r>
          </w:hyperlink>
        </w:p>
        <w:p w14:paraId="0F175326" w14:textId="1519A459" w:rsidR="00505BC4" w:rsidRDefault="00505BC4">
          <w:pPr>
            <w:pStyle w:val="TOC1"/>
            <w:tabs>
              <w:tab w:val="right" w:leader="dot" w:pos="9350"/>
            </w:tabs>
            <w:rPr>
              <w:noProof/>
            </w:rPr>
          </w:pPr>
          <w:hyperlink w:anchor="_Toc211933653" w:history="1">
            <w:r w:rsidRPr="00884A30">
              <w:rPr>
                <w:rStyle w:val="Hyperlink"/>
                <w:rFonts w:ascii="Arial" w:hAnsi="Arial" w:cs="Arial"/>
                <w:b/>
                <w:bCs/>
                <w:noProof/>
                <w:lang w:val="en-US"/>
              </w:rPr>
              <w:t>Internal Environmental Analysis</w:t>
            </w:r>
            <w:r>
              <w:rPr>
                <w:noProof/>
                <w:webHidden/>
              </w:rPr>
              <w:tab/>
            </w:r>
            <w:r>
              <w:rPr>
                <w:noProof/>
                <w:webHidden/>
              </w:rPr>
              <w:fldChar w:fldCharType="begin"/>
            </w:r>
            <w:r>
              <w:rPr>
                <w:noProof/>
                <w:webHidden/>
              </w:rPr>
              <w:instrText xml:space="preserve"> PAGEREF _Toc211933653 \h </w:instrText>
            </w:r>
            <w:r>
              <w:rPr>
                <w:noProof/>
                <w:webHidden/>
              </w:rPr>
            </w:r>
            <w:r>
              <w:rPr>
                <w:noProof/>
                <w:webHidden/>
              </w:rPr>
              <w:fldChar w:fldCharType="separate"/>
            </w:r>
            <w:r>
              <w:rPr>
                <w:noProof/>
                <w:webHidden/>
              </w:rPr>
              <w:t>6</w:t>
            </w:r>
            <w:r>
              <w:rPr>
                <w:noProof/>
                <w:webHidden/>
              </w:rPr>
              <w:fldChar w:fldCharType="end"/>
            </w:r>
          </w:hyperlink>
        </w:p>
        <w:p w14:paraId="0CDD86E4" w14:textId="2D2134E1" w:rsidR="00505BC4" w:rsidRDefault="00505BC4">
          <w:pPr>
            <w:pStyle w:val="TOC1"/>
            <w:tabs>
              <w:tab w:val="right" w:leader="dot" w:pos="9350"/>
            </w:tabs>
            <w:rPr>
              <w:noProof/>
            </w:rPr>
          </w:pPr>
          <w:hyperlink w:anchor="_Toc211933654" w:history="1">
            <w:r w:rsidRPr="00884A30">
              <w:rPr>
                <w:rStyle w:val="Hyperlink"/>
                <w:rFonts w:ascii="Arial" w:hAnsi="Arial" w:cs="Arial"/>
                <w:b/>
                <w:bCs/>
                <w:noProof/>
                <w:lang w:val="en-US"/>
              </w:rPr>
              <w:t>External Environmental Analysis</w:t>
            </w:r>
            <w:r>
              <w:rPr>
                <w:noProof/>
                <w:webHidden/>
              </w:rPr>
              <w:tab/>
            </w:r>
            <w:r>
              <w:rPr>
                <w:noProof/>
                <w:webHidden/>
              </w:rPr>
              <w:fldChar w:fldCharType="begin"/>
            </w:r>
            <w:r>
              <w:rPr>
                <w:noProof/>
                <w:webHidden/>
              </w:rPr>
              <w:instrText xml:space="preserve"> PAGEREF _Toc211933654 \h </w:instrText>
            </w:r>
            <w:r>
              <w:rPr>
                <w:noProof/>
                <w:webHidden/>
              </w:rPr>
            </w:r>
            <w:r>
              <w:rPr>
                <w:noProof/>
                <w:webHidden/>
              </w:rPr>
              <w:fldChar w:fldCharType="separate"/>
            </w:r>
            <w:r>
              <w:rPr>
                <w:noProof/>
                <w:webHidden/>
              </w:rPr>
              <w:t>7</w:t>
            </w:r>
            <w:r>
              <w:rPr>
                <w:noProof/>
                <w:webHidden/>
              </w:rPr>
              <w:fldChar w:fldCharType="end"/>
            </w:r>
          </w:hyperlink>
        </w:p>
        <w:p w14:paraId="298C8124" w14:textId="2237A9E1" w:rsidR="00505BC4" w:rsidRDefault="00505BC4">
          <w:pPr>
            <w:pStyle w:val="TOC1"/>
            <w:tabs>
              <w:tab w:val="right" w:leader="dot" w:pos="9350"/>
            </w:tabs>
            <w:rPr>
              <w:noProof/>
            </w:rPr>
          </w:pPr>
          <w:hyperlink w:anchor="_Toc211933655" w:history="1">
            <w:r w:rsidRPr="00884A30">
              <w:rPr>
                <w:rStyle w:val="Hyperlink"/>
                <w:rFonts w:ascii="Arial" w:hAnsi="Arial" w:cs="Arial"/>
                <w:b/>
                <w:bCs/>
                <w:noProof/>
                <w:lang w:val="en-US"/>
              </w:rPr>
              <w:t>Strategic Growth Choices and New Sustainable Strategy</w:t>
            </w:r>
            <w:r>
              <w:rPr>
                <w:noProof/>
                <w:webHidden/>
              </w:rPr>
              <w:tab/>
            </w:r>
            <w:r>
              <w:rPr>
                <w:noProof/>
                <w:webHidden/>
              </w:rPr>
              <w:fldChar w:fldCharType="begin"/>
            </w:r>
            <w:r>
              <w:rPr>
                <w:noProof/>
                <w:webHidden/>
              </w:rPr>
              <w:instrText xml:space="preserve"> PAGEREF _Toc211933655 \h </w:instrText>
            </w:r>
            <w:r>
              <w:rPr>
                <w:noProof/>
                <w:webHidden/>
              </w:rPr>
            </w:r>
            <w:r>
              <w:rPr>
                <w:noProof/>
                <w:webHidden/>
              </w:rPr>
              <w:fldChar w:fldCharType="separate"/>
            </w:r>
            <w:r>
              <w:rPr>
                <w:noProof/>
                <w:webHidden/>
              </w:rPr>
              <w:t>9</w:t>
            </w:r>
            <w:r>
              <w:rPr>
                <w:noProof/>
                <w:webHidden/>
              </w:rPr>
              <w:fldChar w:fldCharType="end"/>
            </w:r>
          </w:hyperlink>
        </w:p>
        <w:p w14:paraId="0E431148" w14:textId="7015288F" w:rsidR="00505BC4" w:rsidRDefault="00505BC4">
          <w:pPr>
            <w:pStyle w:val="TOC1"/>
            <w:tabs>
              <w:tab w:val="right" w:leader="dot" w:pos="9350"/>
            </w:tabs>
            <w:rPr>
              <w:noProof/>
            </w:rPr>
          </w:pPr>
          <w:hyperlink w:anchor="_Toc211933656" w:history="1">
            <w:r w:rsidRPr="00884A30">
              <w:rPr>
                <w:rStyle w:val="Hyperlink"/>
                <w:rFonts w:ascii="Arial" w:hAnsi="Arial" w:cs="Arial"/>
                <w:b/>
                <w:bCs/>
                <w:noProof/>
                <w:lang w:val="en-US"/>
              </w:rPr>
              <w:t>Stakeholder Analysis and RACI Matrix</w:t>
            </w:r>
            <w:r>
              <w:rPr>
                <w:noProof/>
                <w:webHidden/>
              </w:rPr>
              <w:tab/>
            </w:r>
            <w:r>
              <w:rPr>
                <w:noProof/>
                <w:webHidden/>
              </w:rPr>
              <w:fldChar w:fldCharType="begin"/>
            </w:r>
            <w:r>
              <w:rPr>
                <w:noProof/>
                <w:webHidden/>
              </w:rPr>
              <w:instrText xml:space="preserve"> PAGEREF _Toc211933656 \h </w:instrText>
            </w:r>
            <w:r>
              <w:rPr>
                <w:noProof/>
                <w:webHidden/>
              </w:rPr>
            </w:r>
            <w:r>
              <w:rPr>
                <w:noProof/>
                <w:webHidden/>
              </w:rPr>
              <w:fldChar w:fldCharType="separate"/>
            </w:r>
            <w:r>
              <w:rPr>
                <w:noProof/>
                <w:webHidden/>
              </w:rPr>
              <w:t>12</w:t>
            </w:r>
            <w:r>
              <w:rPr>
                <w:noProof/>
                <w:webHidden/>
              </w:rPr>
              <w:fldChar w:fldCharType="end"/>
            </w:r>
          </w:hyperlink>
        </w:p>
        <w:p w14:paraId="3DFAAA68" w14:textId="059ABB22" w:rsidR="00505BC4" w:rsidRDefault="00505BC4">
          <w:pPr>
            <w:pStyle w:val="TOC1"/>
            <w:tabs>
              <w:tab w:val="right" w:leader="dot" w:pos="9350"/>
            </w:tabs>
            <w:rPr>
              <w:noProof/>
            </w:rPr>
          </w:pPr>
          <w:hyperlink w:anchor="_Toc211933657" w:history="1">
            <w:r w:rsidRPr="00884A30">
              <w:rPr>
                <w:rStyle w:val="Hyperlink"/>
                <w:rFonts w:ascii="Arial" w:hAnsi="Arial" w:cs="Arial"/>
                <w:b/>
                <w:bCs/>
                <w:noProof/>
                <w:lang w:val="en-US"/>
              </w:rPr>
              <w:t>Strategic Recommendations</w:t>
            </w:r>
            <w:r>
              <w:rPr>
                <w:noProof/>
                <w:webHidden/>
              </w:rPr>
              <w:tab/>
            </w:r>
            <w:r>
              <w:rPr>
                <w:noProof/>
                <w:webHidden/>
              </w:rPr>
              <w:fldChar w:fldCharType="begin"/>
            </w:r>
            <w:r>
              <w:rPr>
                <w:noProof/>
                <w:webHidden/>
              </w:rPr>
              <w:instrText xml:space="preserve"> PAGEREF _Toc211933657 \h </w:instrText>
            </w:r>
            <w:r>
              <w:rPr>
                <w:noProof/>
                <w:webHidden/>
              </w:rPr>
            </w:r>
            <w:r>
              <w:rPr>
                <w:noProof/>
                <w:webHidden/>
              </w:rPr>
              <w:fldChar w:fldCharType="separate"/>
            </w:r>
            <w:r>
              <w:rPr>
                <w:noProof/>
                <w:webHidden/>
              </w:rPr>
              <w:t>14</w:t>
            </w:r>
            <w:r>
              <w:rPr>
                <w:noProof/>
                <w:webHidden/>
              </w:rPr>
              <w:fldChar w:fldCharType="end"/>
            </w:r>
          </w:hyperlink>
        </w:p>
        <w:p w14:paraId="54683AE9" w14:textId="3AA7BBD4" w:rsidR="00505BC4" w:rsidRDefault="00505BC4">
          <w:pPr>
            <w:pStyle w:val="TOC1"/>
            <w:tabs>
              <w:tab w:val="right" w:leader="dot" w:pos="9350"/>
            </w:tabs>
            <w:rPr>
              <w:noProof/>
            </w:rPr>
          </w:pPr>
          <w:hyperlink w:anchor="_Toc211933658" w:history="1">
            <w:r w:rsidRPr="00884A30">
              <w:rPr>
                <w:rStyle w:val="Hyperlink"/>
                <w:rFonts w:ascii="Arial" w:hAnsi="Arial" w:cs="Arial"/>
                <w:b/>
                <w:bCs/>
                <w:noProof/>
                <w:lang w:val="en-US"/>
              </w:rPr>
              <w:t>Conclusion</w:t>
            </w:r>
            <w:r>
              <w:rPr>
                <w:noProof/>
                <w:webHidden/>
              </w:rPr>
              <w:tab/>
            </w:r>
            <w:r>
              <w:rPr>
                <w:noProof/>
                <w:webHidden/>
              </w:rPr>
              <w:fldChar w:fldCharType="begin"/>
            </w:r>
            <w:r>
              <w:rPr>
                <w:noProof/>
                <w:webHidden/>
              </w:rPr>
              <w:instrText xml:space="preserve"> PAGEREF _Toc211933658 \h </w:instrText>
            </w:r>
            <w:r>
              <w:rPr>
                <w:noProof/>
                <w:webHidden/>
              </w:rPr>
            </w:r>
            <w:r>
              <w:rPr>
                <w:noProof/>
                <w:webHidden/>
              </w:rPr>
              <w:fldChar w:fldCharType="separate"/>
            </w:r>
            <w:r>
              <w:rPr>
                <w:noProof/>
                <w:webHidden/>
              </w:rPr>
              <w:t>16</w:t>
            </w:r>
            <w:r>
              <w:rPr>
                <w:noProof/>
                <w:webHidden/>
              </w:rPr>
              <w:fldChar w:fldCharType="end"/>
            </w:r>
          </w:hyperlink>
        </w:p>
        <w:p w14:paraId="3DA8E266" w14:textId="00F123BC" w:rsidR="00505BC4" w:rsidRDefault="00505BC4">
          <w:pPr>
            <w:pStyle w:val="TOC1"/>
            <w:tabs>
              <w:tab w:val="right" w:leader="dot" w:pos="9350"/>
            </w:tabs>
            <w:rPr>
              <w:noProof/>
            </w:rPr>
          </w:pPr>
          <w:hyperlink w:anchor="_Toc211933659" w:history="1">
            <w:r w:rsidRPr="00884A30">
              <w:rPr>
                <w:rStyle w:val="Hyperlink"/>
                <w:rFonts w:ascii="Arial" w:hAnsi="Arial" w:cs="Arial"/>
                <w:b/>
                <w:bCs/>
                <w:noProof/>
                <w:lang w:val="en-US"/>
              </w:rPr>
              <w:t>References</w:t>
            </w:r>
            <w:r>
              <w:rPr>
                <w:noProof/>
                <w:webHidden/>
              </w:rPr>
              <w:tab/>
            </w:r>
            <w:r>
              <w:rPr>
                <w:noProof/>
                <w:webHidden/>
              </w:rPr>
              <w:fldChar w:fldCharType="begin"/>
            </w:r>
            <w:r>
              <w:rPr>
                <w:noProof/>
                <w:webHidden/>
              </w:rPr>
              <w:instrText xml:space="preserve"> PAGEREF _Toc211933659 \h </w:instrText>
            </w:r>
            <w:r>
              <w:rPr>
                <w:noProof/>
                <w:webHidden/>
              </w:rPr>
            </w:r>
            <w:r>
              <w:rPr>
                <w:noProof/>
                <w:webHidden/>
              </w:rPr>
              <w:fldChar w:fldCharType="separate"/>
            </w:r>
            <w:r>
              <w:rPr>
                <w:noProof/>
                <w:webHidden/>
              </w:rPr>
              <w:t>17</w:t>
            </w:r>
            <w:r>
              <w:rPr>
                <w:noProof/>
                <w:webHidden/>
              </w:rPr>
              <w:fldChar w:fldCharType="end"/>
            </w:r>
          </w:hyperlink>
        </w:p>
        <w:p w14:paraId="266E691C" w14:textId="6309E121" w:rsidR="00505BC4" w:rsidRDefault="00505BC4">
          <w:r>
            <w:rPr>
              <w:b/>
              <w:bCs/>
              <w:noProof/>
            </w:rPr>
            <w:fldChar w:fldCharType="end"/>
          </w:r>
        </w:p>
      </w:sdtContent>
    </w:sdt>
    <w:p w14:paraId="1BA4876D" w14:textId="77777777" w:rsidR="00505BC4" w:rsidRDefault="00505BC4" w:rsidP="002B63C3">
      <w:pPr>
        <w:spacing w:after="0" w:line="360" w:lineRule="auto"/>
        <w:jc w:val="both"/>
        <w:rPr>
          <w:rFonts w:ascii="Arial" w:hAnsi="Arial" w:cs="Arial"/>
          <w:sz w:val="24"/>
          <w:szCs w:val="24"/>
          <w:lang w:val="en-US"/>
        </w:rPr>
      </w:pPr>
    </w:p>
    <w:p w14:paraId="21AFD55A" w14:textId="77777777" w:rsidR="00505BC4" w:rsidRDefault="00505BC4" w:rsidP="002B63C3">
      <w:pPr>
        <w:spacing w:after="0" w:line="360" w:lineRule="auto"/>
        <w:jc w:val="both"/>
        <w:rPr>
          <w:rFonts w:ascii="Arial" w:hAnsi="Arial" w:cs="Arial"/>
          <w:sz w:val="24"/>
          <w:szCs w:val="24"/>
          <w:lang w:val="en-US"/>
        </w:rPr>
      </w:pPr>
    </w:p>
    <w:p w14:paraId="05A42F8C" w14:textId="77777777" w:rsidR="00505BC4" w:rsidRDefault="00505BC4" w:rsidP="002B63C3">
      <w:pPr>
        <w:spacing w:after="0" w:line="360" w:lineRule="auto"/>
        <w:jc w:val="both"/>
        <w:rPr>
          <w:rFonts w:ascii="Arial" w:hAnsi="Arial" w:cs="Arial"/>
          <w:sz w:val="24"/>
          <w:szCs w:val="24"/>
          <w:lang w:val="en-US"/>
        </w:rPr>
      </w:pPr>
    </w:p>
    <w:p w14:paraId="19DAFC88" w14:textId="77777777" w:rsidR="00505BC4" w:rsidRDefault="00505BC4" w:rsidP="002B63C3">
      <w:pPr>
        <w:spacing w:after="0" w:line="360" w:lineRule="auto"/>
        <w:jc w:val="both"/>
        <w:rPr>
          <w:rFonts w:ascii="Arial" w:hAnsi="Arial" w:cs="Arial"/>
          <w:sz w:val="24"/>
          <w:szCs w:val="24"/>
          <w:lang w:val="en-US"/>
        </w:rPr>
      </w:pPr>
    </w:p>
    <w:p w14:paraId="648A7A86" w14:textId="77777777" w:rsidR="00505BC4" w:rsidRDefault="00505BC4" w:rsidP="002B63C3">
      <w:pPr>
        <w:spacing w:after="0" w:line="360" w:lineRule="auto"/>
        <w:jc w:val="both"/>
        <w:rPr>
          <w:rFonts w:ascii="Arial" w:hAnsi="Arial" w:cs="Arial"/>
          <w:sz w:val="24"/>
          <w:szCs w:val="24"/>
          <w:lang w:val="en-US"/>
        </w:rPr>
      </w:pPr>
    </w:p>
    <w:p w14:paraId="25D5E0DE" w14:textId="77777777" w:rsidR="00505BC4" w:rsidRDefault="00505BC4" w:rsidP="002B63C3">
      <w:pPr>
        <w:spacing w:after="0" w:line="360" w:lineRule="auto"/>
        <w:jc w:val="both"/>
        <w:rPr>
          <w:rFonts w:ascii="Arial" w:hAnsi="Arial" w:cs="Arial"/>
          <w:sz w:val="24"/>
          <w:szCs w:val="24"/>
          <w:lang w:val="en-US"/>
        </w:rPr>
      </w:pPr>
    </w:p>
    <w:p w14:paraId="76BEE5A4" w14:textId="77777777" w:rsidR="00505BC4" w:rsidRDefault="00505BC4" w:rsidP="002B63C3">
      <w:pPr>
        <w:spacing w:after="0" w:line="360" w:lineRule="auto"/>
        <w:jc w:val="both"/>
        <w:rPr>
          <w:rFonts w:ascii="Arial" w:hAnsi="Arial" w:cs="Arial"/>
          <w:sz w:val="24"/>
          <w:szCs w:val="24"/>
          <w:lang w:val="en-US"/>
        </w:rPr>
      </w:pPr>
    </w:p>
    <w:p w14:paraId="336BF5B6" w14:textId="77777777" w:rsidR="00505BC4" w:rsidRDefault="00505BC4" w:rsidP="002B63C3">
      <w:pPr>
        <w:spacing w:after="0" w:line="360" w:lineRule="auto"/>
        <w:jc w:val="both"/>
        <w:rPr>
          <w:rFonts w:ascii="Arial" w:hAnsi="Arial" w:cs="Arial"/>
          <w:sz w:val="24"/>
          <w:szCs w:val="24"/>
          <w:lang w:val="en-US"/>
        </w:rPr>
      </w:pPr>
    </w:p>
    <w:p w14:paraId="0212DFC9" w14:textId="77777777" w:rsidR="00505BC4" w:rsidRDefault="00505BC4" w:rsidP="002B63C3">
      <w:pPr>
        <w:spacing w:after="0" w:line="360" w:lineRule="auto"/>
        <w:jc w:val="both"/>
        <w:rPr>
          <w:rFonts w:ascii="Arial" w:hAnsi="Arial" w:cs="Arial"/>
          <w:sz w:val="24"/>
          <w:szCs w:val="24"/>
          <w:lang w:val="en-US"/>
        </w:rPr>
      </w:pPr>
    </w:p>
    <w:p w14:paraId="20DD5DE3" w14:textId="77777777" w:rsidR="00505BC4" w:rsidRDefault="00505BC4" w:rsidP="002B63C3">
      <w:pPr>
        <w:spacing w:after="0" w:line="360" w:lineRule="auto"/>
        <w:jc w:val="both"/>
        <w:rPr>
          <w:rFonts w:ascii="Arial" w:hAnsi="Arial" w:cs="Arial"/>
          <w:sz w:val="24"/>
          <w:szCs w:val="24"/>
          <w:lang w:val="en-US"/>
        </w:rPr>
      </w:pPr>
    </w:p>
    <w:p w14:paraId="69E1F5B6" w14:textId="77777777" w:rsidR="00505BC4" w:rsidRDefault="00505BC4" w:rsidP="002B63C3">
      <w:pPr>
        <w:spacing w:after="0" w:line="360" w:lineRule="auto"/>
        <w:jc w:val="both"/>
        <w:rPr>
          <w:rFonts w:ascii="Arial" w:hAnsi="Arial" w:cs="Arial"/>
          <w:sz w:val="24"/>
          <w:szCs w:val="24"/>
          <w:lang w:val="en-US"/>
        </w:rPr>
      </w:pPr>
    </w:p>
    <w:p w14:paraId="7C8AB96F" w14:textId="77777777" w:rsidR="00505BC4" w:rsidRDefault="00505BC4" w:rsidP="002B63C3">
      <w:pPr>
        <w:spacing w:after="0" w:line="360" w:lineRule="auto"/>
        <w:jc w:val="both"/>
        <w:rPr>
          <w:rFonts w:ascii="Arial" w:hAnsi="Arial" w:cs="Arial"/>
          <w:sz w:val="24"/>
          <w:szCs w:val="24"/>
          <w:lang w:val="en-US"/>
        </w:rPr>
      </w:pPr>
    </w:p>
    <w:p w14:paraId="10FC2716" w14:textId="77777777" w:rsidR="00505BC4" w:rsidRDefault="00505BC4" w:rsidP="002B63C3">
      <w:pPr>
        <w:spacing w:after="0" w:line="360" w:lineRule="auto"/>
        <w:jc w:val="both"/>
        <w:rPr>
          <w:rFonts w:ascii="Arial" w:hAnsi="Arial" w:cs="Arial"/>
          <w:sz w:val="24"/>
          <w:szCs w:val="24"/>
          <w:lang w:val="en-US"/>
        </w:rPr>
      </w:pPr>
    </w:p>
    <w:p w14:paraId="53596FA3" w14:textId="77777777" w:rsidR="00505BC4" w:rsidRDefault="00505BC4" w:rsidP="002B63C3">
      <w:pPr>
        <w:spacing w:after="0" w:line="360" w:lineRule="auto"/>
        <w:jc w:val="both"/>
        <w:rPr>
          <w:rFonts w:ascii="Arial" w:hAnsi="Arial" w:cs="Arial"/>
          <w:sz w:val="24"/>
          <w:szCs w:val="24"/>
          <w:lang w:val="en-US"/>
        </w:rPr>
      </w:pPr>
    </w:p>
    <w:p w14:paraId="4D027505" w14:textId="77777777" w:rsidR="00505BC4" w:rsidRDefault="00505BC4" w:rsidP="002B63C3">
      <w:pPr>
        <w:spacing w:after="0" w:line="360" w:lineRule="auto"/>
        <w:jc w:val="both"/>
        <w:rPr>
          <w:rFonts w:ascii="Arial" w:hAnsi="Arial" w:cs="Arial"/>
          <w:sz w:val="24"/>
          <w:szCs w:val="24"/>
          <w:lang w:val="en-US"/>
        </w:rPr>
      </w:pPr>
    </w:p>
    <w:p w14:paraId="7A9278E0" w14:textId="77777777" w:rsidR="00505BC4" w:rsidRDefault="00505BC4" w:rsidP="002B63C3">
      <w:pPr>
        <w:spacing w:after="0" w:line="360" w:lineRule="auto"/>
        <w:jc w:val="both"/>
        <w:rPr>
          <w:rFonts w:ascii="Arial" w:hAnsi="Arial" w:cs="Arial"/>
          <w:sz w:val="24"/>
          <w:szCs w:val="24"/>
          <w:lang w:val="en-US"/>
        </w:rPr>
      </w:pPr>
    </w:p>
    <w:p w14:paraId="7C4B23EF" w14:textId="77777777" w:rsidR="00505BC4" w:rsidRPr="002B63C3" w:rsidRDefault="00505BC4" w:rsidP="002B63C3">
      <w:pPr>
        <w:spacing w:after="0" w:line="360" w:lineRule="auto"/>
        <w:jc w:val="both"/>
        <w:rPr>
          <w:rFonts w:ascii="Arial" w:hAnsi="Arial" w:cs="Arial"/>
          <w:sz w:val="24"/>
          <w:szCs w:val="24"/>
          <w:lang w:val="en-US"/>
        </w:rPr>
      </w:pPr>
    </w:p>
    <w:p w14:paraId="3E81A9A0" w14:textId="77777777" w:rsidR="00505BC4" w:rsidRDefault="00505BC4" w:rsidP="005D1FC7">
      <w:pPr>
        <w:pStyle w:val="Heading1"/>
        <w:spacing w:before="0" w:after="0" w:line="360" w:lineRule="auto"/>
        <w:jc w:val="center"/>
        <w:rPr>
          <w:rFonts w:ascii="Arial" w:hAnsi="Arial" w:cs="Arial"/>
          <w:b/>
          <w:bCs/>
          <w:color w:val="000000" w:themeColor="text1"/>
          <w:sz w:val="24"/>
          <w:szCs w:val="24"/>
          <w:lang w:val="en-US"/>
        </w:rPr>
        <w:sectPr w:rsidR="00505BC4">
          <w:footerReference w:type="default" r:id="rId8"/>
          <w:pgSz w:w="12240" w:h="15840"/>
          <w:pgMar w:top="1440" w:right="1440" w:bottom="1440" w:left="1440" w:header="720" w:footer="720" w:gutter="0"/>
          <w:cols w:space="720"/>
          <w:docGrid w:linePitch="360"/>
        </w:sectPr>
      </w:pPr>
      <w:bookmarkStart w:id="0" w:name="_Toc211933651"/>
    </w:p>
    <w:p w14:paraId="5918C1DC" w14:textId="040E1EB8" w:rsidR="002B63C3" w:rsidRPr="005D1FC7" w:rsidRDefault="002B63C3" w:rsidP="005D1FC7">
      <w:pPr>
        <w:pStyle w:val="Heading1"/>
        <w:spacing w:before="0" w:after="0" w:line="360" w:lineRule="auto"/>
        <w:jc w:val="center"/>
        <w:rPr>
          <w:rFonts w:ascii="Arial" w:hAnsi="Arial" w:cs="Arial"/>
          <w:b/>
          <w:bCs/>
          <w:color w:val="000000" w:themeColor="text1"/>
          <w:sz w:val="24"/>
          <w:szCs w:val="24"/>
          <w:lang w:val="en-US"/>
        </w:rPr>
      </w:pPr>
      <w:r w:rsidRPr="005D1FC7">
        <w:rPr>
          <w:rFonts w:ascii="Arial" w:hAnsi="Arial" w:cs="Arial"/>
          <w:b/>
          <w:bCs/>
          <w:color w:val="000000" w:themeColor="text1"/>
          <w:sz w:val="24"/>
          <w:szCs w:val="24"/>
          <w:lang w:val="en-US"/>
        </w:rPr>
        <w:lastRenderedPageBreak/>
        <w:t>Introduction</w:t>
      </w:r>
      <w:bookmarkEnd w:id="0"/>
    </w:p>
    <w:p w14:paraId="3457E921" w14:textId="77777777" w:rsidR="002B63C3" w:rsidRPr="002B63C3" w:rsidRDefault="002B63C3" w:rsidP="002B63C3">
      <w:pPr>
        <w:spacing w:after="0" w:line="360" w:lineRule="auto"/>
        <w:jc w:val="center"/>
        <w:rPr>
          <w:rFonts w:ascii="Arial" w:hAnsi="Arial" w:cs="Arial"/>
          <w:b/>
          <w:bCs/>
          <w:sz w:val="24"/>
          <w:szCs w:val="24"/>
          <w:lang w:val="en-US"/>
        </w:rPr>
      </w:pPr>
    </w:p>
    <w:p w14:paraId="49C579A7" w14:textId="28658ABA" w:rsidR="005D1FC7" w:rsidRDefault="005D1FC7" w:rsidP="005D1FC7">
      <w:pPr>
        <w:spacing w:after="0" w:line="360" w:lineRule="auto"/>
        <w:ind w:firstLine="720"/>
        <w:jc w:val="both"/>
        <w:rPr>
          <w:rFonts w:ascii="Arial" w:hAnsi="Arial" w:cs="Arial"/>
          <w:sz w:val="24"/>
          <w:szCs w:val="24"/>
        </w:rPr>
      </w:pPr>
      <w:r w:rsidRPr="005D1FC7">
        <w:rPr>
          <w:rFonts w:ascii="Arial" w:hAnsi="Arial" w:cs="Arial"/>
          <w:sz w:val="24"/>
          <w:szCs w:val="24"/>
        </w:rPr>
        <w:t xml:space="preserve">Innocent Drinks Ltd is a UK-based SME of smoothies, juices and plant-based drinks founded in 1999 by Adam Balon, Richard Reed and Jon Wright in London. The company’s simple founding mission was to help people live well and do good </w:t>
      </w:r>
      <w:proofErr w:type="gramStart"/>
      <w:r w:rsidRPr="005D1FC7">
        <w:rPr>
          <w:rFonts w:ascii="Arial" w:hAnsi="Arial" w:cs="Arial"/>
          <w:sz w:val="24"/>
          <w:szCs w:val="24"/>
        </w:rPr>
        <w:t>made</w:t>
      </w:r>
      <w:proofErr w:type="gramEnd"/>
      <w:r w:rsidRPr="005D1FC7">
        <w:rPr>
          <w:rFonts w:ascii="Arial" w:hAnsi="Arial" w:cs="Arial"/>
          <w:sz w:val="24"/>
          <w:szCs w:val="24"/>
        </w:rPr>
        <w:t xml:space="preserve"> easy. Supporting this </w:t>
      </w:r>
      <w:r w:rsidRPr="005D1FC7">
        <w:rPr>
          <w:rFonts w:ascii="Arial" w:hAnsi="Arial" w:cs="Arial"/>
          <w:sz w:val="24"/>
          <w:szCs w:val="24"/>
        </w:rPr>
        <w:t>message,</w:t>
      </w:r>
      <w:r w:rsidRPr="005D1FC7">
        <w:rPr>
          <w:rFonts w:ascii="Arial" w:hAnsi="Arial" w:cs="Arial"/>
          <w:sz w:val="24"/>
          <w:szCs w:val="24"/>
        </w:rPr>
        <w:t xml:space="preserve"> it offers fruit smoothies as portfolio products together with flavoured water, alternative milk plant-based options and functional vitamin- and nutrient-enriched juices. Over the years the company has developed a strong reputation for natural ingredients, minimum processing, and packaging that is as environmentally friendly as possible within the larger trends towards health and sustainability globally (Kotler </w:t>
      </w:r>
      <w:r>
        <w:rPr>
          <w:rFonts w:ascii="Arial" w:hAnsi="Arial" w:cs="Arial"/>
          <w:sz w:val="24"/>
          <w:szCs w:val="24"/>
        </w:rPr>
        <w:t>and</w:t>
      </w:r>
      <w:r w:rsidRPr="005D1FC7">
        <w:rPr>
          <w:rFonts w:ascii="Arial" w:hAnsi="Arial" w:cs="Arial"/>
          <w:sz w:val="24"/>
          <w:szCs w:val="24"/>
        </w:rPr>
        <w:t xml:space="preserve"> Keller 2022).</w:t>
      </w:r>
    </w:p>
    <w:p w14:paraId="24359E44" w14:textId="77777777" w:rsidR="005D1FC7" w:rsidRDefault="005D1FC7" w:rsidP="005D1FC7">
      <w:pPr>
        <w:spacing w:after="0" w:line="360" w:lineRule="auto"/>
        <w:ind w:firstLine="720"/>
        <w:jc w:val="both"/>
        <w:rPr>
          <w:rFonts w:ascii="Arial" w:hAnsi="Arial" w:cs="Arial"/>
          <w:sz w:val="24"/>
          <w:szCs w:val="24"/>
        </w:rPr>
      </w:pPr>
      <w:r w:rsidRPr="005D1FC7">
        <w:rPr>
          <w:rFonts w:ascii="Arial" w:hAnsi="Arial" w:cs="Arial"/>
          <w:sz w:val="24"/>
          <w:szCs w:val="24"/>
        </w:rPr>
        <w:t>The company operates under both Business-to-Consumer (B2C) and Business-to-Business (B2B) models. It delivers directly to supermarkets, cafes, and hospitality partners while interacting with end consumers on its digital channels. The unique business model of the firm prioritizes fair trading at source, circular packaging, and carbon-neutral operations emphasized by transparent supply chain management comprising community development.</w:t>
      </w:r>
    </w:p>
    <w:p w14:paraId="087A99F2" w14:textId="77777777" w:rsidR="005D1FC7" w:rsidRDefault="005D1FC7" w:rsidP="002B63C3">
      <w:pPr>
        <w:spacing w:after="0" w:line="360" w:lineRule="auto"/>
        <w:jc w:val="both"/>
        <w:rPr>
          <w:rFonts w:ascii="Arial" w:hAnsi="Arial" w:cs="Arial"/>
          <w:sz w:val="24"/>
          <w:szCs w:val="24"/>
          <w:lang w:val="en-US"/>
        </w:rPr>
      </w:pPr>
    </w:p>
    <w:p w14:paraId="30158A39" w14:textId="77777777" w:rsidR="002B63C3" w:rsidRDefault="002B63C3" w:rsidP="002B63C3">
      <w:pPr>
        <w:spacing w:after="0" w:line="360" w:lineRule="auto"/>
        <w:jc w:val="both"/>
        <w:rPr>
          <w:rFonts w:ascii="Arial" w:hAnsi="Arial" w:cs="Arial"/>
          <w:sz w:val="24"/>
          <w:szCs w:val="24"/>
          <w:lang w:val="en-US"/>
        </w:rPr>
      </w:pPr>
    </w:p>
    <w:p w14:paraId="28806240" w14:textId="77777777" w:rsidR="005D1FC7" w:rsidRDefault="005D1FC7" w:rsidP="002B63C3">
      <w:pPr>
        <w:spacing w:after="0" w:line="360" w:lineRule="auto"/>
        <w:jc w:val="both"/>
        <w:rPr>
          <w:rFonts w:ascii="Arial" w:hAnsi="Arial" w:cs="Arial"/>
          <w:sz w:val="24"/>
          <w:szCs w:val="24"/>
          <w:lang w:val="en-US"/>
        </w:rPr>
      </w:pPr>
    </w:p>
    <w:p w14:paraId="77446422" w14:textId="77777777" w:rsidR="005D1FC7" w:rsidRDefault="005D1FC7" w:rsidP="002B63C3">
      <w:pPr>
        <w:spacing w:after="0" w:line="360" w:lineRule="auto"/>
        <w:jc w:val="both"/>
        <w:rPr>
          <w:rFonts w:ascii="Arial" w:hAnsi="Arial" w:cs="Arial"/>
          <w:sz w:val="24"/>
          <w:szCs w:val="24"/>
          <w:lang w:val="en-US"/>
        </w:rPr>
      </w:pPr>
    </w:p>
    <w:p w14:paraId="5BDA3737" w14:textId="77777777" w:rsidR="005D1FC7" w:rsidRDefault="005D1FC7" w:rsidP="002B63C3">
      <w:pPr>
        <w:spacing w:after="0" w:line="360" w:lineRule="auto"/>
        <w:jc w:val="both"/>
        <w:rPr>
          <w:rFonts w:ascii="Arial" w:hAnsi="Arial" w:cs="Arial"/>
          <w:sz w:val="24"/>
          <w:szCs w:val="24"/>
          <w:lang w:val="en-US"/>
        </w:rPr>
      </w:pPr>
    </w:p>
    <w:p w14:paraId="56FE9F23" w14:textId="77777777" w:rsidR="005D1FC7" w:rsidRDefault="005D1FC7" w:rsidP="002B63C3">
      <w:pPr>
        <w:spacing w:after="0" w:line="360" w:lineRule="auto"/>
        <w:jc w:val="both"/>
        <w:rPr>
          <w:rFonts w:ascii="Arial" w:hAnsi="Arial" w:cs="Arial"/>
          <w:sz w:val="24"/>
          <w:szCs w:val="24"/>
          <w:lang w:val="en-US"/>
        </w:rPr>
      </w:pPr>
    </w:p>
    <w:p w14:paraId="0E8F1A5A" w14:textId="77777777" w:rsidR="005D1FC7" w:rsidRDefault="005D1FC7" w:rsidP="002B63C3">
      <w:pPr>
        <w:spacing w:after="0" w:line="360" w:lineRule="auto"/>
        <w:jc w:val="both"/>
        <w:rPr>
          <w:rFonts w:ascii="Arial" w:hAnsi="Arial" w:cs="Arial"/>
          <w:sz w:val="24"/>
          <w:szCs w:val="24"/>
          <w:lang w:val="en-US"/>
        </w:rPr>
      </w:pPr>
    </w:p>
    <w:p w14:paraId="04612814" w14:textId="77777777" w:rsidR="00505BC4" w:rsidRDefault="00505BC4" w:rsidP="002B63C3">
      <w:pPr>
        <w:spacing w:after="0" w:line="360" w:lineRule="auto"/>
        <w:jc w:val="both"/>
        <w:rPr>
          <w:rFonts w:ascii="Arial" w:hAnsi="Arial" w:cs="Arial"/>
          <w:sz w:val="24"/>
          <w:szCs w:val="24"/>
          <w:lang w:val="en-US"/>
        </w:rPr>
      </w:pPr>
    </w:p>
    <w:p w14:paraId="467863F0" w14:textId="77777777" w:rsidR="00505BC4" w:rsidRDefault="00505BC4" w:rsidP="002B63C3">
      <w:pPr>
        <w:spacing w:after="0" w:line="360" w:lineRule="auto"/>
        <w:jc w:val="both"/>
        <w:rPr>
          <w:rFonts w:ascii="Arial" w:hAnsi="Arial" w:cs="Arial"/>
          <w:sz w:val="24"/>
          <w:szCs w:val="24"/>
          <w:lang w:val="en-US"/>
        </w:rPr>
      </w:pPr>
    </w:p>
    <w:p w14:paraId="4D7245F5" w14:textId="77777777" w:rsidR="00505BC4" w:rsidRDefault="00505BC4" w:rsidP="002B63C3">
      <w:pPr>
        <w:spacing w:after="0" w:line="360" w:lineRule="auto"/>
        <w:jc w:val="both"/>
        <w:rPr>
          <w:rFonts w:ascii="Arial" w:hAnsi="Arial" w:cs="Arial"/>
          <w:sz w:val="24"/>
          <w:szCs w:val="24"/>
          <w:lang w:val="en-US"/>
        </w:rPr>
      </w:pPr>
    </w:p>
    <w:p w14:paraId="7CEA3C24" w14:textId="77777777" w:rsidR="00505BC4" w:rsidRDefault="00505BC4" w:rsidP="002B63C3">
      <w:pPr>
        <w:spacing w:after="0" w:line="360" w:lineRule="auto"/>
        <w:jc w:val="both"/>
        <w:rPr>
          <w:rFonts w:ascii="Arial" w:hAnsi="Arial" w:cs="Arial"/>
          <w:sz w:val="24"/>
          <w:szCs w:val="24"/>
          <w:lang w:val="en-US"/>
        </w:rPr>
      </w:pPr>
    </w:p>
    <w:p w14:paraId="6ECECD5F" w14:textId="77777777" w:rsidR="00505BC4" w:rsidRDefault="00505BC4" w:rsidP="002B63C3">
      <w:pPr>
        <w:spacing w:after="0" w:line="360" w:lineRule="auto"/>
        <w:jc w:val="both"/>
        <w:rPr>
          <w:rFonts w:ascii="Arial" w:hAnsi="Arial" w:cs="Arial"/>
          <w:sz w:val="24"/>
          <w:szCs w:val="24"/>
          <w:lang w:val="en-US"/>
        </w:rPr>
      </w:pPr>
    </w:p>
    <w:p w14:paraId="506CB8DB" w14:textId="77777777" w:rsidR="005D1FC7" w:rsidRPr="002B63C3" w:rsidRDefault="005D1FC7" w:rsidP="002B63C3">
      <w:pPr>
        <w:spacing w:after="0" w:line="360" w:lineRule="auto"/>
        <w:jc w:val="both"/>
        <w:rPr>
          <w:rFonts w:ascii="Arial" w:hAnsi="Arial" w:cs="Arial"/>
          <w:sz w:val="24"/>
          <w:szCs w:val="24"/>
          <w:lang w:val="en-US"/>
        </w:rPr>
      </w:pPr>
    </w:p>
    <w:p w14:paraId="7199E01E" w14:textId="33A8E9CA" w:rsidR="002B63C3" w:rsidRPr="005D1FC7" w:rsidRDefault="002B63C3" w:rsidP="005D1FC7">
      <w:pPr>
        <w:pStyle w:val="Heading1"/>
        <w:spacing w:before="0" w:after="0" w:line="360" w:lineRule="auto"/>
        <w:jc w:val="center"/>
        <w:rPr>
          <w:rFonts w:ascii="Arial" w:hAnsi="Arial" w:cs="Arial"/>
          <w:b/>
          <w:bCs/>
          <w:color w:val="000000" w:themeColor="text1"/>
          <w:sz w:val="24"/>
          <w:szCs w:val="24"/>
          <w:lang w:val="en-US"/>
        </w:rPr>
      </w:pPr>
      <w:bookmarkStart w:id="1" w:name="_Toc211933652"/>
      <w:r w:rsidRPr="005D1FC7">
        <w:rPr>
          <w:rFonts w:ascii="Arial" w:hAnsi="Arial" w:cs="Arial"/>
          <w:b/>
          <w:bCs/>
          <w:color w:val="000000" w:themeColor="text1"/>
          <w:sz w:val="24"/>
          <w:szCs w:val="24"/>
          <w:lang w:val="en-US"/>
        </w:rPr>
        <w:lastRenderedPageBreak/>
        <w:t>Strategic Direction and Goals</w:t>
      </w:r>
      <w:bookmarkEnd w:id="1"/>
    </w:p>
    <w:p w14:paraId="7A81F5F0" w14:textId="77777777" w:rsidR="002B63C3" w:rsidRDefault="002B63C3" w:rsidP="002B63C3">
      <w:pPr>
        <w:spacing w:after="0" w:line="360" w:lineRule="auto"/>
        <w:jc w:val="center"/>
        <w:rPr>
          <w:rFonts w:ascii="Arial" w:hAnsi="Arial" w:cs="Arial"/>
          <w:b/>
          <w:bCs/>
          <w:sz w:val="24"/>
          <w:szCs w:val="24"/>
          <w:lang w:val="en-US"/>
        </w:rPr>
      </w:pPr>
    </w:p>
    <w:p w14:paraId="29AD7011" w14:textId="77777777" w:rsidR="00D74091" w:rsidRDefault="00D74091" w:rsidP="00D74091">
      <w:pPr>
        <w:spacing w:after="0" w:line="360" w:lineRule="auto"/>
        <w:ind w:firstLine="720"/>
        <w:jc w:val="both"/>
        <w:rPr>
          <w:rFonts w:ascii="Arial" w:hAnsi="Arial" w:cs="Arial"/>
          <w:sz w:val="24"/>
          <w:szCs w:val="24"/>
        </w:rPr>
      </w:pPr>
      <w:r w:rsidRPr="00D74091">
        <w:rPr>
          <w:rFonts w:ascii="Arial" w:hAnsi="Arial" w:cs="Arial"/>
          <w:sz w:val="24"/>
          <w:szCs w:val="24"/>
        </w:rPr>
        <w:t>Innocent Drinks Ltd. has set its sustainability-based strategic direction, which also incorporates parameters of health and ethics, clearly and consciously. Its strategic objectives are articulated in its vision, mission, and core objectives that continuously reinforce the brand’s positioning as an ethical beverage company.</w:t>
      </w:r>
    </w:p>
    <w:p w14:paraId="4C7208E9" w14:textId="77777777" w:rsidR="00D74091" w:rsidRDefault="00D74091" w:rsidP="00D74091">
      <w:pPr>
        <w:spacing w:after="0" w:line="360" w:lineRule="auto"/>
        <w:ind w:firstLine="720"/>
        <w:jc w:val="both"/>
        <w:rPr>
          <w:rFonts w:ascii="Arial" w:hAnsi="Arial" w:cs="Arial"/>
          <w:sz w:val="24"/>
          <w:szCs w:val="24"/>
        </w:rPr>
      </w:pPr>
      <w:r w:rsidRPr="00D74091">
        <w:rPr>
          <w:rFonts w:ascii="Arial" w:hAnsi="Arial" w:cs="Arial"/>
          <w:sz w:val="24"/>
          <w:szCs w:val="24"/>
        </w:rPr>
        <w:t>Vision: To make natural healthy drinks that help people live well and that have a positive impact on the planet and on society.</w:t>
      </w:r>
    </w:p>
    <w:p w14:paraId="2EEBFBBA" w14:textId="77777777" w:rsidR="00D74091" w:rsidRDefault="00D74091" w:rsidP="00D74091">
      <w:pPr>
        <w:spacing w:after="0" w:line="360" w:lineRule="auto"/>
        <w:ind w:firstLine="720"/>
        <w:jc w:val="both"/>
        <w:rPr>
          <w:rFonts w:ascii="Arial" w:hAnsi="Arial" w:cs="Arial"/>
          <w:sz w:val="24"/>
          <w:szCs w:val="24"/>
        </w:rPr>
      </w:pPr>
      <w:r w:rsidRPr="00D74091">
        <w:rPr>
          <w:rFonts w:ascii="Arial" w:hAnsi="Arial" w:cs="Arial"/>
          <w:sz w:val="24"/>
          <w:szCs w:val="24"/>
        </w:rPr>
        <w:t>Mission: Easy access for consumers to naturally sourced products that help them maintain good health, added with new sustainability efforts and transparent operations leaving everything better than found.</w:t>
      </w:r>
    </w:p>
    <w:p w14:paraId="1F1C2AAD" w14:textId="77777777" w:rsidR="00D74091" w:rsidRDefault="00D74091" w:rsidP="00D74091">
      <w:pPr>
        <w:spacing w:after="0" w:line="360" w:lineRule="auto"/>
        <w:ind w:firstLine="720"/>
        <w:jc w:val="both"/>
        <w:rPr>
          <w:rFonts w:ascii="Arial" w:hAnsi="Arial" w:cs="Arial"/>
          <w:sz w:val="24"/>
          <w:szCs w:val="24"/>
        </w:rPr>
      </w:pPr>
      <w:r w:rsidRPr="00D74091">
        <w:rPr>
          <w:rFonts w:ascii="Arial" w:hAnsi="Arial" w:cs="Arial"/>
          <w:sz w:val="24"/>
          <w:szCs w:val="24"/>
        </w:rPr>
        <w:t>Strategy Objectives:</w:t>
      </w:r>
    </w:p>
    <w:p w14:paraId="673369E1" w14:textId="77777777" w:rsidR="00D74091" w:rsidRDefault="00D74091" w:rsidP="00D74091">
      <w:pPr>
        <w:spacing w:after="0" w:line="360" w:lineRule="auto"/>
        <w:ind w:firstLine="720"/>
        <w:jc w:val="both"/>
        <w:rPr>
          <w:rFonts w:ascii="Arial" w:hAnsi="Arial" w:cs="Arial"/>
          <w:sz w:val="24"/>
          <w:szCs w:val="24"/>
        </w:rPr>
      </w:pPr>
      <w:r w:rsidRPr="00D74091">
        <w:rPr>
          <w:rFonts w:ascii="Arial" w:hAnsi="Arial" w:cs="Arial"/>
          <w:sz w:val="24"/>
          <w:szCs w:val="24"/>
        </w:rPr>
        <w:t>Net-zero carbon emissions by 2030 through renewable energy and minimal waste with circular packaging.</w:t>
      </w:r>
    </w:p>
    <w:p w14:paraId="40FDEC2E" w14:textId="77777777" w:rsidR="00D74091" w:rsidRDefault="00D74091" w:rsidP="00D74091">
      <w:pPr>
        <w:spacing w:after="0" w:line="360" w:lineRule="auto"/>
        <w:ind w:firstLine="720"/>
        <w:jc w:val="both"/>
        <w:rPr>
          <w:rFonts w:ascii="Arial" w:hAnsi="Arial" w:cs="Arial"/>
          <w:sz w:val="24"/>
          <w:szCs w:val="24"/>
        </w:rPr>
      </w:pPr>
      <w:r w:rsidRPr="00D74091">
        <w:rPr>
          <w:rFonts w:ascii="Arial" w:hAnsi="Arial" w:cs="Arial"/>
          <w:sz w:val="24"/>
          <w:szCs w:val="24"/>
        </w:rPr>
        <w:t>Increase international market share across Europe and selected global regions while maintaining a responsible supply chain.</w:t>
      </w:r>
    </w:p>
    <w:p w14:paraId="3992F701" w14:textId="77777777" w:rsidR="00D74091" w:rsidRDefault="00D74091" w:rsidP="00D74091">
      <w:pPr>
        <w:spacing w:after="0" w:line="360" w:lineRule="auto"/>
        <w:ind w:firstLine="720"/>
        <w:jc w:val="both"/>
        <w:rPr>
          <w:rFonts w:ascii="Arial" w:hAnsi="Arial" w:cs="Arial"/>
          <w:sz w:val="24"/>
          <w:szCs w:val="24"/>
        </w:rPr>
      </w:pPr>
      <w:r w:rsidRPr="00D74091">
        <w:rPr>
          <w:rFonts w:ascii="Arial" w:hAnsi="Arial" w:cs="Arial"/>
          <w:sz w:val="24"/>
          <w:szCs w:val="24"/>
        </w:rPr>
        <w:t>Diversity in the product portfolio into functional and plant-based nutrition addressing new wellness trends.</w:t>
      </w:r>
    </w:p>
    <w:p w14:paraId="705449C4" w14:textId="77777777" w:rsidR="00D74091" w:rsidRDefault="00D74091" w:rsidP="00D74091">
      <w:pPr>
        <w:spacing w:after="0" w:line="360" w:lineRule="auto"/>
        <w:ind w:firstLine="720"/>
        <w:jc w:val="both"/>
        <w:rPr>
          <w:rFonts w:ascii="Arial" w:hAnsi="Arial" w:cs="Arial"/>
          <w:sz w:val="24"/>
          <w:szCs w:val="24"/>
        </w:rPr>
      </w:pPr>
      <w:r w:rsidRPr="00D74091">
        <w:rPr>
          <w:rFonts w:ascii="Arial" w:hAnsi="Arial" w:cs="Arial"/>
          <w:sz w:val="24"/>
          <w:szCs w:val="24"/>
        </w:rPr>
        <w:t>Use digital technologies for visibility in the supply chain, transparency programs, customer interaction, and data-driven decision-making.</w:t>
      </w:r>
    </w:p>
    <w:p w14:paraId="6EDF96DD" w14:textId="77777777" w:rsidR="00D74091" w:rsidRDefault="00D74091" w:rsidP="00D74091">
      <w:pPr>
        <w:spacing w:after="0" w:line="360" w:lineRule="auto"/>
        <w:ind w:firstLine="720"/>
        <w:jc w:val="both"/>
        <w:rPr>
          <w:rFonts w:ascii="Arial" w:hAnsi="Arial" w:cs="Arial"/>
          <w:sz w:val="24"/>
          <w:szCs w:val="24"/>
        </w:rPr>
      </w:pPr>
      <w:r w:rsidRPr="00D74091">
        <w:rPr>
          <w:rFonts w:ascii="Arial" w:hAnsi="Arial" w:cs="Arial"/>
          <w:sz w:val="24"/>
          <w:szCs w:val="24"/>
        </w:rPr>
        <w:t>Develop an inclusive and purpose-driven organisational culture to maintain employees’ sustainability goals.</w:t>
      </w:r>
    </w:p>
    <w:p w14:paraId="0B7E33DC" w14:textId="77777777" w:rsidR="00D74091" w:rsidRDefault="00D74091" w:rsidP="00D74091">
      <w:pPr>
        <w:spacing w:after="0" w:line="360" w:lineRule="auto"/>
        <w:ind w:firstLine="720"/>
        <w:jc w:val="both"/>
        <w:rPr>
          <w:rFonts w:ascii="Arial" w:hAnsi="Arial" w:cs="Arial"/>
          <w:sz w:val="24"/>
          <w:szCs w:val="24"/>
        </w:rPr>
      </w:pPr>
      <w:r w:rsidRPr="00D74091">
        <w:rPr>
          <w:rFonts w:ascii="Arial" w:hAnsi="Arial" w:cs="Arial"/>
          <w:sz w:val="24"/>
          <w:szCs w:val="24"/>
        </w:rPr>
        <w:t>Innocent maintains real strategic direction: meanwhile emphasising its real links with large conglomerates such as The Coca-Cola Company, which owns it and provides financial backing but lets it operate independently (Grant, 2019). The firm’s strategy focuses on sustaining something close to real while leveraging digital innovation and new sustainable ways of production to outcompete big competitors like PepsiCo and Tropicana.</w:t>
      </w:r>
    </w:p>
    <w:p w14:paraId="76525B2C" w14:textId="77777777" w:rsidR="002B63C3" w:rsidRDefault="002B63C3" w:rsidP="00D74091">
      <w:pPr>
        <w:spacing w:after="0" w:line="360" w:lineRule="auto"/>
        <w:rPr>
          <w:rFonts w:ascii="Arial" w:hAnsi="Arial" w:cs="Arial"/>
          <w:sz w:val="24"/>
          <w:szCs w:val="24"/>
        </w:rPr>
      </w:pPr>
    </w:p>
    <w:p w14:paraId="1C9682B8" w14:textId="77777777" w:rsidR="00505BC4" w:rsidRDefault="00505BC4" w:rsidP="00D74091">
      <w:pPr>
        <w:spacing w:after="0" w:line="360" w:lineRule="auto"/>
        <w:rPr>
          <w:rFonts w:ascii="Arial" w:hAnsi="Arial" w:cs="Arial"/>
          <w:sz w:val="24"/>
          <w:szCs w:val="24"/>
          <w:lang w:val="en-US"/>
        </w:rPr>
      </w:pPr>
    </w:p>
    <w:p w14:paraId="168A081C" w14:textId="0CB4276A" w:rsidR="002B63C3" w:rsidRPr="00505BC4" w:rsidRDefault="002B63C3" w:rsidP="00505BC4">
      <w:pPr>
        <w:pStyle w:val="Heading1"/>
        <w:spacing w:before="0" w:after="0" w:line="360" w:lineRule="auto"/>
        <w:jc w:val="center"/>
        <w:rPr>
          <w:rFonts w:ascii="Arial" w:hAnsi="Arial" w:cs="Arial"/>
          <w:b/>
          <w:bCs/>
          <w:color w:val="000000" w:themeColor="text1"/>
          <w:sz w:val="24"/>
          <w:szCs w:val="24"/>
          <w:lang w:val="en-US"/>
        </w:rPr>
      </w:pPr>
      <w:bookmarkStart w:id="2" w:name="_Toc211933653"/>
      <w:r w:rsidRPr="00505BC4">
        <w:rPr>
          <w:rFonts w:ascii="Arial" w:hAnsi="Arial" w:cs="Arial"/>
          <w:b/>
          <w:bCs/>
          <w:color w:val="000000" w:themeColor="text1"/>
          <w:sz w:val="24"/>
          <w:szCs w:val="24"/>
          <w:lang w:val="en-US"/>
        </w:rPr>
        <w:lastRenderedPageBreak/>
        <w:t>Internal Environmental Analysis</w:t>
      </w:r>
      <w:bookmarkEnd w:id="2"/>
    </w:p>
    <w:p w14:paraId="6329B27B" w14:textId="77777777" w:rsidR="00D74091" w:rsidRDefault="00D74091" w:rsidP="002B63C3">
      <w:pPr>
        <w:spacing w:after="0" w:line="360" w:lineRule="auto"/>
        <w:jc w:val="both"/>
        <w:rPr>
          <w:rFonts w:ascii="Arial" w:hAnsi="Arial" w:cs="Arial"/>
          <w:b/>
          <w:bCs/>
          <w:sz w:val="24"/>
          <w:szCs w:val="24"/>
          <w:lang w:val="en-US"/>
        </w:rPr>
      </w:pPr>
    </w:p>
    <w:p w14:paraId="4865E540" w14:textId="2E67E785" w:rsidR="002B63C3" w:rsidRPr="00D74091" w:rsidRDefault="002B63C3" w:rsidP="00D74091">
      <w:pPr>
        <w:spacing w:after="0" w:line="360" w:lineRule="auto"/>
        <w:ind w:firstLine="720"/>
        <w:jc w:val="both"/>
        <w:rPr>
          <w:rFonts w:ascii="Arial" w:hAnsi="Arial" w:cs="Arial"/>
          <w:b/>
          <w:bCs/>
          <w:i/>
          <w:iCs/>
          <w:sz w:val="24"/>
          <w:szCs w:val="24"/>
          <w:lang w:val="en-US"/>
        </w:rPr>
      </w:pPr>
      <w:r w:rsidRPr="00D74091">
        <w:rPr>
          <w:rFonts w:ascii="Arial" w:hAnsi="Arial" w:cs="Arial"/>
          <w:b/>
          <w:bCs/>
          <w:i/>
          <w:iCs/>
          <w:sz w:val="24"/>
          <w:szCs w:val="24"/>
          <w:lang w:val="en-US"/>
        </w:rPr>
        <w:t>SWOT and Value Chain Analysis</w:t>
      </w:r>
    </w:p>
    <w:p w14:paraId="76951BDA" w14:textId="77777777" w:rsidR="00D74091" w:rsidRDefault="00D74091" w:rsidP="00D74091">
      <w:pPr>
        <w:spacing w:after="0" w:line="360" w:lineRule="auto"/>
        <w:ind w:firstLine="720"/>
        <w:jc w:val="both"/>
        <w:rPr>
          <w:rFonts w:ascii="Arial" w:hAnsi="Arial" w:cs="Arial"/>
          <w:sz w:val="24"/>
          <w:szCs w:val="24"/>
        </w:rPr>
      </w:pPr>
      <w:r w:rsidRPr="00D74091">
        <w:rPr>
          <w:rFonts w:ascii="Arial" w:hAnsi="Arial" w:cs="Arial"/>
          <w:sz w:val="24"/>
          <w:szCs w:val="24"/>
        </w:rPr>
        <w:t>Innocent Drinks has an internally well-aligned brand purpose supported by operational excellence and a strong ethical reputation. Its core strengths, internal challenges, and operational competencies that provide it with a competitive advantage can be understood using the SWOT and Value Chain frameworks.</w:t>
      </w:r>
    </w:p>
    <w:p w14:paraId="01F00814" w14:textId="77777777" w:rsidR="00D74091" w:rsidRDefault="00D74091" w:rsidP="00D74091">
      <w:pPr>
        <w:spacing w:after="0" w:line="360" w:lineRule="auto"/>
        <w:ind w:firstLine="720"/>
        <w:jc w:val="both"/>
        <w:rPr>
          <w:rFonts w:ascii="Arial" w:hAnsi="Arial" w:cs="Arial"/>
          <w:sz w:val="24"/>
          <w:szCs w:val="24"/>
        </w:rPr>
      </w:pPr>
      <w:r w:rsidRPr="00D74091">
        <w:rPr>
          <w:rFonts w:ascii="Arial" w:hAnsi="Arial" w:cs="Arial"/>
          <w:sz w:val="24"/>
          <w:szCs w:val="24"/>
        </w:rPr>
        <w:t>Strengths: The primary strength of Innocent lies in building its highly ethical brand. The reputation for its natural products and sustainability with transparent sourcing has created exceptional trust among consumers (Kotler and Keller, 2022). It enjoys financial stability because it is owned by Coca-Cola, which gives it international distribution access and economies of scale while keeping the brand independent. Innovation capability-innocent’s R&amp;D teams continuously come up with new plant-based and functional beverages parallel to health trends. Its “Earth-friendly” production facility in Rotterdam powered by renewable energy further enhances the company’s leadership role in sustainable manufacturing (Tidd and Bessant, 2021).</w:t>
      </w:r>
    </w:p>
    <w:p w14:paraId="47F9474B" w14:textId="77777777" w:rsidR="00D74091" w:rsidRDefault="00D74091" w:rsidP="00D74091">
      <w:pPr>
        <w:spacing w:after="0" w:line="360" w:lineRule="auto"/>
        <w:ind w:firstLine="720"/>
        <w:jc w:val="both"/>
        <w:rPr>
          <w:rFonts w:ascii="Arial" w:hAnsi="Arial" w:cs="Arial"/>
          <w:sz w:val="24"/>
          <w:szCs w:val="24"/>
        </w:rPr>
      </w:pPr>
      <w:r w:rsidRPr="00D74091">
        <w:rPr>
          <w:rFonts w:ascii="Arial" w:hAnsi="Arial" w:cs="Arial"/>
          <w:sz w:val="24"/>
          <w:szCs w:val="24"/>
        </w:rPr>
        <w:t>Weaknesses: Even though the brand is successful, Innocent remains highly dependent on the European markets. It has not diversified its market into high-growth regions such as Asia-Pacific. Cost increases of renewable packaging and organic supply constrain margins (Grant, 2019). As an SME subsidiary, it still faces limited flexibility in long-term investment decisions compared with fully independent firms.</w:t>
      </w:r>
    </w:p>
    <w:p w14:paraId="77A91C58" w14:textId="0829D5BC" w:rsidR="00D74091" w:rsidRDefault="00D74091" w:rsidP="00D74091">
      <w:pPr>
        <w:spacing w:after="0" w:line="360" w:lineRule="auto"/>
        <w:ind w:firstLine="720"/>
        <w:jc w:val="both"/>
        <w:rPr>
          <w:rFonts w:ascii="Arial" w:hAnsi="Arial" w:cs="Arial"/>
          <w:sz w:val="24"/>
          <w:szCs w:val="24"/>
        </w:rPr>
      </w:pPr>
      <w:r w:rsidRPr="00D74091">
        <w:rPr>
          <w:rFonts w:ascii="Arial" w:hAnsi="Arial" w:cs="Arial"/>
          <w:sz w:val="24"/>
          <w:szCs w:val="24"/>
        </w:rPr>
        <w:t>Opportunities: Huge opportunities lie in digitalization—operational agility through data-driven supply chain optimization, blockchain traceability, and artificial intelligence consumer insight tools. A path to develop new products is provided by growing demand for functional nutrition and plant-based diets.</w:t>
      </w:r>
    </w:p>
    <w:p w14:paraId="43C86E0D" w14:textId="76E9853B" w:rsidR="002B63C3" w:rsidRDefault="00D74091" w:rsidP="00D74091">
      <w:pPr>
        <w:spacing w:after="0" w:line="360" w:lineRule="auto"/>
        <w:ind w:firstLine="720"/>
        <w:jc w:val="both"/>
        <w:rPr>
          <w:rFonts w:ascii="Arial" w:hAnsi="Arial" w:cs="Arial"/>
          <w:sz w:val="24"/>
          <w:szCs w:val="24"/>
        </w:rPr>
      </w:pPr>
      <w:r w:rsidRPr="00D74091">
        <w:rPr>
          <w:rFonts w:ascii="Arial" w:hAnsi="Arial" w:cs="Arial"/>
          <w:sz w:val="24"/>
          <w:szCs w:val="24"/>
        </w:rPr>
        <w:t xml:space="preserve">Threats: Competitors such as Tropicana, Naked Juice, and Pret </w:t>
      </w:r>
      <w:proofErr w:type="gramStart"/>
      <w:r w:rsidRPr="00D74091">
        <w:rPr>
          <w:rFonts w:ascii="Arial" w:hAnsi="Arial" w:cs="Arial"/>
          <w:sz w:val="24"/>
          <w:szCs w:val="24"/>
        </w:rPr>
        <w:t>A</w:t>
      </w:r>
      <w:proofErr w:type="gramEnd"/>
      <w:r w:rsidRPr="00D74091">
        <w:rPr>
          <w:rFonts w:ascii="Arial" w:hAnsi="Arial" w:cs="Arial"/>
          <w:sz w:val="24"/>
          <w:szCs w:val="24"/>
        </w:rPr>
        <w:t xml:space="preserve"> Manger are quickly increasing their lines of sustainable and vegan products to intensify the market rivalry (Hill et al., 2021). Moreover, economic instability and increasing prices of raw materials constantly threaten its profitability.</w:t>
      </w:r>
    </w:p>
    <w:p w14:paraId="2E8AE2AA" w14:textId="77777777" w:rsidR="00D74091" w:rsidRDefault="00D74091" w:rsidP="002B63C3">
      <w:pPr>
        <w:spacing w:after="0" w:line="360" w:lineRule="auto"/>
        <w:jc w:val="both"/>
        <w:rPr>
          <w:rFonts w:ascii="Arial" w:hAnsi="Arial" w:cs="Arial"/>
          <w:sz w:val="24"/>
          <w:szCs w:val="24"/>
          <w:lang w:val="en-US"/>
        </w:rPr>
      </w:pPr>
    </w:p>
    <w:p w14:paraId="044F986B" w14:textId="77777777" w:rsidR="00505BC4" w:rsidRDefault="00505BC4" w:rsidP="002B63C3">
      <w:pPr>
        <w:spacing w:after="0" w:line="360" w:lineRule="auto"/>
        <w:jc w:val="both"/>
        <w:rPr>
          <w:rFonts w:ascii="Arial" w:hAnsi="Arial" w:cs="Arial"/>
          <w:sz w:val="24"/>
          <w:szCs w:val="24"/>
          <w:lang w:val="en-US"/>
        </w:rPr>
      </w:pPr>
    </w:p>
    <w:p w14:paraId="4454FA14" w14:textId="7658B298" w:rsidR="002B63C3" w:rsidRPr="00D74091" w:rsidRDefault="002B63C3" w:rsidP="00D74091">
      <w:pPr>
        <w:spacing w:after="0" w:line="360" w:lineRule="auto"/>
        <w:ind w:firstLine="720"/>
        <w:jc w:val="both"/>
        <w:rPr>
          <w:rFonts w:ascii="Arial" w:hAnsi="Arial" w:cs="Arial"/>
          <w:b/>
          <w:bCs/>
          <w:i/>
          <w:iCs/>
          <w:sz w:val="24"/>
          <w:szCs w:val="24"/>
          <w:lang w:val="en-US"/>
        </w:rPr>
      </w:pPr>
      <w:r w:rsidRPr="00D74091">
        <w:rPr>
          <w:rFonts w:ascii="Arial" w:hAnsi="Arial" w:cs="Arial"/>
          <w:b/>
          <w:bCs/>
          <w:i/>
          <w:iCs/>
          <w:sz w:val="24"/>
          <w:szCs w:val="24"/>
          <w:lang w:val="en-US"/>
        </w:rPr>
        <w:lastRenderedPageBreak/>
        <w:t>Value Chain Analysis</w:t>
      </w:r>
    </w:p>
    <w:p w14:paraId="6519A2B9" w14:textId="77777777" w:rsidR="00D74091" w:rsidRDefault="00D74091" w:rsidP="00D74091">
      <w:pPr>
        <w:spacing w:after="0" w:line="360" w:lineRule="auto"/>
        <w:ind w:firstLine="720"/>
        <w:jc w:val="both"/>
        <w:rPr>
          <w:rFonts w:ascii="Arial" w:hAnsi="Arial" w:cs="Arial"/>
          <w:sz w:val="24"/>
          <w:szCs w:val="24"/>
        </w:rPr>
      </w:pPr>
      <w:r w:rsidRPr="00D74091">
        <w:rPr>
          <w:rFonts w:ascii="Arial" w:hAnsi="Arial" w:cs="Arial"/>
          <w:sz w:val="24"/>
          <w:szCs w:val="24"/>
        </w:rPr>
        <w:t xml:space="preserve">According to Porter’s Value Chain, Innocent delivers added value through innovation, ethical sourcing, and authentic marketing. </w:t>
      </w:r>
    </w:p>
    <w:p w14:paraId="5B6C4F87" w14:textId="5667BF10" w:rsidR="00D74091" w:rsidRDefault="00D74091" w:rsidP="00D74091">
      <w:pPr>
        <w:spacing w:after="0" w:line="360" w:lineRule="auto"/>
        <w:ind w:firstLine="720"/>
        <w:jc w:val="both"/>
        <w:rPr>
          <w:rFonts w:ascii="Arial" w:hAnsi="Arial" w:cs="Arial"/>
          <w:sz w:val="24"/>
          <w:szCs w:val="24"/>
        </w:rPr>
      </w:pPr>
      <w:r w:rsidRPr="00D74091">
        <w:rPr>
          <w:rFonts w:ascii="Arial" w:hAnsi="Arial" w:cs="Arial"/>
          <w:sz w:val="24"/>
          <w:szCs w:val="24"/>
        </w:rPr>
        <w:t xml:space="preserve">Inbound Logistics: Supplier partnerships guarantee steady reliable supply of fruit and other materials that can be traced back to their ethical sources. </w:t>
      </w:r>
    </w:p>
    <w:p w14:paraId="120312AF" w14:textId="77777777" w:rsidR="00D74091" w:rsidRDefault="00D74091" w:rsidP="00D74091">
      <w:pPr>
        <w:spacing w:after="0" w:line="360" w:lineRule="auto"/>
        <w:ind w:firstLine="720"/>
        <w:jc w:val="both"/>
        <w:rPr>
          <w:rFonts w:ascii="Arial" w:hAnsi="Arial" w:cs="Arial"/>
          <w:sz w:val="24"/>
          <w:szCs w:val="24"/>
        </w:rPr>
      </w:pPr>
      <w:r w:rsidRPr="00D74091">
        <w:rPr>
          <w:rFonts w:ascii="Arial" w:hAnsi="Arial" w:cs="Arial"/>
          <w:sz w:val="24"/>
          <w:szCs w:val="24"/>
        </w:rPr>
        <w:t xml:space="preserve">Operations: Rotterdam plant runs on renewable energy while also implementing efficient water usage systems hence low carbon intensity. Outbound Logistics: Integration with Coca-Cola’s network ensures availability all over Europe. </w:t>
      </w:r>
    </w:p>
    <w:p w14:paraId="29D9B72F" w14:textId="77777777" w:rsidR="00D74091" w:rsidRDefault="00D74091" w:rsidP="00D74091">
      <w:pPr>
        <w:spacing w:after="0" w:line="360" w:lineRule="auto"/>
        <w:ind w:firstLine="720"/>
        <w:jc w:val="both"/>
        <w:rPr>
          <w:rFonts w:ascii="Arial" w:hAnsi="Arial" w:cs="Arial"/>
          <w:sz w:val="24"/>
          <w:szCs w:val="24"/>
        </w:rPr>
      </w:pPr>
      <w:r w:rsidRPr="00D74091">
        <w:rPr>
          <w:rFonts w:ascii="Arial" w:hAnsi="Arial" w:cs="Arial"/>
          <w:sz w:val="24"/>
          <w:szCs w:val="24"/>
        </w:rPr>
        <w:t>Marketing and Sales: Storytelling campaigns for example ‘Tastes Good, Does Good’ increase consumer attachment fostering loyalty (Kotler and Keller 2022).</w:t>
      </w:r>
    </w:p>
    <w:p w14:paraId="3D45E4A4" w14:textId="77777777" w:rsidR="00D74091" w:rsidRDefault="00D74091" w:rsidP="00D74091">
      <w:pPr>
        <w:spacing w:after="0" w:line="360" w:lineRule="auto"/>
        <w:ind w:firstLine="720"/>
        <w:jc w:val="both"/>
        <w:rPr>
          <w:rFonts w:ascii="Arial" w:hAnsi="Arial" w:cs="Arial"/>
          <w:sz w:val="24"/>
          <w:szCs w:val="24"/>
        </w:rPr>
      </w:pPr>
      <w:r w:rsidRPr="00D74091">
        <w:rPr>
          <w:rFonts w:ascii="Arial" w:hAnsi="Arial" w:cs="Arial"/>
          <w:sz w:val="24"/>
          <w:szCs w:val="24"/>
        </w:rPr>
        <w:t>Service: Social media engagement and sustainability transparency strengthen post-purchase satisfaction.</w:t>
      </w:r>
    </w:p>
    <w:p w14:paraId="53FE1B3C" w14:textId="77777777" w:rsidR="00D74091" w:rsidRDefault="00D74091" w:rsidP="00D74091">
      <w:pPr>
        <w:spacing w:after="0" w:line="360" w:lineRule="auto"/>
        <w:ind w:firstLine="720"/>
        <w:jc w:val="both"/>
        <w:rPr>
          <w:rFonts w:ascii="Arial" w:hAnsi="Arial" w:cs="Arial"/>
          <w:sz w:val="24"/>
          <w:szCs w:val="24"/>
        </w:rPr>
      </w:pPr>
      <w:r w:rsidRPr="00D74091">
        <w:rPr>
          <w:rFonts w:ascii="Arial" w:hAnsi="Arial" w:cs="Arial"/>
          <w:sz w:val="24"/>
          <w:szCs w:val="24"/>
        </w:rPr>
        <w:t xml:space="preserve">Support Activities - Value-adding activities, among which the HR function counts as knowledge work, and innovation through research and development digital systems are at the core of strengthening. </w:t>
      </w:r>
    </w:p>
    <w:p w14:paraId="632B7955" w14:textId="3D612CBD" w:rsidR="002B63C3" w:rsidRDefault="00D74091" w:rsidP="00D74091">
      <w:pPr>
        <w:spacing w:after="0" w:line="360" w:lineRule="auto"/>
        <w:ind w:firstLine="720"/>
        <w:jc w:val="both"/>
        <w:rPr>
          <w:rFonts w:ascii="Arial" w:hAnsi="Arial" w:cs="Arial"/>
          <w:sz w:val="24"/>
          <w:szCs w:val="24"/>
        </w:rPr>
      </w:pPr>
      <w:r w:rsidRPr="00D74091">
        <w:rPr>
          <w:rFonts w:ascii="Arial" w:hAnsi="Arial" w:cs="Arial"/>
          <w:sz w:val="24"/>
          <w:szCs w:val="24"/>
        </w:rPr>
        <w:t>Agility can be further enhanced by starting to adopt data analytics, automation, and artificial intelligence innocently across the organization. Therefore, by outlining its value chain as a producer of good ethics with strong brands built on differentiation through added values that must now scale up digitally just to stay comparable.</w:t>
      </w:r>
    </w:p>
    <w:p w14:paraId="56935B3C" w14:textId="77777777" w:rsidR="00D74091" w:rsidRDefault="00D74091" w:rsidP="002B63C3">
      <w:pPr>
        <w:spacing w:after="0" w:line="360" w:lineRule="auto"/>
        <w:jc w:val="center"/>
        <w:rPr>
          <w:rFonts w:ascii="Arial" w:hAnsi="Arial" w:cs="Arial"/>
          <w:sz w:val="24"/>
          <w:szCs w:val="24"/>
          <w:lang w:val="en-US"/>
        </w:rPr>
      </w:pPr>
    </w:p>
    <w:p w14:paraId="1E03C9AD" w14:textId="43E6E752" w:rsidR="002B63C3" w:rsidRPr="00505BC4" w:rsidRDefault="002B63C3" w:rsidP="00505BC4">
      <w:pPr>
        <w:pStyle w:val="Heading1"/>
        <w:spacing w:before="0" w:after="0" w:line="360" w:lineRule="auto"/>
        <w:jc w:val="center"/>
        <w:rPr>
          <w:rFonts w:ascii="Arial" w:hAnsi="Arial" w:cs="Arial"/>
          <w:b/>
          <w:bCs/>
          <w:color w:val="000000" w:themeColor="text1"/>
          <w:sz w:val="24"/>
          <w:szCs w:val="24"/>
          <w:lang w:val="en-US"/>
        </w:rPr>
      </w:pPr>
      <w:bookmarkStart w:id="3" w:name="_Toc211933654"/>
      <w:r w:rsidRPr="00505BC4">
        <w:rPr>
          <w:rFonts w:ascii="Arial" w:hAnsi="Arial" w:cs="Arial"/>
          <w:b/>
          <w:bCs/>
          <w:color w:val="000000" w:themeColor="text1"/>
          <w:sz w:val="24"/>
          <w:szCs w:val="24"/>
          <w:lang w:val="en-US"/>
        </w:rPr>
        <w:t>External Environmental Analysis</w:t>
      </w:r>
      <w:bookmarkEnd w:id="3"/>
    </w:p>
    <w:p w14:paraId="4E358058" w14:textId="77777777" w:rsidR="00D74091" w:rsidRPr="002B63C3" w:rsidRDefault="00D74091" w:rsidP="002B63C3">
      <w:pPr>
        <w:spacing w:after="0" w:line="360" w:lineRule="auto"/>
        <w:jc w:val="center"/>
        <w:rPr>
          <w:rFonts w:ascii="Arial" w:hAnsi="Arial" w:cs="Arial"/>
          <w:b/>
          <w:bCs/>
          <w:sz w:val="24"/>
          <w:szCs w:val="24"/>
          <w:lang w:val="en-US"/>
        </w:rPr>
      </w:pPr>
    </w:p>
    <w:p w14:paraId="35361DA2" w14:textId="7C73E069" w:rsidR="002B63C3" w:rsidRPr="00D74091" w:rsidRDefault="002B63C3" w:rsidP="00D74091">
      <w:pPr>
        <w:spacing w:after="0" w:line="360" w:lineRule="auto"/>
        <w:ind w:firstLine="720"/>
        <w:jc w:val="both"/>
        <w:rPr>
          <w:rFonts w:ascii="Arial" w:hAnsi="Arial" w:cs="Arial"/>
          <w:b/>
          <w:bCs/>
          <w:i/>
          <w:iCs/>
          <w:sz w:val="24"/>
          <w:szCs w:val="24"/>
          <w:lang w:val="en-US"/>
        </w:rPr>
      </w:pPr>
      <w:r w:rsidRPr="00D74091">
        <w:rPr>
          <w:rFonts w:ascii="Arial" w:hAnsi="Arial" w:cs="Arial"/>
          <w:b/>
          <w:bCs/>
          <w:i/>
          <w:iCs/>
          <w:sz w:val="24"/>
          <w:szCs w:val="24"/>
          <w:lang w:val="en-US"/>
        </w:rPr>
        <w:t>PESTEL Analysis</w:t>
      </w:r>
    </w:p>
    <w:p w14:paraId="0B2BBBE5" w14:textId="77777777" w:rsidR="00D74091" w:rsidRDefault="00D74091" w:rsidP="00D74091">
      <w:pPr>
        <w:spacing w:after="0" w:line="360" w:lineRule="auto"/>
        <w:ind w:firstLine="720"/>
        <w:jc w:val="both"/>
        <w:rPr>
          <w:rFonts w:ascii="Arial" w:hAnsi="Arial" w:cs="Arial"/>
          <w:sz w:val="24"/>
          <w:szCs w:val="24"/>
        </w:rPr>
      </w:pPr>
      <w:r w:rsidRPr="00D74091">
        <w:rPr>
          <w:rFonts w:ascii="Arial" w:hAnsi="Arial" w:cs="Arial"/>
          <w:sz w:val="24"/>
          <w:szCs w:val="24"/>
        </w:rPr>
        <w:t>Political: Innocent encounters government regulations on sustainability and packaging waste, largely under the UK’s Extended Producer Responsibility (EPR) scheme and in the plastic directives of the EU. Post-Brexit trade complexities also affect its sourcing costs and logistics (Grant, 2019). Meanwhile, green policy provides funding opportunities for innovation as long as such low-carbon manufacturing happens (Hill et al., 2021).</w:t>
      </w:r>
    </w:p>
    <w:p w14:paraId="4C103276" w14:textId="77777777" w:rsidR="00D74091" w:rsidRDefault="00D74091" w:rsidP="00D74091">
      <w:pPr>
        <w:spacing w:after="0" w:line="360" w:lineRule="auto"/>
        <w:ind w:firstLine="720"/>
        <w:jc w:val="both"/>
        <w:rPr>
          <w:rFonts w:ascii="Arial" w:hAnsi="Arial" w:cs="Arial"/>
          <w:sz w:val="24"/>
          <w:szCs w:val="24"/>
        </w:rPr>
      </w:pPr>
      <w:r w:rsidRPr="00D74091">
        <w:rPr>
          <w:rFonts w:ascii="Arial" w:hAnsi="Arial" w:cs="Arial"/>
          <w:sz w:val="24"/>
          <w:szCs w:val="24"/>
        </w:rPr>
        <w:t>Economic</w:t>
      </w:r>
      <w:r>
        <w:rPr>
          <w:rFonts w:ascii="Arial" w:hAnsi="Arial" w:cs="Arial"/>
          <w:sz w:val="24"/>
          <w:szCs w:val="24"/>
        </w:rPr>
        <w:t>:</w:t>
      </w:r>
      <w:r w:rsidRPr="00D74091">
        <w:rPr>
          <w:rFonts w:ascii="Arial" w:hAnsi="Arial" w:cs="Arial"/>
          <w:sz w:val="24"/>
          <w:szCs w:val="24"/>
        </w:rPr>
        <w:t xml:space="preserve"> Inflationary pressures, disruptions in global supply chains, and the upward and downward trends of costs for raw materials all erode profitability. However, </w:t>
      </w:r>
      <w:r w:rsidRPr="00D74091">
        <w:rPr>
          <w:rFonts w:ascii="Arial" w:hAnsi="Arial" w:cs="Arial"/>
          <w:sz w:val="24"/>
          <w:szCs w:val="24"/>
        </w:rPr>
        <w:lastRenderedPageBreak/>
        <w:t xml:space="preserve">the market of health and wellness beverages is projected to continue growing steadily worldwide hence potential growth opportunities (Kotler and Keller, 2022). </w:t>
      </w:r>
    </w:p>
    <w:p w14:paraId="0FE226B9" w14:textId="7B440213" w:rsidR="00D74091" w:rsidRDefault="00D74091" w:rsidP="00D74091">
      <w:pPr>
        <w:spacing w:after="0" w:line="360" w:lineRule="auto"/>
        <w:ind w:firstLine="720"/>
        <w:jc w:val="both"/>
        <w:rPr>
          <w:rFonts w:ascii="Arial" w:hAnsi="Arial" w:cs="Arial"/>
          <w:sz w:val="24"/>
          <w:szCs w:val="24"/>
        </w:rPr>
      </w:pPr>
      <w:r w:rsidRPr="00D74091">
        <w:rPr>
          <w:rFonts w:ascii="Arial" w:hAnsi="Arial" w:cs="Arial"/>
          <w:sz w:val="24"/>
          <w:szCs w:val="24"/>
        </w:rPr>
        <w:t>Social</w:t>
      </w:r>
      <w:r>
        <w:rPr>
          <w:rFonts w:ascii="Arial" w:hAnsi="Arial" w:cs="Arial"/>
          <w:sz w:val="24"/>
          <w:szCs w:val="24"/>
        </w:rPr>
        <w:t>:</w:t>
      </w:r>
      <w:r w:rsidRPr="00D74091">
        <w:rPr>
          <w:rFonts w:ascii="Arial" w:hAnsi="Arial" w:cs="Arial"/>
          <w:sz w:val="24"/>
          <w:szCs w:val="24"/>
        </w:rPr>
        <w:t xml:space="preserve"> A natural trend toward drinking beverages that are plant-based with minimum additives passes through among consumers who turn out to be health-conscious. Branding and transparency make ethical considerations have a strong influence on purchasing </w:t>
      </w:r>
      <w:r w:rsidRPr="00D74091">
        <w:rPr>
          <w:rFonts w:ascii="Arial" w:hAnsi="Arial" w:cs="Arial"/>
          <w:sz w:val="24"/>
          <w:szCs w:val="24"/>
        </w:rPr>
        <w:t>behaviour</w:t>
      </w:r>
      <w:r w:rsidRPr="00D74091">
        <w:rPr>
          <w:rFonts w:ascii="Arial" w:hAnsi="Arial" w:cs="Arial"/>
          <w:sz w:val="24"/>
          <w:szCs w:val="24"/>
        </w:rPr>
        <w:t xml:space="preserve"> which gives social advantage to Innocent. However, doubt about its sincerity due to corporate ownership via Coca-Cola could be a challenge.</w:t>
      </w:r>
    </w:p>
    <w:p w14:paraId="50DF50E3" w14:textId="222EF38D" w:rsidR="00D74091" w:rsidRDefault="00D74091" w:rsidP="00D74091">
      <w:pPr>
        <w:spacing w:after="0" w:line="360" w:lineRule="auto"/>
        <w:ind w:firstLine="720"/>
        <w:jc w:val="both"/>
        <w:rPr>
          <w:rFonts w:ascii="Arial" w:hAnsi="Arial" w:cs="Arial"/>
          <w:sz w:val="24"/>
          <w:szCs w:val="24"/>
        </w:rPr>
      </w:pPr>
      <w:r w:rsidRPr="00D74091">
        <w:rPr>
          <w:rFonts w:ascii="Arial" w:hAnsi="Arial" w:cs="Arial"/>
          <w:sz w:val="24"/>
          <w:szCs w:val="24"/>
        </w:rPr>
        <w:t>Technological: Digital transformation in production, marketing, and supply chain processes is reordering the industry. Artificial intelligence-based consumer analytics, blockchain traceability, and smart logistics will optimize operations at Innocent</w:t>
      </w:r>
      <w:r>
        <w:rPr>
          <w:rFonts w:ascii="Arial" w:hAnsi="Arial" w:cs="Arial"/>
          <w:sz w:val="24"/>
          <w:szCs w:val="24"/>
        </w:rPr>
        <w:t xml:space="preserve"> </w:t>
      </w:r>
      <w:r w:rsidRPr="00D74091">
        <w:rPr>
          <w:rFonts w:ascii="Arial" w:hAnsi="Arial" w:cs="Arial"/>
          <w:sz w:val="24"/>
          <w:szCs w:val="24"/>
        </w:rPr>
        <w:t xml:space="preserve">(Tidd and Bessant, 2021). </w:t>
      </w:r>
    </w:p>
    <w:p w14:paraId="4196BE56" w14:textId="4F10C195" w:rsidR="00D74091" w:rsidRDefault="00D74091" w:rsidP="00D74091">
      <w:pPr>
        <w:spacing w:after="0" w:line="360" w:lineRule="auto"/>
        <w:ind w:firstLine="720"/>
        <w:jc w:val="both"/>
        <w:rPr>
          <w:rFonts w:ascii="Arial" w:hAnsi="Arial" w:cs="Arial"/>
          <w:sz w:val="24"/>
          <w:szCs w:val="24"/>
        </w:rPr>
      </w:pPr>
      <w:r w:rsidRPr="00D74091">
        <w:rPr>
          <w:rFonts w:ascii="Arial" w:hAnsi="Arial" w:cs="Arial"/>
          <w:sz w:val="24"/>
          <w:szCs w:val="24"/>
        </w:rPr>
        <w:t>Environmental: Climate change and low carbon together with circular economy push demand constant innovation of environmental packaging and sustainable ingredients sourcing. The renewable energy factory of Innocent adds strength to compliance as well as enhancing reputation.</w:t>
      </w:r>
    </w:p>
    <w:p w14:paraId="672EAABD" w14:textId="266D13A1" w:rsidR="002B63C3" w:rsidRPr="00D74091" w:rsidRDefault="00D74091" w:rsidP="00D74091">
      <w:pPr>
        <w:spacing w:after="0" w:line="360" w:lineRule="auto"/>
        <w:ind w:firstLine="720"/>
        <w:jc w:val="both"/>
        <w:rPr>
          <w:rFonts w:ascii="Arial" w:hAnsi="Arial" w:cs="Arial"/>
          <w:sz w:val="24"/>
          <w:szCs w:val="24"/>
        </w:rPr>
      </w:pPr>
      <w:r w:rsidRPr="00D74091">
        <w:rPr>
          <w:rFonts w:ascii="Arial" w:hAnsi="Arial" w:cs="Arial"/>
          <w:sz w:val="24"/>
          <w:szCs w:val="24"/>
        </w:rPr>
        <w:t>Legal: The regulation on food safety and labelling plus advertising within the EU and UK sets strict standards for compliance. Innocent sustains high transparency in fully obeying the laws on consumer protection and advertising.</w:t>
      </w:r>
    </w:p>
    <w:p w14:paraId="65C915DE" w14:textId="77777777" w:rsidR="00D74091" w:rsidRPr="002B63C3" w:rsidRDefault="00D74091" w:rsidP="002B63C3">
      <w:pPr>
        <w:spacing w:after="0" w:line="360" w:lineRule="auto"/>
        <w:jc w:val="both"/>
        <w:rPr>
          <w:rFonts w:ascii="Arial" w:hAnsi="Arial" w:cs="Arial"/>
          <w:sz w:val="24"/>
          <w:szCs w:val="24"/>
          <w:lang w:val="en-US"/>
        </w:rPr>
      </w:pPr>
    </w:p>
    <w:p w14:paraId="65185B45" w14:textId="77777777" w:rsidR="002B63C3" w:rsidRPr="00D74091" w:rsidRDefault="002B63C3" w:rsidP="00D74091">
      <w:pPr>
        <w:spacing w:after="0" w:line="360" w:lineRule="auto"/>
        <w:ind w:firstLine="720"/>
        <w:jc w:val="both"/>
        <w:rPr>
          <w:rFonts w:ascii="Arial" w:hAnsi="Arial" w:cs="Arial"/>
          <w:b/>
          <w:bCs/>
          <w:i/>
          <w:iCs/>
          <w:sz w:val="24"/>
          <w:szCs w:val="24"/>
          <w:lang w:val="en-US"/>
        </w:rPr>
      </w:pPr>
      <w:r w:rsidRPr="00D74091">
        <w:rPr>
          <w:rFonts w:ascii="Arial" w:hAnsi="Arial" w:cs="Arial"/>
          <w:b/>
          <w:bCs/>
          <w:i/>
          <w:iCs/>
          <w:sz w:val="24"/>
          <w:szCs w:val="24"/>
          <w:lang w:val="en-US"/>
        </w:rPr>
        <w:t>Porter’s Five Forces</w:t>
      </w:r>
    </w:p>
    <w:p w14:paraId="2F186479" w14:textId="27F8BF7F" w:rsidR="00D74091" w:rsidRDefault="00D74091" w:rsidP="00D74091">
      <w:pPr>
        <w:spacing w:after="0" w:line="360" w:lineRule="auto"/>
        <w:ind w:firstLine="720"/>
        <w:jc w:val="both"/>
        <w:rPr>
          <w:rFonts w:ascii="Arial" w:hAnsi="Arial" w:cs="Arial"/>
          <w:sz w:val="24"/>
          <w:szCs w:val="24"/>
        </w:rPr>
      </w:pPr>
      <w:r w:rsidRPr="00D74091">
        <w:rPr>
          <w:rFonts w:ascii="Arial" w:hAnsi="Arial" w:cs="Arial"/>
          <w:sz w:val="24"/>
          <w:szCs w:val="24"/>
        </w:rPr>
        <w:t>Rivalry among Competitors-High: The market is intensely competitive with other major players such as PepsiCo, Tropicana, Alpro, and new organic brands. Brand loyalty and constant innovation are the only ways firms can differentiate themselves from one another</w:t>
      </w:r>
      <w:r>
        <w:rPr>
          <w:rFonts w:ascii="Arial" w:hAnsi="Arial" w:cs="Arial"/>
          <w:sz w:val="24"/>
          <w:szCs w:val="24"/>
        </w:rPr>
        <w:t xml:space="preserve"> </w:t>
      </w:r>
      <w:r w:rsidRPr="00D74091">
        <w:rPr>
          <w:rFonts w:ascii="Arial" w:hAnsi="Arial" w:cs="Arial"/>
          <w:sz w:val="24"/>
          <w:szCs w:val="24"/>
        </w:rPr>
        <w:t>(Grant, 2019).</w:t>
      </w:r>
    </w:p>
    <w:p w14:paraId="32EBB3D0" w14:textId="77777777" w:rsidR="00D74091" w:rsidRDefault="00D74091" w:rsidP="00D74091">
      <w:pPr>
        <w:spacing w:after="0" w:line="360" w:lineRule="auto"/>
        <w:ind w:firstLine="720"/>
        <w:jc w:val="both"/>
        <w:rPr>
          <w:rFonts w:ascii="Arial" w:hAnsi="Arial" w:cs="Arial"/>
          <w:sz w:val="24"/>
          <w:szCs w:val="24"/>
        </w:rPr>
      </w:pPr>
      <w:r w:rsidRPr="00D74091">
        <w:rPr>
          <w:rFonts w:ascii="Arial" w:hAnsi="Arial" w:cs="Arial"/>
          <w:sz w:val="24"/>
          <w:szCs w:val="24"/>
        </w:rPr>
        <w:t>Threat of New Entrants-Moderate: Barriers to entry are low for small niche juice brands; however, in the case of a firm like Innocent with economies of scale, an established ethical reputation, and distribution network,</w:t>
      </w:r>
    </w:p>
    <w:p w14:paraId="2CDDE9BD" w14:textId="77777777" w:rsidR="00D74091" w:rsidRDefault="00D74091" w:rsidP="00D74091">
      <w:pPr>
        <w:spacing w:after="0" w:line="360" w:lineRule="auto"/>
        <w:ind w:firstLine="720"/>
        <w:jc w:val="both"/>
        <w:rPr>
          <w:rFonts w:ascii="Arial" w:hAnsi="Arial" w:cs="Arial"/>
          <w:sz w:val="24"/>
          <w:szCs w:val="24"/>
        </w:rPr>
      </w:pPr>
      <w:r w:rsidRPr="00D74091">
        <w:rPr>
          <w:rFonts w:ascii="Arial" w:hAnsi="Arial" w:cs="Arial"/>
          <w:sz w:val="24"/>
          <w:szCs w:val="24"/>
        </w:rPr>
        <w:t>Bargaining Power of Suppliers – Moderate: Fruit and raw ingredient suppliers have some power because of climate and logistics variability. Long-term sourcing relationships help to reduce such volatility (Hill et al., 2021).</w:t>
      </w:r>
    </w:p>
    <w:p w14:paraId="40706EA0" w14:textId="77777777" w:rsidR="00D74091" w:rsidRDefault="00D74091" w:rsidP="00D74091">
      <w:pPr>
        <w:spacing w:after="0" w:line="360" w:lineRule="auto"/>
        <w:ind w:firstLine="720"/>
        <w:jc w:val="both"/>
        <w:rPr>
          <w:rFonts w:ascii="Arial" w:hAnsi="Arial" w:cs="Arial"/>
          <w:sz w:val="24"/>
          <w:szCs w:val="24"/>
        </w:rPr>
      </w:pPr>
      <w:r w:rsidRPr="00D74091">
        <w:rPr>
          <w:rFonts w:ascii="Arial" w:hAnsi="Arial" w:cs="Arial"/>
          <w:sz w:val="24"/>
          <w:szCs w:val="24"/>
        </w:rPr>
        <w:lastRenderedPageBreak/>
        <w:t>Bargaining Power of Buyers – High: Retailers and supermarket chains, for example, Tesco and Sainsbury’s, hold very significant bargaining power. They usually push price competition among rivals and between alternative private-label products.</w:t>
      </w:r>
    </w:p>
    <w:p w14:paraId="1408D0CD" w14:textId="475C7139" w:rsidR="00D74091" w:rsidRDefault="00D74091" w:rsidP="00D74091">
      <w:pPr>
        <w:spacing w:after="0" w:line="360" w:lineRule="auto"/>
        <w:ind w:firstLine="720"/>
        <w:jc w:val="both"/>
        <w:rPr>
          <w:rFonts w:ascii="Arial" w:hAnsi="Arial" w:cs="Arial"/>
          <w:sz w:val="24"/>
          <w:szCs w:val="24"/>
        </w:rPr>
      </w:pPr>
      <w:r w:rsidRPr="00D74091">
        <w:rPr>
          <w:rFonts w:ascii="Arial" w:hAnsi="Arial" w:cs="Arial"/>
          <w:sz w:val="24"/>
          <w:szCs w:val="24"/>
        </w:rPr>
        <w:t>Threat of Substitutes – High: Consumers can easily opt for kombucha, flavoured water, or coffee-based drinks. Therefore, firms must continuously innovate taste, packaging, and health benefits.</w:t>
      </w:r>
    </w:p>
    <w:p w14:paraId="7E50644E" w14:textId="5CE313A4" w:rsidR="002B63C3" w:rsidRPr="00D74091" w:rsidRDefault="00D74091" w:rsidP="00D74091">
      <w:pPr>
        <w:spacing w:after="0" w:line="360" w:lineRule="auto"/>
        <w:ind w:firstLine="720"/>
        <w:jc w:val="both"/>
        <w:rPr>
          <w:rFonts w:ascii="Arial" w:hAnsi="Arial" w:cs="Arial"/>
          <w:sz w:val="24"/>
          <w:szCs w:val="24"/>
        </w:rPr>
      </w:pPr>
      <w:r w:rsidRPr="00D74091">
        <w:rPr>
          <w:rFonts w:ascii="Arial" w:hAnsi="Arial" w:cs="Arial"/>
          <w:sz w:val="24"/>
          <w:szCs w:val="24"/>
        </w:rPr>
        <w:t xml:space="preserve">In summary, the environment that Innocent faces </w:t>
      </w:r>
      <w:proofErr w:type="gramStart"/>
      <w:r w:rsidRPr="00D74091">
        <w:rPr>
          <w:rFonts w:ascii="Arial" w:hAnsi="Arial" w:cs="Arial"/>
          <w:sz w:val="24"/>
          <w:szCs w:val="24"/>
        </w:rPr>
        <w:t>is</w:t>
      </w:r>
      <w:proofErr w:type="gramEnd"/>
      <w:r w:rsidRPr="00D74091">
        <w:rPr>
          <w:rFonts w:ascii="Arial" w:hAnsi="Arial" w:cs="Arial"/>
          <w:sz w:val="24"/>
          <w:szCs w:val="24"/>
        </w:rPr>
        <w:t xml:space="preserve"> highly competitive on health trends and intensive in the regulations pertaining to success. Success shall depend on innovation-international diversification as well as digital transformation while keeping differentiation with consumer trust (Tidd </w:t>
      </w:r>
      <w:r>
        <w:rPr>
          <w:rFonts w:ascii="Arial" w:hAnsi="Arial" w:cs="Arial"/>
          <w:sz w:val="24"/>
          <w:szCs w:val="24"/>
        </w:rPr>
        <w:t>and</w:t>
      </w:r>
      <w:r w:rsidRPr="00D74091">
        <w:rPr>
          <w:rFonts w:ascii="Arial" w:hAnsi="Arial" w:cs="Arial"/>
          <w:sz w:val="24"/>
          <w:szCs w:val="24"/>
        </w:rPr>
        <w:t xml:space="preserve"> Bessant 2021).</w:t>
      </w:r>
    </w:p>
    <w:p w14:paraId="19BE44A7" w14:textId="77777777" w:rsidR="00D74091" w:rsidRDefault="00D74091" w:rsidP="002B63C3">
      <w:pPr>
        <w:spacing w:after="0" w:line="360" w:lineRule="auto"/>
        <w:jc w:val="center"/>
        <w:rPr>
          <w:rFonts w:ascii="Arial" w:hAnsi="Arial" w:cs="Arial"/>
          <w:sz w:val="24"/>
          <w:szCs w:val="24"/>
          <w:lang w:val="en-US"/>
        </w:rPr>
      </w:pPr>
    </w:p>
    <w:p w14:paraId="27D5C0A0" w14:textId="087760D4" w:rsidR="002B63C3" w:rsidRPr="00505BC4" w:rsidRDefault="002B63C3" w:rsidP="00505BC4">
      <w:pPr>
        <w:pStyle w:val="Heading1"/>
        <w:spacing w:before="0" w:after="0" w:line="360" w:lineRule="auto"/>
        <w:jc w:val="center"/>
        <w:rPr>
          <w:rFonts w:ascii="Arial" w:hAnsi="Arial" w:cs="Arial"/>
          <w:b/>
          <w:bCs/>
          <w:color w:val="000000" w:themeColor="text1"/>
          <w:sz w:val="24"/>
          <w:szCs w:val="24"/>
          <w:lang w:val="en-US"/>
        </w:rPr>
      </w:pPr>
      <w:bookmarkStart w:id="4" w:name="_Toc211933655"/>
      <w:r w:rsidRPr="00505BC4">
        <w:rPr>
          <w:rFonts w:ascii="Arial" w:hAnsi="Arial" w:cs="Arial"/>
          <w:b/>
          <w:bCs/>
          <w:color w:val="000000" w:themeColor="text1"/>
          <w:sz w:val="24"/>
          <w:szCs w:val="24"/>
          <w:lang w:val="en-US"/>
        </w:rPr>
        <w:t>Strategic Growth Choices and New Sustainable Strategy</w:t>
      </w:r>
      <w:bookmarkEnd w:id="4"/>
    </w:p>
    <w:p w14:paraId="59910E93" w14:textId="77777777" w:rsidR="00D74091" w:rsidRDefault="00D74091" w:rsidP="002B63C3">
      <w:pPr>
        <w:spacing w:after="0" w:line="360" w:lineRule="auto"/>
        <w:jc w:val="both"/>
        <w:rPr>
          <w:rFonts w:ascii="Arial" w:hAnsi="Arial" w:cs="Arial"/>
          <w:sz w:val="24"/>
          <w:szCs w:val="24"/>
          <w:lang w:val="en-US"/>
        </w:rPr>
      </w:pPr>
    </w:p>
    <w:p w14:paraId="75BAD163" w14:textId="0CE0B14A" w:rsidR="002B63C3" w:rsidRPr="00D74091" w:rsidRDefault="002B63C3" w:rsidP="00D74091">
      <w:pPr>
        <w:spacing w:after="0" w:line="360" w:lineRule="auto"/>
        <w:ind w:firstLine="720"/>
        <w:jc w:val="both"/>
        <w:rPr>
          <w:rFonts w:ascii="Arial" w:hAnsi="Arial" w:cs="Arial"/>
          <w:b/>
          <w:bCs/>
          <w:i/>
          <w:iCs/>
          <w:sz w:val="24"/>
          <w:szCs w:val="24"/>
          <w:lang w:val="en-US"/>
        </w:rPr>
      </w:pPr>
      <w:r w:rsidRPr="00D74091">
        <w:rPr>
          <w:rFonts w:ascii="Arial" w:hAnsi="Arial" w:cs="Arial"/>
          <w:b/>
          <w:bCs/>
          <w:i/>
          <w:iCs/>
          <w:sz w:val="24"/>
          <w:szCs w:val="24"/>
          <w:lang w:val="en-US"/>
        </w:rPr>
        <w:t>Porter’s Generic Strategies</w:t>
      </w:r>
    </w:p>
    <w:p w14:paraId="7EA567C9" w14:textId="77777777" w:rsidR="00D74091" w:rsidRDefault="00D74091" w:rsidP="00D74091">
      <w:pPr>
        <w:spacing w:after="0" w:line="360" w:lineRule="auto"/>
        <w:ind w:firstLine="720"/>
        <w:jc w:val="both"/>
        <w:rPr>
          <w:rFonts w:ascii="Arial" w:hAnsi="Arial" w:cs="Arial"/>
          <w:sz w:val="24"/>
          <w:szCs w:val="24"/>
        </w:rPr>
      </w:pPr>
      <w:r w:rsidRPr="00D74091">
        <w:rPr>
          <w:rFonts w:ascii="Arial" w:hAnsi="Arial" w:cs="Arial"/>
          <w:sz w:val="24"/>
          <w:szCs w:val="24"/>
        </w:rPr>
        <w:t>Porter (1985) expressed the drivers of competitive advantage as cost, differentiation, and focus. Currently, Innocent can be seen to have adopted a differentiation strategy by selling high-priced natural healthy beverages with a strong ethical identity. However, to ensure sustainability in its competitiveness, Innocent shall transform its strategy toward a hybrid differentiation–cost efficiency strategy (Hill et al., 2021)</w:t>
      </w:r>
      <w:r>
        <w:rPr>
          <w:rFonts w:ascii="Arial" w:hAnsi="Arial" w:cs="Arial"/>
          <w:sz w:val="24"/>
          <w:szCs w:val="24"/>
        </w:rPr>
        <w:t>.</w:t>
      </w:r>
    </w:p>
    <w:p w14:paraId="5FB5C88A" w14:textId="3EC09F20" w:rsidR="002B63C3" w:rsidRPr="002B63C3" w:rsidRDefault="00D74091" w:rsidP="00D74091">
      <w:pPr>
        <w:spacing w:after="0" w:line="360" w:lineRule="auto"/>
        <w:ind w:firstLine="720"/>
        <w:jc w:val="both"/>
        <w:rPr>
          <w:rFonts w:ascii="Arial" w:hAnsi="Arial" w:cs="Arial"/>
          <w:sz w:val="24"/>
          <w:szCs w:val="24"/>
          <w:lang w:val="en-US"/>
        </w:rPr>
      </w:pPr>
      <w:r w:rsidRPr="00D74091">
        <w:rPr>
          <w:rFonts w:ascii="Arial" w:hAnsi="Arial" w:cs="Arial"/>
          <w:sz w:val="24"/>
          <w:szCs w:val="24"/>
        </w:rPr>
        <w:t>Using renewables, sourcing locally, and reducing waste, Innocent can save on operational costs without cutting quality. This allows the company to keep its premium brand appeal while making it affordable-a vital step for competitiveness in both developed and emerging markets (Grant 2019). Also supporting this balancing act between differentiation and cost savings is leveraging Coca-Cola’s economies of scale in logistics and distribution.</w:t>
      </w:r>
    </w:p>
    <w:p w14:paraId="23247265" w14:textId="77777777" w:rsidR="002B63C3" w:rsidRDefault="002B63C3" w:rsidP="002B63C3">
      <w:pPr>
        <w:spacing w:after="0" w:line="360" w:lineRule="auto"/>
        <w:jc w:val="both"/>
        <w:rPr>
          <w:rFonts w:ascii="Arial" w:hAnsi="Arial" w:cs="Arial"/>
          <w:sz w:val="24"/>
          <w:szCs w:val="24"/>
          <w:lang w:val="en-US"/>
        </w:rPr>
      </w:pPr>
    </w:p>
    <w:p w14:paraId="639DCFAC" w14:textId="77777777" w:rsidR="00505BC4" w:rsidRDefault="00505BC4" w:rsidP="002B63C3">
      <w:pPr>
        <w:spacing w:after="0" w:line="360" w:lineRule="auto"/>
        <w:jc w:val="both"/>
        <w:rPr>
          <w:rFonts w:ascii="Arial" w:hAnsi="Arial" w:cs="Arial"/>
          <w:sz w:val="24"/>
          <w:szCs w:val="24"/>
          <w:lang w:val="en-US"/>
        </w:rPr>
      </w:pPr>
    </w:p>
    <w:p w14:paraId="233840D7" w14:textId="77777777" w:rsidR="00505BC4" w:rsidRDefault="00505BC4" w:rsidP="002B63C3">
      <w:pPr>
        <w:spacing w:after="0" w:line="360" w:lineRule="auto"/>
        <w:jc w:val="both"/>
        <w:rPr>
          <w:rFonts w:ascii="Arial" w:hAnsi="Arial" w:cs="Arial"/>
          <w:sz w:val="24"/>
          <w:szCs w:val="24"/>
          <w:lang w:val="en-US"/>
        </w:rPr>
      </w:pPr>
    </w:p>
    <w:p w14:paraId="14E8D77C" w14:textId="77777777" w:rsidR="00505BC4" w:rsidRDefault="00505BC4" w:rsidP="002B63C3">
      <w:pPr>
        <w:spacing w:after="0" w:line="360" w:lineRule="auto"/>
        <w:jc w:val="both"/>
        <w:rPr>
          <w:rFonts w:ascii="Arial" w:hAnsi="Arial" w:cs="Arial"/>
          <w:sz w:val="24"/>
          <w:szCs w:val="24"/>
          <w:lang w:val="en-US"/>
        </w:rPr>
      </w:pPr>
    </w:p>
    <w:p w14:paraId="5449C265" w14:textId="77777777" w:rsidR="00505BC4" w:rsidRDefault="00505BC4" w:rsidP="002B63C3">
      <w:pPr>
        <w:spacing w:after="0" w:line="360" w:lineRule="auto"/>
        <w:jc w:val="both"/>
        <w:rPr>
          <w:rFonts w:ascii="Arial" w:hAnsi="Arial" w:cs="Arial"/>
          <w:sz w:val="24"/>
          <w:szCs w:val="24"/>
          <w:lang w:val="en-US"/>
        </w:rPr>
      </w:pPr>
    </w:p>
    <w:p w14:paraId="03255120" w14:textId="3F290152" w:rsidR="002B63C3" w:rsidRPr="002B63C3" w:rsidRDefault="002B63C3" w:rsidP="00D74091">
      <w:pPr>
        <w:spacing w:after="0" w:line="360" w:lineRule="auto"/>
        <w:ind w:firstLine="720"/>
        <w:jc w:val="both"/>
        <w:rPr>
          <w:rFonts w:ascii="Arial" w:hAnsi="Arial" w:cs="Arial"/>
          <w:b/>
          <w:bCs/>
          <w:sz w:val="24"/>
          <w:szCs w:val="24"/>
          <w:lang w:val="en-US"/>
        </w:rPr>
      </w:pPr>
      <w:r w:rsidRPr="002B63C3">
        <w:rPr>
          <w:rFonts w:ascii="Arial" w:hAnsi="Arial" w:cs="Arial"/>
          <w:b/>
          <w:bCs/>
          <w:sz w:val="24"/>
          <w:szCs w:val="24"/>
          <w:lang w:val="en-US"/>
        </w:rPr>
        <w:lastRenderedPageBreak/>
        <w:t>Ansoff Matrix</w:t>
      </w:r>
    </w:p>
    <w:p w14:paraId="06CFB4D3" w14:textId="77777777" w:rsidR="003F58AA" w:rsidRDefault="003F58AA" w:rsidP="003F58AA">
      <w:pPr>
        <w:spacing w:after="0" w:line="360" w:lineRule="auto"/>
        <w:ind w:firstLine="720"/>
        <w:jc w:val="both"/>
        <w:rPr>
          <w:rFonts w:ascii="Arial" w:hAnsi="Arial" w:cs="Arial"/>
          <w:sz w:val="24"/>
          <w:szCs w:val="24"/>
        </w:rPr>
      </w:pPr>
      <w:r w:rsidRPr="003F58AA">
        <w:rPr>
          <w:rFonts w:ascii="Arial" w:hAnsi="Arial" w:cs="Arial"/>
          <w:sz w:val="24"/>
          <w:szCs w:val="24"/>
        </w:rPr>
        <w:t xml:space="preserve">The Ansoff Matrix defines four growth directions applicable to Innocent’s hybrid strategy: Market penetration, market development, product development, and diversification. </w:t>
      </w:r>
    </w:p>
    <w:p w14:paraId="1019CCF4" w14:textId="74BCB744" w:rsidR="003F58AA" w:rsidRDefault="003F58AA" w:rsidP="003F58AA">
      <w:pPr>
        <w:spacing w:after="0" w:line="360" w:lineRule="auto"/>
        <w:ind w:firstLine="720"/>
        <w:jc w:val="both"/>
        <w:rPr>
          <w:rFonts w:ascii="Arial" w:hAnsi="Arial" w:cs="Arial"/>
          <w:sz w:val="24"/>
          <w:szCs w:val="24"/>
        </w:rPr>
      </w:pPr>
      <w:r w:rsidRPr="003F58AA">
        <w:rPr>
          <w:rFonts w:ascii="Arial" w:hAnsi="Arial" w:cs="Arial"/>
          <w:sz w:val="24"/>
          <w:szCs w:val="24"/>
        </w:rPr>
        <w:t>Market penetration: Innocent should increase its domestic and European market share programs through digital marketing loyalty programs and online direct-to-consumer offerings. AI personalisation and the use of data analytics optimise promotions on offers to be presented to customers thereby enhancing customer engagement (Kotler and Keller, 2022).</w:t>
      </w:r>
    </w:p>
    <w:p w14:paraId="57740D44" w14:textId="77777777" w:rsidR="003F58AA" w:rsidRDefault="003F58AA" w:rsidP="003F58AA">
      <w:pPr>
        <w:spacing w:after="0" w:line="360" w:lineRule="auto"/>
        <w:ind w:firstLine="720"/>
        <w:jc w:val="both"/>
        <w:rPr>
          <w:rFonts w:ascii="Arial" w:hAnsi="Arial" w:cs="Arial"/>
          <w:sz w:val="24"/>
          <w:szCs w:val="24"/>
        </w:rPr>
      </w:pPr>
      <w:r w:rsidRPr="003F58AA">
        <w:rPr>
          <w:rFonts w:ascii="Arial" w:hAnsi="Arial" w:cs="Arial"/>
          <w:sz w:val="24"/>
          <w:szCs w:val="24"/>
        </w:rPr>
        <w:t>Market Development: Huge potentials lie in the better penetration of the company into Asia-Pacific, Middle East, and North American markets. These regions display a growing demand for health-oriented beverages. Low-risk modes of entry can be facilitated by forming strategic alliances with local distributors and sustaining sourcing networks (Johnson et al., 2020).</w:t>
      </w:r>
    </w:p>
    <w:p w14:paraId="407F751D" w14:textId="77777777" w:rsidR="003F58AA" w:rsidRDefault="003F58AA" w:rsidP="003F58AA">
      <w:pPr>
        <w:spacing w:after="0" w:line="360" w:lineRule="auto"/>
        <w:ind w:firstLine="720"/>
        <w:jc w:val="both"/>
        <w:rPr>
          <w:rFonts w:ascii="Arial" w:hAnsi="Arial" w:cs="Arial"/>
          <w:sz w:val="24"/>
          <w:szCs w:val="24"/>
        </w:rPr>
      </w:pPr>
      <w:r w:rsidRPr="003F58AA">
        <w:rPr>
          <w:rFonts w:ascii="Arial" w:hAnsi="Arial" w:cs="Arial"/>
          <w:sz w:val="24"/>
          <w:szCs w:val="24"/>
        </w:rPr>
        <w:t>Product Development: Innocent must enhance its product line by launching functional nutrition products such as protein smoothies, vitamin-enriched juices, and plant-based milk alternatives. This will consolidate Innocent’s market presence in the rapidly growing wellness and vegan markets (Tidd and Bessant, 2021).</w:t>
      </w:r>
    </w:p>
    <w:p w14:paraId="398928BB" w14:textId="6B769D5A" w:rsidR="002B63C3" w:rsidRPr="003F58AA" w:rsidRDefault="003F58AA" w:rsidP="003F58AA">
      <w:pPr>
        <w:spacing w:after="0" w:line="360" w:lineRule="auto"/>
        <w:ind w:firstLine="720"/>
        <w:jc w:val="both"/>
        <w:rPr>
          <w:rFonts w:ascii="Arial" w:hAnsi="Arial" w:cs="Arial"/>
          <w:sz w:val="24"/>
          <w:szCs w:val="24"/>
          <w:lang w:val="en-US"/>
        </w:rPr>
      </w:pPr>
      <w:r w:rsidRPr="003F58AA">
        <w:rPr>
          <w:rFonts w:ascii="Arial" w:hAnsi="Arial" w:cs="Arial"/>
          <w:sz w:val="24"/>
          <w:szCs w:val="24"/>
        </w:rPr>
        <w:t>Diversification: Further innovation can be achieved by the company in the development of sustainable packaging solutions, for example, biodegradable bottles. Other healthy lifestyle digital nutrition apps would also help to reinforce ethical leadership.</w:t>
      </w:r>
    </w:p>
    <w:p w14:paraId="124C4A95" w14:textId="77777777" w:rsidR="003F58AA" w:rsidRPr="002B63C3" w:rsidRDefault="003F58AA" w:rsidP="003F58AA">
      <w:pPr>
        <w:spacing w:after="0" w:line="360" w:lineRule="auto"/>
        <w:ind w:left="720"/>
        <w:jc w:val="both"/>
        <w:rPr>
          <w:rFonts w:ascii="Arial" w:hAnsi="Arial" w:cs="Arial"/>
          <w:sz w:val="24"/>
          <w:szCs w:val="24"/>
          <w:lang w:val="en-US"/>
        </w:rPr>
      </w:pPr>
    </w:p>
    <w:p w14:paraId="4FA6BC00" w14:textId="77777777" w:rsidR="002B63C3" w:rsidRPr="003F58AA" w:rsidRDefault="002B63C3" w:rsidP="003F58AA">
      <w:pPr>
        <w:spacing w:after="0" w:line="360" w:lineRule="auto"/>
        <w:ind w:firstLine="720"/>
        <w:jc w:val="both"/>
        <w:rPr>
          <w:rFonts w:ascii="Arial" w:hAnsi="Arial" w:cs="Arial"/>
          <w:b/>
          <w:bCs/>
          <w:i/>
          <w:iCs/>
          <w:sz w:val="24"/>
          <w:szCs w:val="24"/>
          <w:lang w:val="en-US"/>
        </w:rPr>
      </w:pPr>
      <w:r w:rsidRPr="003F58AA">
        <w:rPr>
          <w:rFonts w:ascii="Arial" w:hAnsi="Arial" w:cs="Arial"/>
          <w:b/>
          <w:bCs/>
          <w:i/>
          <w:iCs/>
          <w:sz w:val="24"/>
          <w:szCs w:val="24"/>
          <w:lang w:val="en-US"/>
        </w:rPr>
        <w:t>Bowman’s Strategic Clock</w:t>
      </w:r>
    </w:p>
    <w:p w14:paraId="2550D10F" w14:textId="55B89F79" w:rsidR="002B63C3" w:rsidRDefault="003F58AA" w:rsidP="003F58AA">
      <w:pPr>
        <w:spacing w:after="0" w:line="360" w:lineRule="auto"/>
        <w:ind w:firstLine="720"/>
        <w:jc w:val="both"/>
        <w:rPr>
          <w:rFonts w:ascii="Arial" w:hAnsi="Arial" w:cs="Arial"/>
          <w:sz w:val="24"/>
          <w:szCs w:val="24"/>
        </w:rPr>
      </w:pPr>
      <w:r w:rsidRPr="003F58AA">
        <w:rPr>
          <w:rFonts w:ascii="Arial" w:hAnsi="Arial" w:cs="Arial"/>
          <w:sz w:val="24"/>
          <w:szCs w:val="24"/>
        </w:rPr>
        <w:t>According to Bowman’s model, Innocent falls within the “Differentiation and Hybrid Strategy” zones on the power-perceived value line by offering high perceived value at a moderate price (Varadarajan, 2020). Hence, maintaining higher product quality, sustainable packaging, and real brand tone helps Innocent encash its price premium. However, in global markets of lower purchasing power, a hybrid strategy ensures higher access through localized production and composite pricing. The dual positioning hybrid strategy protects access to the ethical image of Innocent while increasing the consumer base.</w:t>
      </w:r>
    </w:p>
    <w:p w14:paraId="463739CF" w14:textId="77777777" w:rsidR="003F58AA" w:rsidRDefault="003F58AA" w:rsidP="002B63C3">
      <w:pPr>
        <w:spacing w:after="0" w:line="360" w:lineRule="auto"/>
        <w:jc w:val="both"/>
        <w:rPr>
          <w:rFonts w:ascii="Arial" w:hAnsi="Arial" w:cs="Arial"/>
          <w:sz w:val="24"/>
          <w:szCs w:val="24"/>
          <w:lang w:val="en-US"/>
        </w:rPr>
      </w:pPr>
    </w:p>
    <w:p w14:paraId="75977FFE" w14:textId="48454ABB" w:rsidR="002B63C3" w:rsidRPr="002B63C3" w:rsidRDefault="002B63C3" w:rsidP="003F58AA">
      <w:pPr>
        <w:spacing w:after="0" w:line="360" w:lineRule="auto"/>
        <w:ind w:firstLine="720"/>
        <w:jc w:val="both"/>
        <w:rPr>
          <w:rFonts w:ascii="Arial" w:hAnsi="Arial" w:cs="Arial"/>
          <w:b/>
          <w:bCs/>
          <w:sz w:val="24"/>
          <w:szCs w:val="24"/>
          <w:lang w:val="en-US"/>
        </w:rPr>
      </w:pPr>
      <w:r w:rsidRPr="002B63C3">
        <w:rPr>
          <w:rFonts w:ascii="Arial" w:hAnsi="Arial" w:cs="Arial"/>
          <w:b/>
          <w:bCs/>
          <w:sz w:val="24"/>
          <w:szCs w:val="24"/>
          <w:lang w:val="en-US"/>
        </w:rPr>
        <w:t>Proposed Sustainable Strategy: The “Green Digital Expansion Strategy”</w:t>
      </w:r>
    </w:p>
    <w:p w14:paraId="11E8E546" w14:textId="77777777" w:rsidR="003F58AA" w:rsidRDefault="003F58AA" w:rsidP="003F58AA">
      <w:pPr>
        <w:spacing w:after="0" w:line="360" w:lineRule="auto"/>
        <w:ind w:firstLine="720"/>
        <w:jc w:val="both"/>
        <w:rPr>
          <w:rFonts w:ascii="Arial" w:hAnsi="Arial" w:cs="Arial"/>
          <w:sz w:val="24"/>
          <w:szCs w:val="24"/>
        </w:rPr>
      </w:pPr>
      <w:r w:rsidRPr="003F58AA">
        <w:rPr>
          <w:rFonts w:ascii="Arial" w:hAnsi="Arial" w:cs="Arial"/>
          <w:sz w:val="24"/>
          <w:szCs w:val="24"/>
        </w:rPr>
        <w:t>In the long run, integrate sustainability, digitalisation, and internationalisation. That is why,</w:t>
      </w:r>
      <w:r>
        <w:rPr>
          <w:rFonts w:ascii="Arial" w:hAnsi="Arial" w:cs="Arial"/>
          <w:sz w:val="24"/>
          <w:szCs w:val="24"/>
        </w:rPr>
        <w:t xml:space="preserve"> </w:t>
      </w:r>
      <w:r w:rsidRPr="003F58AA">
        <w:rPr>
          <w:rFonts w:ascii="Arial" w:hAnsi="Arial" w:cs="Arial"/>
          <w:sz w:val="24"/>
          <w:szCs w:val="24"/>
        </w:rPr>
        <w:t>in that sense,</w:t>
      </w:r>
      <w:r>
        <w:rPr>
          <w:rFonts w:ascii="Arial" w:hAnsi="Arial" w:cs="Arial"/>
          <w:sz w:val="24"/>
          <w:szCs w:val="24"/>
        </w:rPr>
        <w:t xml:space="preserve"> </w:t>
      </w:r>
      <w:r w:rsidRPr="003F58AA">
        <w:rPr>
          <w:rFonts w:ascii="Arial" w:hAnsi="Arial" w:cs="Arial"/>
          <w:sz w:val="24"/>
          <w:szCs w:val="24"/>
        </w:rPr>
        <w:t>the</w:t>
      </w:r>
      <w:r>
        <w:rPr>
          <w:rFonts w:ascii="Arial" w:hAnsi="Arial" w:cs="Arial"/>
          <w:sz w:val="24"/>
          <w:szCs w:val="24"/>
        </w:rPr>
        <w:t xml:space="preserve"> </w:t>
      </w:r>
      <w:r w:rsidRPr="003F58AA">
        <w:rPr>
          <w:rFonts w:ascii="Arial" w:hAnsi="Arial" w:cs="Arial"/>
          <w:sz w:val="24"/>
          <w:szCs w:val="24"/>
        </w:rPr>
        <w:t>recommended Green Digital Expansion Strategy can be summarized as follows</w:t>
      </w:r>
      <w:r>
        <w:rPr>
          <w:rFonts w:ascii="Arial" w:hAnsi="Arial" w:cs="Arial"/>
          <w:sz w:val="24"/>
          <w:szCs w:val="24"/>
        </w:rPr>
        <w:t>.</w:t>
      </w:r>
    </w:p>
    <w:p w14:paraId="43936612" w14:textId="2EB0649B" w:rsidR="003F58AA" w:rsidRDefault="003F58AA" w:rsidP="003F58AA">
      <w:pPr>
        <w:spacing w:after="0" w:line="360" w:lineRule="auto"/>
        <w:ind w:firstLine="720"/>
        <w:jc w:val="both"/>
        <w:rPr>
          <w:rFonts w:ascii="Arial" w:hAnsi="Arial" w:cs="Arial"/>
          <w:sz w:val="24"/>
          <w:szCs w:val="24"/>
        </w:rPr>
      </w:pPr>
      <w:r w:rsidRPr="003F58AA">
        <w:rPr>
          <w:rFonts w:ascii="Arial" w:hAnsi="Arial" w:cs="Arial"/>
          <w:sz w:val="24"/>
          <w:szCs w:val="24"/>
        </w:rPr>
        <w:t>Sustainable International Expansion</w:t>
      </w:r>
      <w:r>
        <w:rPr>
          <w:rFonts w:ascii="Arial" w:hAnsi="Arial" w:cs="Arial"/>
          <w:sz w:val="24"/>
          <w:szCs w:val="24"/>
        </w:rPr>
        <w:t>:</w:t>
      </w:r>
      <w:r w:rsidRPr="003F58AA">
        <w:rPr>
          <w:rFonts w:ascii="Arial" w:hAnsi="Arial" w:cs="Arial"/>
          <w:sz w:val="24"/>
          <w:szCs w:val="24"/>
        </w:rPr>
        <w:t xml:space="preserve"> Establish regional production facilities powered by renewable energy within Asia and the Middle East to reduce carbon emissions together with logistics costs.</w:t>
      </w:r>
      <w:r>
        <w:rPr>
          <w:rFonts w:ascii="Arial" w:hAnsi="Arial" w:cs="Arial"/>
          <w:sz w:val="24"/>
          <w:szCs w:val="24"/>
        </w:rPr>
        <w:t xml:space="preserve"> </w:t>
      </w:r>
      <w:r w:rsidRPr="003F58AA">
        <w:rPr>
          <w:rFonts w:ascii="Arial" w:hAnsi="Arial" w:cs="Arial"/>
          <w:sz w:val="24"/>
          <w:szCs w:val="24"/>
        </w:rPr>
        <w:t>Partner with local suppliers of ethically sourced fruits which support circular economy practices.</w:t>
      </w:r>
    </w:p>
    <w:p w14:paraId="01126F57" w14:textId="402CEDF3" w:rsidR="003F58AA" w:rsidRDefault="003F58AA" w:rsidP="003F58AA">
      <w:pPr>
        <w:spacing w:after="0" w:line="360" w:lineRule="auto"/>
        <w:ind w:firstLine="720"/>
        <w:jc w:val="both"/>
        <w:rPr>
          <w:rFonts w:ascii="Arial" w:hAnsi="Arial" w:cs="Arial"/>
          <w:sz w:val="24"/>
          <w:szCs w:val="24"/>
        </w:rPr>
      </w:pPr>
      <w:r w:rsidRPr="003F58AA">
        <w:rPr>
          <w:rFonts w:ascii="Arial" w:hAnsi="Arial" w:cs="Arial"/>
          <w:sz w:val="24"/>
          <w:szCs w:val="24"/>
        </w:rPr>
        <w:t xml:space="preserve">Digital Transformation: Implement blockchain traceability on ingredient sourcing and advanced analytics for consumer insights. A mobile application </w:t>
      </w:r>
      <w:r w:rsidRPr="003F58AA">
        <w:rPr>
          <w:rFonts w:ascii="Arial" w:hAnsi="Arial" w:cs="Arial"/>
          <w:sz w:val="24"/>
          <w:szCs w:val="24"/>
        </w:rPr>
        <w:t>channelling</w:t>
      </w:r>
      <w:r w:rsidRPr="003F58AA">
        <w:rPr>
          <w:rFonts w:ascii="Arial" w:hAnsi="Arial" w:cs="Arial"/>
          <w:sz w:val="24"/>
          <w:szCs w:val="24"/>
        </w:rPr>
        <w:t xml:space="preserve"> transparency into the product as well as personalized nutrition advice will strengthen brand loyalty (Tidd and Bessant, 2021).</w:t>
      </w:r>
    </w:p>
    <w:p w14:paraId="5BBBE7E8" w14:textId="77777777" w:rsidR="003F58AA" w:rsidRDefault="003F58AA" w:rsidP="003F58AA">
      <w:pPr>
        <w:spacing w:after="0" w:line="360" w:lineRule="auto"/>
        <w:ind w:firstLine="720"/>
        <w:jc w:val="both"/>
        <w:rPr>
          <w:rFonts w:ascii="Arial" w:hAnsi="Arial" w:cs="Arial"/>
          <w:sz w:val="24"/>
          <w:szCs w:val="24"/>
        </w:rPr>
      </w:pPr>
      <w:r w:rsidRPr="003F58AA">
        <w:rPr>
          <w:rFonts w:ascii="Arial" w:hAnsi="Arial" w:cs="Arial"/>
          <w:sz w:val="24"/>
          <w:szCs w:val="24"/>
        </w:rPr>
        <w:t>Product Diversification: Launch new functional as well as plant-based nutrition beverage categories-for example probiotics, adaptogen-based blends-to capture wellness-oriented consumers. Collaborations with reputed nutritionists.</w:t>
      </w:r>
    </w:p>
    <w:p w14:paraId="3CD30697" w14:textId="77777777" w:rsidR="003F58AA" w:rsidRDefault="003F58AA" w:rsidP="003F58AA">
      <w:pPr>
        <w:spacing w:after="0" w:line="360" w:lineRule="auto"/>
        <w:ind w:firstLine="720"/>
        <w:jc w:val="both"/>
        <w:rPr>
          <w:rFonts w:ascii="Arial" w:hAnsi="Arial" w:cs="Arial"/>
          <w:sz w:val="24"/>
          <w:szCs w:val="24"/>
        </w:rPr>
      </w:pPr>
      <w:r w:rsidRPr="003F58AA">
        <w:rPr>
          <w:rFonts w:ascii="Arial" w:hAnsi="Arial" w:cs="Arial"/>
          <w:sz w:val="24"/>
          <w:szCs w:val="24"/>
        </w:rPr>
        <w:t>Sustainable Packaging Innovation: Position this milestone as a stepping stone to achieving 100% biodegradable or recycled packaging by 2026, highlighted in marketing and ESG reporting.</w:t>
      </w:r>
    </w:p>
    <w:p w14:paraId="552179E8" w14:textId="6AB29FFA" w:rsidR="002B63C3" w:rsidRDefault="003F58AA" w:rsidP="003F58AA">
      <w:pPr>
        <w:spacing w:after="0" w:line="360" w:lineRule="auto"/>
        <w:ind w:firstLine="720"/>
        <w:jc w:val="both"/>
        <w:rPr>
          <w:rFonts w:ascii="Arial" w:hAnsi="Arial" w:cs="Arial"/>
          <w:sz w:val="24"/>
          <w:szCs w:val="24"/>
        </w:rPr>
      </w:pPr>
      <w:r w:rsidRPr="003F58AA">
        <w:rPr>
          <w:rFonts w:ascii="Arial" w:hAnsi="Arial" w:cs="Arial"/>
          <w:sz w:val="24"/>
          <w:szCs w:val="24"/>
        </w:rPr>
        <w:t xml:space="preserve">Brand Authenticity &amp; Engagement: Apply digital storytelling and influencer marketing campaigns that communicate the driven purpose of Innocent while connecting sustainability messages with younger demographics (Kotler </w:t>
      </w:r>
      <w:r>
        <w:rPr>
          <w:rFonts w:ascii="Arial" w:hAnsi="Arial" w:cs="Arial"/>
          <w:sz w:val="24"/>
          <w:szCs w:val="24"/>
        </w:rPr>
        <w:t>and</w:t>
      </w:r>
      <w:r w:rsidRPr="003F58AA">
        <w:rPr>
          <w:rFonts w:ascii="Arial" w:hAnsi="Arial" w:cs="Arial"/>
          <w:sz w:val="24"/>
          <w:szCs w:val="24"/>
        </w:rPr>
        <w:t xml:space="preserve"> Keller, 2022).</w:t>
      </w:r>
    </w:p>
    <w:p w14:paraId="5DD2865E" w14:textId="77777777" w:rsidR="00505BC4" w:rsidRPr="002B63C3" w:rsidRDefault="00505BC4" w:rsidP="003F58AA">
      <w:pPr>
        <w:spacing w:after="0" w:line="360" w:lineRule="auto"/>
        <w:ind w:firstLine="720"/>
        <w:jc w:val="both"/>
        <w:rPr>
          <w:rFonts w:ascii="Arial" w:hAnsi="Arial" w:cs="Arial"/>
          <w:sz w:val="24"/>
          <w:szCs w:val="24"/>
          <w:lang w:val="en-US"/>
        </w:rPr>
      </w:pPr>
    </w:p>
    <w:p w14:paraId="6354A813" w14:textId="637E1239" w:rsidR="002B63C3" w:rsidRPr="003F58AA" w:rsidRDefault="002B63C3" w:rsidP="003F58AA">
      <w:pPr>
        <w:spacing w:after="0" w:line="360" w:lineRule="auto"/>
        <w:ind w:firstLine="720"/>
        <w:jc w:val="both"/>
        <w:rPr>
          <w:rFonts w:ascii="Arial" w:hAnsi="Arial" w:cs="Arial"/>
          <w:b/>
          <w:bCs/>
          <w:i/>
          <w:iCs/>
          <w:sz w:val="24"/>
          <w:szCs w:val="24"/>
          <w:lang w:val="en-US"/>
        </w:rPr>
      </w:pPr>
      <w:r w:rsidRPr="003F58AA">
        <w:rPr>
          <w:rFonts w:ascii="Arial" w:hAnsi="Arial" w:cs="Arial"/>
          <w:b/>
          <w:bCs/>
          <w:i/>
          <w:iCs/>
          <w:sz w:val="24"/>
          <w:szCs w:val="24"/>
          <w:lang w:val="en-US"/>
        </w:rPr>
        <w:t>Why It Is Sustainable</w:t>
      </w:r>
    </w:p>
    <w:p w14:paraId="1E9453DD" w14:textId="4D4F873C" w:rsidR="002B63C3" w:rsidRPr="002B63C3" w:rsidRDefault="003F58AA" w:rsidP="003F58AA">
      <w:pPr>
        <w:spacing w:after="0" w:line="360" w:lineRule="auto"/>
        <w:ind w:firstLine="720"/>
        <w:jc w:val="both"/>
        <w:rPr>
          <w:rFonts w:ascii="Arial" w:hAnsi="Arial" w:cs="Arial"/>
          <w:sz w:val="24"/>
          <w:szCs w:val="24"/>
          <w:lang w:val="en-US"/>
        </w:rPr>
      </w:pPr>
      <w:r w:rsidRPr="003F58AA">
        <w:rPr>
          <w:rFonts w:ascii="Arial" w:hAnsi="Arial" w:cs="Arial"/>
          <w:sz w:val="24"/>
          <w:szCs w:val="24"/>
        </w:rPr>
        <w:t>The strategy delivers on ecological sustainability as much as it does on economic sustainability. In building renewably operative, circular supply chains that also include digital traceability, Innocent makes a better preparation for resilience and regulatory compliance</w:t>
      </w:r>
      <w:r>
        <w:rPr>
          <w:rFonts w:ascii="Arial" w:hAnsi="Arial" w:cs="Arial"/>
          <w:sz w:val="24"/>
          <w:szCs w:val="24"/>
        </w:rPr>
        <w:t xml:space="preserve"> </w:t>
      </w:r>
      <w:r w:rsidRPr="003F58AA">
        <w:rPr>
          <w:rFonts w:ascii="Arial" w:hAnsi="Arial" w:cs="Arial"/>
          <w:sz w:val="24"/>
          <w:szCs w:val="24"/>
        </w:rPr>
        <w:t>(Hill et al., 2021). It also engages in risk diversification through different markets meanwhile addressing changing consumption needs by innovation.</w:t>
      </w:r>
      <w:r w:rsidRPr="003F58AA">
        <w:rPr>
          <w:rFonts w:ascii="Arial" w:hAnsi="Arial" w:cs="Arial"/>
          <w:sz w:val="24"/>
          <w:szCs w:val="24"/>
        </w:rPr>
        <w:br/>
        <w:t xml:space="preserve">This hybrid strategy enhances shared value creation for customers, suppliers, employees, and society. Shared values can be used in the context of the UN SDGs as </w:t>
      </w:r>
      <w:r w:rsidRPr="003F58AA">
        <w:rPr>
          <w:rFonts w:ascii="Arial" w:hAnsi="Arial" w:cs="Arial"/>
          <w:sz w:val="24"/>
          <w:szCs w:val="24"/>
        </w:rPr>
        <w:lastRenderedPageBreak/>
        <w:t>outlined by 9, 12, and 13-industry innovation, responsible consumption, and climate action. Long-term competitiveness through digital empowerment and sustainability leadership is provided to Innocent while proving that good growth and profitability can go hand in hand (Grant, 2019).</w:t>
      </w:r>
    </w:p>
    <w:p w14:paraId="4B30D0B4" w14:textId="77777777" w:rsidR="002B63C3" w:rsidRDefault="002B63C3" w:rsidP="002B63C3">
      <w:pPr>
        <w:spacing w:after="0" w:line="360" w:lineRule="auto"/>
        <w:jc w:val="center"/>
        <w:rPr>
          <w:rFonts w:ascii="Arial" w:hAnsi="Arial" w:cs="Arial"/>
          <w:sz w:val="24"/>
          <w:szCs w:val="24"/>
          <w:lang w:val="en-US"/>
        </w:rPr>
      </w:pPr>
    </w:p>
    <w:p w14:paraId="300EBBA2" w14:textId="44B9EF46" w:rsidR="002B63C3" w:rsidRPr="00505BC4" w:rsidRDefault="002B63C3" w:rsidP="00505BC4">
      <w:pPr>
        <w:pStyle w:val="Heading1"/>
        <w:spacing w:before="0" w:after="0" w:line="360" w:lineRule="auto"/>
        <w:jc w:val="center"/>
        <w:rPr>
          <w:rFonts w:ascii="Arial" w:hAnsi="Arial" w:cs="Arial"/>
          <w:b/>
          <w:bCs/>
          <w:color w:val="000000" w:themeColor="text1"/>
          <w:sz w:val="24"/>
          <w:szCs w:val="24"/>
          <w:lang w:val="en-US"/>
        </w:rPr>
      </w:pPr>
      <w:bookmarkStart w:id="5" w:name="_Toc211933656"/>
      <w:r w:rsidRPr="00505BC4">
        <w:rPr>
          <w:rFonts w:ascii="Arial" w:hAnsi="Arial" w:cs="Arial"/>
          <w:b/>
          <w:bCs/>
          <w:color w:val="000000" w:themeColor="text1"/>
          <w:sz w:val="24"/>
          <w:szCs w:val="24"/>
          <w:lang w:val="en-US"/>
        </w:rPr>
        <w:t>Stakeholder Analysis and RACI Matrix</w:t>
      </w:r>
      <w:bookmarkEnd w:id="5"/>
    </w:p>
    <w:p w14:paraId="1AB62E78" w14:textId="272CA44D" w:rsidR="002B63C3" w:rsidRPr="002B63C3" w:rsidRDefault="002B63C3" w:rsidP="002B63C3">
      <w:pPr>
        <w:spacing w:after="0" w:line="360" w:lineRule="auto"/>
        <w:jc w:val="both"/>
        <w:rPr>
          <w:rFonts w:ascii="Arial" w:hAnsi="Arial" w:cs="Arial"/>
          <w:sz w:val="24"/>
          <w:szCs w:val="24"/>
          <w:lang w:val="en-US"/>
        </w:rPr>
      </w:pPr>
    </w:p>
    <w:p w14:paraId="5A2160CC" w14:textId="77777777" w:rsidR="002B63C3" w:rsidRPr="003F58AA" w:rsidRDefault="002B63C3" w:rsidP="003F58AA">
      <w:pPr>
        <w:spacing w:after="0" w:line="360" w:lineRule="auto"/>
        <w:ind w:firstLine="720"/>
        <w:jc w:val="both"/>
        <w:rPr>
          <w:rFonts w:ascii="Arial" w:hAnsi="Arial" w:cs="Arial"/>
          <w:b/>
          <w:bCs/>
          <w:i/>
          <w:iCs/>
          <w:sz w:val="24"/>
          <w:szCs w:val="24"/>
          <w:lang w:val="en-US"/>
        </w:rPr>
      </w:pPr>
      <w:r w:rsidRPr="003F58AA">
        <w:rPr>
          <w:rFonts w:ascii="Arial" w:hAnsi="Arial" w:cs="Arial"/>
          <w:b/>
          <w:bCs/>
          <w:i/>
          <w:iCs/>
          <w:sz w:val="24"/>
          <w:szCs w:val="24"/>
          <w:lang w:val="en-US"/>
        </w:rPr>
        <w:t>Mendelow’s Matrix: Stakeholder Power and Interest</w:t>
      </w:r>
    </w:p>
    <w:p w14:paraId="2FD915A2" w14:textId="77777777" w:rsidR="003F58AA" w:rsidRDefault="003F58AA" w:rsidP="003F58AA">
      <w:pPr>
        <w:spacing w:after="0" w:line="360" w:lineRule="auto"/>
        <w:ind w:firstLine="720"/>
        <w:jc w:val="both"/>
        <w:rPr>
          <w:rFonts w:ascii="Arial" w:hAnsi="Arial" w:cs="Arial"/>
          <w:sz w:val="24"/>
          <w:szCs w:val="24"/>
        </w:rPr>
      </w:pPr>
      <w:r w:rsidRPr="003F58AA">
        <w:rPr>
          <w:rFonts w:ascii="Arial" w:hAnsi="Arial" w:cs="Arial"/>
          <w:sz w:val="24"/>
          <w:szCs w:val="24"/>
        </w:rPr>
        <w:t>High Power / High Interest (Key Players):</w:t>
      </w:r>
    </w:p>
    <w:p w14:paraId="73DF0A7D" w14:textId="77777777" w:rsidR="003F58AA" w:rsidRDefault="003F58AA" w:rsidP="003F58AA">
      <w:pPr>
        <w:spacing w:after="0" w:line="360" w:lineRule="auto"/>
        <w:ind w:firstLine="720"/>
        <w:jc w:val="both"/>
        <w:rPr>
          <w:rFonts w:ascii="Arial" w:hAnsi="Arial" w:cs="Arial"/>
          <w:sz w:val="24"/>
          <w:szCs w:val="24"/>
        </w:rPr>
      </w:pPr>
      <w:r w:rsidRPr="003F58AA">
        <w:rPr>
          <w:rFonts w:ascii="Arial" w:hAnsi="Arial" w:cs="Arial"/>
          <w:sz w:val="24"/>
          <w:szCs w:val="24"/>
        </w:rPr>
        <w:t>Board of Directors &amp; Senior Management: They are the ones responsible for the strategic direction, capital allocation, and sustainability governance approve investment feasibility</w:t>
      </w:r>
      <w:r>
        <w:rPr>
          <w:rFonts w:ascii="Arial" w:hAnsi="Arial" w:cs="Arial"/>
          <w:sz w:val="24"/>
          <w:szCs w:val="24"/>
        </w:rPr>
        <w:t xml:space="preserve"> </w:t>
      </w:r>
      <w:r w:rsidRPr="003F58AA">
        <w:rPr>
          <w:rFonts w:ascii="Arial" w:hAnsi="Arial" w:cs="Arial"/>
          <w:sz w:val="24"/>
          <w:szCs w:val="24"/>
        </w:rPr>
        <w:t>(Grant, 2019).</w:t>
      </w:r>
    </w:p>
    <w:p w14:paraId="3435A46F" w14:textId="77777777" w:rsidR="003F58AA" w:rsidRDefault="003F58AA" w:rsidP="003F58AA">
      <w:pPr>
        <w:spacing w:after="0" w:line="360" w:lineRule="auto"/>
        <w:ind w:firstLine="720"/>
        <w:jc w:val="both"/>
        <w:rPr>
          <w:rFonts w:ascii="Arial" w:hAnsi="Arial" w:cs="Arial"/>
          <w:sz w:val="24"/>
          <w:szCs w:val="24"/>
        </w:rPr>
      </w:pPr>
      <w:r w:rsidRPr="003F58AA">
        <w:rPr>
          <w:rFonts w:ascii="Arial" w:hAnsi="Arial" w:cs="Arial"/>
          <w:sz w:val="24"/>
          <w:szCs w:val="24"/>
        </w:rPr>
        <w:t>The Coca Cola Company: As parent organisation, it provides financial stability but may influence decision making. Aligning sustainability goals with Coca Cola’s ESG framework is critical for consistency and autonomy.</w:t>
      </w:r>
    </w:p>
    <w:p w14:paraId="07644B90" w14:textId="77777777" w:rsidR="003F58AA" w:rsidRDefault="003F58AA" w:rsidP="003F58AA">
      <w:pPr>
        <w:spacing w:after="0" w:line="360" w:lineRule="auto"/>
        <w:ind w:firstLine="720"/>
        <w:jc w:val="both"/>
        <w:rPr>
          <w:rFonts w:ascii="Arial" w:hAnsi="Arial" w:cs="Arial"/>
          <w:sz w:val="24"/>
          <w:szCs w:val="24"/>
        </w:rPr>
      </w:pPr>
      <w:r w:rsidRPr="003F58AA">
        <w:rPr>
          <w:rFonts w:ascii="Arial" w:hAnsi="Arial" w:cs="Arial"/>
          <w:sz w:val="24"/>
          <w:szCs w:val="24"/>
        </w:rPr>
        <w:t>Retail Partners (Tesco, Sainsbury’s): Control shelf space and pricing power; maintaining strong relationships ensures consistent market presence.</w:t>
      </w:r>
    </w:p>
    <w:p w14:paraId="0C07F906" w14:textId="77777777" w:rsidR="003F58AA" w:rsidRDefault="003F58AA" w:rsidP="003F58AA">
      <w:pPr>
        <w:spacing w:after="0" w:line="360" w:lineRule="auto"/>
        <w:ind w:firstLine="720"/>
        <w:jc w:val="both"/>
        <w:rPr>
          <w:rFonts w:ascii="Arial" w:hAnsi="Arial" w:cs="Arial"/>
          <w:sz w:val="24"/>
          <w:szCs w:val="24"/>
        </w:rPr>
      </w:pPr>
      <w:r w:rsidRPr="003F58AA">
        <w:rPr>
          <w:rFonts w:ascii="Arial" w:hAnsi="Arial" w:cs="Arial"/>
          <w:sz w:val="24"/>
          <w:szCs w:val="24"/>
        </w:rPr>
        <w:t>High power / Low interest:</w:t>
      </w:r>
    </w:p>
    <w:p w14:paraId="67480D77" w14:textId="77777777" w:rsidR="003F58AA" w:rsidRDefault="003F58AA" w:rsidP="003F58AA">
      <w:pPr>
        <w:spacing w:after="0" w:line="360" w:lineRule="auto"/>
        <w:ind w:firstLine="720"/>
        <w:jc w:val="both"/>
        <w:rPr>
          <w:rFonts w:ascii="Arial" w:hAnsi="Arial" w:cs="Arial"/>
          <w:sz w:val="24"/>
          <w:szCs w:val="24"/>
        </w:rPr>
      </w:pPr>
      <w:r w:rsidRPr="003F58AA">
        <w:rPr>
          <w:rFonts w:ascii="Arial" w:hAnsi="Arial" w:cs="Arial"/>
          <w:sz w:val="24"/>
          <w:szCs w:val="24"/>
        </w:rPr>
        <w:t>Regulatory bodies: Enforce compliance related to food safety, labelling and environmental legislation. They are not involved in the operations.</w:t>
      </w:r>
    </w:p>
    <w:p w14:paraId="66DD0969" w14:textId="77777777" w:rsidR="003F58AA" w:rsidRDefault="003F58AA" w:rsidP="003F58AA">
      <w:pPr>
        <w:spacing w:after="0" w:line="360" w:lineRule="auto"/>
        <w:ind w:firstLine="720"/>
        <w:jc w:val="both"/>
        <w:rPr>
          <w:rFonts w:ascii="Arial" w:hAnsi="Arial" w:cs="Arial"/>
          <w:sz w:val="24"/>
          <w:szCs w:val="24"/>
        </w:rPr>
      </w:pPr>
      <w:r w:rsidRPr="003F58AA">
        <w:rPr>
          <w:rFonts w:ascii="Arial" w:hAnsi="Arial" w:cs="Arial"/>
          <w:sz w:val="24"/>
          <w:szCs w:val="24"/>
        </w:rPr>
        <w:t>Financial institutions: Monitor ESG compliance for credit access and long-term risk assessment.</w:t>
      </w:r>
    </w:p>
    <w:p w14:paraId="61BD81A7" w14:textId="77777777" w:rsidR="003F58AA" w:rsidRDefault="003F58AA" w:rsidP="003F58AA">
      <w:pPr>
        <w:spacing w:after="0" w:line="360" w:lineRule="auto"/>
        <w:ind w:firstLine="720"/>
        <w:jc w:val="both"/>
        <w:rPr>
          <w:rFonts w:ascii="Arial" w:hAnsi="Arial" w:cs="Arial"/>
          <w:sz w:val="24"/>
          <w:szCs w:val="24"/>
        </w:rPr>
      </w:pPr>
      <w:r w:rsidRPr="003F58AA">
        <w:rPr>
          <w:rFonts w:ascii="Arial" w:hAnsi="Arial" w:cs="Arial"/>
          <w:sz w:val="24"/>
          <w:szCs w:val="24"/>
        </w:rPr>
        <w:t>Low power / High interest:</w:t>
      </w:r>
    </w:p>
    <w:p w14:paraId="1F88B971" w14:textId="77777777" w:rsidR="003F58AA" w:rsidRDefault="003F58AA" w:rsidP="003F58AA">
      <w:pPr>
        <w:spacing w:after="0" w:line="360" w:lineRule="auto"/>
        <w:ind w:firstLine="720"/>
        <w:jc w:val="both"/>
        <w:rPr>
          <w:rFonts w:ascii="Arial" w:hAnsi="Arial" w:cs="Arial"/>
          <w:sz w:val="24"/>
          <w:szCs w:val="24"/>
        </w:rPr>
      </w:pPr>
      <w:r w:rsidRPr="003F58AA">
        <w:rPr>
          <w:rFonts w:ascii="Arial" w:hAnsi="Arial" w:cs="Arial"/>
          <w:sz w:val="24"/>
          <w:szCs w:val="24"/>
        </w:rPr>
        <w:t>Employees: Highly committed to the company’s ethical mission and innovation goals. Require continuous digital training to adapt to transformation (Johnson et al., 2020).</w:t>
      </w:r>
    </w:p>
    <w:p w14:paraId="5B6CC940" w14:textId="77777777" w:rsidR="003F58AA" w:rsidRDefault="003F58AA" w:rsidP="003F58AA">
      <w:pPr>
        <w:spacing w:after="0" w:line="360" w:lineRule="auto"/>
        <w:ind w:firstLine="720"/>
        <w:jc w:val="both"/>
        <w:rPr>
          <w:rFonts w:ascii="Arial" w:hAnsi="Arial" w:cs="Arial"/>
          <w:sz w:val="24"/>
          <w:szCs w:val="24"/>
        </w:rPr>
      </w:pPr>
      <w:r w:rsidRPr="003F58AA">
        <w:rPr>
          <w:rFonts w:ascii="Arial" w:hAnsi="Arial" w:cs="Arial"/>
          <w:sz w:val="24"/>
          <w:szCs w:val="24"/>
        </w:rPr>
        <w:t>Suppliers: They depend on Innocent’s long-term contracts. Collaboration on sustainable sourcing is essential to maintain consistency and ethical standards.</w:t>
      </w:r>
    </w:p>
    <w:p w14:paraId="57DB14DA" w14:textId="77777777" w:rsidR="003F58AA" w:rsidRDefault="003F58AA" w:rsidP="003F58AA">
      <w:pPr>
        <w:spacing w:after="0" w:line="360" w:lineRule="auto"/>
        <w:ind w:firstLine="720"/>
        <w:jc w:val="both"/>
        <w:rPr>
          <w:rFonts w:ascii="Arial" w:hAnsi="Arial" w:cs="Arial"/>
          <w:sz w:val="24"/>
          <w:szCs w:val="24"/>
        </w:rPr>
      </w:pPr>
      <w:r w:rsidRPr="003F58AA">
        <w:rPr>
          <w:rFonts w:ascii="Arial" w:hAnsi="Arial" w:cs="Arial"/>
          <w:sz w:val="24"/>
          <w:szCs w:val="24"/>
        </w:rPr>
        <w:t>Low Power / Low Interest:</w:t>
      </w:r>
    </w:p>
    <w:p w14:paraId="52F226D0" w14:textId="5B6F4C9D" w:rsidR="002B63C3" w:rsidRPr="003F58AA" w:rsidRDefault="003F58AA" w:rsidP="003F58AA">
      <w:pPr>
        <w:spacing w:after="0" w:line="360" w:lineRule="auto"/>
        <w:ind w:firstLine="720"/>
        <w:jc w:val="both"/>
        <w:rPr>
          <w:rFonts w:ascii="Arial" w:hAnsi="Arial" w:cs="Arial"/>
          <w:sz w:val="24"/>
          <w:szCs w:val="24"/>
        </w:rPr>
      </w:pPr>
      <w:r w:rsidRPr="003F58AA">
        <w:rPr>
          <w:rFonts w:ascii="Arial" w:hAnsi="Arial" w:cs="Arial"/>
          <w:sz w:val="24"/>
          <w:szCs w:val="24"/>
        </w:rPr>
        <w:lastRenderedPageBreak/>
        <w:t>Local Communities and NGOs: These support sustainability initiatives and corporate social responsibility (CSR) projects. Engagement enhances corporate reputation and brand authenticity.</w:t>
      </w:r>
    </w:p>
    <w:p w14:paraId="02CFE804" w14:textId="77777777" w:rsidR="003F58AA" w:rsidRPr="002B63C3" w:rsidRDefault="003F58AA" w:rsidP="002B63C3">
      <w:pPr>
        <w:spacing w:after="0" w:line="360" w:lineRule="auto"/>
        <w:jc w:val="both"/>
        <w:rPr>
          <w:rFonts w:ascii="Arial" w:hAnsi="Arial" w:cs="Arial"/>
          <w:sz w:val="24"/>
          <w:szCs w:val="24"/>
          <w:lang w:val="en-US"/>
        </w:rPr>
      </w:pPr>
    </w:p>
    <w:p w14:paraId="2EC7EC47" w14:textId="77777777" w:rsidR="002B63C3" w:rsidRPr="003F58AA" w:rsidRDefault="002B63C3" w:rsidP="003F58AA">
      <w:pPr>
        <w:spacing w:after="0" w:line="360" w:lineRule="auto"/>
        <w:ind w:firstLine="720"/>
        <w:jc w:val="both"/>
        <w:rPr>
          <w:rFonts w:ascii="Arial" w:hAnsi="Arial" w:cs="Arial"/>
          <w:b/>
          <w:bCs/>
          <w:i/>
          <w:iCs/>
          <w:sz w:val="24"/>
          <w:szCs w:val="24"/>
          <w:lang w:val="en-US"/>
        </w:rPr>
      </w:pPr>
      <w:r w:rsidRPr="003F58AA">
        <w:rPr>
          <w:rFonts w:ascii="Arial" w:hAnsi="Arial" w:cs="Arial"/>
          <w:b/>
          <w:bCs/>
          <w:i/>
          <w:iCs/>
          <w:sz w:val="24"/>
          <w:szCs w:val="24"/>
          <w:lang w:val="en-US"/>
        </w:rPr>
        <w:t>Stakeholder Expectations and Engagement Strategy</w:t>
      </w:r>
    </w:p>
    <w:p w14:paraId="5669A896" w14:textId="77777777" w:rsidR="003F58AA" w:rsidRDefault="003F58AA" w:rsidP="003F58AA">
      <w:pPr>
        <w:spacing w:after="0" w:line="360" w:lineRule="auto"/>
        <w:ind w:firstLine="720"/>
        <w:jc w:val="both"/>
        <w:rPr>
          <w:rFonts w:ascii="Arial" w:hAnsi="Arial" w:cs="Arial"/>
          <w:sz w:val="24"/>
          <w:szCs w:val="24"/>
        </w:rPr>
      </w:pPr>
      <w:r w:rsidRPr="003F58AA">
        <w:rPr>
          <w:rFonts w:ascii="Arial" w:hAnsi="Arial" w:cs="Arial"/>
          <w:sz w:val="24"/>
          <w:szCs w:val="24"/>
        </w:rPr>
        <w:t>Customers want the ingredients to be natural and the prices to remain low with transparent pricing. Employees want skills, inclusion, and corporate values. Investors and Coca-Cola want profits with good governance and ESG compliance. The regulators fully want environmental and health standards. The communities want sustainability and social impact programs.</w:t>
      </w:r>
    </w:p>
    <w:p w14:paraId="20869096" w14:textId="630E1753" w:rsidR="002B63C3" w:rsidRPr="003F58AA" w:rsidRDefault="003F58AA" w:rsidP="003F58AA">
      <w:pPr>
        <w:spacing w:after="0" w:line="360" w:lineRule="auto"/>
        <w:ind w:firstLine="720"/>
        <w:jc w:val="both"/>
        <w:rPr>
          <w:rFonts w:ascii="Arial" w:hAnsi="Arial" w:cs="Arial"/>
          <w:sz w:val="24"/>
          <w:szCs w:val="24"/>
          <w:lang w:val="en-US"/>
        </w:rPr>
      </w:pPr>
      <w:r w:rsidRPr="003F58AA">
        <w:rPr>
          <w:rFonts w:ascii="Arial" w:hAnsi="Arial" w:cs="Arial"/>
          <w:sz w:val="24"/>
          <w:szCs w:val="24"/>
        </w:rPr>
        <w:t xml:space="preserve">Proactive communication, sustainability reporting, or digital dashboards on social media build stakeholder confidence through transparent ESG disclosure and participatory workshops that enhance collaboration (Tidd </w:t>
      </w:r>
      <w:r>
        <w:rPr>
          <w:rFonts w:ascii="Arial" w:hAnsi="Arial" w:cs="Arial"/>
          <w:sz w:val="24"/>
          <w:szCs w:val="24"/>
        </w:rPr>
        <w:t>and</w:t>
      </w:r>
      <w:r w:rsidRPr="003F58AA">
        <w:rPr>
          <w:rFonts w:ascii="Arial" w:hAnsi="Arial" w:cs="Arial"/>
          <w:sz w:val="24"/>
          <w:szCs w:val="24"/>
        </w:rPr>
        <w:t xml:space="preserve"> Bessant, 2021).</w:t>
      </w:r>
    </w:p>
    <w:p w14:paraId="3C2EA31A" w14:textId="77777777" w:rsidR="002B63C3" w:rsidRPr="002B63C3" w:rsidRDefault="002B63C3" w:rsidP="002B63C3">
      <w:pPr>
        <w:spacing w:after="0" w:line="360" w:lineRule="auto"/>
        <w:jc w:val="both"/>
        <w:rPr>
          <w:rFonts w:ascii="Arial" w:hAnsi="Arial" w:cs="Arial"/>
          <w:sz w:val="24"/>
          <w:szCs w:val="24"/>
          <w:lang w:val="en-US"/>
        </w:rPr>
      </w:pPr>
    </w:p>
    <w:p w14:paraId="045EA516" w14:textId="77777777" w:rsidR="002B63C3" w:rsidRPr="003F58AA" w:rsidRDefault="002B63C3" w:rsidP="003F58AA">
      <w:pPr>
        <w:spacing w:after="0" w:line="360" w:lineRule="auto"/>
        <w:jc w:val="center"/>
        <w:rPr>
          <w:rFonts w:ascii="Arial" w:hAnsi="Arial" w:cs="Arial"/>
          <w:b/>
          <w:bCs/>
          <w:i/>
          <w:iCs/>
          <w:sz w:val="24"/>
          <w:szCs w:val="24"/>
          <w:lang w:val="en-US"/>
        </w:rPr>
      </w:pPr>
      <w:r w:rsidRPr="003F58AA">
        <w:rPr>
          <w:rFonts w:ascii="Arial" w:hAnsi="Arial" w:cs="Arial"/>
          <w:b/>
          <w:bCs/>
          <w:i/>
          <w:iCs/>
          <w:sz w:val="24"/>
          <w:szCs w:val="24"/>
          <w:lang w:val="en-US"/>
        </w:rPr>
        <w:t>RACI Matrix for Strategy Implementation</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538"/>
        <w:gridCol w:w="1804"/>
        <w:gridCol w:w="1661"/>
        <w:gridCol w:w="1771"/>
        <w:gridCol w:w="1576"/>
      </w:tblGrid>
      <w:tr w:rsidR="002B63C3" w:rsidRPr="002B63C3" w14:paraId="072388EA" w14:textId="77777777" w:rsidTr="002B63C3">
        <w:trPr>
          <w:tblHeader/>
          <w:tblCellSpacing w:w="15" w:type="dxa"/>
        </w:trPr>
        <w:tc>
          <w:tcPr>
            <w:tcW w:w="0" w:type="auto"/>
            <w:vAlign w:val="center"/>
            <w:hideMark/>
          </w:tcPr>
          <w:p w14:paraId="3DEFE3CE" w14:textId="77777777" w:rsidR="002B63C3" w:rsidRPr="002B63C3" w:rsidRDefault="002B63C3" w:rsidP="002B63C3">
            <w:pPr>
              <w:spacing w:after="0" w:line="360" w:lineRule="auto"/>
              <w:jc w:val="both"/>
              <w:rPr>
                <w:rFonts w:ascii="Arial" w:hAnsi="Arial" w:cs="Arial"/>
                <w:b/>
                <w:bCs/>
                <w:sz w:val="24"/>
                <w:szCs w:val="24"/>
                <w:lang w:val="en-US"/>
              </w:rPr>
            </w:pPr>
            <w:r w:rsidRPr="002B63C3">
              <w:rPr>
                <w:rFonts w:ascii="Arial" w:hAnsi="Arial" w:cs="Arial"/>
                <w:b/>
                <w:bCs/>
                <w:sz w:val="24"/>
                <w:szCs w:val="24"/>
                <w:lang w:val="en-US"/>
              </w:rPr>
              <w:t>Strategic Activity</w:t>
            </w:r>
          </w:p>
        </w:tc>
        <w:tc>
          <w:tcPr>
            <w:tcW w:w="0" w:type="auto"/>
            <w:vAlign w:val="center"/>
            <w:hideMark/>
          </w:tcPr>
          <w:p w14:paraId="3703331F" w14:textId="77777777" w:rsidR="002B63C3" w:rsidRPr="002B63C3" w:rsidRDefault="002B63C3" w:rsidP="002B63C3">
            <w:pPr>
              <w:spacing w:after="0" w:line="360" w:lineRule="auto"/>
              <w:jc w:val="both"/>
              <w:rPr>
                <w:rFonts w:ascii="Arial" w:hAnsi="Arial" w:cs="Arial"/>
                <w:b/>
                <w:bCs/>
                <w:sz w:val="24"/>
                <w:szCs w:val="24"/>
                <w:lang w:val="en-US"/>
              </w:rPr>
            </w:pPr>
            <w:r w:rsidRPr="002B63C3">
              <w:rPr>
                <w:rFonts w:ascii="Arial" w:hAnsi="Arial" w:cs="Arial"/>
                <w:b/>
                <w:bCs/>
                <w:sz w:val="24"/>
                <w:szCs w:val="24"/>
                <w:lang w:val="en-US"/>
              </w:rPr>
              <w:t>Responsible (R)</w:t>
            </w:r>
          </w:p>
        </w:tc>
        <w:tc>
          <w:tcPr>
            <w:tcW w:w="0" w:type="auto"/>
            <w:vAlign w:val="center"/>
            <w:hideMark/>
          </w:tcPr>
          <w:p w14:paraId="10CD0B93" w14:textId="77777777" w:rsidR="002B63C3" w:rsidRPr="002B63C3" w:rsidRDefault="002B63C3" w:rsidP="002B63C3">
            <w:pPr>
              <w:spacing w:after="0" w:line="360" w:lineRule="auto"/>
              <w:jc w:val="both"/>
              <w:rPr>
                <w:rFonts w:ascii="Arial" w:hAnsi="Arial" w:cs="Arial"/>
                <w:b/>
                <w:bCs/>
                <w:sz w:val="24"/>
                <w:szCs w:val="24"/>
                <w:lang w:val="en-US"/>
              </w:rPr>
            </w:pPr>
            <w:r w:rsidRPr="002B63C3">
              <w:rPr>
                <w:rFonts w:ascii="Arial" w:hAnsi="Arial" w:cs="Arial"/>
                <w:b/>
                <w:bCs/>
                <w:sz w:val="24"/>
                <w:szCs w:val="24"/>
                <w:lang w:val="en-US"/>
              </w:rPr>
              <w:t>Accountable (A)</w:t>
            </w:r>
          </w:p>
        </w:tc>
        <w:tc>
          <w:tcPr>
            <w:tcW w:w="0" w:type="auto"/>
            <w:vAlign w:val="center"/>
            <w:hideMark/>
          </w:tcPr>
          <w:p w14:paraId="2541BBAE" w14:textId="77777777" w:rsidR="002B63C3" w:rsidRPr="002B63C3" w:rsidRDefault="002B63C3" w:rsidP="002B63C3">
            <w:pPr>
              <w:spacing w:after="0" w:line="360" w:lineRule="auto"/>
              <w:jc w:val="both"/>
              <w:rPr>
                <w:rFonts w:ascii="Arial" w:hAnsi="Arial" w:cs="Arial"/>
                <w:b/>
                <w:bCs/>
                <w:sz w:val="24"/>
                <w:szCs w:val="24"/>
                <w:lang w:val="en-US"/>
              </w:rPr>
            </w:pPr>
            <w:r w:rsidRPr="002B63C3">
              <w:rPr>
                <w:rFonts w:ascii="Arial" w:hAnsi="Arial" w:cs="Arial"/>
                <w:b/>
                <w:bCs/>
                <w:sz w:val="24"/>
                <w:szCs w:val="24"/>
                <w:lang w:val="en-US"/>
              </w:rPr>
              <w:t>Consulted (C)</w:t>
            </w:r>
          </w:p>
        </w:tc>
        <w:tc>
          <w:tcPr>
            <w:tcW w:w="0" w:type="auto"/>
            <w:vAlign w:val="center"/>
            <w:hideMark/>
          </w:tcPr>
          <w:p w14:paraId="65C9BB4E" w14:textId="77777777" w:rsidR="002B63C3" w:rsidRPr="002B63C3" w:rsidRDefault="002B63C3" w:rsidP="002B63C3">
            <w:pPr>
              <w:spacing w:after="0" w:line="360" w:lineRule="auto"/>
              <w:jc w:val="both"/>
              <w:rPr>
                <w:rFonts w:ascii="Arial" w:hAnsi="Arial" w:cs="Arial"/>
                <w:b/>
                <w:bCs/>
                <w:sz w:val="24"/>
                <w:szCs w:val="24"/>
                <w:lang w:val="en-US"/>
              </w:rPr>
            </w:pPr>
            <w:r w:rsidRPr="002B63C3">
              <w:rPr>
                <w:rFonts w:ascii="Arial" w:hAnsi="Arial" w:cs="Arial"/>
                <w:b/>
                <w:bCs/>
                <w:sz w:val="24"/>
                <w:szCs w:val="24"/>
                <w:lang w:val="en-US"/>
              </w:rPr>
              <w:t>Informed (I)</w:t>
            </w:r>
          </w:p>
        </w:tc>
      </w:tr>
      <w:tr w:rsidR="002B63C3" w:rsidRPr="002B63C3" w14:paraId="7B715E47" w14:textId="77777777" w:rsidTr="002B63C3">
        <w:trPr>
          <w:tblCellSpacing w:w="15" w:type="dxa"/>
        </w:trPr>
        <w:tc>
          <w:tcPr>
            <w:tcW w:w="0" w:type="auto"/>
            <w:vAlign w:val="center"/>
            <w:hideMark/>
          </w:tcPr>
          <w:p w14:paraId="794829DC" w14:textId="77777777" w:rsidR="002B63C3" w:rsidRPr="002B63C3" w:rsidRDefault="002B63C3" w:rsidP="002B63C3">
            <w:pPr>
              <w:spacing w:after="0" w:line="360" w:lineRule="auto"/>
              <w:jc w:val="both"/>
              <w:rPr>
                <w:rFonts w:ascii="Arial" w:hAnsi="Arial" w:cs="Arial"/>
                <w:sz w:val="24"/>
                <w:szCs w:val="24"/>
                <w:lang w:val="en-US"/>
              </w:rPr>
            </w:pPr>
            <w:r w:rsidRPr="002B63C3">
              <w:rPr>
                <w:rFonts w:ascii="Arial" w:hAnsi="Arial" w:cs="Arial"/>
                <w:sz w:val="24"/>
                <w:szCs w:val="24"/>
                <w:lang w:val="en-US"/>
              </w:rPr>
              <w:t>Digital transformation (ERP, blockchain)</w:t>
            </w:r>
          </w:p>
        </w:tc>
        <w:tc>
          <w:tcPr>
            <w:tcW w:w="0" w:type="auto"/>
            <w:vAlign w:val="center"/>
            <w:hideMark/>
          </w:tcPr>
          <w:p w14:paraId="607AC73E" w14:textId="77777777" w:rsidR="002B63C3" w:rsidRPr="002B63C3" w:rsidRDefault="002B63C3" w:rsidP="002B63C3">
            <w:pPr>
              <w:spacing w:after="0" w:line="360" w:lineRule="auto"/>
              <w:jc w:val="both"/>
              <w:rPr>
                <w:rFonts w:ascii="Arial" w:hAnsi="Arial" w:cs="Arial"/>
                <w:sz w:val="24"/>
                <w:szCs w:val="24"/>
                <w:lang w:val="en-US"/>
              </w:rPr>
            </w:pPr>
            <w:r w:rsidRPr="002B63C3">
              <w:rPr>
                <w:rFonts w:ascii="Arial" w:hAnsi="Arial" w:cs="Arial"/>
                <w:sz w:val="24"/>
                <w:szCs w:val="24"/>
                <w:lang w:val="en-US"/>
              </w:rPr>
              <w:t>Chief Technology Officer</w:t>
            </w:r>
          </w:p>
        </w:tc>
        <w:tc>
          <w:tcPr>
            <w:tcW w:w="0" w:type="auto"/>
            <w:vAlign w:val="center"/>
            <w:hideMark/>
          </w:tcPr>
          <w:p w14:paraId="613A8C22" w14:textId="77777777" w:rsidR="002B63C3" w:rsidRPr="002B63C3" w:rsidRDefault="002B63C3" w:rsidP="002B63C3">
            <w:pPr>
              <w:spacing w:after="0" w:line="360" w:lineRule="auto"/>
              <w:jc w:val="both"/>
              <w:rPr>
                <w:rFonts w:ascii="Arial" w:hAnsi="Arial" w:cs="Arial"/>
                <w:sz w:val="24"/>
                <w:szCs w:val="24"/>
                <w:lang w:val="en-US"/>
              </w:rPr>
            </w:pPr>
            <w:r w:rsidRPr="002B63C3">
              <w:rPr>
                <w:rFonts w:ascii="Arial" w:hAnsi="Arial" w:cs="Arial"/>
                <w:sz w:val="24"/>
                <w:szCs w:val="24"/>
                <w:lang w:val="en-US"/>
              </w:rPr>
              <w:t>CEO</w:t>
            </w:r>
          </w:p>
        </w:tc>
        <w:tc>
          <w:tcPr>
            <w:tcW w:w="0" w:type="auto"/>
            <w:vAlign w:val="center"/>
            <w:hideMark/>
          </w:tcPr>
          <w:p w14:paraId="1E1EE2CC" w14:textId="77777777" w:rsidR="002B63C3" w:rsidRPr="002B63C3" w:rsidRDefault="002B63C3" w:rsidP="002B63C3">
            <w:pPr>
              <w:spacing w:after="0" w:line="360" w:lineRule="auto"/>
              <w:jc w:val="both"/>
              <w:rPr>
                <w:rFonts w:ascii="Arial" w:hAnsi="Arial" w:cs="Arial"/>
                <w:sz w:val="24"/>
                <w:szCs w:val="24"/>
                <w:lang w:val="en-US"/>
              </w:rPr>
            </w:pPr>
            <w:r w:rsidRPr="002B63C3">
              <w:rPr>
                <w:rFonts w:ascii="Arial" w:hAnsi="Arial" w:cs="Arial"/>
                <w:sz w:val="24"/>
                <w:szCs w:val="24"/>
                <w:lang w:val="en-US"/>
              </w:rPr>
              <w:t>IT, Operations Managers</w:t>
            </w:r>
          </w:p>
        </w:tc>
        <w:tc>
          <w:tcPr>
            <w:tcW w:w="0" w:type="auto"/>
            <w:vAlign w:val="center"/>
            <w:hideMark/>
          </w:tcPr>
          <w:p w14:paraId="21EF7BE9" w14:textId="77777777" w:rsidR="002B63C3" w:rsidRPr="002B63C3" w:rsidRDefault="002B63C3" w:rsidP="002B63C3">
            <w:pPr>
              <w:spacing w:after="0" w:line="360" w:lineRule="auto"/>
              <w:jc w:val="both"/>
              <w:rPr>
                <w:rFonts w:ascii="Arial" w:hAnsi="Arial" w:cs="Arial"/>
                <w:sz w:val="24"/>
                <w:szCs w:val="24"/>
                <w:lang w:val="en-US"/>
              </w:rPr>
            </w:pPr>
            <w:r w:rsidRPr="002B63C3">
              <w:rPr>
                <w:rFonts w:ascii="Arial" w:hAnsi="Arial" w:cs="Arial"/>
                <w:sz w:val="24"/>
                <w:szCs w:val="24"/>
                <w:lang w:val="en-US"/>
              </w:rPr>
              <w:t>All Employees</w:t>
            </w:r>
          </w:p>
        </w:tc>
      </w:tr>
      <w:tr w:rsidR="002B63C3" w:rsidRPr="002B63C3" w14:paraId="2DD87B04" w14:textId="77777777" w:rsidTr="002B63C3">
        <w:trPr>
          <w:tblCellSpacing w:w="15" w:type="dxa"/>
        </w:trPr>
        <w:tc>
          <w:tcPr>
            <w:tcW w:w="0" w:type="auto"/>
            <w:vAlign w:val="center"/>
            <w:hideMark/>
          </w:tcPr>
          <w:p w14:paraId="473AB251" w14:textId="77777777" w:rsidR="002B63C3" w:rsidRPr="002B63C3" w:rsidRDefault="002B63C3" w:rsidP="002B63C3">
            <w:pPr>
              <w:spacing w:after="0" w:line="360" w:lineRule="auto"/>
              <w:jc w:val="both"/>
              <w:rPr>
                <w:rFonts w:ascii="Arial" w:hAnsi="Arial" w:cs="Arial"/>
                <w:sz w:val="24"/>
                <w:szCs w:val="24"/>
                <w:lang w:val="en-US"/>
              </w:rPr>
            </w:pPr>
            <w:r w:rsidRPr="002B63C3">
              <w:rPr>
                <w:rFonts w:ascii="Arial" w:hAnsi="Arial" w:cs="Arial"/>
                <w:sz w:val="24"/>
                <w:szCs w:val="24"/>
                <w:lang w:val="en-US"/>
              </w:rPr>
              <w:t>Product diversification (functional nutrition)</w:t>
            </w:r>
          </w:p>
        </w:tc>
        <w:tc>
          <w:tcPr>
            <w:tcW w:w="0" w:type="auto"/>
            <w:vAlign w:val="center"/>
            <w:hideMark/>
          </w:tcPr>
          <w:p w14:paraId="31D7B640" w14:textId="77777777" w:rsidR="002B63C3" w:rsidRPr="002B63C3" w:rsidRDefault="002B63C3" w:rsidP="002B63C3">
            <w:pPr>
              <w:spacing w:after="0" w:line="360" w:lineRule="auto"/>
              <w:jc w:val="both"/>
              <w:rPr>
                <w:rFonts w:ascii="Arial" w:hAnsi="Arial" w:cs="Arial"/>
                <w:sz w:val="24"/>
                <w:szCs w:val="24"/>
                <w:lang w:val="en-US"/>
              </w:rPr>
            </w:pPr>
            <w:r w:rsidRPr="002B63C3">
              <w:rPr>
                <w:rFonts w:ascii="Arial" w:hAnsi="Arial" w:cs="Arial"/>
                <w:sz w:val="24"/>
                <w:szCs w:val="24"/>
                <w:lang w:val="en-US"/>
              </w:rPr>
              <w:t>R&amp;D Manager</w:t>
            </w:r>
          </w:p>
        </w:tc>
        <w:tc>
          <w:tcPr>
            <w:tcW w:w="0" w:type="auto"/>
            <w:vAlign w:val="center"/>
            <w:hideMark/>
          </w:tcPr>
          <w:p w14:paraId="3B779383" w14:textId="77777777" w:rsidR="002B63C3" w:rsidRPr="002B63C3" w:rsidRDefault="002B63C3" w:rsidP="002B63C3">
            <w:pPr>
              <w:spacing w:after="0" w:line="360" w:lineRule="auto"/>
              <w:jc w:val="both"/>
              <w:rPr>
                <w:rFonts w:ascii="Arial" w:hAnsi="Arial" w:cs="Arial"/>
                <w:sz w:val="24"/>
                <w:szCs w:val="24"/>
                <w:lang w:val="en-US"/>
              </w:rPr>
            </w:pPr>
            <w:r w:rsidRPr="002B63C3">
              <w:rPr>
                <w:rFonts w:ascii="Arial" w:hAnsi="Arial" w:cs="Arial"/>
                <w:sz w:val="24"/>
                <w:szCs w:val="24"/>
                <w:lang w:val="en-US"/>
              </w:rPr>
              <w:t>Innovation Director</w:t>
            </w:r>
          </w:p>
        </w:tc>
        <w:tc>
          <w:tcPr>
            <w:tcW w:w="0" w:type="auto"/>
            <w:vAlign w:val="center"/>
            <w:hideMark/>
          </w:tcPr>
          <w:p w14:paraId="7562CF65" w14:textId="77777777" w:rsidR="002B63C3" w:rsidRPr="002B63C3" w:rsidRDefault="002B63C3" w:rsidP="002B63C3">
            <w:pPr>
              <w:spacing w:after="0" w:line="360" w:lineRule="auto"/>
              <w:jc w:val="both"/>
              <w:rPr>
                <w:rFonts w:ascii="Arial" w:hAnsi="Arial" w:cs="Arial"/>
                <w:sz w:val="24"/>
                <w:szCs w:val="24"/>
                <w:lang w:val="en-US"/>
              </w:rPr>
            </w:pPr>
            <w:r w:rsidRPr="002B63C3">
              <w:rPr>
                <w:rFonts w:ascii="Arial" w:hAnsi="Arial" w:cs="Arial"/>
                <w:sz w:val="24"/>
                <w:szCs w:val="24"/>
                <w:lang w:val="en-US"/>
              </w:rPr>
              <w:t>Marketing, Nutrition Experts</w:t>
            </w:r>
          </w:p>
        </w:tc>
        <w:tc>
          <w:tcPr>
            <w:tcW w:w="0" w:type="auto"/>
            <w:vAlign w:val="center"/>
            <w:hideMark/>
          </w:tcPr>
          <w:p w14:paraId="6ABB487B" w14:textId="77777777" w:rsidR="002B63C3" w:rsidRPr="002B63C3" w:rsidRDefault="002B63C3" w:rsidP="002B63C3">
            <w:pPr>
              <w:spacing w:after="0" w:line="360" w:lineRule="auto"/>
              <w:jc w:val="both"/>
              <w:rPr>
                <w:rFonts w:ascii="Arial" w:hAnsi="Arial" w:cs="Arial"/>
                <w:sz w:val="24"/>
                <w:szCs w:val="24"/>
                <w:lang w:val="en-US"/>
              </w:rPr>
            </w:pPr>
            <w:r w:rsidRPr="002B63C3">
              <w:rPr>
                <w:rFonts w:ascii="Arial" w:hAnsi="Arial" w:cs="Arial"/>
                <w:sz w:val="24"/>
                <w:szCs w:val="24"/>
                <w:lang w:val="en-US"/>
              </w:rPr>
              <w:t>Customers</w:t>
            </w:r>
          </w:p>
        </w:tc>
      </w:tr>
      <w:tr w:rsidR="002B63C3" w:rsidRPr="002B63C3" w14:paraId="1081E221" w14:textId="77777777" w:rsidTr="002B63C3">
        <w:trPr>
          <w:tblCellSpacing w:w="15" w:type="dxa"/>
        </w:trPr>
        <w:tc>
          <w:tcPr>
            <w:tcW w:w="0" w:type="auto"/>
            <w:vAlign w:val="center"/>
            <w:hideMark/>
          </w:tcPr>
          <w:p w14:paraId="64F4043E" w14:textId="77777777" w:rsidR="002B63C3" w:rsidRPr="002B63C3" w:rsidRDefault="002B63C3" w:rsidP="002B63C3">
            <w:pPr>
              <w:spacing w:after="0" w:line="360" w:lineRule="auto"/>
              <w:jc w:val="both"/>
              <w:rPr>
                <w:rFonts w:ascii="Arial" w:hAnsi="Arial" w:cs="Arial"/>
                <w:sz w:val="24"/>
                <w:szCs w:val="24"/>
                <w:lang w:val="en-US"/>
              </w:rPr>
            </w:pPr>
            <w:r w:rsidRPr="002B63C3">
              <w:rPr>
                <w:rFonts w:ascii="Arial" w:hAnsi="Arial" w:cs="Arial"/>
                <w:sz w:val="24"/>
                <w:szCs w:val="24"/>
                <w:lang w:val="en-US"/>
              </w:rPr>
              <w:t>International market expansion</w:t>
            </w:r>
          </w:p>
        </w:tc>
        <w:tc>
          <w:tcPr>
            <w:tcW w:w="0" w:type="auto"/>
            <w:vAlign w:val="center"/>
            <w:hideMark/>
          </w:tcPr>
          <w:p w14:paraId="0053BCC8" w14:textId="77777777" w:rsidR="002B63C3" w:rsidRPr="002B63C3" w:rsidRDefault="002B63C3" w:rsidP="002B63C3">
            <w:pPr>
              <w:spacing w:after="0" w:line="360" w:lineRule="auto"/>
              <w:jc w:val="both"/>
              <w:rPr>
                <w:rFonts w:ascii="Arial" w:hAnsi="Arial" w:cs="Arial"/>
                <w:sz w:val="24"/>
                <w:szCs w:val="24"/>
                <w:lang w:val="en-US"/>
              </w:rPr>
            </w:pPr>
            <w:r w:rsidRPr="002B63C3">
              <w:rPr>
                <w:rFonts w:ascii="Arial" w:hAnsi="Arial" w:cs="Arial"/>
                <w:sz w:val="24"/>
                <w:szCs w:val="24"/>
                <w:lang w:val="en-US"/>
              </w:rPr>
              <w:t>Export Manager</w:t>
            </w:r>
          </w:p>
        </w:tc>
        <w:tc>
          <w:tcPr>
            <w:tcW w:w="0" w:type="auto"/>
            <w:vAlign w:val="center"/>
            <w:hideMark/>
          </w:tcPr>
          <w:p w14:paraId="277DFA9B" w14:textId="77777777" w:rsidR="002B63C3" w:rsidRPr="002B63C3" w:rsidRDefault="002B63C3" w:rsidP="002B63C3">
            <w:pPr>
              <w:spacing w:after="0" w:line="360" w:lineRule="auto"/>
              <w:jc w:val="both"/>
              <w:rPr>
                <w:rFonts w:ascii="Arial" w:hAnsi="Arial" w:cs="Arial"/>
                <w:sz w:val="24"/>
                <w:szCs w:val="24"/>
                <w:lang w:val="en-US"/>
              </w:rPr>
            </w:pPr>
            <w:r w:rsidRPr="002B63C3">
              <w:rPr>
                <w:rFonts w:ascii="Arial" w:hAnsi="Arial" w:cs="Arial"/>
                <w:sz w:val="24"/>
                <w:szCs w:val="24"/>
                <w:lang w:val="en-US"/>
              </w:rPr>
              <w:t>Managing Director</w:t>
            </w:r>
          </w:p>
        </w:tc>
        <w:tc>
          <w:tcPr>
            <w:tcW w:w="0" w:type="auto"/>
            <w:vAlign w:val="center"/>
            <w:hideMark/>
          </w:tcPr>
          <w:p w14:paraId="2703DDC2" w14:textId="77777777" w:rsidR="002B63C3" w:rsidRPr="002B63C3" w:rsidRDefault="002B63C3" w:rsidP="002B63C3">
            <w:pPr>
              <w:spacing w:after="0" w:line="360" w:lineRule="auto"/>
              <w:jc w:val="both"/>
              <w:rPr>
                <w:rFonts w:ascii="Arial" w:hAnsi="Arial" w:cs="Arial"/>
                <w:sz w:val="24"/>
                <w:szCs w:val="24"/>
                <w:lang w:val="en-US"/>
              </w:rPr>
            </w:pPr>
            <w:r w:rsidRPr="002B63C3">
              <w:rPr>
                <w:rFonts w:ascii="Arial" w:hAnsi="Arial" w:cs="Arial"/>
                <w:sz w:val="24"/>
                <w:szCs w:val="24"/>
                <w:lang w:val="en-US"/>
              </w:rPr>
              <w:t>Legal, Finance</w:t>
            </w:r>
          </w:p>
        </w:tc>
        <w:tc>
          <w:tcPr>
            <w:tcW w:w="0" w:type="auto"/>
            <w:vAlign w:val="center"/>
            <w:hideMark/>
          </w:tcPr>
          <w:p w14:paraId="5A5F2E59" w14:textId="77777777" w:rsidR="002B63C3" w:rsidRPr="002B63C3" w:rsidRDefault="002B63C3" w:rsidP="002B63C3">
            <w:pPr>
              <w:spacing w:after="0" w:line="360" w:lineRule="auto"/>
              <w:jc w:val="both"/>
              <w:rPr>
                <w:rFonts w:ascii="Arial" w:hAnsi="Arial" w:cs="Arial"/>
                <w:sz w:val="24"/>
                <w:szCs w:val="24"/>
                <w:lang w:val="en-US"/>
              </w:rPr>
            </w:pPr>
            <w:r w:rsidRPr="002B63C3">
              <w:rPr>
                <w:rFonts w:ascii="Arial" w:hAnsi="Arial" w:cs="Arial"/>
                <w:sz w:val="24"/>
                <w:szCs w:val="24"/>
                <w:lang w:val="en-US"/>
              </w:rPr>
              <w:t>Regional Distributors</w:t>
            </w:r>
          </w:p>
        </w:tc>
      </w:tr>
      <w:tr w:rsidR="002B63C3" w:rsidRPr="002B63C3" w14:paraId="0201BA35" w14:textId="77777777" w:rsidTr="002B63C3">
        <w:trPr>
          <w:tblCellSpacing w:w="15" w:type="dxa"/>
        </w:trPr>
        <w:tc>
          <w:tcPr>
            <w:tcW w:w="0" w:type="auto"/>
            <w:vAlign w:val="center"/>
            <w:hideMark/>
          </w:tcPr>
          <w:p w14:paraId="61CCBEA3" w14:textId="77777777" w:rsidR="002B63C3" w:rsidRPr="002B63C3" w:rsidRDefault="002B63C3" w:rsidP="002B63C3">
            <w:pPr>
              <w:spacing w:after="0" w:line="360" w:lineRule="auto"/>
              <w:jc w:val="both"/>
              <w:rPr>
                <w:rFonts w:ascii="Arial" w:hAnsi="Arial" w:cs="Arial"/>
                <w:sz w:val="24"/>
                <w:szCs w:val="24"/>
                <w:lang w:val="en-US"/>
              </w:rPr>
            </w:pPr>
            <w:r w:rsidRPr="002B63C3">
              <w:rPr>
                <w:rFonts w:ascii="Arial" w:hAnsi="Arial" w:cs="Arial"/>
                <w:sz w:val="24"/>
                <w:szCs w:val="24"/>
                <w:lang w:val="en-US"/>
              </w:rPr>
              <w:t>Sustainability &amp; packaging innovation</w:t>
            </w:r>
          </w:p>
        </w:tc>
        <w:tc>
          <w:tcPr>
            <w:tcW w:w="0" w:type="auto"/>
            <w:vAlign w:val="center"/>
            <w:hideMark/>
          </w:tcPr>
          <w:p w14:paraId="06BA6B54" w14:textId="77777777" w:rsidR="002B63C3" w:rsidRPr="002B63C3" w:rsidRDefault="002B63C3" w:rsidP="002B63C3">
            <w:pPr>
              <w:spacing w:after="0" w:line="360" w:lineRule="auto"/>
              <w:jc w:val="both"/>
              <w:rPr>
                <w:rFonts w:ascii="Arial" w:hAnsi="Arial" w:cs="Arial"/>
                <w:sz w:val="24"/>
                <w:szCs w:val="24"/>
                <w:lang w:val="en-US"/>
              </w:rPr>
            </w:pPr>
            <w:r w:rsidRPr="002B63C3">
              <w:rPr>
                <w:rFonts w:ascii="Arial" w:hAnsi="Arial" w:cs="Arial"/>
                <w:sz w:val="24"/>
                <w:szCs w:val="24"/>
                <w:lang w:val="en-US"/>
              </w:rPr>
              <w:t>Sustainability Director</w:t>
            </w:r>
          </w:p>
        </w:tc>
        <w:tc>
          <w:tcPr>
            <w:tcW w:w="0" w:type="auto"/>
            <w:vAlign w:val="center"/>
            <w:hideMark/>
          </w:tcPr>
          <w:p w14:paraId="38B42F83" w14:textId="77777777" w:rsidR="002B63C3" w:rsidRPr="002B63C3" w:rsidRDefault="002B63C3" w:rsidP="002B63C3">
            <w:pPr>
              <w:spacing w:after="0" w:line="360" w:lineRule="auto"/>
              <w:jc w:val="both"/>
              <w:rPr>
                <w:rFonts w:ascii="Arial" w:hAnsi="Arial" w:cs="Arial"/>
                <w:sz w:val="24"/>
                <w:szCs w:val="24"/>
                <w:lang w:val="en-US"/>
              </w:rPr>
            </w:pPr>
            <w:r w:rsidRPr="002B63C3">
              <w:rPr>
                <w:rFonts w:ascii="Arial" w:hAnsi="Arial" w:cs="Arial"/>
                <w:sz w:val="24"/>
                <w:szCs w:val="24"/>
                <w:lang w:val="en-US"/>
              </w:rPr>
              <w:t>COO</w:t>
            </w:r>
          </w:p>
        </w:tc>
        <w:tc>
          <w:tcPr>
            <w:tcW w:w="0" w:type="auto"/>
            <w:vAlign w:val="center"/>
            <w:hideMark/>
          </w:tcPr>
          <w:p w14:paraId="738F7EB1" w14:textId="77777777" w:rsidR="002B63C3" w:rsidRPr="002B63C3" w:rsidRDefault="002B63C3" w:rsidP="002B63C3">
            <w:pPr>
              <w:spacing w:after="0" w:line="360" w:lineRule="auto"/>
              <w:jc w:val="both"/>
              <w:rPr>
                <w:rFonts w:ascii="Arial" w:hAnsi="Arial" w:cs="Arial"/>
                <w:sz w:val="24"/>
                <w:szCs w:val="24"/>
                <w:lang w:val="en-US"/>
              </w:rPr>
            </w:pPr>
            <w:r w:rsidRPr="002B63C3">
              <w:rPr>
                <w:rFonts w:ascii="Arial" w:hAnsi="Arial" w:cs="Arial"/>
                <w:sz w:val="24"/>
                <w:szCs w:val="24"/>
                <w:lang w:val="en-US"/>
              </w:rPr>
              <w:t>R&amp;D, Supply Chain Partners</w:t>
            </w:r>
          </w:p>
        </w:tc>
        <w:tc>
          <w:tcPr>
            <w:tcW w:w="0" w:type="auto"/>
            <w:vAlign w:val="center"/>
            <w:hideMark/>
          </w:tcPr>
          <w:p w14:paraId="62FC3ECA" w14:textId="77777777" w:rsidR="002B63C3" w:rsidRPr="002B63C3" w:rsidRDefault="002B63C3" w:rsidP="002B63C3">
            <w:pPr>
              <w:spacing w:after="0" w:line="360" w:lineRule="auto"/>
              <w:jc w:val="both"/>
              <w:rPr>
                <w:rFonts w:ascii="Arial" w:hAnsi="Arial" w:cs="Arial"/>
                <w:sz w:val="24"/>
                <w:szCs w:val="24"/>
                <w:lang w:val="en-US"/>
              </w:rPr>
            </w:pPr>
            <w:r w:rsidRPr="002B63C3">
              <w:rPr>
                <w:rFonts w:ascii="Arial" w:hAnsi="Arial" w:cs="Arial"/>
                <w:sz w:val="24"/>
                <w:szCs w:val="24"/>
                <w:lang w:val="en-US"/>
              </w:rPr>
              <w:t>NGOs, Regulators</w:t>
            </w:r>
          </w:p>
        </w:tc>
      </w:tr>
      <w:tr w:rsidR="002B63C3" w:rsidRPr="002B63C3" w14:paraId="0A0DD450" w14:textId="77777777" w:rsidTr="002B63C3">
        <w:trPr>
          <w:tblCellSpacing w:w="15" w:type="dxa"/>
        </w:trPr>
        <w:tc>
          <w:tcPr>
            <w:tcW w:w="0" w:type="auto"/>
            <w:vAlign w:val="center"/>
            <w:hideMark/>
          </w:tcPr>
          <w:p w14:paraId="1751292C" w14:textId="77777777" w:rsidR="002B63C3" w:rsidRPr="002B63C3" w:rsidRDefault="002B63C3" w:rsidP="002B63C3">
            <w:pPr>
              <w:spacing w:after="0" w:line="360" w:lineRule="auto"/>
              <w:jc w:val="both"/>
              <w:rPr>
                <w:rFonts w:ascii="Arial" w:hAnsi="Arial" w:cs="Arial"/>
                <w:sz w:val="24"/>
                <w:szCs w:val="24"/>
                <w:lang w:val="en-US"/>
              </w:rPr>
            </w:pPr>
            <w:r w:rsidRPr="002B63C3">
              <w:rPr>
                <w:rFonts w:ascii="Arial" w:hAnsi="Arial" w:cs="Arial"/>
                <w:sz w:val="24"/>
                <w:szCs w:val="24"/>
                <w:lang w:val="en-US"/>
              </w:rPr>
              <w:t>Employee training &amp; digital upskilling</w:t>
            </w:r>
          </w:p>
        </w:tc>
        <w:tc>
          <w:tcPr>
            <w:tcW w:w="0" w:type="auto"/>
            <w:vAlign w:val="center"/>
            <w:hideMark/>
          </w:tcPr>
          <w:p w14:paraId="1FA52D05" w14:textId="77777777" w:rsidR="002B63C3" w:rsidRPr="002B63C3" w:rsidRDefault="002B63C3" w:rsidP="002B63C3">
            <w:pPr>
              <w:spacing w:after="0" w:line="360" w:lineRule="auto"/>
              <w:jc w:val="both"/>
              <w:rPr>
                <w:rFonts w:ascii="Arial" w:hAnsi="Arial" w:cs="Arial"/>
                <w:sz w:val="24"/>
                <w:szCs w:val="24"/>
                <w:lang w:val="en-US"/>
              </w:rPr>
            </w:pPr>
            <w:r w:rsidRPr="002B63C3">
              <w:rPr>
                <w:rFonts w:ascii="Arial" w:hAnsi="Arial" w:cs="Arial"/>
                <w:sz w:val="24"/>
                <w:szCs w:val="24"/>
                <w:lang w:val="en-US"/>
              </w:rPr>
              <w:t>HR Director</w:t>
            </w:r>
          </w:p>
        </w:tc>
        <w:tc>
          <w:tcPr>
            <w:tcW w:w="0" w:type="auto"/>
            <w:vAlign w:val="center"/>
            <w:hideMark/>
          </w:tcPr>
          <w:p w14:paraId="1EBCCD7E" w14:textId="77777777" w:rsidR="002B63C3" w:rsidRPr="002B63C3" w:rsidRDefault="002B63C3" w:rsidP="002B63C3">
            <w:pPr>
              <w:spacing w:after="0" w:line="360" w:lineRule="auto"/>
              <w:jc w:val="both"/>
              <w:rPr>
                <w:rFonts w:ascii="Arial" w:hAnsi="Arial" w:cs="Arial"/>
                <w:sz w:val="24"/>
                <w:szCs w:val="24"/>
                <w:lang w:val="en-US"/>
              </w:rPr>
            </w:pPr>
            <w:r w:rsidRPr="002B63C3">
              <w:rPr>
                <w:rFonts w:ascii="Arial" w:hAnsi="Arial" w:cs="Arial"/>
                <w:sz w:val="24"/>
                <w:szCs w:val="24"/>
                <w:lang w:val="en-US"/>
              </w:rPr>
              <w:t>COO</w:t>
            </w:r>
          </w:p>
        </w:tc>
        <w:tc>
          <w:tcPr>
            <w:tcW w:w="0" w:type="auto"/>
            <w:vAlign w:val="center"/>
            <w:hideMark/>
          </w:tcPr>
          <w:p w14:paraId="4C2428D9" w14:textId="77777777" w:rsidR="002B63C3" w:rsidRPr="002B63C3" w:rsidRDefault="002B63C3" w:rsidP="002B63C3">
            <w:pPr>
              <w:spacing w:after="0" w:line="360" w:lineRule="auto"/>
              <w:jc w:val="both"/>
              <w:rPr>
                <w:rFonts w:ascii="Arial" w:hAnsi="Arial" w:cs="Arial"/>
                <w:sz w:val="24"/>
                <w:szCs w:val="24"/>
                <w:lang w:val="en-US"/>
              </w:rPr>
            </w:pPr>
            <w:r w:rsidRPr="002B63C3">
              <w:rPr>
                <w:rFonts w:ascii="Arial" w:hAnsi="Arial" w:cs="Arial"/>
                <w:sz w:val="24"/>
                <w:szCs w:val="24"/>
                <w:lang w:val="en-US"/>
              </w:rPr>
              <w:t>Department Heads</w:t>
            </w:r>
          </w:p>
        </w:tc>
        <w:tc>
          <w:tcPr>
            <w:tcW w:w="0" w:type="auto"/>
            <w:vAlign w:val="center"/>
            <w:hideMark/>
          </w:tcPr>
          <w:p w14:paraId="223FF103" w14:textId="77777777" w:rsidR="002B63C3" w:rsidRPr="002B63C3" w:rsidRDefault="002B63C3" w:rsidP="002B63C3">
            <w:pPr>
              <w:spacing w:after="0" w:line="360" w:lineRule="auto"/>
              <w:jc w:val="both"/>
              <w:rPr>
                <w:rFonts w:ascii="Arial" w:hAnsi="Arial" w:cs="Arial"/>
                <w:sz w:val="24"/>
                <w:szCs w:val="24"/>
                <w:lang w:val="en-US"/>
              </w:rPr>
            </w:pPr>
            <w:r w:rsidRPr="002B63C3">
              <w:rPr>
                <w:rFonts w:ascii="Arial" w:hAnsi="Arial" w:cs="Arial"/>
                <w:sz w:val="24"/>
                <w:szCs w:val="24"/>
                <w:lang w:val="en-US"/>
              </w:rPr>
              <w:t>Staff</w:t>
            </w:r>
          </w:p>
        </w:tc>
      </w:tr>
      <w:tr w:rsidR="002B63C3" w:rsidRPr="002B63C3" w14:paraId="39D064FB" w14:textId="77777777" w:rsidTr="002B63C3">
        <w:trPr>
          <w:tblCellSpacing w:w="15" w:type="dxa"/>
        </w:trPr>
        <w:tc>
          <w:tcPr>
            <w:tcW w:w="0" w:type="auto"/>
            <w:vAlign w:val="center"/>
            <w:hideMark/>
          </w:tcPr>
          <w:p w14:paraId="4F96BAD5" w14:textId="77777777" w:rsidR="002B63C3" w:rsidRPr="002B63C3" w:rsidRDefault="002B63C3" w:rsidP="002B63C3">
            <w:pPr>
              <w:spacing w:after="0" w:line="360" w:lineRule="auto"/>
              <w:jc w:val="both"/>
              <w:rPr>
                <w:rFonts w:ascii="Arial" w:hAnsi="Arial" w:cs="Arial"/>
                <w:sz w:val="24"/>
                <w:szCs w:val="24"/>
                <w:lang w:val="en-US"/>
              </w:rPr>
            </w:pPr>
            <w:r w:rsidRPr="002B63C3">
              <w:rPr>
                <w:rFonts w:ascii="Arial" w:hAnsi="Arial" w:cs="Arial"/>
                <w:sz w:val="24"/>
                <w:szCs w:val="24"/>
                <w:lang w:val="en-US"/>
              </w:rPr>
              <w:lastRenderedPageBreak/>
              <w:t>ESG compliance and reporting</w:t>
            </w:r>
          </w:p>
        </w:tc>
        <w:tc>
          <w:tcPr>
            <w:tcW w:w="0" w:type="auto"/>
            <w:vAlign w:val="center"/>
            <w:hideMark/>
          </w:tcPr>
          <w:p w14:paraId="648A58F0" w14:textId="77777777" w:rsidR="002B63C3" w:rsidRPr="002B63C3" w:rsidRDefault="002B63C3" w:rsidP="002B63C3">
            <w:pPr>
              <w:spacing w:after="0" w:line="360" w:lineRule="auto"/>
              <w:jc w:val="both"/>
              <w:rPr>
                <w:rFonts w:ascii="Arial" w:hAnsi="Arial" w:cs="Arial"/>
                <w:sz w:val="24"/>
                <w:szCs w:val="24"/>
                <w:lang w:val="en-US"/>
              </w:rPr>
            </w:pPr>
            <w:r w:rsidRPr="002B63C3">
              <w:rPr>
                <w:rFonts w:ascii="Arial" w:hAnsi="Arial" w:cs="Arial"/>
                <w:sz w:val="24"/>
                <w:szCs w:val="24"/>
                <w:lang w:val="en-US"/>
              </w:rPr>
              <w:t>Compliance Manager</w:t>
            </w:r>
          </w:p>
        </w:tc>
        <w:tc>
          <w:tcPr>
            <w:tcW w:w="0" w:type="auto"/>
            <w:vAlign w:val="center"/>
            <w:hideMark/>
          </w:tcPr>
          <w:p w14:paraId="2A82EE0B" w14:textId="77777777" w:rsidR="002B63C3" w:rsidRPr="002B63C3" w:rsidRDefault="002B63C3" w:rsidP="002B63C3">
            <w:pPr>
              <w:spacing w:after="0" w:line="360" w:lineRule="auto"/>
              <w:jc w:val="both"/>
              <w:rPr>
                <w:rFonts w:ascii="Arial" w:hAnsi="Arial" w:cs="Arial"/>
                <w:sz w:val="24"/>
                <w:szCs w:val="24"/>
                <w:lang w:val="en-US"/>
              </w:rPr>
            </w:pPr>
            <w:r w:rsidRPr="002B63C3">
              <w:rPr>
                <w:rFonts w:ascii="Arial" w:hAnsi="Arial" w:cs="Arial"/>
                <w:sz w:val="24"/>
                <w:szCs w:val="24"/>
                <w:lang w:val="en-US"/>
              </w:rPr>
              <w:t>CEO</w:t>
            </w:r>
          </w:p>
        </w:tc>
        <w:tc>
          <w:tcPr>
            <w:tcW w:w="0" w:type="auto"/>
            <w:vAlign w:val="center"/>
            <w:hideMark/>
          </w:tcPr>
          <w:p w14:paraId="7BF2E353" w14:textId="77777777" w:rsidR="002B63C3" w:rsidRPr="002B63C3" w:rsidRDefault="002B63C3" w:rsidP="002B63C3">
            <w:pPr>
              <w:spacing w:after="0" w:line="360" w:lineRule="auto"/>
              <w:jc w:val="both"/>
              <w:rPr>
                <w:rFonts w:ascii="Arial" w:hAnsi="Arial" w:cs="Arial"/>
                <w:sz w:val="24"/>
                <w:szCs w:val="24"/>
                <w:lang w:val="en-US"/>
              </w:rPr>
            </w:pPr>
            <w:r w:rsidRPr="002B63C3">
              <w:rPr>
                <w:rFonts w:ascii="Arial" w:hAnsi="Arial" w:cs="Arial"/>
                <w:sz w:val="24"/>
                <w:szCs w:val="24"/>
                <w:lang w:val="en-US"/>
              </w:rPr>
              <w:t>Finance, CSR Committee</w:t>
            </w:r>
          </w:p>
        </w:tc>
        <w:tc>
          <w:tcPr>
            <w:tcW w:w="0" w:type="auto"/>
            <w:vAlign w:val="center"/>
            <w:hideMark/>
          </w:tcPr>
          <w:p w14:paraId="3007E45C" w14:textId="77777777" w:rsidR="002B63C3" w:rsidRPr="002B63C3" w:rsidRDefault="002B63C3" w:rsidP="002B63C3">
            <w:pPr>
              <w:spacing w:after="0" w:line="360" w:lineRule="auto"/>
              <w:jc w:val="both"/>
              <w:rPr>
                <w:rFonts w:ascii="Arial" w:hAnsi="Arial" w:cs="Arial"/>
                <w:sz w:val="24"/>
                <w:szCs w:val="24"/>
                <w:lang w:val="en-US"/>
              </w:rPr>
            </w:pPr>
            <w:r w:rsidRPr="002B63C3">
              <w:rPr>
                <w:rFonts w:ascii="Arial" w:hAnsi="Arial" w:cs="Arial"/>
                <w:sz w:val="24"/>
                <w:szCs w:val="24"/>
                <w:lang w:val="en-US"/>
              </w:rPr>
              <w:t>Investors, Regulators</w:t>
            </w:r>
          </w:p>
        </w:tc>
      </w:tr>
      <w:tr w:rsidR="002B63C3" w:rsidRPr="002B63C3" w14:paraId="3C1CF81A" w14:textId="77777777" w:rsidTr="002B63C3">
        <w:trPr>
          <w:tblCellSpacing w:w="15" w:type="dxa"/>
        </w:trPr>
        <w:tc>
          <w:tcPr>
            <w:tcW w:w="0" w:type="auto"/>
            <w:vAlign w:val="center"/>
            <w:hideMark/>
          </w:tcPr>
          <w:p w14:paraId="0ABEB692" w14:textId="77777777" w:rsidR="002B63C3" w:rsidRPr="002B63C3" w:rsidRDefault="002B63C3" w:rsidP="002B63C3">
            <w:pPr>
              <w:spacing w:after="0" w:line="360" w:lineRule="auto"/>
              <w:jc w:val="both"/>
              <w:rPr>
                <w:rFonts w:ascii="Arial" w:hAnsi="Arial" w:cs="Arial"/>
                <w:sz w:val="24"/>
                <w:szCs w:val="24"/>
                <w:lang w:val="en-US"/>
              </w:rPr>
            </w:pPr>
            <w:r w:rsidRPr="002B63C3">
              <w:rPr>
                <w:rFonts w:ascii="Arial" w:hAnsi="Arial" w:cs="Arial"/>
                <w:sz w:val="24"/>
                <w:szCs w:val="24"/>
                <w:lang w:val="en-US"/>
              </w:rPr>
              <w:t>Marketing and branding (Green Digital campaign)</w:t>
            </w:r>
          </w:p>
        </w:tc>
        <w:tc>
          <w:tcPr>
            <w:tcW w:w="0" w:type="auto"/>
            <w:vAlign w:val="center"/>
            <w:hideMark/>
          </w:tcPr>
          <w:p w14:paraId="516EBA28" w14:textId="77777777" w:rsidR="002B63C3" w:rsidRPr="002B63C3" w:rsidRDefault="002B63C3" w:rsidP="002B63C3">
            <w:pPr>
              <w:spacing w:after="0" w:line="360" w:lineRule="auto"/>
              <w:jc w:val="both"/>
              <w:rPr>
                <w:rFonts w:ascii="Arial" w:hAnsi="Arial" w:cs="Arial"/>
                <w:sz w:val="24"/>
                <w:szCs w:val="24"/>
                <w:lang w:val="en-US"/>
              </w:rPr>
            </w:pPr>
            <w:r w:rsidRPr="002B63C3">
              <w:rPr>
                <w:rFonts w:ascii="Arial" w:hAnsi="Arial" w:cs="Arial"/>
                <w:sz w:val="24"/>
                <w:szCs w:val="24"/>
                <w:lang w:val="en-US"/>
              </w:rPr>
              <w:t>Marketing Director</w:t>
            </w:r>
          </w:p>
        </w:tc>
        <w:tc>
          <w:tcPr>
            <w:tcW w:w="0" w:type="auto"/>
            <w:vAlign w:val="center"/>
            <w:hideMark/>
          </w:tcPr>
          <w:p w14:paraId="1FE87670" w14:textId="77777777" w:rsidR="002B63C3" w:rsidRPr="002B63C3" w:rsidRDefault="002B63C3" w:rsidP="002B63C3">
            <w:pPr>
              <w:spacing w:after="0" w:line="360" w:lineRule="auto"/>
              <w:jc w:val="both"/>
              <w:rPr>
                <w:rFonts w:ascii="Arial" w:hAnsi="Arial" w:cs="Arial"/>
                <w:sz w:val="24"/>
                <w:szCs w:val="24"/>
                <w:lang w:val="en-US"/>
              </w:rPr>
            </w:pPr>
            <w:r w:rsidRPr="002B63C3">
              <w:rPr>
                <w:rFonts w:ascii="Arial" w:hAnsi="Arial" w:cs="Arial"/>
                <w:sz w:val="24"/>
                <w:szCs w:val="24"/>
                <w:lang w:val="en-US"/>
              </w:rPr>
              <w:t>CEO</w:t>
            </w:r>
          </w:p>
        </w:tc>
        <w:tc>
          <w:tcPr>
            <w:tcW w:w="0" w:type="auto"/>
            <w:vAlign w:val="center"/>
            <w:hideMark/>
          </w:tcPr>
          <w:p w14:paraId="34145B5D" w14:textId="77777777" w:rsidR="002B63C3" w:rsidRPr="002B63C3" w:rsidRDefault="002B63C3" w:rsidP="002B63C3">
            <w:pPr>
              <w:spacing w:after="0" w:line="360" w:lineRule="auto"/>
              <w:jc w:val="both"/>
              <w:rPr>
                <w:rFonts w:ascii="Arial" w:hAnsi="Arial" w:cs="Arial"/>
                <w:sz w:val="24"/>
                <w:szCs w:val="24"/>
                <w:lang w:val="en-US"/>
              </w:rPr>
            </w:pPr>
            <w:r w:rsidRPr="002B63C3">
              <w:rPr>
                <w:rFonts w:ascii="Arial" w:hAnsi="Arial" w:cs="Arial"/>
                <w:sz w:val="24"/>
                <w:szCs w:val="24"/>
                <w:lang w:val="en-US"/>
              </w:rPr>
              <w:t>Creative Teams, Sales</w:t>
            </w:r>
          </w:p>
        </w:tc>
        <w:tc>
          <w:tcPr>
            <w:tcW w:w="0" w:type="auto"/>
            <w:vAlign w:val="center"/>
            <w:hideMark/>
          </w:tcPr>
          <w:p w14:paraId="0C01CCDD" w14:textId="77777777" w:rsidR="002B63C3" w:rsidRPr="002B63C3" w:rsidRDefault="002B63C3" w:rsidP="002B63C3">
            <w:pPr>
              <w:spacing w:after="0" w:line="360" w:lineRule="auto"/>
              <w:jc w:val="both"/>
              <w:rPr>
                <w:rFonts w:ascii="Arial" w:hAnsi="Arial" w:cs="Arial"/>
                <w:sz w:val="24"/>
                <w:szCs w:val="24"/>
                <w:lang w:val="en-US"/>
              </w:rPr>
            </w:pPr>
            <w:r w:rsidRPr="002B63C3">
              <w:rPr>
                <w:rFonts w:ascii="Arial" w:hAnsi="Arial" w:cs="Arial"/>
                <w:sz w:val="24"/>
                <w:szCs w:val="24"/>
                <w:lang w:val="en-US"/>
              </w:rPr>
              <w:t>Customers, Media</w:t>
            </w:r>
          </w:p>
        </w:tc>
      </w:tr>
    </w:tbl>
    <w:p w14:paraId="3E66D1AA" w14:textId="668691C9" w:rsidR="002B63C3" w:rsidRPr="002B63C3" w:rsidRDefault="002B63C3" w:rsidP="002B63C3">
      <w:pPr>
        <w:spacing w:after="0" w:line="360" w:lineRule="auto"/>
        <w:jc w:val="both"/>
        <w:rPr>
          <w:rFonts w:ascii="Arial" w:hAnsi="Arial" w:cs="Arial"/>
          <w:sz w:val="24"/>
          <w:szCs w:val="24"/>
          <w:lang w:val="en-US"/>
        </w:rPr>
      </w:pPr>
    </w:p>
    <w:p w14:paraId="098646E5" w14:textId="77777777" w:rsidR="002B63C3" w:rsidRPr="003F58AA" w:rsidRDefault="002B63C3" w:rsidP="003F58AA">
      <w:pPr>
        <w:spacing w:after="0" w:line="360" w:lineRule="auto"/>
        <w:ind w:firstLine="720"/>
        <w:jc w:val="both"/>
        <w:rPr>
          <w:rFonts w:ascii="Arial" w:hAnsi="Arial" w:cs="Arial"/>
          <w:b/>
          <w:bCs/>
          <w:i/>
          <w:iCs/>
          <w:sz w:val="24"/>
          <w:szCs w:val="24"/>
          <w:lang w:val="en-US"/>
        </w:rPr>
      </w:pPr>
      <w:r w:rsidRPr="003F58AA">
        <w:rPr>
          <w:rFonts w:ascii="Arial" w:hAnsi="Arial" w:cs="Arial"/>
          <w:b/>
          <w:bCs/>
          <w:i/>
          <w:iCs/>
          <w:sz w:val="24"/>
          <w:szCs w:val="24"/>
          <w:lang w:val="en-US"/>
        </w:rPr>
        <w:t>Critical Evaluation</w:t>
      </w:r>
    </w:p>
    <w:p w14:paraId="72C22E69" w14:textId="77777777" w:rsidR="00505BC4" w:rsidRDefault="00505BC4" w:rsidP="00505BC4">
      <w:pPr>
        <w:spacing w:after="0" w:line="360" w:lineRule="auto"/>
        <w:ind w:firstLine="720"/>
        <w:jc w:val="both"/>
        <w:rPr>
          <w:rFonts w:ascii="Arial" w:hAnsi="Arial" w:cs="Arial"/>
          <w:sz w:val="24"/>
          <w:szCs w:val="24"/>
        </w:rPr>
      </w:pPr>
      <w:r w:rsidRPr="00505BC4">
        <w:rPr>
          <w:rFonts w:ascii="Arial" w:hAnsi="Arial" w:cs="Arial"/>
          <w:sz w:val="24"/>
          <w:szCs w:val="24"/>
        </w:rPr>
        <w:t>Mendelow’s Matrix highlights as the most important stakeholders or influential people, top management, Coca-Cola, and retail partners because this is where the cooperation ensures the financial support and strategic alignment. The RACI framework shares operational clarity between accountability and cross-functional conflict.</w:t>
      </w:r>
    </w:p>
    <w:p w14:paraId="4C2FF8D1" w14:textId="394A4EEA" w:rsidR="002B63C3" w:rsidRPr="002B63C3" w:rsidRDefault="00505BC4" w:rsidP="00505BC4">
      <w:pPr>
        <w:spacing w:after="0" w:line="360" w:lineRule="auto"/>
        <w:ind w:firstLine="720"/>
        <w:jc w:val="both"/>
        <w:rPr>
          <w:rFonts w:ascii="Arial" w:hAnsi="Arial" w:cs="Arial"/>
          <w:sz w:val="24"/>
          <w:szCs w:val="24"/>
          <w:lang w:val="en-US"/>
        </w:rPr>
      </w:pPr>
      <w:r w:rsidRPr="00505BC4">
        <w:rPr>
          <w:rFonts w:ascii="Arial" w:hAnsi="Arial" w:cs="Arial"/>
          <w:sz w:val="24"/>
          <w:szCs w:val="24"/>
        </w:rPr>
        <w:t>Innocent will have to keep transforming itself in the perception of its stakeholders, most specifically in their belief in its authenticity. The continuous feedback loop founded on data analytics and ESG metrics would ensure that all emerging stakeholder expectations are taken into consideration through decision-making processes (Varadarajan, 2020). The prioritization of ethical engagements by Innocent strengthens its social license to operate about maintaining the relationship between business objectives and sustainability goals.</w:t>
      </w:r>
    </w:p>
    <w:p w14:paraId="2FD1964A" w14:textId="77777777" w:rsidR="002B63C3" w:rsidRDefault="002B63C3" w:rsidP="002B63C3">
      <w:pPr>
        <w:spacing w:after="0" w:line="360" w:lineRule="auto"/>
        <w:jc w:val="center"/>
        <w:rPr>
          <w:rFonts w:ascii="Arial" w:hAnsi="Arial" w:cs="Arial"/>
          <w:sz w:val="24"/>
          <w:szCs w:val="24"/>
          <w:lang w:val="en-US"/>
        </w:rPr>
      </w:pPr>
    </w:p>
    <w:p w14:paraId="15C5E61B" w14:textId="73994D01" w:rsidR="002B63C3" w:rsidRPr="00505BC4" w:rsidRDefault="002B63C3" w:rsidP="00505BC4">
      <w:pPr>
        <w:pStyle w:val="Heading1"/>
        <w:spacing w:before="0" w:after="0" w:line="360" w:lineRule="auto"/>
        <w:jc w:val="center"/>
        <w:rPr>
          <w:rFonts w:ascii="Arial" w:hAnsi="Arial" w:cs="Arial"/>
          <w:b/>
          <w:bCs/>
          <w:color w:val="000000" w:themeColor="text1"/>
          <w:sz w:val="24"/>
          <w:szCs w:val="24"/>
          <w:lang w:val="en-US"/>
        </w:rPr>
      </w:pPr>
      <w:bookmarkStart w:id="6" w:name="_Toc211933657"/>
      <w:r w:rsidRPr="00505BC4">
        <w:rPr>
          <w:rFonts w:ascii="Arial" w:hAnsi="Arial" w:cs="Arial"/>
          <w:b/>
          <w:bCs/>
          <w:color w:val="000000" w:themeColor="text1"/>
          <w:sz w:val="24"/>
          <w:szCs w:val="24"/>
          <w:lang w:val="en-US"/>
        </w:rPr>
        <w:t>Strategic Recommendations</w:t>
      </w:r>
      <w:bookmarkEnd w:id="6"/>
    </w:p>
    <w:p w14:paraId="0176EB27" w14:textId="77777777" w:rsidR="00505BC4" w:rsidRPr="002B63C3" w:rsidRDefault="00505BC4" w:rsidP="002B63C3">
      <w:pPr>
        <w:spacing w:after="0" w:line="360" w:lineRule="auto"/>
        <w:jc w:val="center"/>
        <w:rPr>
          <w:rFonts w:ascii="Arial" w:hAnsi="Arial" w:cs="Arial"/>
          <w:b/>
          <w:bCs/>
          <w:sz w:val="24"/>
          <w:szCs w:val="24"/>
          <w:lang w:val="en-US"/>
        </w:rPr>
      </w:pPr>
    </w:p>
    <w:p w14:paraId="3D7AA81B" w14:textId="77777777" w:rsidR="00505BC4" w:rsidRDefault="00505BC4" w:rsidP="00505BC4">
      <w:pPr>
        <w:spacing w:after="0" w:line="360" w:lineRule="auto"/>
        <w:ind w:firstLine="720"/>
        <w:jc w:val="both"/>
        <w:rPr>
          <w:rFonts w:ascii="Arial" w:hAnsi="Arial" w:cs="Arial"/>
          <w:sz w:val="24"/>
          <w:szCs w:val="24"/>
        </w:rPr>
      </w:pPr>
      <w:r w:rsidRPr="00505BC4">
        <w:rPr>
          <w:rFonts w:ascii="Arial" w:hAnsi="Arial" w:cs="Arial"/>
          <w:sz w:val="24"/>
          <w:szCs w:val="24"/>
        </w:rPr>
        <w:t>In line with strategic analysis summary findings, Innocent Drinks Ltd has to take a structured phased approach in the implementation of its Green Digital Expansion Strategy to ensure a cohesive development between innovation, sustainability, and profitability.</w:t>
      </w:r>
    </w:p>
    <w:p w14:paraId="6D572EC3" w14:textId="638281D6" w:rsidR="00505BC4" w:rsidRDefault="00505BC4" w:rsidP="00505BC4">
      <w:pPr>
        <w:spacing w:after="0" w:line="360" w:lineRule="auto"/>
        <w:ind w:firstLine="720"/>
        <w:jc w:val="both"/>
        <w:rPr>
          <w:rFonts w:ascii="Arial" w:hAnsi="Arial" w:cs="Arial"/>
          <w:sz w:val="24"/>
          <w:szCs w:val="24"/>
        </w:rPr>
      </w:pPr>
      <w:r w:rsidRPr="00505BC4">
        <w:rPr>
          <w:rFonts w:ascii="Arial" w:hAnsi="Arial" w:cs="Arial"/>
          <w:sz w:val="24"/>
          <w:szCs w:val="24"/>
        </w:rPr>
        <w:t xml:space="preserve">Accelerate Digital Transformation: Under this pillar initiative, innocents should fully integrate digital supply chain technologies blockchain traceability and artificial intelligence-based demand forecasting solutions on transparency and efficiency parameters. Enterprise resource planning ERP systems shall be implemented for better </w:t>
      </w:r>
      <w:r w:rsidRPr="00505BC4">
        <w:rPr>
          <w:rFonts w:ascii="Arial" w:hAnsi="Arial" w:cs="Arial"/>
          <w:sz w:val="24"/>
          <w:szCs w:val="24"/>
        </w:rPr>
        <w:lastRenderedPageBreak/>
        <w:t>real-time sharing of information across departments that support data-driven decision-making</w:t>
      </w:r>
      <w:r>
        <w:rPr>
          <w:rFonts w:ascii="Arial" w:hAnsi="Arial" w:cs="Arial"/>
          <w:sz w:val="24"/>
          <w:szCs w:val="24"/>
        </w:rPr>
        <w:t xml:space="preserve"> </w:t>
      </w:r>
      <w:r w:rsidRPr="00505BC4">
        <w:rPr>
          <w:rFonts w:ascii="Arial" w:hAnsi="Arial" w:cs="Arial"/>
          <w:sz w:val="24"/>
          <w:szCs w:val="24"/>
        </w:rPr>
        <w:t xml:space="preserve">(Tidd </w:t>
      </w:r>
      <w:r>
        <w:rPr>
          <w:rFonts w:ascii="Arial" w:hAnsi="Arial" w:cs="Arial"/>
          <w:sz w:val="24"/>
          <w:szCs w:val="24"/>
        </w:rPr>
        <w:t>and</w:t>
      </w:r>
      <w:r w:rsidRPr="00505BC4">
        <w:rPr>
          <w:rFonts w:ascii="Arial" w:hAnsi="Arial" w:cs="Arial"/>
          <w:sz w:val="24"/>
          <w:szCs w:val="24"/>
        </w:rPr>
        <w:t xml:space="preserve"> Bessant 2021). To overcome SME-related barriers to digital adoption at Innocent Technology firms as partners accompanied by employee training programs on digital shall be instituted</w:t>
      </w:r>
      <w:r>
        <w:rPr>
          <w:rFonts w:ascii="Arial" w:hAnsi="Arial" w:cs="Arial"/>
          <w:sz w:val="24"/>
          <w:szCs w:val="24"/>
        </w:rPr>
        <w:t xml:space="preserve"> </w:t>
      </w:r>
      <w:r w:rsidRPr="00505BC4">
        <w:rPr>
          <w:rFonts w:ascii="Arial" w:hAnsi="Arial" w:cs="Arial"/>
          <w:sz w:val="24"/>
          <w:szCs w:val="24"/>
        </w:rPr>
        <w:t>(Johnson et al.,2020).</w:t>
      </w:r>
    </w:p>
    <w:p w14:paraId="5B70C04F" w14:textId="77777777" w:rsidR="00505BC4" w:rsidRDefault="00505BC4" w:rsidP="00505BC4">
      <w:pPr>
        <w:spacing w:after="0" w:line="360" w:lineRule="auto"/>
        <w:ind w:firstLine="720"/>
        <w:jc w:val="both"/>
        <w:rPr>
          <w:rFonts w:ascii="Arial" w:hAnsi="Arial" w:cs="Arial"/>
          <w:sz w:val="24"/>
          <w:szCs w:val="24"/>
        </w:rPr>
      </w:pPr>
      <w:r w:rsidRPr="00505BC4">
        <w:rPr>
          <w:rFonts w:ascii="Arial" w:hAnsi="Arial" w:cs="Arial"/>
          <w:sz w:val="24"/>
          <w:szCs w:val="24"/>
        </w:rPr>
        <w:t>Keep on Developing Functional Nutrition and Plant-Based Beverages: Sustain a continuous development cycle of functional nutrition and plant-based beverages that will support trends in consumer wellness, ensuring the products are accessible to various markets. The investment in research and development for biodegradable packaging as well as attaining a carbon-neutral production by 2030 will place Innocent as an implementation leader in sustainability (Grant, 2019).</w:t>
      </w:r>
    </w:p>
    <w:p w14:paraId="1B02A962" w14:textId="77777777" w:rsidR="00505BC4" w:rsidRDefault="00505BC4" w:rsidP="00505BC4">
      <w:pPr>
        <w:spacing w:after="0" w:line="360" w:lineRule="auto"/>
        <w:ind w:firstLine="720"/>
        <w:jc w:val="both"/>
        <w:rPr>
          <w:rFonts w:ascii="Arial" w:hAnsi="Arial" w:cs="Arial"/>
          <w:sz w:val="24"/>
          <w:szCs w:val="24"/>
        </w:rPr>
      </w:pPr>
      <w:r w:rsidRPr="00505BC4">
        <w:rPr>
          <w:rFonts w:ascii="Arial" w:hAnsi="Arial" w:cs="Arial"/>
          <w:sz w:val="24"/>
          <w:szCs w:val="24"/>
        </w:rPr>
        <w:t>Strengthen Global Market Presence: A good strategic plan for Innocent would be to expand its activities into the Asia-Pacific and Middle East regions while it forms partnerships in those particular regions and sets up production bases powered by renewable energy. Flavors and branding will be localized to ensure cultural relevance, deep stakeholder collaboration, and maintain trust and authenticity. Transparent communication with Coca-Cola, suppliers, and consumers must be preserved by Innocent. ESG reporting and collaborative sustainability initiatives with NGOs will enhance its reputation.</w:t>
      </w:r>
    </w:p>
    <w:p w14:paraId="2B671E07" w14:textId="77777777" w:rsidR="00505BC4" w:rsidRDefault="00505BC4" w:rsidP="00505BC4">
      <w:pPr>
        <w:spacing w:after="0" w:line="360" w:lineRule="auto"/>
        <w:ind w:firstLine="720"/>
        <w:jc w:val="both"/>
        <w:rPr>
          <w:rFonts w:ascii="Arial" w:hAnsi="Arial" w:cs="Arial"/>
          <w:sz w:val="24"/>
          <w:szCs w:val="24"/>
        </w:rPr>
      </w:pPr>
      <w:r w:rsidRPr="00505BC4">
        <w:rPr>
          <w:rFonts w:ascii="Arial" w:hAnsi="Arial" w:cs="Arial"/>
          <w:sz w:val="24"/>
          <w:szCs w:val="24"/>
        </w:rPr>
        <w:t>Monitor and Evaluate Performance: Set regular review schedules for digital efficiency and carbon impact alongside market growth metrics to support a culture of continuous improvement. Apply balanced scorecards to promote accountability while cascading strategy coherently across all operations (Kaplan and Norton, 2015).</w:t>
      </w:r>
    </w:p>
    <w:p w14:paraId="4FD5F22C" w14:textId="4B1CD012" w:rsidR="002B63C3" w:rsidRDefault="00505BC4" w:rsidP="00505BC4">
      <w:pPr>
        <w:spacing w:after="0" w:line="360" w:lineRule="auto"/>
        <w:ind w:firstLine="720"/>
        <w:jc w:val="both"/>
        <w:rPr>
          <w:rFonts w:ascii="Arial" w:hAnsi="Arial" w:cs="Arial"/>
          <w:sz w:val="24"/>
          <w:szCs w:val="24"/>
          <w:lang w:val="en-US"/>
        </w:rPr>
      </w:pPr>
      <w:r w:rsidRPr="00505BC4">
        <w:rPr>
          <w:rFonts w:ascii="Arial" w:hAnsi="Arial" w:cs="Arial"/>
          <w:sz w:val="24"/>
          <w:szCs w:val="24"/>
        </w:rPr>
        <w:t>Through the above recommendations, Innocent will gain long-term sustainability competitiveness and excel in conducting its business operations together with promoting good growth within the global beverage market.</w:t>
      </w:r>
    </w:p>
    <w:p w14:paraId="3AABEBE7" w14:textId="77777777" w:rsidR="002B63C3" w:rsidRDefault="002B63C3" w:rsidP="002B63C3">
      <w:pPr>
        <w:spacing w:after="0" w:line="360" w:lineRule="auto"/>
        <w:jc w:val="both"/>
        <w:rPr>
          <w:rFonts w:ascii="Arial" w:hAnsi="Arial" w:cs="Arial"/>
          <w:sz w:val="24"/>
          <w:szCs w:val="24"/>
          <w:lang w:val="en-US"/>
        </w:rPr>
      </w:pPr>
    </w:p>
    <w:p w14:paraId="15298BA2" w14:textId="77777777" w:rsidR="00505BC4" w:rsidRDefault="00505BC4" w:rsidP="002B63C3">
      <w:pPr>
        <w:spacing w:after="0" w:line="360" w:lineRule="auto"/>
        <w:jc w:val="both"/>
        <w:rPr>
          <w:rFonts w:ascii="Arial" w:hAnsi="Arial" w:cs="Arial"/>
          <w:sz w:val="24"/>
          <w:szCs w:val="24"/>
          <w:lang w:val="en-US"/>
        </w:rPr>
      </w:pPr>
    </w:p>
    <w:p w14:paraId="72600301" w14:textId="77777777" w:rsidR="00505BC4" w:rsidRDefault="00505BC4" w:rsidP="002B63C3">
      <w:pPr>
        <w:spacing w:after="0" w:line="360" w:lineRule="auto"/>
        <w:jc w:val="both"/>
        <w:rPr>
          <w:rFonts w:ascii="Arial" w:hAnsi="Arial" w:cs="Arial"/>
          <w:sz w:val="24"/>
          <w:szCs w:val="24"/>
          <w:lang w:val="en-US"/>
        </w:rPr>
      </w:pPr>
    </w:p>
    <w:p w14:paraId="4E240110" w14:textId="77777777" w:rsidR="00505BC4" w:rsidRDefault="00505BC4" w:rsidP="002B63C3">
      <w:pPr>
        <w:spacing w:after="0" w:line="360" w:lineRule="auto"/>
        <w:jc w:val="both"/>
        <w:rPr>
          <w:rFonts w:ascii="Arial" w:hAnsi="Arial" w:cs="Arial"/>
          <w:sz w:val="24"/>
          <w:szCs w:val="24"/>
          <w:lang w:val="en-US"/>
        </w:rPr>
      </w:pPr>
    </w:p>
    <w:p w14:paraId="601CEF12" w14:textId="77777777" w:rsidR="00505BC4" w:rsidRDefault="00505BC4" w:rsidP="002B63C3">
      <w:pPr>
        <w:spacing w:after="0" w:line="360" w:lineRule="auto"/>
        <w:jc w:val="both"/>
        <w:rPr>
          <w:rFonts w:ascii="Arial" w:hAnsi="Arial" w:cs="Arial"/>
          <w:sz w:val="24"/>
          <w:szCs w:val="24"/>
          <w:lang w:val="en-US"/>
        </w:rPr>
      </w:pPr>
    </w:p>
    <w:p w14:paraId="0F4BC72D" w14:textId="3049B5A6" w:rsidR="002B63C3" w:rsidRDefault="002B63C3" w:rsidP="00505BC4">
      <w:pPr>
        <w:pStyle w:val="Heading1"/>
        <w:spacing w:before="0" w:after="0" w:line="360" w:lineRule="auto"/>
        <w:jc w:val="center"/>
        <w:rPr>
          <w:rFonts w:ascii="Arial" w:hAnsi="Arial" w:cs="Arial"/>
          <w:b/>
          <w:bCs/>
          <w:sz w:val="24"/>
          <w:szCs w:val="24"/>
          <w:lang w:val="en-US"/>
        </w:rPr>
      </w:pPr>
      <w:bookmarkStart w:id="7" w:name="_Toc211933658"/>
      <w:r w:rsidRPr="00505BC4">
        <w:rPr>
          <w:rFonts w:ascii="Arial" w:hAnsi="Arial" w:cs="Arial"/>
          <w:b/>
          <w:bCs/>
          <w:color w:val="000000" w:themeColor="text1"/>
          <w:sz w:val="24"/>
          <w:szCs w:val="24"/>
          <w:lang w:val="en-US"/>
        </w:rPr>
        <w:lastRenderedPageBreak/>
        <w:t>Conclusion</w:t>
      </w:r>
      <w:bookmarkEnd w:id="7"/>
    </w:p>
    <w:p w14:paraId="7C54A36D" w14:textId="77777777" w:rsidR="00505BC4" w:rsidRPr="002B63C3" w:rsidRDefault="00505BC4" w:rsidP="002B63C3">
      <w:pPr>
        <w:spacing w:after="0" w:line="360" w:lineRule="auto"/>
        <w:jc w:val="center"/>
        <w:rPr>
          <w:rFonts w:ascii="Arial" w:hAnsi="Arial" w:cs="Arial"/>
          <w:b/>
          <w:bCs/>
          <w:sz w:val="24"/>
          <w:szCs w:val="24"/>
          <w:lang w:val="en-US"/>
        </w:rPr>
      </w:pPr>
    </w:p>
    <w:p w14:paraId="1BBF9995" w14:textId="77777777" w:rsidR="00505BC4" w:rsidRDefault="00505BC4" w:rsidP="00505BC4">
      <w:pPr>
        <w:spacing w:after="0" w:line="360" w:lineRule="auto"/>
        <w:ind w:firstLine="720"/>
        <w:jc w:val="both"/>
        <w:rPr>
          <w:rFonts w:ascii="Arial" w:hAnsi="Arial" w:cs="Arial"/>
          <w:sz w:val="24"/>
          <w:szCs w:val="24"/>
        </w:rPr>
      </w:pPr>
      <w:r w:rsidRPr="00505BC4">
        <w:rPr>
          <w:rFonts w:ascii="Arial" w:hAnsi="Arial" w:cs="Arial"/>
          <w:sz w:val="24"/>
          <w:szCs w:val="24"/>
        </w:rPr>
        <w:t>This report has provided a critical evaluation of Innocent Drinks Ltd and its strategic direction within the global beverage industry. A deep analysis in the application of models such as SWOT, Value Chain, PESTEL, Porter’s Five Forces, and the Ansoff Matrix displays results that show sustainability, innovation, and international expansion as major elements to be well-aligned for long-term competitiveness. The company is keen on sustainability at the core brand strength—from an ethical brand identity supported by initiatives on sustainability with strong backing from a parent company.</w:t>
      </w:r>
    </w:p>
    <w:p w14:paraId="071D41C4" w14:textId="77777777" w:rsidR="00505BC4" w:rsidRDefault="00505BC4" w:rsidP="00505BC4">
      <w:pPr>
        <w:spacing w:after="0" w:line="360" w:lineRule="auto"/>
        <w:ind w:firstLine="720"/>
        <w:jc w:val="both"/>
        <w:rPr>
          <w:rFonts w:ascii="Arial" w:hAnsi="Arial" w:cs="Arial"/>
          <w:sz w:val="24"/>
          <w:szCs w:val="24"/>
        </w:rPr>
      </w:pPr>
      <w:r w:rsidRPr="00505BC4">
        <w:rPr>
          <w:rFonts w:ascii="Arial" w:hAnsi="Arial" w:cs="Arial"/>
          <w:sz w:val="24"/>
          <w:szCs w:val="24"/>
        </w:rPr>
        <w:t>The proposed Green Digital Expansion Strategy hybridises an approach of economic success with environmental and techno- logical transformation. Through the integration of digitalisation, product diversification and sustainable internationalisation, Innocent can respond to changing consumer demands, reinforce supply chain resilience and improve profitability. The strategy makes the brand ready to comply with global sustainability standards while keeping the brand real and building on its purpose-driven ethos.</w:t>
      </w:r>
    </w:p>
    <w:p w14:paraId="599F0E7D" w14:textId="130021CC" w:rsidR="002B63C3" w:rsidRPr="002B63C3" w:rsidRDefault="00505BC4" w:rsidP="00505BC4">
      <w:pPr>
        <w:spacing w:after="0" w:line="360" w:lineRule="auto"/>
        <w:ind w:firstLine="720"/>
        <w:jc w:val="both"/>
        <w:rPr>
          <w:rFonts w:ascii="Arial" w:hAnsi="Arial" w:cs="Arial"/>
          <w:sz w:val="24"/>
          <w:szCs w:val="24"/>
          <w:lang w:val="en-US"/>
        </w:rPr>
      </w:pPr>
      <w:r w:rsidRPr="00505BC4">
        <w:rPr>
          <w:rFonts w:ascii="Arial" w:hAnsi="Arial" w:cs="Arial"/>
          <w:sz w:val="24"/>
          <w:szCs w:val="24"/>
        </w:rPr>
        <w:t>To stay successful, Innocent needs to work on stakeholder engagement and transparent governance and keep bringing something new. This will also help investments in digital technologies, localised production, and green R&amp;D that are core to supporting its 2030 net-zero objective. If sustainability is maintained at the heart of its operation, then it can always be a global leader in ethical business and responsible growth within the beverage sector.</w:t>
      </w:r>
    </w:p>
    <w:p w14:paraId="45FBBD4F" w14:textId="51E7FC3C" w:rsidR="002B63C3" w:rsidRDefault="002B63C3" w:rsidP="002B63C3">
      <w:pPr>
        <w:spacing w:after="0" w:line="360" w:lineRule="auto"/>
        <w:jc w:val="center"/>
        <w:rPr>
          <w:rFonts w:ascii="Arial" w:hAnsi="Arial" w:cs="Arial"/>
          <w:sz w:val="24"/>
          <w:szCs w:val="24"/>
          <w:lang w:val="en-US"/>
        </w:rPr>
      </w:pPr>
    </w:p>
    <w:p w14:paraId="64DA05D9" w14:textId="77777777" w:rsidR="00505BC4" w:rsidRDefault="00505BC4" w:rsidP="002B63C3">
      <w:pPr>
        <w:spacing w:after="0" w:line="360" w:lineRule="auto"/>
        <w:jc w:val="center"/>
        <w:rPr>
          <w:rFonts w:ascii="Arial" w:hAnsi="Arial" w:cs="Arial"/>
          <w:sz w:val="24"/>
          <w:szCs w:val="24"/>
          <w:lang w:val="en-US"/>
        </w:rPr>
      </w:pPr>
    </w:p>
    <w:p w14:paraId="19D8C41A" w14:textId="77777777" w:rsidR="00505BC4" w:rsidRDefault="00505BC4" w:rsidP="002B63C3">
      <w:pPr>
        <w:spacing w:after="0" w:line="360" w:lineRule="auto"/>
        <w:jc w:val="center"/>
        <w:rPr>
          <w:rFonts w:ascii="Arial" w:hAnsi="Arial" w:cs="Arial"/>
          <w:sz w:val="24"/>
          <w:szCs w:val="24"/>
          <w:lang w:val="en-US"/>
        </w:rPr>
      </w:pPr>
    </w:p>
    <w:p w14:paraId="79D22731" w14:textId="77777777" w:rsidR="00505BC4" w:rsidRDefault="00505BC4" w:rsidP="002B63C3">
      <w:pPr>
        <w:spacing w:after="0" w:line="360" w:lineRule="auto"/>
        <w:jc w:val="center"/>
        <w:rPr>
          <w:rFonts w:ascii="Arial" w:hAnsi="Arial" w:cs="Arial"/>
          <w:sz w:val="24"/>
          <w:szCs w:val="24"/>
          <w:lang w:val="en-US"/>
        </w:rPr>
      </w:pPr>
    </w:p>
    <w:p w14:paraId="5BC8550F" w14:textId="77777777" w:rsidR="00505BC4" w:rsidRDefault="00505BC4" w:rsidP="002B63C3">
      <w:pPr>
        <w:spacing w:after="0" w:line="360" w:lineRule="auto"/>
        <w:jc w:val="center"/>
        <w:rPr>
          <w:rFonts w:ascii="Arial" w:hAnsi="Arial" w:cs="Arial"/>
          <w:sz w:val="24"/>
          <w:szCs w:val="24"/>
          <w:lang w:val="en-US"/>
        </w:rPr>
      </w:pPr>
    </w:p>
    <w:p w14:paraId="0FF99330" w14:textId="77777777" w:rsidR="00505BC4" w:rsidRDefault="00505BC4" w:rsidP="002B63C3">
      <w:pPr>
        <w:spacing w:after="0" w:line="360" w:lineRule="auto"/>
        <w:jc w:val="center"/>
        <w:rPr>
          <w:rFonts w:ascii="Arial" w:hAnsi="Arial" w:cs="Arial"/>
          <w:sz w:val="24"/>
          <w:szCs w:val="24"/>
          <w:lang w:val="en-US"/>
        </w:rPr>
      </w:pPr>
    </w:p>
    <w:p w14:paraId="5DF6CA9A" w14:textId="77777777" w:rsidR="00505BC4" w:rsidRDefault="00505BC4" w:rsidP="002B63C3">
      <w:pPr>
        <w:spacing w:after="0" w:line="360" w:lineRule="auto"/>
        <w:jc w:val="center"/>
        <w:rPr>
          <w:rFonts w:ascii="Arial" w:hAnsi="Arial" w:cs="Arial"/>
          <w:sz w:val="24"/>
          <w:szCs w:val="24"/>
          <w:lang w:val="en-US"/>
        </w:rPr>
      </w:pPr>
    </w:p>
    <w:p w14:paraId="7E9CC90C" w14:textId="77777777" w:rsidR="00505BC4" w:rsidRDefault="00505BC4" w:rsidP="002B63C3">
      <w:pPr>
        <w:spacing w:after="0" w:line="360" w:lineRule="auto"/>
        <w:jc w:val="center"/>
        <w:rPr>
          <w:rFonts w:ascii="Arial" w:hAnsi="Arial" w:cs="Arial"/>
          <w:sz w:val="24"/>
          <w:szCs w:val="24"/>
          <w:lang w:val="en-US"/>
        </w:rPr>
      </w:pPr>
    </w:p>
    <w:p w14:paraId="417A5C5F" w14:textId="77777777" w:rsidR="00505BC4" w:rsidRPr="002B63C3" w:rsidRDefault="00505BC4" w:rsidP="002B63C3">
      <w:pPr>
        <w:spacing w:after="0" w:line="360" w:lineRule="auto"/>
        <w:jc w:val="center"/>
        <w:rPr>
          <w:rFonts w:ascii="Arial" w:hAnsi="Arial" w:cs="Arial"/>
          <w:sz w:val="24"/>
          <w:szCs w:val="24"/>
          <w:lang w:val="en-US"/>
        </w:rPr>
      </w:pPr>
    </w:p>
    <w:p w14:paraId="4E7C1453" w14:textId="7BB6C0C5" w:rsidR="002B63C3" w:rsidRPr="00505BC4" w:rsidRDefault="002B63C3" w:rsidP="00505BC4">
      <w:pPr>
        <w:pStyle w:val="Heading1"/>
        <w:spacing w:before="0" w:after="0" w:line="360" w:lineRule="auto"/>
        <w:jc w:val="center"/>
        <w:rPr>
          <w:rFonts w:ascii="Arial" w:hAnsi="Arial" w:cs="Arial"/>
          <w:b/>
          <w:bCs/>
          <w:color w:val="000000" w:themeColor="text1"/>
          <w:sz w:val="24"/>
          <w:szCs w:val="24"/>
          <w:lang w:val="en-US"/>
        </w:rPr>
      </w:pPr>
      <w:bookmarkStart w:id="8" w:name="_Toc211933659"/>
      <w:r w:rsidRPr="00505BC4">
        <w:rPr>
          <w:rFonts w:ascii="Arial" w:hAnsi="Arial" w:cs="Arial"/>
          <w:b/>
          <w:bCs/>
          <w:color w:val="000000" w:themeColor="text1"/>
          <w:sz w:val="24"/>
          <w:szCs w:val="24"/>
          <w:lang w:val="en-US"/>
        </w:rPr>
        <w:lastRenderedPageBreak/>
        <w:t>References</w:t>
      </w:r>
      <w:bookmarkEnd w:id="8"/>
    </w:p>
    <w:p w14:paraId="5BA6AEB4" w14:textId="77777777" w:rsidR="00505BC4" w:rsidRPr="002B63C3" w:rsidRDefault="00505BC4" w:rsidP="002B63C3">
      <w:pPr>
        <w:spacing w:after="0" w:line="360" w:lineRule="auto"/>
        <w:jc w:val="center"/>
        <w:rPr>
          <w:rFonts w:ascii="Arial" w:hAnsi="Arial" w:cs="Arial"/>
          <w:b/>
          <w:bCs/>
          <w:sz w:val="24"/>
          <w:szCs w:val="24"/>
          <w:lang w:val="en-US"/>
        </w:rPr>
      </w:pPr>
    </w:p>
    <w:p w14:paraId="0924A453" w14:textId="77777777" w:rsidR="002B63C3" w:rsidRPr="002B63C3" w:rsidRDefault="002B63C3" w:rsidP="002B63C3">
      <w:pPr>
        <w:spacing w:after="0" w:line="360" w:lineRule="auto"/>
        <w:jc w:val="both"/>
        <w:rPr>
          <w:rFonts w:ascii="Arial" w:hAnsi="Arial" w:cs="Arial"/>
          <w:sz w:val="24"/>
          <w:szCs w:val="24"/>
          <w:lang w:val="en-US"/>
        </w:rPr>
      </w:pPr>
      <w:r w:rsidRPr="002B63C3">
        <w:rPr>
          <w:rFonts w:ascii="Arial" w:hAnsi="Arial" w:cs="Arial"/>
          <w:sz w:val="24"/>
          <w:szCs w:val="24"/>
          <w:lang w:val="en-US"/>
        </w:rPr>
        <w:t xml:space="preserve">Barney, J.B. and Hesterly, W.S. (2019) </w:t>
      </w:r>
      <w:r w:rsidRPr="002B63C3">
        <w:rPr>
          <w:rFonts w:ascii="Arial" w:hAnsi="Arial" w:cs="Arial"/>
          <w:i/>
          <w:iCs/>
          <w:sz w:val="24"/>
          <w:szCs w:val="24"/>
          <w:lang w:val="en-US"/>
        </w:rPr>
        <w:t>Strategic Management and Competitive Advantage: Concepts and Cases</w:t>
      </w:r>
      <w:r w:rsidRPr="002B63C3">
        <w:rPr>
          <w:rFonts w:ascii="Arial" w:hAnsi="Arial" w:cs="Arial"/>
          <w:sz w:val="24"/>
          <w:szCs w:val="24"/>
          <w:lang w:val="en-US"/>
        </w:rPr>
        <w:t xml:space="preserve">. 6th </w:t>
      </w:r>
      <w:proofErr w:type="spellStart"/>
      <w:r w:rsidRPr="002B63C3">
        <w:rPr>
          <w:rFonts w:ascii="Arial" w:hAnsi="Arial" w:cs="Arial"/>
          <w:sz w:val="24"/>
          <w:szCs w:val="24"/>
          <w:lang w:val="en-US"/>
        </w:rPr>
        <w:t>edn</w:t>
      </w:r>
      <w:proofErr w:type="spellEnd"/>
      <w:r w:rsidRPr="002B63C3">
        <w:rPr>
          <w:rFonts w:ascii="Arial" w:hAnsi="Arial" w:cs="Arial"/>
          <w:sz w:val="24"/>
          <w:szCs w:val="24"/>
          <w:lang w:val="en-US"/>
        </w:rPr>
        <w:t>. Harlow: Pearson Education.</w:t>
      </w:r>
    </w:p>
    <w:p w14:paraId="5DC0B468" w14:textId="77777777" w:rsidR="002B63C3" w:rsidRPr="002B63C3" w:rsidRDefault="002B63C3" w:rsidP="002B63C3">
      <w:pPr>
        <w:spacing w:after="0" w:line="360" w:lineRule="auto"/>
        <w:jc w:val="both"/>
        <w:rPr>
          <w:rFonts w:ascii="Arial" w:hAnsi="Arial" w:cs="Arial"/>
          <w:sz w:val="24"/>
          <w:szCs w:val="24"/>
          <w:lang w:val="en-US"/>
        </w:rPr>
      </w:pPr>
      <w:r w:rsidRPr="002B63C3">
        <w:rPr>
          <w:rFonts w:ascii="Arial" w:hAnsi="Arial" w:cs="Arial"/>
          <w:sz w:val="24"/>
          <w:szCs w:val="24"/>
          <w:lang w:val="en-US"/>
        </w:rPr>
        <w:t xml:space="preserve">Bowman, C. and Faulkner, D. (2017) </w:t>
      </w:r>
      <w:r w:rsidRPr="002B63C3">
        <w:rPr>
          <w:rFonts w:ascii="Arial" w:hAnsi="Arial" w:cs="Arial"/>
          <w:i/>
          <w:iCs/>
          <w:sz w:val="24"/>
          <w:szCs w:val="24"/>
          <w:lang w:val="en-US"/>
        </w:rPr>
        <w:t>Competitive and Corporate Strategy</w:t>
      </w:r>
      <w:r w:rsidRPr="002B63C3">
        <w:rPr>
          <w:rFonts w:ascii="Arial" w:hAnsi="Arial" w:cs="Arial"/>
          <w:sz w:val="24"/>
          <w:szCs w:val="24"/>
          <w:lang w:val="en-US"/>
        </w:rPr>
        <w:t>. London: Routledge.</w:t>
      </w:r>
    </w:p>
    <w:p w14:paraId="44D5D2B9" w14:textId="77777777" w:rsidR="002B63C3" w:rsidRPr="002B63C3" w:rsidRDefault="002B63C3" w:rsidP="002B63C3">
      <w:pPr>
        <w:spacing w:after="0" w:line="360" w:lineRule="auto"/>
        <w:jc w:val="both"/>
        <w:rPr>
          <w:rFonts w:ascii="Arial" w:hAnsi="Arial" w:cs="Arial"/>
          <w:sz w:val="24"/>
          <w:szCs w:val="24"/>
          <w:lang w:val="en-US"/>
        </w:rPr>
      </w:pPr>
      <w:r w:rsidRPr="002B63C3">
        <w:rPr>
          <w:rFonts w:ascii="Arial" w:hAnsi="Arial" w:cs="Arial"/>
          <w:sz w:val="24"/>
          <w:szCs w:val="24"/>
          <w:lang w:val="en-US"/>
        </w:rPr>
        <w:t xml:space="preserve">Burnes, B. (2020) </w:t>
      </w:r>
      <w:r w:rsidRPr="002B63C3">
        <w:rPr>
          <w:rFonts w:ascii="Arial" w:hAnsi="Arial" w:cs="Arial"/>
          <w:i/>
          <w:iCs/>
          <w:sz w:val="24"/>
          <w:szCs w:val="24"/>
          <w:lang w:val="en-US"/>
        </w:rPr>
        <w:t>Managing Change</w:t>
      </w:r>
      <w:r w:rsidRPr="002B63C3">
        <w:rPr>
          <w:rFonts w:ascii="Arial" w:hAnsi="Arial" w:cs="Arial"/>
          <w:sz w:val="24"/>
          <w:szCs w:val="24"/>
          <w:lang w:val="en-US"/>
        </w:rPr>
        <w:t xml:space="preserve">. 8th </w:t>
      </w:r>
      <w:proofErr w:type="spellStart"/>
      <w:r w:rsidRPr="002B63C3">
        <w:rPr>
          <w:rFonts w:ascii="Arial" w:hAnsi="Arial" w:cs="Arial"/>
          <w:sz w:val="24"/>
          <w:szCs w:val="24"/>
          <w:lang w:val="en-US"/>
        </w:rPr>
        <w:t>edn</w:t>
      </w:r>
      <w:proofErr w:type="spellEnd"/>
      <w:r w:rsidRPr="002B63C3">
        <w:rPr>
          <w:rFonts w:ascii="Arial" w:hAnsi="Arial" w:cs="Arial"/>
          <w:sz w:val="24"/>
          <w:szCs w:val="24"/>
          <w:lang w:val="en-US"/>
        </w:rPr>
        <w:t>. Harlow: Pearson Education.</w:t>
      </w:r>
    </w:p>
    <w:p w14:paraId="5A01CDFC" w14:textId="77777777" w:rsidR="002B63C3" w:rsidRPr="002B63C3" w:rsidRDefault="002B63C3" w:rsidP="002B63C3">
      <w:pPr>
        <w:spacing w:after="0" w:line="360" w:lineRule="auto"/>
        <w:jc w:val="both"/>
        <w:rPr>
          <w:rFonts w:ascii="Arial" w:hAnsi="Arial" w:cs="Arial"/>
          <w:sz w:val="24"/>
          <w:szCs w:val="24"/>
          <w:lang w:val="en-US"/>
        </w:rPr>
      </w:pPr>
      <w:r w:rsidRPr="002B63C3">
        <w:rPr>
          <w:rFonts w:ascii="Arial" w:hAnsi="Arial" w:cs="Arial"/>
          <w:sz w:val="24"/>
          <w:szCs w:val="24"/>
          <w:lang w:val="en-US"/>
        </w:rPr>
        <w:t xml:space="preserve">Clegg, S., Kornberger, M. and </w:t>
      </w:r>
      <w:proofErr w:type="spellStart"/>
      <w:r w:rsidRPr="002B63C3">
        <w:rPr>
          <w:rFonts w:ascii="Arial" w:hAnsi="Arial" w:cs="Arial"/>
          <w:sz w:val="24"/>
          <w:szCs w:val="24"/>
          <w:lang w:val="en-US"/>
        </w:rPr>
        <w:t>Pitsis</w:t>
      </w:r>
      <w:proofErr w:type="spellEnd"/>
      <w:r w:rsidRPr="002B63C3">
        <w:rPr>
          <w:rFonts w:ascii="Arial" w:hAnsi="Arial" w:cs="Arial"/>
          <w:sz w:val="24"/>
          <w:szCs w:val="24"/>
          <w:lang w:val="en-US"/>
        </w:rPr>
        <w:t xml:space="preserve">, T. (2020) </w:t>
      </w:r>
      <w:r w:rsidRPr="002B63C3">
        <w:rPr>
          <w:rFonts w:ascii="Arial" w:hAnsi="Arial" w:cs="Arial"/>
          <w:i/>
          <w:iCs/>
          <w:sz w:val="24"/>
          <w:szCs w:val="24"/>
          <w:lang w:val="en-US"/>
        </w:rPr>
        <w:t>Managing and Organizations: An Introduction to Theory and Practice</w:t>
      </w:r>
      <w:r w:rsidRPr="002B63C3">
        <w:rPr>
          <w:rFonts w:ascii="Arial" w:hAnsi="Arial" w:cs="Arial"/>
          <w:sz w:val="24"/>
          <w:szCs w:val="24"/>
          <w:lang w:val="en-US"/>
        </w:rPr>
        <w:t xml:space="preserve">. 5th </w:t>
      </w:r>
      <w:proofErr w:type="spellStart"/>
      <w:r w:rsidRPr="002B63C3">
        <w:rPr>
          <w:rFonts w:ascii="Arial" w:hAnsi="Arial" w:cs="Arial"/>
          <w:sz w:val="24"/>
          <w:szCs w:val="24"/>
          <w:lang w:val="en-US"/>
        </w:rPr>
        <w:t>edn</w:t>
      </w:r>
      <w:proofErr w:type="spellEnd"/>
      <w:r w:rsidRPr="002B63C3">
        <w:rPr>
          <w:rFonts w:ascii="Arial" w:hAnsi="Arial" w:cs="Arial"/>
          <w:sz w:val="24"/>
          <w:szCs w:val="24"/>
          <w:lang w:val="en-US"/>
        </w:rPr>
        <w:t>. London: Sage Publications.</w:t>
      </w:r>
    </w:p>
    <w:p w14:paraId="12482107" w14:textId="77777777" w:rsidR="002B63C3" w:rsidRPr="002B63C3" w:rsidRDefault="002B63C3" w:rsidP="002B63C3">
      <w:pPr>
        <w:spacing w:after="0" w:line="360" w:lineRule="auto"/>
        <w:jc w:val="both"/>
        <w:rPr>
          <w:rFonts w:ascii="Arial" w:hAnsi="Arial" w:cs="Arial"/>
          <w:sz w:val="24"/>
          <w:szCs w:val="24"/>
          <w:lang w:val="en-US"/>
        </w:rPr>
      </w:pPr>
      <w:r w:rsidRPr="002B63C3">
        <w:rPr>
          <w:rFonts w:ascii="Arial" w:hAnsi="Arial" w:cs="Arial"/>
          <w:sz w:val="24"/>
          <w:szCs w:val="24"/>
          <w:lang w:val="en-US"/>
        </w:rPr>
        <w:t xml:space="preserve">Daft, R.L. and Marcic, D. (2018) </w:t>
      </w:r>
      <w:r w:rsidRPr="002B63C3">
        <w:rPr>
          <w:rFonts w:ascii="Arial" w:hAnsi="Arial" w:cs="Arial"/>
          <w:i/>
          <w:iCs/>
          <w:sz w:val="24"/>
          <w:szCs w:val="24"/>
          <w:lang w:val="en-US"/>
        </w:rPr>
        <w:t>Understanding Management</w:t>
      </w:r>
      <w:r w:rsidRPr="002B63C3">
        <w:rPr>
          <w:rFonts w:ascii="Arial" w:hAnsi="Arial" w:cs="Arial"/>
          <w:sz w:val="24"/>
          <w:szCs w:val="24"/>
          <w:lang w:val="en-US"/>
        </w:rPr>
        <w:t xml:space="preserve">. 10th </w:t>
      </w:r>
      <w:proofErr w:type="spellStart"/>
      <w:r w:rsidRPr="002B63C3">
        <w:rPr>
          <w:rFonts w:ascii="Arial" w:hAnsi="Arial" w:cs="Arial"/>
          <w:sz w:val="24"/>
          <w:szCs w:val="24"/>
          <w:lang w:val="en-US"/>
        </w:rPr>
        <w:t>edn</w:t>
      </w:r>
      <w:proofErr w:type="spellEnd"/>
      <w:r w:rsidRPr="002B63C3">
        <w:rPr>
          <w:rFonts w:ascii="Arial" w:hAnsi="Arial" w:cs="Arial"/>
          <w:sz w:val="24"/>
          <w:szCs w:val="24"/>
          <w:lang w:val="en-US"/>
        </w:rPr>
        <w:t>. Boston: Cengage Learning.</w:t>
      </w:r>
    </w:p>
    <w:p w14:paraId="7427D345" w14:textId="77777777" w:rsidR="002B63C3" w:rsidRPr="002B63C3" w:rsidRDefault="002B63C3" w:rsidP="002B63C3">
      <w:pPr>
        <w:spacing w:after="0" w:line="360" w:lineRule="auto"/>
        <w:jc w:val="both"/>
        <w:rPr>
          <w:rFonts w:ascii="Arial" w:hAnsi="Arial" w:cs="Arial"/>
          <w:sz w:val="24"/>
          <w:szCs w:val="24"/>
          <w:lang w:val="en-US"/>
        </w:rPr>
      </w:pPr>
      <w:r w:rsidRPr="002B63C3">
        <w:rPr>
          <w:rFonts w:ascii="Arial" w:hAnsi="Arial" w:cs="Arial"/>
          <w:sz w:val="24"/>
          <w:szCs w:val="24"/>
          <w:lang w:val="en-US"/>
        </w:rPr>
        <w:t xml:space="preserve">David, F.R. and David, F.R. (2020) </w:t>
      </w:r>
      <w:r w:rsidRPr="002B63C3">
        <w:rPr>
          <w:rFonts w:ascii="Arial" w:hAnsi="Arial" w:cs="Arial"/>
          <w:i/>
          <w:iCs/>
          <w:sz w:val="24"/>
          <w:szCs w:val="24"/>
          <w:lang w:val="en-US"/>
        </w:rPr>
        <w:t>Strategic Management: A Competitive Advantage Approach, Concepts and Cases</w:t>
      </w:r>
      <w:r w:rsidRPr="002B63C3">
        <w:rPr>
          <w:rFonts w:ascii="Arial" w:hAnsi="Arial" w:cs="Arial"/>
          <w:sz w:val="24"/>
          <w:szCs w:val="24"/>
          <w:lang w:val="en-US"/>
        </w:rPr>
        <w:t xml:space="preserve">. 17th </w:t>
      </w:r>
      <w:proofErr w:type="spellStart"/>
      <w:r w:rsidRPr="002B63C3">
        <w:rPr>
          <w:rFonts w:ascii="Arial" w:hAnsi="Arial" w:cs="Arial"/>
          <w:sz w:val="24"/>
          <w:szCs w:val="24"/>
          <w:lang w:val="en-US"/>
        </w:rPr>
        <w:t>edn</w:t>
      </w:r>
      <w:proofErr w:type="spellEnd"/>
      <w:r w:rsidRPr="002B63C3">
        <w:rPr>
          <w:rFonts w:ascii="Arial" w:hAnsi="Arial" w:cs="Arial"/>
          <w:sz w:val="24"/>
          <w:szCs w:val="24"/>
          <w:lang w:val="en-US"/>
        </w:rPr>
        <w:t>. Harlow: Pearson Education.</w:t>
      </w:r>
    </w:p>
    <w:p w14:paraId="36E0F414" w14:textId="77777777" w:rsidR="002B63C3" w:rsidRPr="002B63C3" w:rsidRDefault="002B63C3" w:rsidP="002B63C3">
      <w:pPr>
        <w:spacing w:after="0" w:line="360" w:lineRule="auto"/>
        <w:jc w:val="both"/>
        <w:rPr>
          <w:rFonts w:ascii="Arial" w:hAnsi="Arial" w:cs="Arial"/>
          <w:sz w:val="24"/>
          <w:szCs w:val="24"/>
          <w:lang w:val="en-US"/>
        </w:rPr>
      </w:pPr>
      <w:r w:rsidRPr="002B63C3">
        <w:rPr>
          <w:rFonts w:ascii="Arial" w:hAnsi="Arial" w:cs="Arial"/>
          <w:sz w:val="24"/>
          <w:szCs w:val="24"/>
          <w:lang w:val="en-US"/>
        </w:rPr>
        <w:t xml:space="preserve">Dess, G.G., McNamara, G. and Eisner, A.B. (2020) </w:t>
      </w:r>
      <w:r w:rsidRPr="002B63C3">
        <w:rPr>
          <w:rFonts w:ascii="Arial" w:hAnsi="Arial" w:cs="Arial"/>
          <w:i/>
          <w:iCs/>
          <w:sz w:val="24"/>
          <w:szCs w:val="24"/>
          <w:lang w:val="en-US"/>
        </w:rPr>
        <w:t>Strategic Management: Creating Competitive Advantages</w:t>
      </w:r>
      <w:r w:rsidRPr="002B63C3">
        <w:rPr>
          <w:rFonts w:ascii="Arial" w:hAnsi="Arial" w:cs="Arial"/>
          <w:sz w:val="24"/>
          <w:szCs w:val="24"/>
          <w:lang w:val="en-US"/>
        </w:rPr>
        <w:t xml:space="preserve">. 10th </w:t>
      </w:r>
      <w:proofErr w:type="spellStart"/>
      <w:r w:rsidRPr="002B63C3">
        <w:rPr>
          <w:rFonts w:ascii="Arial" w:hAnsi="Arial" w:cs="Arial"/>
          <w:sz w:val="24"/>
          <w:szCs w:val="24"/>
          <w:lang w:val="en-US"/>
        </w:rPr>
        <w:t>edn</w:t>
      </w:r>
      <w:proofErr w:type="spellEnd"/>
      <w:r w:rsidRPr="002B63C3">
        <w:rPr>
          <w:rFonts w:ascii="Arial" w:hAnsi="Arial" w:cs="Arial"/>
          <w:sz w:val="24"/>
          <w:szCs w:val="24"/>
          <w:lang w:val="en-US"/>
        </w:rPr>
        <w:t>. New York: McGraw-Hill Education.</w:t>
      </w:r>
    </w:p>
    <w:p w14:paraId="6F008066" w14:textId="77777777" w:rsidR="002B63C3" w:rsidRPr="002B63C3" w:rsidRDefault="002B63C3" w:rsidP="002B63C3">
      <w:pPr>
        <w:spacing w:after="0" w:line="360" w:lineRule="auto"/>
        <w:jc w:val="both"/>
        <w:rPr>
          <w:rFonts w:ascii="Arial" w:hAnsi="Arial" w:cs="Arial"/>
          <w:sz w:val="24"/>
          <w:szCs w:val="24"/>
          <w:lang w:val="en-US"/>
        </w:rPr>
      </w:pPr>
      <w:r w:rsidRPr="002B63C3">
        <w:rPr>
          <w:rFonts w:ascii="Arial" w:hAnsi="Arial" w:cs="Arial"/>
          <w:sz w:val="24"/>
          <w:szCs w:val="24"/>
          <w:lang w:val="en-US"/>
        </w:rPr>
        <w:t xml:space="preserve">Drucker, P.F. (2015) </w:t>
      </w:r>
      <w:r w:rsidRPr="002B63C3">
        <w:rPr>
          <w:rFonts w:ascii="Arial" w:hAnsi="Arial" w:cs="Arial"/>
          <w:i/>
          <w:iCs/>
          <w:sz w:val="24"/>
          <w:szCs w:val="24"/>
          <w:lang w:val="en-US"/>
        </w:rPr>
        <w:t>Innovation and Entrepreneurship</w:t>
      </w:r>
      <w:r w:rsidRPr="002B63C3">
        <w:rPr>
          <w:rFonts w:ascii="Arial" w:hAnsi="Arial" w:cs="Arial"/>
          <w:sz w:val="24"/>
          <w:szCs w:val="24"/>
          <w:lang w:val="en-US"/>
        </w:rPr>
        <w:t>. London: Routledge.</w:t>
      </w:r>
    </w:p>
    <w:p w14:paraId="014AC0CB" w14:textId="77777777" w:rsidR="002B63C3" w:rsidRPr="002B63C3" w:rsidRDefault="002B63C3" w:rsidP="002B63C3">
      <w:pPr>
        <w:spacing w:after="0" w:line="360" w:lineRule="auto"/>
        <w:jc w:val="both"/>
        <w:rPr>
          <w:rFonts w:ascii="Arial" w:hAnsi="Arial" w:cs="Arial"/>
          <w:sz w:val="24"/>
          <w:szCs w:val="24"/>
          <w:lang w:val="en-US"/>
        </w:rPr>
      </w:pPr>
      <w:r w:rsidRPr="002B63C3">
        <w:rPr>
          <w:rFonts w:ascii="Arial" w:hAnsi="Arial" w:cs="Arial"/>
          <w:sz w:val="24"/>
          <w:szCs w:val="24"/>
          <w:lang w:val="en-US"/>
        </w:rPr>
        <w:t xml:space="preserve">Freeman, R.E. (2018) </w:t>
      </w:r>
      <w:r w:rsidRPr="002B63C3">
        <w:rPr>
          <w:rFonts w:ascii="Arial" w:hAnsi="Arial" w:cs="Arial"/>
          <w:i/>
          <w:iCs/>
          <w:sz w:val="24"/>
          <w:szCs w:val="24"/>
          <w:lang w:val="en-US"/>
        </w:rPr>
        <w:t>Strategic Management: A Stakeholder Approach</w:t>
      </w:r>
      <w:r w:rsidRPr="002B63C3">
        <w:rPr>
          <w:rFonts w:ascii="Arial" w:hAnsi="Arial" w:cs="Arial"/>
          <w:sz w:val="24"/>
          <w:szCs w:val="24"/>
          <w:lang w:val="en-US"/>
        </w:rPr>
        <w:t>. Cambridge: Cambridge University Press.</w:t>
      </w:r>
    </w:p>
    <w:p w14:paraId="2BD2E96A" w14:textId="77777777" w:rsidR="002B63C3" w:rsidRPr="002B63C3" w:rsidRDefault="002B63C3" w:rsidP="002B63C3">
      <w:pPr>
        <w:spacing w:after="0" w:line="360" w:lineRule="auto"/>
        <w:jc w:val="both"/>
        <w:rPr>
          <w:rFonts w:ascii="Arial" w:hAnsi="Arial" w:cs="Arial"/>
          <w:sz w:val="24"/>
          <w:szCs w:val="24"/>
          <w:lang w:val="en-US"/>
        </w:rPr>
      </w:pPr>
      <w:r w:rsidRPr="002B63C3">
        <w:rPr>
          <w:rFonts w:ascii="Arial" w:hAnsi="Arial" w:cs="Arial"/>
          <w:sz w:val="24"/>
          <w:szCs w:val="24"/>
          <w:lang w:val="en-US"/>
        </w:rPr>
        <w:t xml:space="preserve">Gamble, J.E., Thompson, A.A. and </w:t>
      </w:r>
      <w:proofErr w:type="spellStart"/>
      <w:r w:rsidRPr="002B63C3">
        <w:rPr>
          <w:rFonts w:ascii="Arial" w:hAnsi="Arial" w:cs="Arial"/>
          <w:sz w:val="24"/>
          <w:szCs w:val="24"/>
          <w:lang w:val="en-US"/>
        </w:rPr>
        <w:t>Peteraf</w:t>
      </w:r>
      <w:proofErr w:type="spellEnd"/>
      <w:r w:rsidRPr="002B63C3">
        <w:rPr>
          <w:rFonts w:ascii="Arial" w:hAnsi="Arial" w:cs="Arial"/>
          <w:sz w:val="24"/>
          <w:szCs w:val="24"/>
          <w:lang w:val="en-US"/>
        </w:rPr>
        <w:t xml:space="preserve">, M.A. (2021) </w:t>
      </w:r>
      <w:r w:rsidRPr="002B63C3">
        <w:rPr>
          <w:rFonts w:ascii="Arial" w:hAnsi="Arial" w:cs="Arial"/>
          <w:i/>
          <w:iCs/>
          <w:sz w:val="24"/>
          <w:szCs w:val="24"/>
          <w:lang w:val="en-US"/>
        </w:rPr>
        <w:t>Essentials of Strategic Management: The Quest for Competitive Advantage</w:t>
      </w:r>
      <w:r w:rsidRPr="002B63C3">
        <w:rPr>
          <w:rFonts w:ascii="Arial" w:hAnsi="Arial" w:cs="Arial"/>
          <w:sz w:val="24"/>
          <w:szCs w:val="24"/>
          <w:lang w:val="en-US"/>
        </w:rPr>
        <w:t xml:space="preserve">. 7th </w:t>
      </w:r>
      <w:proofErr w:type="spellStart"/>
      <w:r w:rsidRPr="002B63C3">
        <w:rPr>
          <w:rFonts w:ascii="Arial" w:hAnsi="Arial" w:cs="Arial"/>
          <w:sz w:val="24"/>
          <w:szCs w:val="24"/>
          <w:lang w:val="en-US"/>
        </w:rPr>
        <w:t>edn</w:t>
      </w:r>
      <w:proofErr w:type="spellEnd"/>
      <w:r w:rsidRPr="002B63C3">
        <w:rPr>
          <w:rFonts w:ascii="Arial" w:hAnsi="Arial" w:cs="Arial"/>
          <w:sz w:val="24"/>
          <w:szCs w:val="24"/>
          <w:lang w:val="en-US"/>
        </w:rPr>
        <w:t>. New York: McGraw-Hill Education.</w:t>
      </w:r>
    </w:p>
    <w:p w14:paraId="55514DCA" w14:textId="77777777" w:rsidR="002B63C3" w:rsidRPr="002B63C3" w:rsidRDefault="002B63C3" w:rsidP="002B63C3">
      <w:pPr>
        <w:spacing w:after="0" w:line="360" w:lineRule="auto"/>
        <w:jc w:val="both"/>
        <w:rPr>
          <w:rFonts w:ascii="Arial" w:hAnsi="Arial" w:cs="Arial"/>
          <w:sz w:val="24"/>
          <w:szCs w:val="24"/>
          <w:lang w:val="en-US"/>
        </w:rPr>
      </w:pPr>
      <w:r w:rsidRPr="002B63C3">
        <w:rPr>
          <w:rFonts w:ascii="Arial" w:hAnsi="Arial" w:cs="Arial"/>
          <w:sz w:val="24"/>
          <w:szCs w:val="24"/>
          <w:lang w:val="en-US"/>
        </w:rPr>
        <w:t xml:space="preserve">Grant, R.M. (2019) </w:t>
      </w:r>
      <w:r w:rsidRPr="002B63C3">
        <w:rPr>
          <w:rFonts w:ascii="Arial" w:hAnsi="Arial" w:cs="Arial"/>
          <w:i/>
          <w:iCs/>
          <w:sz w:val="24"/>
          <w:szCs w:val="24"/>
          <w:lang w:val="en-US"/>
        </w:rPr>
        <w:t>Contemporary Strategy Analysis</w:t>
      </w:r>
      <w:r w:rsidRPr="002B63C3">
        <w:rPr>
          <w:rFonts w:ascii="Arial" w:hAnsi="Arial" w:cs="Arial"/>
          <w:sz w:val="24"/>
          <w:szCs w:val="24"/>
          <w:lang w:val="en-US"/>
        </w:rPr>
        <w:t xml:space="preserve">. 10th </w:t>
      </w:r>
      <w:proofErr w:type="spellStart"/>
      <w:r w:rsidRPr="002B63C3">
        <w:rPr>
          <w:rFonts w:ascii="Arial" w:hAnsi="Arial" w:cs="Arial"/>
          <w:sz w:val="24"/>
          <w:szCs w:val="24"/>
          <w:lang w:val="en-US"/>
        </w:rPr>
        <w:t>edn</w:t>
      </w:r>
      <w:proofErr w:type="spellEnd"/>
      <w:r w:rsidRPr="002B63C3">
        <w:rPr>
          <w:rFonts w:ascii="Arial" w:hAnsi="Arial" w:cs="Arial"/>
          <w:sz w:val="24"/>
          <w:szCs w:val="24"/>
          <w:lang w:val="en-US"/>
        </w:rPr>
        <w:t>. Chichester: Wiley.</w:t>
      </w:r>
    </w:p>
    <w:p w14:paraId="2B223243" w14:textId="77777777" w:rsidR="002B63C3" w:rsidRPr="002B63C3" w:rsidRDefault="002B63C3" w:rsidP="002B63C3">
      <w:pPr>
        <w:spacing w:after="0" w:line="360" w:lineRule="auto"/>
        <w:jc w:val="both"/>
        <w:rPr>
          <w:rFonts w:ascii="Arial" w:hAnsi="Arial" w:cs="Arial"/>
          <w:sz w:val="24"/>
          <w:szCs w:val="24"/>
          <w:lang w:val="en-US"/>
        </w:rPr>
      </w:pPr>
      <w:r w:rsidRPr="002B63C3">
        <w:rPr>
          <w:rFonts w:ascii="Arial" w:hAnsi="Arial" w:cs="Arial"/>
          <w:sz w:val="24"/>
          <w:szCs w:val="24"/>
          <w:lang w:val="en-US"/>
        </w:rPr>
        <w:t xml:space="preserve">Hill, C.W.L., Jones, G.R. and Schilling, M.A. (2021) </w:t>
      </w:r>
      <w:r w:rsidRPr="002B63C3">
        <w:rPr>
          <w:rFonts w:ascii="Arial" w:hAnsi="Arial" w:cs="Arial"/>
          <w:i/>
          <w:iCs/>
          <w:sz w:val="24"/>
          <w:szCs w:val="24"/>
          <w:lang w:val="en-US"/>
        </w:rPr>
        <w:t>Strategic Management: Theory and Cases</w:t>
      </w:r>
      <w:r w:rsidRPr="002B63C3">
        <w:rPr>
          <w:rFonts w:ascii="Arial" w:hAnsi="Arial" w:cs="Arial"/>
          <w:sz w:val="24"/>
          <w:szCs w:val="24"/>
          <w:lang w:val="en-US"/>
        </w:rPr>
        <w:t xml:space="preserve">. 14th </w:t>
      </w:r>
      <w:proofErr w:type="spellStart"/>
      <w:r w:rsidRPr="002B63C3">
        <w:rPr>
          <w:rFonts w:ascii="Arial" w:hAnsi="Arial" w:cs="Arial"/>
          <w:sz w:val="24"/>
          <w:szCs w:val="24"/>
          <w:lang w:val="en-US"/>
        </w:rPr>
        <w:t>edn</w:t>
      </w:r>
      <w:proofErr w:type="spellEnd"/>
      <w:r w:rsidRPr="002B63C3">
        <w:rPr>
          <w:rFonts w:ascii="Arial" w:hAnsi="Arial" w:cs="Arial"/>
          <w:sz w:val="24"/>
          <w:szCs w:val="24"/>
          <w:lang w:val="en-US"/>
        </w:rPr>
        <w:t>. Boston: Cengage Learning.</w:t>
      </w:r>
    </w:p>
    <w:p w14:paraId="59EEF779" w14:textId="77777777" w:rsidR="002B63C3" w:rsidRPr="002B63C3" w:rsidRDefault="002B63C3" w:rsidP="002B63C3">
      <w:pPr>
        <w:spacing w:after="0" w:line="360" w:lineRule="auto"/>
        <w:jc w:val="both"/>
        <w:rPr>
          <w:rFonts w:ascii="Arial" w:hAnsi="Arial" w:cs="Arial"/>
          <w:sz w:val="24"/>
          <w:szCs w:val="24"/>
          <w:lang w:val="en-US"/>
        </w:rPr>
      </w:pPr>
      <w:r w:rsidRPr="002B63C3">
        <w:rPr>
          <w:rFonts w:ascii="Arial" w:hAnsi="Arial" w:cs="Arial"/>
          <w:sz w:val="24"/>
          <w:szCs w:val="24"/>
          <w:lang w:val="en-US"/>
        </w:rPr>
        <w:t xml:space="preserve">Hitt, M.A., Ireland, R.D. and </w:t>
      </w:r>
      <w:proofErr w:type="spellStart"/>
      <w:r w:rsidRPr="002B63C3">
        <w:rPr>
          <w:rFonts w:ascii="Arial" w:hAnsi="Arial" w:cs="Arial"/>
          <w:sz w:val="24"/>
          <w:szCs w:val="24"/>
          <w:lang w:val="en-US"/>
        </w:rPr>
        <w:t>Hoskisson</w:t>
      </w:r>
      <w:proofErr w:type="spellEnd"/>
      <w:r w:rsidRPr="002B63C3">
        <w:rPr>
          <w:rFonts w:ascii="Arial" w:hAnsi="Arial" w:cs="Arial"/>
          <w:sz w:val="24"/>
          <w:szCs w:val="24"/>
          <w:lang w:val="en-US"/>
        </w:rPr>
        <w:t xml:space="preserve">, R.E. (2020) </w:t>
      </w:r>
      <w:r w:rsidRPr="002B63C3">
        <w:rPr>
          <w:rFonts w:ascii="Arial" w:hAnsi="Arial" w:cs="Arial"/>
          <w:i/>
          <w:iCs/>
          <w:sz w:val="24"/>
          <w:szCs w:val="24"/>
          <w:lang w:val="en-US"/>
        </w:rPr>
        <w:t>Strategic Management: Competitiveness and Globalization</w:t>
      </w:r>
      <w:r w:rsidRPr="002B63C3">
        <w:rPr>
          <w:rFonts w:ascii="Arial" w:hAnsi="Arial" w:cs="Arial"/>
          <w:sz w:val="24"/>
          <w:szCs w:val="24"/>
          <w:lang w:val="en-US"/>
        </w:rPr>
        <w:t xml:space="preserve">. 13th </w:t>
      </w:r>
      <w:proofErr w:type="spellStart"/>
      <w:r w:rsidRPr="002B63C3">
        <w:rPr>
          <w:rFonts w:ascii="Arial" w:hAnsi="Arial" w:cs="Arial"/>
          <w:sz w:val="24"/>
          <w:szCs w:val="24"/>
          <w:lang w:val="en-US"/>
        </w:rPr>
        <w:t>edn</w:t>
      </w:r>
      <w:proofErr w:type="spellEnd"/>
      <w:r w:rsidRPr="002B63C3">
        <w:rPr>
          <w:rFonts w:ascii="Arial" w:hAnsi="Arial" w:cs="Arial"/>
          <w:sz w:val="24"/>
          <w:szCs w:val="24"/>
          <w:lang w:val="en-US"/>
        </w:rPr>
        <w:t>. Stamford: Cengage Learning.</w:t>
      </w:r>
    </w:p>
    <w:p w14:paraId="3F98D392" w14:textId="77777777" w:rsidR="002B63C3" w:rsidRPr="002B63C3" w:rsidRDefault="002B63C3" w:rsidP="002B63C3">
      <w:pPr>
        <w:spacing w:after="0" w:line="360" w:lineRule="auto"/>
        <w:jc w:val="both"/>
        <w:rPr>
          <w:rFonts w:ascii="Arial" w:hAnsi="Arial" w:cs="Arial"/>
          <w:sz w:val="24"/>
          <w:szCs w:val="24"/>
          <w:lang w:val="en-US"/>
        </w:rPr>
      </w:pPr>
      <w:r w:rsidRPr="002B63C3">
        <w:rPr>
          <w:rFonts w:ascii="Arial" w:hAnsi="Arial" w:cs="Arial"/>
          <w:sz w:val="24"/>
          <w:szCs w:val="24"/>
          <w:lang w:val="en-US"/>
        </w:rPr>
        <w:t xml:space="preserve">Johnson, G., Scholes, K. and Whittington, R. (2020) </w:t>
      </w:r>
      <w:r w:rsidRPr="002B63C3">
        <w:rPr>
          <w:rFonts w:ascii="Arial" w:hAnsi="Arial" w:cs="Arial"/>
          <w:i/>
          <w:iCs/>
          <w:sz w:val="24"/>
          <w:szCs w:val="24"/>
          <w:lang w:val="en-US"/>
        </w:rPr>
        <w:t>Exploring Corporate Strategy: Text and Cases</w:t>
      </w:r>
      <w:r w:rsidRPr="002B63C3">
        <w:rPr>
          <w:rFonts w:ascii="Arial" w:hAnsi="Arial" w:cs="Arial"/>
          <w:sz w:val="24"/>
          <w:szCs w:val="24"/>
          <w:lang w:val="en-US"/>
        </w:rPr>
        <w:t xml:space="preserve">. 12th </w:t>
      </w:r>
      <w:proofErr w:type="spellStart"/>
      <w:r w:rsidRPr="002B63C3">
        <w:rPr>
          <w:rFonts w:ascii="Arial" w:hAnsi="Arial" w:cs="Arial"/>
          <w:sz w:val="24"/>
          <w:szCs w:val="24"/>
          <w:lang w:val="en-US"/>
        </w:rPr>
        <w:t>edn</w:t>
      </w:r>
      <w:proofErr w:type="spellEnd"/>
      <w:r w:rsidRPr="002B63C3">
        <w:rPr>
          <w:rFonts w:ascii="Arial" w:hAnsi="Arial" w:cs="Arial"/>
          <w:sz w:val="24"/>
          <w:szCs w:val="24"/>
          <w:lang w:val="en-US"/>
        </w:rPr>
        <w:t>. Harlow: Pearson Education.</w:t>
      </w:r>
    </w:p>
    <w:p w14:paraId="64F9501E" w14:textId="77777777" w:rsidR="002B63C3" w:rsidRPr="002B63C3" w:rsidRDefault="002B63C3" w:rsidP="002B63C3">
      <w:pPr>
        <w:spacing w:after="0" w:line="360" w:lineRule="auto"/>
        <w:jc w:val="both"/>
        <w:rPr>
          <w:rFonts w:ascii="Arial" w:hAnsi="Arial" w:cs="Arial"/>
          <w:sz w:val="24"/>
          <w:szCs w:val="24"/>
          <w:lang w:val="en-US"/>
        </w:rPr>
      </w:pPr>
      <w:r w:rsidRPr="002B63C3">
        <w:rPr>
          <w:rFonts w:ascii="Arial" w:hAnsi="Arial" w:cs="Arial"/>
          <w:sz w:val="24"/>
          <w:szCs w:val="24"/>
          <w:lang w:val="en-US"/>
        </w:rPr>
        <w:t xml:space="preserve">Kaplan, R.S. and Norton, D.P. (2015) </w:t>
      </w:r>
      <w:r w:rsidRPr="002B63C3">
        <w:rPr>
          <w:rFonts w:ascii="Arial" w:hAnsi="Arial" w:cs="Arial"/>
          <w:i/>
          <w:iCs/>
          <w:sz w:val="24"/>
          <w:szCs w:val="24"/>
          <w:lang w:val="en-US"/>
        </w:rPr>
        <w:t>The Balanced Scorecard: Translating Strategy into Action</w:t>
      </w:r>
      <w:r w:rsidRPr="002B63C3">
        <w:rPr>
          <w:rFonts w:ascii="Arial" w:hAnsi="Arial" w:cs="Arial"/>
          <w:sz w:val="24"/>
          <w:szCs w:val="24"/>
          <w:lang w:val="en-US"/>
        </w:rPr>
        <w:t>. Boston: Harvard Business School Press.</w:t>
      </w:r>
    </w:p>
    <w:p w14:paraId="4B83850F" w14:textId="77777777" w:rsidR="002B63C3" w:rsidRPr="002B63C3" w:rsidRDefault="002B63C3" w:rsidP="002B63C3">
      <w:pPr>
        <w:spacing w:after="0" w:line="360" w:lineRule="auto"/>
        <w:jc w:val="both"/>
        <w:rPr>
          <w:rFonts w:ascii="Arial" w:hAnsi="Arial" w:cs="Arial"/>
          <w:sz w:val="24"/>
          <w:szCs w:val="24"/>
          <w:lang w:val="en-US"/>
        </w:rPr>
      </w:pPr>
      <w:r w:rsidRPr="002B63C3">
        <w:rPr>
          <w:rFonts w:ascii="Arial" w:hAnsi="Arial" w:cs="Arial"/>
          <w:sz w:val="24"/>
          <w:szCs w:val="24"/>
          <w:lang w:val="en-US"/>
        </w:rPr>
        <w:lastRenderedPageBreak/>
        <w:t xml:space="preserve">Kotler, P. and Keller, K.L. (2022) </w:t>
      </w:r>
      <w:r w:rsidRPr="002B63C3">
        <w:rPr>
          <w:rFonts w:ascii="Arial" w:hAnsi="Arial" w:cs="Arial"/>
          <w:i/>
          <w:iCs/>
          <w:sz w:val="24"/>
          <w:szCs w:val="24"/>
          <w:lang w:val="en-US"/>
        </w:rPr>
        <w:t>Marketing Management</w:t>
      </w:r>
      <w:r w:rsidRPr="002B63C3">
        <w:rPr>
          <w:rFonts w:ascii="Arial" w:hAnsi="Arial" w:cs="Arial"/>
          <w:sz w:val="24"/>
          <w:szCs w:val="24"/>
          <w:lang w:val="en-US"/>
        </w:rPr>
        <w:t xml:space="preserve">. 16th </w:t>
      </w:r>
      <w:proofErr w:type="spellStart"/>
      <w:r w:rsidRPr="002B63C3">
        <w:rPr>
          <w:rFonts w:ascii="Arial" w:hAnsi="Arial" w:cs="Arial"/>
          <w:sz w:val="24"/>
          <w:szCs w:val="24"/>
          <w:lang w:val="en-US"/>
        </w:rPr>
        <w:t>edn</w:t>
      </w:r>
      <w:proofErr w:type="spellEnd"/>
      <w:r w:rsidRPr="002B63C3">
        <w:rPr>
          <w:rFonts w:ascii="Arial" w:hAnsi="Arial" w:cs="Arial"/>
          <w:sz w:val="24"/>
          <w:szCs w:val="24"/>
          <w:lang w:val="en-US"/>
        </w:rPr>
        <w:t>. Harlow: Pearson Education.</w:t>
      </w:r>
    </w:p>
    <w:p w14:paraId="0F947B73" w14:textId="77777777" w:rsidR="002B63C3" w:rsidRPr="002B63C3" w:rsidRDefault="002B63C3" w:rsidP="002B63C3">
      <w:pPr>
        <w:spacing w:after="0" w:line="360" w:lineRule="auto"/>
        <w:jc w:val="both"/>
        <w:rPr>
          <w:rFonts w:ascii="Arial" w:hAnsi="Arial" w:cs="Arial"/>
          <w:sz w:val="24"/>
          <w:szCs w:val="24"/>
          <w:lang w:val="en-US"/>
        </w:rPr>
      </w:pPr>
      <w:r w:rsidRPr="002B63C3">
        <w:rPr>
          <w:rFonts w:ascii="Arial" w:hAnsi="Arial" w:cs="Arial"/>
          <w:sz w:val="24"/>
          <w:szCs w:val="24"/>
          <w:lang w:val="en-US"/>
        </w:rPr>
        <w:t xml:space="preserve">Kotter, J.P. (2014) </w:t>
      </w:r>
      <w:r w:rsidRPr="002B63C3">
        <w:rPr>
          <w:rFonts w:ascii="Arial" w:hAnsi="Arial" w:cs="Arial"/>
          <w:i/>
          <w:iCs/>
          <w:sz w:val="24"/>
          <w:szCs w:val="24"/>
          <w:lang w:val="en-US"/>
        </w:rPr>
        <w:t>Accelerate: Building Strategic Agility for a Faster-Moving World</w:t>
      </w:r>
      <w:r w:rsidRPr="002B63C3">
        <w:rPr>
          <w:rFonts w:ascii="Arial" w:hAnsi="Arial" w:cs="Arial"/>
          <w:sz w:val="24"/>
          <w:szCs w:val="24"/>
          <w:lang w:val="en-US"/>
        </w:rPr>
        <w:t>. Boston: Harvard Business Review Press.</w:t>
      </w:r>
    </w:p>
    <w:p w14:paraId="4E50ACF0" w14:textId="77777777" w:rsidR="002B63C3" w:rsidRPr="002B63C3" w:rsidRDefault="002B63C3" w:rsidP="002B63C3">
      <w:pPr>
        <w:spacing w:after="0" w:line="360" w:lineRule="auto"/>
        <w:jc w:val="both"/>
        <w:rPr>
          <w:rFonts w:ascii="Arial" w:hAnsi="Arial" w:cs="Arial"/>
          <w:sz w:val="24"/>
          <w:szCs w:val="24"/>
          <w:lang w:val="en-US"/>
        </w:rPr>
      </w:pPr>
      <w:r w:rsidRPr="002B63C3">
        <w:rPr>
          <w:rFonts w:ascii="Arial" w:hAnsi="Arial" w:cs="Arial"/>
          <w:sz w:val="24"/>
          <w:szCs w:val="24"/>
          <w:lang w:val="en-US"/>
        </w:rPr>
        <w:t xml:space="preserve">Lynch, R. (2021) </w:t>
      </w:r>
      <w:r w:rsidRPr="002B63C3">
        <w:rPr>
          <w:rFonts w:ascii="Arial" w:hAnsi="Arial" w:cs="Arial"/>
          <w:i/>
          <w:iCs/>
          <w:sz w:val="24"/>
          <w:szCs w:val="24"/>
          <w:lang w:val="en-US"/>
        </w:rPr>
        <w:t>Corporate Strategy</w:t>
      </w:r>
      <w:r w:rsidRPr="002B63C3">
        <w:rPr>
          <w:rFonts w:ascii="Arial" w:hAnsi="Arial" w:cs="Arial"/>
          <w:sz w:val="24"/>
          <w:szCs w:val="24"/>
          <w:lang w:val="en-US"/>
        </w:rPr>
        <w:t xml:space="preserve">. 9th </w:t>
      </w:r>
      <w:proofErr w:type="spellStart"/>
      <w:r w:rsidRPr="002B63C3">
        <w:rPr>
          <w:rFonts w:ascii="Arial" w:hAnsi="Arial" w:cs="Arial"/>
          <w:sz w:val="24"/>
          <w:szCs w:val="24"/>
          <w:lang w:val="en-US"/>
        </w:rPr>
        <w:t>edn</w:t>
      </w:r>
      <w:proofErr w:type="spellEnd"/>
      <w:r w:rsidRPr="002B63C3">
        <w:rPr>
          <w:rFonts w:ascii="Arial" w:hAnsi="Arial" w:cs="Arial"/>
          <w:sz w:val="24"/>
          <w:szCs w:val="24"/>
          <w:lang w:val="en-US"/>
        </w:rPr>
        <w:t>. Harlow: Pearson Education.</w:t>
      </w:r>
    </w:p>
    <w:p w14:paraId="08075BF1" w14:textId="77777777" w:rsidR="002B63C3" w:rsidRPr="002B63C3" w:rsidRDefault="002B63C3" w:rsidP="002B63C3">
      <w:pPr>
        <w:spacing w:after="0" w:line="360" w:lineRule="auto"/>
        <w:jc w:val="both"/>
        <w:rPr>
          <w:rFonts w:ascii="Arial" w:hAnsi="Arial" w:cs="Arial"/>
          <w:sz w:val="24"/>
          <w:szCs w:val="24"/>
          <w:lang w:val="en-US"/>
        </w:rPr>
      </w:pPr>
      <w:r w:rsidRPr="002B63C3">
        <w:rPr>
          <w:rFonts w:ascii="Arial" w:hAnsi="Arial" w:cs="Arial"/>
          <w:sz w:val="24"/>
          <w:szCs w:val="24"/>
          <w:lang w:val="en-US"/>
        </w:rPr>
        <w:t xml:space="preserve">Mintzberg, H., Ahlstrand, B. and Lampel, J. (2020) </w:t>
      </w:r>
      <w:r w:rsidRPr="002B63C3">
        <w:rPr>
          <w:rFonts w:ascii="Arial" w:hAnsi="Arial" w:cs="Arial"/>
          <w:i/>
          <w:iCs/>
          <w:sz w:val="24"/>
          <w:szCs w:val="24"/>
          <w:lang w:val="en-US"/>
        </w:rPr>
        <w:t>Strategy Safari: A Guided Tour Through the Wilds of Strategic Management</w:t>
      </w:r>
      <w:r w:rsidRPr="002B63C3">
        <w:rPr>
          <w:rFonts w:ascii="Arial" w:hAnsi="Arial" w:cs="Arial"/>
          <w:sz w:val="24"/>
          <w:szCs w:val="24"/>
          <w:lang w:val="en-US"/>
        </w:rPr>
        <w:t xml:space="preserve">. 3rd </w:t>
      </w:r>
      <w:proofErr w:type="spellStart"/>
      <w:r w:rsidRPr="002B63C3">
        <w:rPr>
          <w:rFonts w:ascii="Arial" w:hAnsi="Arial" w:cs="Arial"/>
          <w:sz w:val="24"/>
          <w:szCs w:val="24"/>
          <w:lang w:val="en-US"/>
        </w:rPr>
        <w:t>edn</w:t>
      </w:r>
      <w:proofErr w:type="spellEnd"/>
      <w:r w:rsidRPr="002B63C3">
        <w:rPr>
          <w:rFonts w:ascii="Arial" w:hAnsi="Arial" w:cs="Arial"/>
          <w:sz w:val="24"/>
          <w:szCs w:val="24"/>
          <w:lang w:val="en-US"/>
        </w:rPr>
        <w:t>. New York: Free Press.</w:t>
      </w:r>
    </w:p>
    <w:p w14:paraId="1D5EDD7B" w14:textId="77777777" w:rsidR="002B63C3" w:rsidRPr="002B63C3" w:rsidRDefault="002B63C3" w:rsidP="002B63C3">
      <w:pPr>
        <w:spacing w:after="0" w:line="360" w:lineRule="auto"/>
        <w:jc w:val="both"/>
        <w:rPr>
          <w:rFonts w:ascii="Arial" w:hAnsi="Arial" w:cs="Arial"/>
          <w:sz w:val="24"/>
          <w:szCs w:val="24"/>
          <w:lang w:val="en-US"/>
        </w:rPr>
      </w:pPr>
      <w:r w:rsidRPr="002B63C3">
        <w:rPr>
          <w:rFonts w:ascii="Arial" w:hAnsi="Arial" w:cs="Arial"/>
          <w:sz w:val="24"/>
          <w:szCs w:val="24"/>
          <w:lang w:val="en-US"/>
        </w:rPr>
        <w:t xml:space="preserve">Pearce, J.A. and Robinson, R.B. (2019) </w:t>
      </w:r>
      <w:r w:rsidRPr="002B63C3">
        <w:rPr>
          <w:rFonts w:ascii="Arial" w:hAnsi="Arial" w:cs="Arial"/>
          <w:i/>
          <w:iCs/>
          <w:sz w:val="24"/>
          <w:szCs w:val="24"/>
          <w:lang w:val="en-US"/>
        </w:rPr>
        <w:t>Strategic Management: Planning for Domestic and Global Competition</w:t>
      </w:r>
      <w:r w:rsidRPr="002B63C3">
        <w:rPr>
          <w:rFonts w:ascii="Arial" w:hAnsi="Arial" w:cs="Arial"/>
          <w:sz w:val="24"/>
          <w:szCs w:val="24"/>
          <w:lang w:val="en-US"/>
        </w:rPr>
        <w:t xml:space="preserve">. 15th </w:t>
      </w:r>
      <w:proofErr w:type="spellStart"/>
      <w:r w:rsidRPr="002B63C3">
        <w:rPr>
          <w:rFonts w:ascii="Arial" w:hAnsi="Arial" w:cs="Arial"/>
          <w:sz w:val="24"/>
          <w:szCs w:val="24"/>
          <w:lang w:val="en-US"/>
        </w:rPr>
        <w:t>edn</w:t>
      </w:r>
      <w:proofErr w:type="spellEnd"/>
      <w:r w:rsidRPr="002B63C3">
        <w:rPr>
          <w:rFonts w:ascii="Arial" w:hAnsi="Arial" w:cs="Arial"/>
          <w:sz w:val="24"/>
          <w:szCs w:val="24"/>
          <w:lang w:val="en-US"/>
        </w:rPr>
        <w:t>. New York: McGraw-Hill Education.</w:t>
      </w:r>
    </w:p>
    <w:p w14:paraId="5B63829C" w14:textId="77777777" w:rsidR="002B63C3" w:rsidRPr="002B63C3" w:rsidRDefault="002B63C3" w:rsidP="002B63C3">
      <w:pPr>
        <w:spacing w:after="0" w:line="360" w:lineRule="auto"/>
        <w:jc w:val="both"/>
        <w:rPr>
          <w:rFonts w:ascii="Arial" w:hAnsi="Arial" w:cs="Arial"/>
          <w:sz w:val="24"/>
          <w:szCs w:val="24"/>
          <w:lang w:val="en-US"/>
        </w:rPr>
      </w:pPr>
      <w:r w:rsidRPr="002B63C3">
        <w:rPr>
          <w:rFonts w:ascii="Arial" w:hAnsi="Arial" w:cs="Arial"/>
          <w:sz w:val="24"/>
          <w:szCs w:val="24"/>
          <w:lang w:val="en-US"/>
        </w:rPr>
        <w:t xml:space="preserve">Porter, M.E. (2014) </w:t>
      </w:r>
      <w:r w:rsidRPr="002B63C3">
        <w:rPr>
          <w:rFonts w:ascii="Arial" w:hAnsi="Arial" w:cs="Arial"/>
          <w:i/>
          <w:iCs/>
          <w:sz w:val="24"/>
          <w:szCs w:val="24"/>
          <w:lang w:val="en-US"/>
        </w:rPr>
        <w:t>Competitive Advantage: Creating and Sustaining Superior Performance</w:t>
      </w:r>
      <w:r w:rsidRPr="002B63C3">
        <w:rPr>
          <w:rFonts w:ascii="Arial" w:hAnsi="Arial" w:cs="Arial"/>
          <w:sz w:val="24"/>
          <w:szCs w:val="24"/>
          <w:lang w:val="en-US"/>
        </w:rPr>
        <w:t>. New York: Free Press.</w:t>
      </w:r>
    </w:p>
    <w:p w14:paraId="13968D17" w14:textId="77777777" w:rsidR="002B63C3" w:rsidRPr="002B63C3" w:rsidRDefault="002B63C3" w:rsidP="002B63C3">
      <w:pPr>
        <w:spacing w:after="0" w:line="360" w:lineRule="auto"/>
        <w:jc w:val="both"/>
        <w:rPr>
          <w:rFonts w:ascii="Arial" w:hAnsi="Arial" w:cs="Arial"/>
          <w:sz w:val="24"/>
          <w:szCs w:val="24"/>
          <w:lang w:val="en-US"/>
        </w:rPr>
      </w:pPr>
      <w:r w:rsidRPr="002B63C3">
        <w:rPr>
          <w:rFonts w:ascii="Arial" w:hAnsi="Arial" w:cs="Arial"/>
          <w:sz w:val="24"/>
          <w:szCs w:val="24"/>
          <w:lang w:val="en-US"/>
        </w:rPr>
        <w:t xml:space="preserve">Rothaermel, F.T. (2021) </w:t>
      </w:r>
      <w:r w:rsidRPr="002B63C3">
        <w:rPr>
          <w:rFonts w:ascii="Arial" w:hAnsi="Arial" w:cs="Arial"/>
          <w:i/>
          <w:iCs/>
          <w:sz w:val="24"/>
          <w:szCs w:val="24"/>
          <w:lang w:val="en-US"/>
        </w:rPr>
        <w:t>Strategic Management: Concepts and Cases</w:t>
      </w:r>
      <w:r w:rsidRPr="002B63C3">
        <w:rPr>
          <w:rFonts w:ascii="Arial" w:hAnsi="Arial" w:cs="Arial"/>
          <w:sz w:val="24"/>
          <w:szCs w:val="24"/>
          <w:lang w:val="en-US"/>
        </w:rPr>
        <w:t xml:space="preserve">. 5th </w:t>
      </w:r>
      <w:proofErr w:type="spellStart"/>
      <w:r w:rsidRPr="002B63C3">
        <w:rPr>
          <w:rFonts w:ascii="Arial" w:hAnsi="Arial" w:cs="Arial"/>
          <w:sz w:val="24"/>
          <w:szCs w:val="24"/>
          <w:lang w:val="en-US"/>
        </w:rPr>
        <w:t>edn</w:t>
      </w:r>
      <w:proofErr w:type="spellEnd"/>
      <w:r w:rsidRPr="002B63C3">
        <w:rPr>
          <w:rFonts w:ascii="Arial" w:hAnsi="Arial" w:cs="Arial"/>
          <w:sz w:val="24"/>
          <w:szCs w:val="24"/>
          <w:lang w:val="en-US"/>
        </w:rPr>
        <w:t>. New York: McGraw-Hill Education.</w:t>
      </w:r>
    </w:p>
    <w:p w14:paraId="11AF6CD9" w14:textId="77777777" w:rsidR="002B63C3" w:rsidRPr="002B63C3" w:rsidRDefault="002B63C3" w:rsidP="002B63C3">
      <w:pPr>
        <w:spacing w:after="0" w:line="360" w:lineRule="auto"/>
        <w:jc w:val="both"/>
        <w:rPr>
          <w:rFonts w:ascii="Arial" w:hAnsi="Arial" w:cs="Arial"/>
          <w:sz w:val="24"/>
          <w:szCs w:val="24"/>
          <w:lang w:val="en-US"/>
        </w:rPr>
      </w:pPr>
      <w:r w:rsidRPr="002B63C3">
        <w:rPr>
          <w:rFonts w:ascii="Arial" w:hAnsi="Arial" w:cs="Arial"/>
          <w:sz w:val="24"/>
          <w:szCs w:val="24"/>
          <w:lang w:val="en-US"/>
        </w:rPr>
        <w:t xml:space="preserve">Schermerhorn, J.R. (2020) </w:t>
      </w:r>
      <w:r w:rsidRPr="002B63C3">
        <w:rPr>
          <w:rFonts w:ascii="Arial" w:hAnsi="Arial" w:cs="Arial"/>
          <w:i/>
          <w:iCs/>
          <w:sz w:val="24"/>
          <w:szCs w:val="24"/>
          <w:lang w:val="en-US"/>
        </w:rPr>
        <w:t>Management</w:t>
      </w:r>
      <w:r w:rsidRPr="002B63C3">
        <w:rPr>
          <w:rFonts w:ascii="Arial" w:hAnsi="Arial" w:cs="Arial"/>
          <w:sz w:val="24"/>
          <w:szCs w:val="24"/>
          <w:lang w:val="en-US"/>
        </w:rPr>
        <w:t xml:space="preserve">. 14th </w:t>
      </w:r>
      <w:proofErr w:type="spellStart"/>
      <w:r w:rsidRPr="002B63C3">
        <w:rPr>
          <w:rFonts w:ascii="Arial" w:hAnsi="Arial" w:cs="Arial"/>
          <w:sz w:val="24"/>
          <w:szCs w:val="24"/>
          <w:lang w:val="en-US"/>
        </w:rPr>
        <w:t>edn</w:t>
      </w:r>
      <w:proofErr w:type="spellEnd"/>
      <w:r w:rsidRPr="002B63C3">
        <w:rPr>
          <w:rFonts w:ascii="Arial" w:hAnsi="Arial" w:cs="Arial"/>
          <w:sz w:val="24"/>
          <w:szCs w:val="24"/>
          <w:lang w:val="en-US"/>
        </w:rPr>
        <w:t>. Hoboken: Wiley.</w:t>
      </w:r>
    </w:p>
    <w:p w14:paraId="11EF6ADF" w14:textId="77777777" w:rsidR="002B63C3" w:rsidRPr="002B63C3" w:rsidRDefault="002B63C3" w:rsidP="002B63C3">
      <w:pPr>
        <w:spacing w:after="0" w:line="360" w:lineRule="auto"/>
        <w:jc w:val="both"/>
        <w:rPr>
          <w:rFonts w:ascii="Arial" w:hAnsi="Arial" w:cs="Arial"/>
          <w:sz w:val="24"/>
          <w:szCs w:val="24"/>
          <w:lang w:val="en-US"/>
        </w:rPr>
      </w:pPr>
      <w:r w:rsidRPr="002B63C3">
        <w:rPr>
          <w:rFonts w:ascii="Arial" w:hAnsi="Arial" w:cs="Arial"/>
          <w:sz w:val="24"/>
          <w:szCs w:val="24"/>
          <w:lang w:val="en-US"/>
        </w:rPr>
        <w:t xml:space="preserve">Teece, D.J. (2020) </w:t>
      </w:r>
      <w:r w:rsidRPr="002B63C3">
        <w:rPr>
          <w:rFonts w:ascii="Arial" w:hAnsi="Arial" w:cs="Arial"/>
          <w:i/>
          <w:iCs/>
          <w:sz w:val="24"/>
          <w:szCs w:val="24"/>
          <w:lang w:val="en-US"/>
        </w:rPr>
        <w:t>Dynamic Capabilities and Strategic Management: Organizing for Innovation and Growth</w:t>
      </w:r>
      <w:r w:rsidRPr="002B63C3">
        <w:rPr>
          <w:rFonts w:ascii="Arial" w:hAnsi="Arial" w:cs="Arial"/>
          <w:sz w:val="24"/>
          <w:szCs w:val="24"/>
          <w:lang w:val="en-US"/>
        </w:rPr>
        <w:t>. Oxford: Oxford University Press.</w:t>
      </w:r>
    </w:p>
    <w:p w14:paraId="28E39CAB" w14:textId="77777777" w:rsidR="002B63C3" w:rsidRPr="002B63C3" w:rsidRDefault="002B63C3" w:rsidP="002B63C3">
      <w:pPr>
        <w:spacing w:after="0" w:line="360" w:lineRule="auto"/>
        <w:jc w:val="both"/>
        <w:rPr>
          <w:rFonts w:ascii="Arial" w:hAnsi="Arial" w:cs="Arial"/>
          <w:sz w:val="24"/>
          <w:szCs w:val="24"/>
          <w:lang w:val="en-US"/>
        </w:rPr>
      </w:pPr>
      <w:r w:rsidRPr="002B63C3">
        <w:rPr>
          <w:rFonts w:ascii="Arial" w:hAnsi="Arial" w:cs="Arial"/>
          <w:sz w:val="24"/>
          <w:szCs w:val="24"/>
          <w:lang w:val="en-US"/>
        </w:rPr>
        <w:t xml:space="preserve">Tidd, J. and Bessant, J. (2021) </w:t>
      </w:r>
      <w:r w:rsidRPr="002B63C3">
        <w:rPr>
          <w:rFonts w:ascii="Arial" w:hAnsi="Arial" w:cs="Arial"/>
          <w:i/>
          <w:iCs/>
          <w:sz w:val="24"/>
          <w:szCs w:val="24"/>
          <w:lang w:val="en-US"/>
        </w:rPr>
        <w:t>Managing Innovation: Integrating Technological, Market and Organizational Change</w:t>
      </w:r>
      <w:r w:rsidRPr="002B63C3">
        <w:rPr>
          <w:rFonts w:ascii="Arial" w:hAnsi="Arial" w:cs="Arial"/>
          <w:sz w:val="24"/>
          <w:szCs w:val="24"/>
          <w:lang w:val="en-US"/>
        </w:rPr>
        <w:t xml:space="preserve">. 7th </w:t>
      </w:r>
      <w:proofErr w:type="spellStart"/>
      <w:r w:rsidRPr="002B63C3">
        <w:rPr>
          <w:rFonts w:ascii="Arial" w:hAnsi="Arial" w:cs="Arial"/>
          <w:sz w:val="24"/>
          <w:szCs w:val="24"/>
          <w:lang w:val="en-US"/>
        </w:rPr>
        <w:t>edn</w:t>
      </w:r>
      <w:proofErr w:type="spellEnd"/>
      <w:r w:rsidRPr="002B63C3">
        <w:rPr>
          <w:rFonts w:ascii="Arial" w:hAnsi="Arial" w:cs="Arial"/>
          <w:sz w:val="24"/>
          <w:szCs w:val="24"/>
          <w:lang w:val="en-US"/>
        </w:rPr>
        <w:t>. Hoboken: Wiley.</w:t>
      </w:r>
    </w:p>
    <w:p w14:paraId="3EFE13AE" w14:textId="77777777" w:rsidR="002B63C3" w:rsidRPr="002B63C3" w:rsidRDefault="002B63C3" w:rsidP="002B63C3">
      <w:pPr>
        <w:spacing w:after="0" w:line="360" w:lineRule="auto"/>
        <w:jc w:val="both"/>
        <w:rPr>
          <w:rFonts w:ascii="Arial" w:hAnsi="Arial" w:cs="Arial"/>
          <w:sz w:val="24"/>
          <w:szCs w:val="24"/>
          <w:lang w:val="en-US"/>
        </w:rPr>
      </w:pPr>
      <w:r w:rsidRPr="002B63C3">
        <w:rPr>
          <w:rFonts w:ascii="Arial" w:hAnsi="Arial" w:cs="Arial"/>
          <w:sz w:val="24"/>
          <w:szCs w:val="24"/>
          <w:lang w:val="en-US"/>
        </w:rPr>
        <w:t xml:space="preserve">Varadarajan, R. (2020) </w:t>
      </w:r>
      <w:r w:rsidRPr="002B63C3">
        <w:rPr>
          <w:rFonts w:ascii="Arial" w:hAnsi="Arial" w:cs="Arial"/>
          <w:i/>
          <w:iCs/>
          <w:sz w:val="24"/>
          <w:szCs w:val="24"/>
          <w:lang w:val="en-US"/>
        </w:rPr>
        <w:t>Strategic Marketing in the Global Economy</w:t>
      </w:r>
      <w:r w:rsidRPr="002B63C3">
        <w:rPr>
          <w:rFonts w:ascii="Arial" w:hAnsi="Arial" w:cs="Arial"/>
          <w:sz w:val="24"/>
          <w:szCs w:val="24"/>
          <w:lang w:val="en-US"/>
        </w:rPr>
        <w:t>. London: Routledge.</w:t>
      </w:r>
    </w:p>
    <w:p w14:paraId="3445BF98" w14:textId="77777777" w:rsidR="002B63C3" w:rsidRPr="002B63C3" w:rsidRDefault="002B63C3" w:rsidP="002B63C3">
      <w:pPr>
        <w:spacing w:after="0" w:line="360" w:lineRule="auto"/>
        <w:jc w:val="both"/>
        <w:rPr>
          <w:rFonts w:ascii="Arial" w:hAnsi="Arial" w:cs="Arial"/>
          <w:sz w:val="24"/>
          <w:szCs w:val="24"/>
          <w:lang w:val="en-US"/>
        </w:rPr>
      </w:pPr>
      <w:r w:rsidRPr="002B63C3">
        <w:rPr>
          <w:rFonts w:ascii="Arial" w:hAnsi="Arial" w:cs="Arial"/>
          <w:sz w:val="24"/>
          <w:szCs w:val="24"/>
          <w:lang w:val="en-US"/>
        </w:rPr>
        <w:t xml:space="preserve">Wheelen, T.L., Hunger, J.D., Hoffman, A.N. and Bamford, C.E. (2018) </w:t>
      </w:r>
      <w:r w:rsidRPr="002B63C3">
        <w:rPr>
          <w:rFonts w:ascii="Arial" w:hAnsi="Arial" w:cs="Arial"/>
          <w:i/>
          <w:iCs/>
          <w:sz w:val="24"/>
          <w:szCs w:val="24"/>
          <w:lang w:val="en-US"/>
        </w:rPr>
        <w:t>Strategic Management and Business Policy: Globalization, Innovation and Sustainability</w:t>
      </w:r>
      <w:r w:rsidRPr="002B63C3">
        <w:rPr>
          <w:rFonts w:ascii="Arial" w:hAnsi="Arial" w:cs="Arial"/>
          <w:sz w:val="24"/>
          <w:szCs w:val="24"/>
          <w:lang w:val="en-US"/>
        </w:rPr>
        <w:t xml:space="preserve">. 15th </w:t>
      </w:r>
      <w:proofErr w:type="spellStart"/>
      <w:r w:rsidRPr="002B63C3">
        <w:rPr>
          <w:rFonts w:ascii="Arial" w:hAnsi="Arial" w:cs="Arial"/>
          <w:sz w:val="24"/>
          <w:szCs w:val="24"/>
          <w:lang w:val="en-US"/>
        </w:rPr>
        <w:t>edn</w:t>
      </w:r>
      <w:proofErr w:type="spellEnd"/>
      <w:r w:rsidRPr="002B63C3">
        <w:rPr>
          <w:rFonts w:ascii="Arial" w:hAnsi="Arial" w:cs="Arial"/>
          <w:sz w:val="24"/>
          <w:szCs w:val="24"/>
          <w:lang w:val="en-US"/>
        </w:rPr>
        <w:t>. Harlow: Pearson Education.</w:t>
      </w:r>
    </w:p>
    <w:p w14:paraId="72D40BB3" w14:textId="77777777" w:rsidR="002B63C3" w:rsidRPr="002B63C3" w:rsidRDefault="002B63C3" w:rsidP="002B63C3">
      <w:pPr>
        <w:spacing w:after="0" w:line="360" w:lineRule="auto"/>
        <w:jc w:val="both"/>
        <w:rPr>
          <w:rFonts w:ascii="Arial" w:hAnsi="Arial" w:cs="Arial"/>
          <w:sz w:val="24"/>
          <w:szCs w:val="24"/>
          <w:lang w:val="en-US"/>
        </w:rPr>
      </w:pPr>
      <w:r w:rsidRPr="002B63C3">
        <w:rPr>
          <w:rFonts w:ascii="Arial" w:hAnsi="Arial" w:cs="Arial"/>
          <w:sz w:val="24"/>
          <w:szCs w:val="24"/>
          <w:lang w:val="en-US"/>
        </w:rPr>
        <w:t xml:space="preserve">Yukl, G. (2019) </w:t>
      </w:r>
      <w:r w:rsidRPr="002B63C3">
        <w:rPr>
          <w:rFonts w:ascii="Arial" w:hAnsi="Arial" w:cs="Arial"/>
          <w:i/>
          <w:iCs/>
          <w:sz w:val="24"/>
          <w:szCs w:val="24"/>
          <w:lang w:val="en-US"/>
        </w:rPr>
        <w:t>Leadership in Organizations</w:t>
      </w:r>
      <w:r w:rsidRPr="002B63C3">
        <w:rPr>
          <w:rFonts w:ascii="Arial" w:hAnsi="Arial" w:cs="Arial"/>
          <w:sz w:val="24"/>
          <w:szCs w:val="24"/>
          <w:lang w:val="en-US"/>
        </w:rPr>
        <w:t xml:space="preserve">. 9th </w:t>
      </w:r>
      <w:proofErr w:type="spellStart"/>
      <w:r w:rsidRPr="002B63C3">
        <w:rPr>
          <w:rFonts w:ascii="Arial" w:hAnsi="Arial" w:cs="Arial"/>
          <w:sz w:val="24"/>
          <w:szCs w:val="24"/>
          <w:lang w:val="en-US"/>
        </w:rPr>
        <w:t>edn</w:t>
      </w:r>
      <w:proofErr w:type="spellEnd"/>
      <w:r w:rsidRPr="002B63C3">
        <w:rPr>
          <w:rFonts w:ascii="Arial" w:hAnsi="Arial" w:cs="Arial"/>
          <w:sz w:val="24"/>
          <w:szCs w:val="24"/>
          <w:lang w:val="en-US"/>
        </w:rPr>
        <w:t>. Harlow: Pearson Education.</w:t>
      </w:r>
    </w:p>
    <w:p w14:paraId="65616AAA" w14:textId="77777777" w:rsidR="009B6441" w:rsidRPr="000D5C4F" w:rsidRDefault="009B6441" w:rsidP="009B6441">
      <w:pPr>
        <w:spacing w:after="0"/>
        <w:jc w:val="center"/>
        <w:rPr>
          <w:rFonts w:ascii="Arial" w:hAnsi="Arial" w:cs="Arial"/>
          <w:sz w:val="28"/>
          <w:szCs w:val="28"/>
        </w:rPr>
      </w:pPr>
    </w:p>
    <w:p w14:paraId="7414636E" w14:textId="77777777" w:rsidR="009B6441" w:rsidRDefault="009B6441" w:rsidP="009B6441">
      <w:pPr>
        <w:spacing w:after="0"/>
        <w:jc w:val="center"/>
        <w:rPr>
          <w:rFonts w:ascii="Arial" w:hAnsi="Arial" w:cs="Arial"/>
          <w:b/>
          <w:sz w:val="28"/>
          <w:szCs w:val="28"/>
        </w:rPr>
      </w:pPr>
    </w:p>
    <w:p w14:paraId="28642EA8" w14:textId="77777777" w:rsidR="004171D6" w:rsidRDefault="004171D6"/>
    <w:sectPr w:rsidR="004171D6" w:rsidSect="00505BC4">
      <w:footerReference w:type="default" r:id="rId9"/>
      <w:pgSz w:w="12240" w:h="15840"/>
      <w:pgMar w:top="1440" w:right="1440" w:bottom="1440" w:left="1440" w:header="720" w:footer="720" w:gutter="0"/>
      <w:pgNumType w:start="4"/>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556E41" w14:textId="77777777" w:rsidR="00E70C67" w:rsidRDefault="00E70C67" w:rsidP="00505BC4">
      <w:pPr>
        <w:spacing w:after="0" w:line="240" w:lineRule="auto"/>
      </w:pPr>
      <w:r>
        <w:separator/>
      </w:r>
    </w:p>
  </w:endnote>
  <w:endnote w:type="continuationSeparator" w:id="0">
    <w:p w14:paraId="075C2668" w14:textId="77777777" w:rsidR="00E70C67" w:rsidRDefault="00E70C67" w:rsidP="00505BC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3FBA23" w14:textId="52A3A165" w:rsidR="00505BC4" w:rsidRDefault="00505BC4">
    <w:pPr>
      <w:pStyle w:val="Footer"/>
      <w:jc w:val="center"/>
    </w:pPr>
  </w:p>
  <w:p w14:paraId="53EABFAD" w14:textId="77777777" w:rsidR="00505BC4" w:rsidRDefault="00505BC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98852097"/>
      <w:docPartObj>
        <w:docPartGallery w:val="Page Numbers (Bottom of Page)"/>
        <w:docPartUnique/>
      </w:docPartObj>
    </w:sdtPr>
    <w:sdtEndPr>
      <w:rPr>
        <w:noProof/>
      </w:rPr>
    </w:sdtEndPr>
    <w:sdtContent>
      <w:p w14:paraId="45768DE7" w14:textId="77777777" w:rsidR="00505BC4" w:rsidRDefault="00505BC4">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02EAD15" w14:textId="77777777" w:rsidR="00505BC4" w:rsidRDefault="00505BC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26E72D3" w14:textId="77777777" w:rsidR="00E70C67" w:rsidRDefault="00E70C67" w:rsidP="00505BC4">
      <w:pPr>
        <w:spacing w:after="0" w:line="240" w:lineRule="auto"/>
      </w:pPr>
      <w:r>
        <w:separator/>
      </w:r>
    </w:p>
  </w:footnote>
  <w:footnote w:type="continuationSeparator" w:id="0">
    <w:p w14:paraId="114FB79C" w14:textId="77777777" w:rsidR="00E70C67" w:rsidRDefault="00E70C67" w:rsidP="00505BC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BB6194"/>
    <w:multiLevelType w:val="multilevel"/>
    <w:tmpl w:val="8BA22B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79E6322"/>
    <w:multiLevelType w:val="multilevel"/>
    <w:tmpl w:val="C994BE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6986B69"/>
    <w:multiLevelType w:val="multilevel"/>
    <w:tmpl w:val="EF229E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D850C87"/>
    <w:multiLevelType w:val="multilevel"/>
    <w:tmpl w:val="86B2FD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D99196A"/>
    <w:multiLevelType w:val="multilevel"/>
    <w:tmpl w:val="7130C4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5607ABA"/>
    <w:multiLevelType w:val="multilevel"/>
    <w:tmpl w:val="2F4CC5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B157A85"/>
    <w:multiLevelType w:val="multilevel"/>
    <w:tmpl w:val="107CB6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60014A0A"/>
    <w:multiLevelType w:val="multilevel"/>
    <w:tmpl w:val="50F899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6F317C96"/>
    <w:multiLevelType w:val="multilevel"/>
    <w:tmpl w:val="8FA64C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384531399">
    <w:abstractNumId w:val="1"/>
  </w:num>
  <w:num w:numId="2" w16cid:durableId="617446056">
    <w:abstractNumId w:val="5"/>
  </w:num>
  <w:num w:numId="3" w16cid:durableId="265116306">
    <w:abstractNumId w:val="4"/>
  </w:num>
  <w:num w:numId="4" w16cid:durableId="984552415">
    <w:abstractNumId w:val="7"/>
  </w:num>
  <w:num w:numId="5" w16cid:durableId="1931045201">
    <w:abstractNumId w:val="2"/>
  </w:num>
  <w:num w:numId="6" w16cid:durableId="1903977704">
    <w:abstractNumId w:val="0"/>
  </w:num>
  <w:num w:numId="7" w16cid:durableId="1875340227">
    <w:abstractNumId w:val="8"/>
  </w:num>
  <w:num w:numId="8" w16cid:durableId="2066906471">
    <w:abstractNumId w:val="6"/>
  </w:num>
  <w:num w:numId="9" w16cid:durableId="105952278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E1BA5"/>
    <w:rsid w:val="0000753D"/>
    <w:rsid w:val="0002483A"/>
    <w:rsid w:val="00045370"/>
    <w:rsid w:val="000708DB"/>
    <w:rsid w:val="00154C45"/>
    <w:rsid w:val="002B63C3"/>
    <w:rsid w:val="00303839"/>
    <w:rsid w:val="003F58AA"/>
    <w:rsid w:val="004171D6"/>
    <w:rsid w:val="00505BC4"/>
    <w:rsid w:val="00524867"/>
    <w:rsid w:val="005609AF"/>
    <w:rsid w:val="005D1FC7"/>
    <w:rsid w:val="005E1BA5"/>
    <w:rsid w:val="00644B49"/>
    <w:rsid w:val="0076780F"/>
    <w:rsid w:val="0094066F"/>
    <w:rsid w:val="00963021"/>
    <w:rsid w:val="009B6441"/>
    <w:rsid w:val="00BB74BD"/>
    <w:rsid w:val="00C2087F"/>
    <w:rsid w:val="00D74091"/>
    <w:rsid w:val="00E70C67"/>
    <w:rsid w:val="00F41EE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737048"/>
  <w15:chartTrackingRefBased/>
  <w15:docId w15:val="{8AB8561E-8404-4BBB-B3B6-A9969F39A4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B6441"/>
    <w:pPr>
      <w:spacing w:after="200" w:line="276" w:lineRule="auto"/>
    </w:pPr>
    <w:rPr>
      <w:rFonts w:eastAsiaTheme="minorEastAsia"/>
      <w:kern w:val="0"/>
      <w:sz w:val="22"/>
      <w:szCs w:val="22"/>
      <w:lang w:val="en-GB"/>
      <w14:ligatures w14:val="none"/>
    </w:rPr>
  </w:style>
  <w:style w:type="paragraph" w:styleId="Heading1">
    <w:name w:val="heading 1"/>
    <w:basedOn w:val="Normal"/>
    <w:next w:val="Normal"/>
    <w:link w:val="Heading1Char"/>
    <w:uiPriority w:val="9"/>
    <w:qFormat/>
    <w:rsid w:val="005E1BA5"/>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5E1BA5"/>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5E1BA5"/>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5E1BA5"/>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5E1BA5"/>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5E1BA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E1BA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E1BA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E1BA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E1BA5"/>
    <w:rPr>
      <w:rFonts w:asciiTheme="majorHAnsi" w:eastAsiaTheme="majorEastAsia" w:hAnsiTheme="majorHAnsi" w:cstheme="majorBidi"/>
      <w:color w:val="2F5496" w:themeColor="accent1" w:themeShade="BF"/>
      <w:sz w:val="40"/>
      <w:szCs w:val="40"/>
      <w:lang w:val="en-GB"/>
    </w:rPr>
  </w:style>
  <w:style w:type="character" w:customStyle="1" w:styleId="Heading2Char">
    <w:name w:val="Heading 2 Char"/>
    <w:basedOn w:val="DefaultParagraphFont"/>
    <w:link w:val="Heading2"/>
    <w:uiPriority w:val="9"/>
    <w:semiHidden/>
    <w:rsid w:val="005E1BA5"/>
    <w:rPr>
      <w:rFonts w:asciiTheme="majorHAnsi" w:eastAsiaTheme="majorEastAsia" w:hAnsiTheme="majorHAnsi" w:cstheme="majorBidi"/>
      <w:color w:val="2F5496" w:themeColor="accent1" w:themeShade="BF"/>
      <w:sz w:val="32"/>
      <w:szCs w:val="32"/>
      <w:lang w:val="en-GB"/>
    </w:rPr>
  </w:style>
  <w:style w:type="character" w:customStyle="1" w:styleId="Heading3Char">
    <w:name w:val="Heading 3 Char"/>
    <w:basedOn w:val="DefaultParagraphFont"/>
    <w:link w:val="Heading3"/>
    <w:uiPriority w:val="9"/>
    <w:semiHidden/>
    <w:rsid w:val="005E1BA5"/>
    <w:rPr>
      <w:rFonts w:eastAsiaTheme="majorEastAsia" w:cstheme="majorBidi"/>
      <w:color w:val="2F5496" w:themeColor="accent1" w:themeShade="BF"/>
      <w:sz w:val="28"/>
      <w:szCs w:val="28"/>
      <w:lang w:val="en-GB"/>
    </w:rPr>
  </w:style>
  <w:style w:type="character" w:customStyle="1" w:styleId="Heading4Char">
    <w:name w:val="Heading 4 Char"/>
    <w:basedOn w:val="DefaultParagraphFont"/>
    <w:link w:val="Heading4"/>
    <w:uiPriority w:val="9"/>
    <w:semiHidden/>
    <w:rsid w:val="005E1BA5"/>
    <w:rPr>
      <w:rFonts w:eastAsiaTheme="majorEastAsia" w:cstheme="majorBidi"/>
      <w:i/>
      <w:iCs/>
      <w:color w:val="2F5496" w:themeColor="accent1" w:themeShade="BF"/>
      <w:lang w:val="en-GB"/>
    </w:rPr>
  </w:style>
  <w:style w:type="character" w:customStyle="1" w:styleId="Heading5Char">
    <w:name w:val="Heading 5 Char"/>
    <w:basedOn w:val="DefaultParagraphFont"/>
    <w:link w:val="Heading5"/>
    <w:uiPriority w:val="9"/>
    <w:semiHidden/>
    <w:rsid w:val="005E1BA5"/>
    <w:rPr>
      <w:rFonts w:eastAsiaTheme="majorEastAsia" w:cstheme="majorBidi"/>
      <w:color w:val="2F5496" w:themeColor="accent1" w:themeShade="BF"/>
      <w:lang w:val="en-GB"/>
    </w:rPr>
  </w:style>
  <w:style w:type="character" w:customStyle="1" w:styleId="Heading6Char">
    <w:name w:val="Heading 6 Char"/>
    <w:basedOn w:val="DefaultParagraphFont"/>
    <w:link w:val="Heading6"/>
    <w:uiPriority w:val="9"/>
    <w:semiHidden/>
    <w:rsid w:val="005E1BA5"/>
    <w:rPr>
      <w:rFonts w:eastAsiaTheme="majorEastAsia" w:cstheme="majorBidi"/>
      <w:i/>
      <w:iCs/>
      <w:color w:val="595959" w:themeColor="text1" w:themeTint="A6"/>
      <w:lang w:val="en-GB"/>
    </w:rPr>
  </w:style>
  <w:style w:type="character" w:customStyle="1" w:styleId="Heading7Char">
    <w:name w:val="Heading 7 Char"/>
    <w:basedOn w:val="DefaultParagraphFont"/>
    <w:link w:val="Heading7"/>
    <w:uiPriority w:val="9"/>
    <w:semiHidden/>
    <w:rsid w:val="005E1BA5"/>
    <w:rPr>
      <w:rFonts w:eastAsiaTheme="majorEastAsia" w:cstheme="majorBidi"/>
      <w:color w:val="595959" w:themeColor="text1" w:themeTint="A6"/>
      <w:lang w:val="en-GB"/>
    </w:rPr>
  </w:style>
  <w:style w:type="character" w:customStyle="1" w:styleId="Heading8Char">
    <w:name w:val="Heading 8 Char"/>
    <w:basedOn w:val="DefaultParagraphFont"/>
    <w:link w:val="Heading8"/>
    <w:uiPriority w:val="9"/>
    <w:semiHidden/>
    <w:rsid w:val="005E1BA5"/>
    <w:rPr>
      <w:rFonts w:eastAsiaTheme="majorEastAsia" w:cstheme="majorBidi"/>
      <w:i/>
      <w:iCs/>
      <w:color w:val="272727" w:themeColor="text1" w:themeTint="D8"/>
      <w:lang w:val="en-GB"/>
    </w:rPr>
  </w:style>
  <w:style w:type="character" w:customStyle="1" w:styleId="Heading9Char">
    <w:name w:val="Heading 9 Char"/>
    <w:basedOn w:val="DefaultParagraphFont"/>
    <w:link w:val="Heading9"/>
    <w:uiPriority w:val="9"/>
    <w:semiHidden/>
    <w:rsid w:val="005E1BA5"/>
    <w:rPr>
      <w:rFonts w:eastAsiaTheme="majorEastAsia" w:cstheme="majorBidi"/>
      <w:color w:val="272727" w:themeColor="text1" w:themeTint="D8"/>
      <w:lang w:val="en-GB"/>
    </w:rPr>
  </w:style>
  <w:style w:type="paragraph" w:styleId="Title">
    <w:name w:val="Title"/>
    <w:basedOn w:val="Normal"/>
    <w:next w:val="Normal"/>
    <w:link w:val="TitleChar"/>
    <w:uiPriority w:val="10"/>
    <w:qFormat/>
    <w:rsid w:val="005E1BA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E1BA5"/>
    <w:rPr>
      <w:rFonts w:asciiTheme="majorHAnsi" w:eastAsiaTheme="majorEastAsia" w:hAnsiTheme="majorHAnsi" w:cstheme="majorBidi"/>
      <w:spacing w:val="-10"/>
      <w:kern w:val="28"/>
      <w:sz w:val="56"/>
      <w:szCs w:val="56"/>
      <w:lang w:val="en-GB"/>
    </w:rPr>
  </w:style>
  <w:style w:type="paragraph" w:styleId="Subtitle">
    <w:name w:val="Subtitle"/>
    <w:basedOn w:val="Normal"/>
    <w:next w:val="Normal"/>
    <w:link w:val="SubtitleChar"/>
    <w:uiPriority w:val="11"/>
    <w:qFormat/>
    <w:rsid w:val="005E1BA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E1BA5"/>
    <w:rPr>
      <w:rFonts w:eastAsiaTheme="majorEastAsia" w:cstheme="majorBidi"/>
      <w:color w:val="595959" w:themeColor="text1" w:themeTint="A6"/>
      <w:spacing w:val="15"/>
      <w:sz w:val="28"/>
      <w:szCs w:val="28"/>
      <w:lang w:val="en-GB"/>
    </w:rPr>
  </w:style>
  <w:style w:type="paragraph" w:styleId="Quote">
    <w:name w:val="Quote"/>
    <w:basedOn w:val="Normal"/>
    <w:next w:val="Normal"/>
    <w:link w:val="QuoteChar"/>
    <w:uiPriority w:val="29"/>
    <w:qFormat/>
    <w:rsid w:val="005E1BA5"/>
    <w:pPr>
      <w:spacing w:before="160"/>
      <w:jc w:val="center"/>
    </w:pPr>
    <w:rPr>
      <w:i/>
      <w:iCs/>
      <w:color w:val="404040" w:themeColor="text1" w:themeTint="BF"/>
    </w:rPr>
  </w:style>
  <w:style w:type="character" w:customStyle="1" w:styleId="QuoteChar">
    <w:name w:val="Quote Char"/>
    <w:basedOn w:val="DefaultParagraphFont"/>
    <w:link w:val="Quote"/>
    <w:uiPriority w:val="29"/>
    <w:rsid w:val="005E1BA5"/>
    <w:rPr>
      <w:i/>
      <w:iCs/>
      <w:color w:val="404040" w:themeColor="text1" w:themeTint="BF"/>
      <w:lang w:val="en-GB"/>
    </w:rPr>
  </w:style>
  <w:style w:type="paragraph" w:styleId="ListParagraph">
    <w:name w:val="List Paragraph"/>
    <w:basedOn w:val="Normal"/>
    <w:uiPriority w:val="34"/>
    <w:qFormat/>
    <w:rsid w:val="005E1BA5"/>
    <w:pPr>
      <w:ind w:left="720"/>
      <w:contextualSpacing/>
    </w:pPr>
  </w:style>
  <w:style w:type="character" w:styleId="IntenseEmphasis">
    <w:name w:val="Intense Emphasis"/>
    <w:basedOn w:val="DefaultParagraphFont"/>
    <w:uiPriority w:val="21"/>
    <w:qFormat/>
    <w:rsid w:val="005E1BA5"/>
    <w:rPr>
      <w:i/>
      <w:iCs/>
      <w:color w:val="2F5496" w:themeColor="accent1" w:themeShade="BF"/>
    </w:rPr>
  </w:style>
  <w:style w:type="paragraph" w:styleId="IntenseQuote">
    <w:name w:val="Intense Quote"/>
    <w:basedOn w:val="Normal"/>
    <w:next w:val="Normal"/>
    <w:link w:val="IntenseQuoteChar"/>
    <w:uiPriority w:val="30"/>
    <w:qFormat/>
    <w:rsid w:val="005E1BA5"/>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5E1BA5"/>
    <w:rPr>
      <w:i/>
      <w:iCs/>
      <w:color w:val="2F5496" w:themeColor="accent1" w:themeShade="BF"/>
      <w:lang w:val="en-GB"/>
    </w:rPr>
  </w:style>
  <w:style w:type="character" w:styleId="IntenseReference">
    <w:name w:val="Intense Reference"/>
    <w:basedOn w:val="DefaultParagraphFont"/>
    <w:uiPriority w:val="32"/>
    <w:qFormat/>
    <w:rsid w:val="005E1BA5"/>
    <w:rPr>
      <w:b/>
      <w:bCs/>
      <w:smallCaps/>
      <w:color w:val="2F5496" w:themeColor="accent1" w:themeShade="BF"/>
      <w:spacing w:val="5"/>
    </w:rPr>
  </w:style>
  <w:style w:type="paragraph" w:styleId="TOCHeading">
    <w:name w:val="TOC Heading"/>
    <w:basedOn w:val="Heading1"/>
    <w:next w:val="Normal"/>
    <w:uiPriority w:val="39"/>
    <w:unhideWhenUsed/>
    <w:qFormat/>
    <w:rsid w:val="00505BC4"/>
    <w:pPr>
      <w:spacing w:before="240" w:after="0" w:line="259" w:lineRule="auto"/>
      <w:outlineLvl w:val="9"/>
    </w:pPr>
    <w:rPr>
      <w:sz w:val="32"/>
      <w:szCs w:val="32"/>
      <w:lang w:val="en-US"/>
    </w:rPr>
  </w:style>
  <w:style w:type="paragraph" w:styleId="TOC1">
    <w:name w:val="toc 1"/>
    <w:basedOn w:val="Normal"/>
    <w:next w:val="Normal"/>
    <w:autoRedefine/>
    <w:uiPriority w:val="39"/>
    <w:unhideWhenUsed/>
    <w:rsid w:val="00505BC4"/>
    <w:pPr>
      <w:spacing w:after="100"/>
    </w:pPr>
  </w:style>
  <w:style w:type="character" w:styleId="Hyperlink">
    <w:name w:val="Hyperlink"/>
    <w:basedOn w:val="DefaultParagraphFont"/>
    <w:uiPriority w:val="99"/>
    <w:unhideWhenUsed/>
    <w:rsid w:val="00505BC4"/>
    <w:rPr>
      <w:color w:val="0563C1" w:themeColor="hyperlink"/>
      <w:u w:val="single"/>
    </w:rPr>
  </w:style>
  <w:style w:type="paragraph" w:styleId="Header">
    <w:name w:val="header"/>
    <w:basedOn w:val="Normal"/>
    <w:link w:val="HeaderChar"/>
    <w:uiPriority w:val="99"/>
    <w:unhideWhenUsed/>
    <w:rsid w:val="00505BC4"/>
    <w:pPr>
      <w:tabs>
        <w:tab w:val="center" w:pos="4680"/>
        <w:tab w:val="right" w:pos="9360"/>
      </w:tabs>
      <w:spacing w:after="0" w:line="240" w:lineRule="auto"/>
    </w:pPr>
  </w:style>
  <w:style w:type="character" w:customStyle="1" w:styleId="HeaderChar">
    <w:name w:val="Header Char"/>
    <w:basedOn w:val="DefaultParagraphFont"/>
    <w:link w:val="Header"/>
    <w:uiPriority w:val="99"/>
    <w:rsid w:val="00505BC4"/>
    <w:rPr>
      <w:rFonts w:eastAsiaTheme="minorEastAsia"/>
      <w:kern w:val="0"/>
      <w:sz w:val="22"/>
      <w:szCs w:val="22"/>
      <w:lang w:val="en-GB"/>
      <w14:ligatures w14:val="none"/>
    </w:rPr>
  </w:style>
  <w:style w:type="paragraph" w:styleId="Footer">
    <w:name w:val="footer"/>
    <w:basedOn w:val="Normal"/>
    <w:link w:val="FooterChar"/>
    <w:uiPriority w:val="99"/>
    <w:unhideWhenUsed/>
    <w:rsid w:val="00505BC4"/>
    <w:pPr>
      <w:tabs>
        <w:tab w:val="center" w:pos="4680"/>
        <w:tab w:val="right" w:pos="9360"/>
      </w:tabs>
      <w:spacing w:after="0" w:line="240" w:lineRule="auto"/>
    </w:pPr>
  </w:style>
  <w:style w:type="character" w:customStyle="1" w:styleId="FooterChar">
    <w:name w:val="Footer Char"/>
    <w:basedOn w:val="DefaultParagraphFont"/>
    <w:link w:val="Footer"/>
    <w:uiPriority w:val="99"/>
    <w:rsid w:val="00505BC4"/>
    <w:rPr>
      <w:rFonts w:eastAsiaTheme="minorEastAsia"/>
      <w:kern w:val="0"/>
      <w:sz w:val="22"/>
      <w:szCs w:val="22"/>
      <w:lang w:val="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26A231C-5A68-4F76-AA32-07D7BFE715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90</TotalTime>
  <Pages>1</Pages>
  <Words>4439</Words>
  <Characters>25306</Characters>
  <Application>Microsoft Office Word</Application>
  <DocSecurity>0</DocSecurity>
  <Lines>210</Lines>
  <Paragraphs>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29686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revision>4</cp:revision>
  <dcterms:created xsi:type="dcterms:W3CDTF">2025-10-20T18:52:00Z</dcterms:created>
  <dcterms:modified xsi:type="dcterms:W3CDTF">2025-10-21T07:11:00Z</dcterms:modified>
</cp:coreProperties>
</file>