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C9425C" w14:textId="77777777" w:rsidR="003A2A93" w:rsidRPr="003A2A93" w:rsidRDefault="003A2A93" w:rsidP="003A2A93">
      <w:pPr>
        <w:spacing w:line="480" w:lineRule="auto"/>
        <w:jc w:val="center"/>
        <w:rPr>
          <w:color w:val="1C1E29"/>
          <w:sz w:val="24"/>
          <w:szCs w:val="24"/>
        </w:rPr>
      </w:pPr>
      <w:r w:rsidRPr="003A2A93">
        <w:rPr>
          <w:color w:val="1C1E29"/>
          <w:sz w:val="24"/>
          <w:szCs w:val="24"/>
        </w:rPr>
        <w:t>Literature review</w:t>
      </w:r>
    </w:p>
    <w:p w14:paraId="6903C5B8" w14:textId="77777777" w:rsidR="003A2A93" w:rsidRPr="003A2A93" w:rsidRDefault="003A2A93" w:rsidP="003A2A93">
      <w:pPr>
        <w:spacing w:line="480" w:lineRule="auto"/>
        <w:ind w:firstLine="720"/>
        <w:rPr>
          <w:color w:val="1C1E29"/>
          <w:sz w:val="24"/>
          <w:szCs w:val="24"/>
        </w:rPr>
      </w:pPr>
      <w:r w:rsidRPr="003A2A93">
        <w:rPr>
          <w:color w:val="1C1E29"/>
          <w:sz w:val="24"/>
          <w:szCs w:val="24"/>
        </w:rPr>
        <w:t>Attention is known as the cognitive process of selectively concentrating on a specific aspect of information while simultaneously ignoring other perceivable information (Eyesneck &amp; Keane, 2015). In psychology, attention is not one singular construct nor a fixed pattern that operates in a single way between cognitive modalities. Many psychologists define attention differently according to the situational context and modality on which they focus. However, throughout these different explanations, common attributes exist and create an overarching view of attention. These elements show attention as having a limited capacity of information processing (Shiffrin, 1988), meaning not all stimuli coming through our senses can be attended to simultaneously. Attention has also been described by cognitive psychologists as the allocation of limited cognitive processing resources to something of interest to an individual (Johnson, 2004). Therefore, limited capacity suggests that attention requires a level of focalisation and can be objective and subjective (Anderson, 2004).  </w:t>
      </w:r>
    </w:p>
    <w:p w14:paraId="50C51F2D" w14:textId="0C2CF362" w:rsidR="003A2A93" w:rsidRPr="003A2A93" w:rsidRDefault="003A2A93" w:rsidP="003A2A93">
      <w:pPr>
        <w:spacing w:line="480" w:lineRule="auto"/>
        <w:ind w:firstLine="720"/>
        <w:rPr>
          <w:color w:val="1C1E29"/>
          <w:sz w:val="24"/>
          <w:szCs w:val="24"/>
        </w:rPr>
      </w:pPr>
      <w:r w:rsidRPr="003A2A93">
        <w:rPr>
          <w:color w:val="1C1E29"/>
          <w:sz w:val="24"/>
          <w:szCs w:val="24"/>
        </w:rPr>
        <w:t>The ability to pay attention to specific thoughts in our heads and stimuli in our environments is very important in all aspects of life. Attention allows us to cope with the intrinsic capacity limitation of our brains and also facilitates stimulus detection, stimulus perception, thinking, memory,</w:t>
      </w:r>
      <w:r w:rsidR="00D8701B">
        <w:rPr>
          <w:color w:val="1C1E29"/>
          <w:sz w:val="24"/>
          <w:szCs w:val="24"/>
        </w:rPr>
        <w:t xml:space="preserve"> learning,</w:t>
      </w:r>
      <w:r w:rsidRPr="003A2A93">
        <w:rPr>
          <w:color w:val="1C1E29"/>
          <w:sz w:val="24"/>
          <w:szCs w:val="24"/>
        </w:rPr>
        <w:t xml:space="preserve"> recruitment of relevant processors and preparation for action (James, 1890). As there are so many stimuli coming from the environment, attention allows us to focus on what we perceive as important to us at any given time. This ability allowed early humans to see to it that our most basic needs are met and ensured survival. In present-day humans it allows us to navigate through environments which are becoming increasingly dense with stimuli through the modern busy way of life and undertake everyday tasks such as driving that captures high levels of </w:t>
      </w:r>
      <w:r w:rsidR="00D8701B">
        <w:rPr>
          <w:color w:val="1C1E29"/>
          <w:sz w:val="24"/>
          <w:szCs w:val="24"/>
        </w:rPr>
        <w:t xml:space="preserve">an </w:t>
      </w:r>
      <w:r w:rsidR="00D8701B" w:rsidRPr="003A2A93">
        <w:rPr>
          <w:color w:val="1C1E29"/>
          <w:sz w:val="24"/>
          <w:szCs w:val="24"/>
        </w:rPr>
        <w:t>individual’s</w:t>
      </w:r>
      <w:r w:rsidRPr="003A2A93">
        <w:rPr>
          <w:color w:val="1C1E29"/>
          <w:sz w:val="24"/>
          <w:szCs w:val="24"/>
        </w:rPr>
        <w:t xml:space="preserve"> attentional and perceptual resources. These attentional and perceptual resources aid us in social interactions, travelling, learning, work, safety, health, and survival. Research in these areas helps us to </w:t>
      </w:r>
      <w:r w:rsidRPr="003A2A93">
        <w:rPr>
          <w:color w:val="1C1E29"/>
          <w:sz w:val="24"/>
          <w:szCs w:val="24"/>
        </w:rPr>
        <w:lastRenderedPageBreak/>
        <w:t xml:space="preserve">understand the underlying psychological processes that enable us to utilize these abilities in these areas (Eyesneck &amp; Keane, 2015). William James (1890) noted a distinction between passive and active modes of attention. Attention is said to be active when it is being </w:t>
      </w:r>
      <w:r w:rsidR="00D8701B">
        <w:rPr>
          <w:color w:val="1C1E29"/>
          <w:sz w:val="24"/>
          <w:szCs w:val="24"/>
        </w:rPr>
        <w:t>controlled</w:t>
      </w:r>
      <w:r w:rsidRPr="003A2A93">
        <w:rPr>
          <w:color w:val="1C1E29"/>
          <w:sz w:val="24"/>
          <w:szCs w:val="24"/>
        </w:rPr>
        <w:t xml:space="preserve"> in a top-down way by an individual’s aims or beliefs and is said to be passive when </w:t>
      </w:r>
      <w:r w:rsidR="00D8701B">
        <w:rPr>
          <w:color w:val="1C1E29"/>
          <w:sz w:val="24"/>
          <w:szCs w:val="24"/>
        </w:rPr>
        <w:t>controlled</w:t>
      </w:r>
      <w:r w:rsidRPr="003A2A93">
        <w:rPr>
          <w:color w:val="1C1E29"/>
          <w:sz w:val="24"/>
          <w:szCs w:val="24"/>
        </w:rPr>
        <w:t xml:space="preserve"> in a bottom-up way by external stimuli coming from the environment. Similarly, </w:t>
      </w:r>
      <w:proofErr w:type="spellStart"/>
      <w:r w:rsidRPr="003A2A93">
        <w:rPr>
          <w:color w:val="1C1E29"/>
          <w:sz w:val="24"/>
          <w:szCs w:val="24"/>
        </w:rPr>
        <w:t>Corbetta</w:t>
      </w:r>
      <w:proofErr w:type="spellEnd"/>
      <w:r w:rsidRPr="003A2A93">
        <w:rPr>
          <w:color w:val="1C1E29"/>
          <w:sz w:val="24"/>
          <w:szCs w:val="24"/>
        </w:rPr>
        <w:t xml:space="preserve"> and Shulman, (2002); </w:t>
      </w:r>
      <w:proofErr w:type="spellStart"/>
      <w:r w:rsidRPr="003A2A93">
        <w:rPr>
          <w:color w:val="1C1E29"/>
          <w:sz w:val="24"/>
          <w:szCs w:val="24"/>
        </w:rPr>
        <w:t>Corbetta</w:t>
      </w:r>
      <w:proofErr w:type="spellEnd"/>
      <w:r w:rsidRPr="003A2A93">
        <w:rPr>
          <w:color w:val="1C1E29"/>
          <w:sz w:val="24"/>
          <w:szCs w:val="24"/>
        </w:rPr>
        <w:t xml:space="preserve"> et al, (2008), argue that there are two networks</w:t>
      </w:r>
      <w:r w:rsidR="00D8701B">
        <w:rPr>
          <w:color w:val="1C1E29"/>
          <w:sz w:val="24"/>
          <w:szCs w:val="24"/>
        </w:rPr>
        <w:t xml:space="preserve"> of attention</w:t>
      </w:r>
      <w:r w:rsidRPr="003A2A93">
        <w:rPr>
          <w:color w:val="1C1E29"/>
          <w:sz w:val="24"/>
          <w:szCs w:val="24"/>
        </w:rPr>
        <w:t xml:space="preserve"> </w:t>
      </w:r>
      <w:r w:rsidR="00D8701B">
        <w:rPr>
          <w:color w:val="1C1E29"/>
          <w:sz w:val="24"/>
          <w:szCs w:val="24"/>
        </w:rPr>
        <w:t>with</w:t>
      </w:r>
      <w:r w:rsidRPr="003A2A93">
        <w:rPr>
          <w:color w:val="1C1E29"/>
          <w:sz w:val="24"/>
          <w:szCs w:val="24"/>
        </w:rPr>
        <w:t>in the visual modality. One goal orientated or top-down network</w:t>
      </w:r>
      <w:r w:rsidR="00D8701B">
        <w:rPr>
          <w:color w:val="1C1E29"/>
          <w:sz w:val="24"/>
          <w:szCs w:val="24"/>
        </w:rPr>
        <w:t xml:space="preserve">, </w:t>
      </w:r>
      <w:r w:rsidRPr="003A2A93">
        <w:rPr>
          <w:color w:val="1C1E29"/>
          <w:sz w:val="24"/>
          <w:szCs w:val="24"/>
        </w:rPr>
        <w:t xml:space="preserve">influenced by expectations and current aims, whereas the other is stimuli orientated or a bottom-up network, which works when an unpredicted possibly significant stimuli </w:t>
      </w:r>
      <w:r w:rsidR="009132D5">
        <w:rPr>
          <w:color w:val="1C1E29"/>
          <w:sz w:val="24"/>
          <w:szCs w:val="24"/>
        </w:rPr>
        <w:t xml:space="preserve">appears </w:t>
      </w:r>
      <w:r w:rsidRPr="003A2A93">
        <w:rPr>
          <w:color w:val="1C1E29"/>
          <w:sz w:val="24"/>
          <w:szCs w:val="24"/>
        </w:rPr>
        <w:t xml:space="preserve">in the environment. Different types of attention include sustained attention, </w:t>
      </w:r>
      <w:r w:rsidR="009132D5">
        <w:rPr>
          <w:color w:val="1C1E29"/>
          <w:sz w:val="24"/>
          <w:szCs w:val="24"/>
        </w:rPr>
        <w:t>this</w:t>
      </w:r>
      <w:r w:rsidRPr="003A2A93">
        <w:rPr>
          <w:color w:val="1C1E29"/>
          <w:sz w:val="24"/>
          <w:szCs w:val="24"/>
        </w:rPr>
        <w:t xml:space="preserve"> is the ability to focus on one specific task and avoid distractions for a long period. Research here allows us to study attentional mechanisms strengths and weaknesses. Focused attention requires processing one input at a time. This is studied commonly using the Stroop test (see for example, Stroop, 1935 and Kahneman et al, 2017) a method where participants are presented with two stimuli to the same sensory organ and asked to focus on only one of the stimuli suppressing inappropriate responses avoiding interference of distractor stimuli and plays a key role </w:t>
      </w:r>
      <w:r w:rsidR="009132D5">
        <w:rPr>
          <w:color w:val="1C1E29"/>
          <w:sz w:val="24"/>
          <w:szCs w:val="24"/>
        </w:rPr>
        <w:t>in deciphering</w:t>
      </w:r>
      <w:r w:rsidRPr="003A2A93">
        <w:rPr>
          <w:color w:val="1C1E29"/>
          <w:sz w:val="24"/>
          <w:szCs w:val="24"/>
        </w:rPr>
        <w:t xml:space="preserve"> cognitive abilities such as problem-solving and reasoning (</w:t>
      </w:r>
      <w:proofErr w:type="spellStart"/>
      <w:r w:rsidRPr="003A2A93">
        <w:rPr>
          <w:color w:val="1C1E29"/>
          <w:sz w:val="24"/>
          <w:szCs w:val="24"/>
        </w:rPr>
        <w:t>Commodari</w:t>
      </w:r>
      <w:proofErr w:type="spellEnd"/>
      <w:r w:rsidRPr="003A2A93">
        <w:rPr>
          <w:color w:val="1C1E29"/>
          <w:sz w:val="24"/>
          <w:szCs w:val="24"/>
        </w:rPr>
        <w:t xml:space="preserve">, 2017 and; </w:t>
      </w:r>
      <w:proofErr w:type="spellStart"/>
      <w:r w:rsidRPr="003A2A93">
        <w:rPr>
          <w:color w:val="1C1E29"/>
          <w:sz w:val="24"/>
          <w:szCs w:val="24"/>
        </w:rPr>
        <w:t>Sohlberg</w:t>
      </w:r>
      <w:proofErr w:type="spellEnd"/>
      <w:r w:rsidRPr="003A2A93">
        <w:rPr>
          <w:color w:val="1C1E29"/>
          <w:sz w:val="24"/>
          <w:szCs w:val="24"/>
        </w:rPr>
        <w:t xml:space="preserve"> &amp; Mather, 1989). </w:t>
      </w:r>
    </w:p>
    <w:p w14:paraId="3549DA70" w14:textId="77777777" w:rsidR="003A2A93" w:rsidRPr="003A2A93" w:rsidRDefault="003A2A93" w:rsidP="003A2A93">
      <w:pPr>
        <w:spacing w:line="480" w:lineRule="auto"/>
        <w:ind w:firstLine="720"/>
        <w:rPr>
          <w:color w:val="1C1E29"/>
          <w:sz w:val="24"/>
          <w:szCs w:val="24"/>
        </w:rPr>
      </w:pPr>
      <w:r w:rsidRPr="003A2A93">
        <w:rPr>
          <w:color w:val="1C1E29"/>
          <w:sz w:val="24"/>
          <w:szCs w:val="24"/>
        </w:rPr>
        <w:t> </w:t>
      </w:r>
    </w:p>
    <w:p w14:paraId="6D4DD366" w14:textId="76380EB3" w:rsidR="003A2A93" w:rsidRPr="003A2A93" w:rsidRDefault="003A2A93" w:rsidP="003A2A93">
      <w:pPr>
        <w:spacing w:line="480" w:lineRule="auto"/>
        <w:ind w:firstLine="720"/>
        <w:rPr>
          <w:color w:val="1C1E29"/>
          <w:sz w:val="24"/>
          <w:szCs w:val="24"/>
        </w:rPr>
      </w:pPr>
      <w:r w:rsidRPr="003A2A93">
        <w:rPr>
          <w:color w:val="1C1E29"/>
          <w:sz w:val="24"/>
          <w:szCs w:val="24"/>
        </w:rPr>
        <w:t>Attention plays a major role in visual perception. Recent research involving attention mostly focusing on the visual modality and a phenomenon known as change blindness</w:t>
      </w:r>
      <w:r w:rsidR="009132D5">
        <w:rPr>
          <w:color w:val="1C1E29"/>
          <w:sz w:val="24"/>
          <w:szCs w:val="24"/>
        </w:rPr>
        <w:t>.</w:t>
      </w:r>
      <w:r w:rsidRPr="003A2A93">
        <w:rPr>
          <w:color w:val="1C1E29"/>
          <w:sz w:val="24"/>
          <w:szCs w:val="24"/>
        </w:rPr>
        <w:t xml:space="preserve"> </w:t>
      </w:r>
      <w:r w:rsidR="009132D5">
        <w:rPr>
          <w:color w:val="1C1E29"/>
          <w:sz w:val="24"/>
          <w:szCs w:val="24"/>
        </w:rPr>
        <w:t xml:space="preserve">Which </w:t>
      </w:r>
      <w:r w:rsidRPr="003A2A93">
        <w:rPr>
          <w:color w:val="1C1E29"/>
          <w:sz w:val="24"/>
          <w:szCs w:val="24"/>
        </w:rPr>
        <w:t>strive</w:t>
      </w:r>
      <w:r w:rsidR="009132D5">
        <w:rPr>
          <w:color w:val="1C1E29"/>
          <w:sz w:val="24"/>
          <w:szCs w:val="24"/>
        </w:rPr>
        <w:t>s</w:t>
      </w:r>
      <w:r w:rsidRPr="003A2A93">
        <w:rPr>
          <w:color w:val="1C1E29"/>
          <w:sz w:val="24"/>
          <w:szCs w:val="24"/>
        </w:rPr>
        <w:t xml:space="preserve"> to give a</w:t>
      </w:r>
      <w:r w:rsidR="009132D5">
        <w:rPr>
          <w:color w:val="1C1E29"/>
          <w:sz w:val="24"/>
          <w:szCs w:val="24"/>
        </w:rPr>
        <w:t>n</w:t>
      </w:r>
      <w:r w:rsidRPr="003A2A93">
        <w:rPr>
          <w:color w:val="1C1E29"/>
          <w:sz w:val="24"/>
          <w:szCs w:val="24"/>
        </w:rPr>
        <w:t xml:space="preserve"> explanation of the effects focused attention has on perception within the visual modality. The visual modality is seen as the most important and complex sense for sensory input in the human mind as a large portion of the human cortex is dedicated to processing visual stimuli (Eyesneck &amp; Keane, 2015). The phenomena termed as inattentional </w:t>
      </w:r>
      <w:r w:rsidRPr="003A2A93">
        <w:rPr>
          <w:color w:val="1C1E29"/>
          <w:sz w:val="24"/>
          <w:szCs w:val="24"/>
        </w:rPr>
        <w:lastRenderedPageBreak/>
        <w:t xml:space="preserve">blindness was first coined by psychologists Arien Mack and Irvin Rock in 1998. They aimed to explain the relationship between attention and perception within the visual modality. The primary motivation behind their investigations fell before them as a weakness in previous literature. Research that came before used response times as a method for measuring the presence or absence of attention for perceptual processing abilities during visual load tasks (see, for example, </w:t>
      </w:r>
      <w:proofErr w:type="spellStart"/>
      <w:r w:rsidRPr="003A2A93">
        <w:rPr>
          <w:color w:val="1C1E29"/>
          <w:sz w:val="24"/>
          <w:szCs w:val="24"/>
        </w:rPr>
        <w:t>Treisman</w:t>
      </w:r>
      <w:proofErr w:type="spellEnd"/>
      <w:r w:rsidRPr="003A2A93">
        <w:rPr>
          <w:color w:val="1C1E29"/>
          <w:sz w:val="24"/>
          <w:szCs w:val="24"/>
        </w:rPr>
        <w:t xml:space="preserve"> &amp; </w:t>
      </w:r>
      <w:proofErr w:type="spellStart"/>
      <w:r w:rsidRPr="003A2A93">
        <w:rPr>
          <w:color w:val="1C1E29"/>
          <w:sz w:val="24"/>
          <w:szCs w:val="24"/>
        </w:rPr>
        <w:t>Gelade</w:t>
      </w:r>
      <w:proofErr w:type="spellEnd"/>
      <w:r w:rsidRPr="003A2A93">
        <w:rPr>
          <w:color w:val="1C1E29"/>
          <w:sz w:val="24"/>
          <w:szCs w:val="24"/>
        </w:rPr>
        <w:t xml:space="preserve">, 1980; and </w:t>
      </w:r>
      <w:proofErr w:type="spellStart"/>
      <w:r w:rsidRPr="003A2A93">
        <w:rPr>
          <w:color w:val="1C1E29"/>
          <w:sz w:val="24"/>
          <w:szCs w:val="24"/>
        </w:rPr>
        <w:t>Elgy</w:t>
      </w:r>
      <w:proofErr w:type="spellEnd"/>
      <w:r w:rsidRPr="003A2A93">
        <w:rPr>
          <w:color w:val="1C1E29"/>
          <w:sz w:val="24"/>
          <w:szCs w:val="24"/>
        </w:rPr>
        <w:t xml:space="preserve">, et al., 1994). This according to Mach and Rock </w:t>
      </w:r>
      <w:r w:rsidR="009132D5">
        <w:rPr>
          <w:color w:val="1C1E29"/>
          <w:sz w:val="24"/>
          <w:szCs w:val="24"/>
        </w:rPr>
        <w:t xml:space="preserve">(1998) </w:t>
      </w:r>
      <w:r w:rsidRPr="003A2A93">
        <w:rPr>
          <w:color w:val="1C1E29"/>
          <w:sz w:val="24"/>
          <w:szCs w:val="24"/>
        </w:rPr>
        <w:t>was not a valid measure of attention. During several studies on perception and attention, the pair found a significant number of participants (25% overall) failed to detect other stimuli appearing on a trial when they had been instructed to fixate on an X stimulus target with the unexpected stimuli appearing near the fixation point. They assumed that inattentional blindness occurred because participants were not attending to the unseen stimuli and this caused the inability to perceive its presence. These results indicate that the relationship between what is in one's visual field and perception is based much more on attention than was previously thought (Chabris &amp; Simons, 1999). </w:t>
      </w:r>
    </w:p>
    <w:p w14:paraId="5DB3F2A7" w14:textId="77777777" w:rsidR="003A2A93" w:rsidRPr="003A2A93" w:rsidRDefault="003A2A93" w:rsidP="003A2A93">
      <w:pPr>
        <w:spacing w:line="480" w:lineRule="auto"/>
        <w:ind w:firstLine="720"/>
        <w:rPr>
          <w:color w:val="1C1E29"/>
          <w:sz w:val="24"/>
          <w:szCs w:val="24"/>
        </w:rPr>
      </w:pPr>
      <w:r w:rsidRPr="003A2A93">
        <w:rPr>
          <w:color w:val="1C1E29"/>
          <w:sz w:val="24"/>
          <w:szCs w:val="24"/>
        </w:rPr>
        <w:t> </w:t>
      </w:r>
    </w:p>
    <w:p w14:paraId="5B70E195" w14:textId="77777777" w:rsidR="003A2A93" w:rsidRPr="003A2A93" w:rsidRDefault="003A2A93" w:rsidP="003A2A93">
      <w:pPr>
        <w:spacing w:line="480" w:lineRule="auto"/>
        <w:ind w:firstLine="720"/>
        <w:rPr>
          <w:color w:val="1C1E29"/>
          <w:sz w:val="24"/>
          <w:szCs w:val="24"/>
        </w:rPr>
      </w:pPr>
      <w:r w:rsidRPr="003A2A93">
        <w:rPr>
          <w:color w:val="1C1E29"/>
          <w:sz w:val="24"/>
          <w:szCs w:val="24"/>
        </w:rPr>
        <w:t xml:space="preserve">One of the best-known studies demonstrating inattentional blindness ‘The invisible gorilla test’ carried out by Christopher Chabris and Daniel Simons in 1999 invited 228 participants to watch a video clip of people passing a basketball between themselves. The observers were asked to count the number of passes made or the number of throw passes versus bounce passes made throughout the clip. Afterwards, the participants were asked if they noticed anything unusual happening during the clip. In most of the tests, approximately 50% of the observers reported seeing nothing out of the ordinary. But, during the clip, they had failed to notice a woman dressed as a gorilla make her way across the visual field stopping in the middle to thump her chest at the camera and carry on walking off the screen. The explanation derived from this experiment echoes the assumption made by Mack and </w:t>
      </w:r>
      <w:r w:rsidRPr="003A2A93">
        <w:rPr>
          <w:color w:val="1C1E29"/>
          <w:sz w:val="24"/>
          <w:szCs w:val="24"/>
        </w:rPr>
        <w:lastRenderedPageBreak/>
        <w:t>Rock, that the failure to perceive the anomalies is attributed to failure to attend to it while engaged in the difficult task of counting passes of the ball (Eriksen et al., 1980). Additionally, the study was conducted again only this time participants were asked to count the number of passes between two separate groups differentiated by different colour t-shirts. One group wore black and the other wore white. The participants that counted the number of passes between the white shirt group noticed the gorilla less often than the participants that counted the passes between the black shirts. This indicated that the similarity between the unattended stimuli to the stimuli relevant to the completion of the task had a considerable impact on the occurrence of inattentional blindness and the relevance of stimuli to the person counting at the time. In this case the colour black (Chabris &amp; Simons, 1999). </w:t>
      </w:r>
    </w:p>
    <w:p w14:paraId="148B0712" w14:textId="77777777" w:rsidR="003A2A93" w:rsidRPr="003A2A93" w:rsidRDefault="003A2A93" w:rsidP="003A2A93">
      <w:pPr>
        <w:spacing w:line="480" w:lineRule="auto"/>
        <w:ind w:firstLine="720"/>
        <w:rPr>
          <w:color w:val="1C1E29"/>
          <w:sz w:val="24"/>
          <w:szCs w:val="24"/>
        </w:rPr>
      </w:pPr>
      <w:r w:rsidRPr="003A2A93">
        <w:rPr>
          <w:color w:val="1C1E29"/>
          <w:sz w:val="24"/>
          <w:szCs w:val="24"/>
        </w:rPr>
        <w:t> </w:t>
      </w:r>
    </w:p>
    <w:p w14:paraId="349AED45" w14:textId="77777777" w:rsidR="003A2A93" w:rsidRPr="003A2A93" w:rsidRDefault="003A2A93" w:rsidP="003A2A93">
      <w:pPr>
        <w:spacing w:line="480" w:lineRule="auto"/>
        <w:ind w:firstLine="720"/>
        <w:rPr>
          <w:color w:val="1C1E29"/>
          <w:sz w:val="24"/>
          <w:szCs w:val="24"/>
        </w:rPr>
      </w:pPr>
      <w:r w:rsidRPr="003A2A93">
        <w:rPr>
          <w:color w:val="1C1E29"/>
          <w:sz w:val="24"/>
          <w:szCs w:val="24"/>
        </w:rPr>
        <w:t xml:space="preserve">Likewise, Corella (2008) also introduced supportive evidence with the conclusion of a meta-analysis which showed that distractor stimuli similar to relevant stimuli are more likely to capture attention than it would if it was different. This evidence lends support to the ecological validity of these studies. In a real-life context, individuals generally have expectations of what is likely to occur in each scenario whereas the unexpected stimuli in these clips were suggested to be completely irrelevant to the context of the situation. In the real world, we can make informed guesses as what to expect in a given situation and this could also have an impact on the reason individuals do not see the unexpected stimuli as it is not typical to the situation occurring (Becklen, 1983). Another criticism expresses concern over how participants were commonly told what to attend to during trials. It has been argued that the observer would have had no use for task-irrelevant information such as the gorilla walking across the screen to aid the completion of the task when counting white shirts or only counting passes. This it has been argued could account for the reason it is not attended to </w:t>
      </w:r>
      <w:r w:rsidRPr="003A2A93">
        <w:rPr>
          <w:color w:val="1C1E29"/>
          <w:sz w:val="24"/>
          <w:szCs w:val="24"/>
        </w:rPr>
        <w:lastRenderedPageBreak/>
        <w:t>(</w:t>
      </w:r>
      <w:proofErr w:type="spellStart"/>
      <w:r w:rsidRPr="003A2A93">
        <w:rPr>
          <w:color w:val="1C1E29"/>
          <w:sz w:val="24"/>
          <w:szCs w:val="24"/>
        </w:rPr>
        <w:t>Demmert</w:t>
      </w:r>
      <w:proofErr w:type="spellEnd"/>
      <w:r w:rsidRPr="003A2A93">
        <w:rPr>
          <w:color w:val="1C1E29"/>
          <w:sz w:val="24"/>
          <w:szCs w:val="24"/>
        </w:rPr>
        <w:t xml:space="preserve"> et al., 2009). This work tells us how effective we are at selecting certain stimuli to others in our environment and what happens to unattended to stimuli.</w:t>
      </w:r>
    </w:p>
    <w:p w14:paraId="368D3E98" w14:textId="14D69F6F" w:rsidR="003A2A93" w:rsidRPr="003A2A93" w:rsidRDefault="003A2A93" w:rsidP="003A2A93">
      <w:pPr>
        <w:spacing w:line="480" w:lineRule="auto"/>
        <w:ind w:firstLine="720"/>
        <w:rPr>
          <w:color w:val="1C1E29"/>
          <w:sz w:val="24"/>
          <w:szCs w:val="24"/>
        </w:rPr>
      </w:pPr>
      <w:r w:rsidRPr="003A2A93">
        <w:rPr>
          <w:color w:val="1C1E29"/>
          <w:sz w:val="24"/>
          <w:szCs w:val="24"/>
        </w:rPr>
        <w:t xml:space="preserve"> Divided attention involves processing multiple inputs commonly in response to current aims and goals and is studied similarly to selective attention differing in the instructions. Here participants are told to respond to all stimuli presented to them. The common assumption made by cognitive psychologists is that our brains have a limited capacity for processing information. Divided attention is the notion of being able to attend to more than one input at a time. Psychologists suggest that the brain's ability to process various amounts of information comes from a set amount of available resources that can be deployed in given situations to allow the completion of tasks. Kahneman’s limited capacity model (1973) suggests that the allocation of attentional resources to a task is commanded by a central processor. This central processor not only allocates attentional resources to a given task but also decides how much is needed for each task. The two key factors of the model are the allocation policy and the evaluation of demands on the limited capacity. This allocation is said to be influenced by what is achievable. Interference between tasks emerges if both tasks demand more resources than is available from the central pool of attentional resources. Many factors determine how much attentional capacity can be allocated and how much is needed for each task such as momentary intentions, enduring dispositions and evaluations on demands of capacity. Kahneman found attention and mental effort to be strongly correlated and arousal is said to increase processing resources. Higher levels of arousal were found to have led to a greater capacity. Kahneman gave a more flexible explanation of attention than focused attention theorist did. This theory suggests we can attend to more than one task at a time, particularly if we are skilled at it. However, the capacity model fails to explain how allocation decisions are made (Schneider and Shiffrin, 1977). Furthermore, Kahneman’s theory is argued to not provide any kind of objective measure on arousal levels effectiveness </w:t>
      </w:r>
      <w:r w:rsidRPr="003A2A93">
        <w:rPr>
          <w:color w:val="1C1E29"/>
          <w:sz w:val="24"/>
          <w:szCs w:val="24"/>
        </w:rPr>
        <w:lastRenderedPageBreak/>
        <w:t xml:space="preserve">on increasing processing resources or </w:t>
      </w:r>
      <w:r w:rsidR="00793E6A">
        <w:rPr>
          <w:color w:val="1C1E29"/>
          <w:sz w:val="24"/>
          <w:szCs w:val="24"/>
        </w:rPr>
        <w:t xml:space="preserve">a </w:t>
      </w:r>
      <w:r w:rsidRPr="003A2A93">
        <w:rPr>
          <w:color w:val="1C1E29"/>
          <w:sz w:val="24"/>
          <w:szCs w:val="24"/>
        </w:rPr>
        <w:t>standard measure of processing resources regarding dual tasks interference predictability (</w:t>
      </w:r>
      <w:proofErr w:type="spellStart"/>
      <w:r w:rsidRPr="003A2A93">
        <w:rPr>
          <w:color w:val="1C1E29"/>
          <w:sz w:val="24"/>
          <w:szCs w:val="24"/>
        </w:rPr>
        <w:t>Bruya</w:t>
      </w:r>
      <w:proofErr w:type="spellEnd"/>
      <w:r w:rsidRPr="003A2A93">
        <w:rPr>
          <w:color w:val="1C1E29"/>
          <w:sz w:val="24"/>
          <w:szCs w:val="24"/>
        </w:rPr>
        <w:t xml:space="preserve"> et al., 2018)</w:t>
      </w:r>
      <w:r w:rsidR="00793E6A">
        <w:rPr>
          <w:color w:val="1C1E29"/>
          <w:sz w:val="24"/>
          <w:szCs w:val="24"/>
        </w:rPr>
        <w:t>.</w:t>
      </w:r>
      <w:r w:rsidRPr="003A2A93">
        <w:rPr>
          <w:color w:val="1C1E29"/>
          <w:sz w:val="24"/>
          <w:szCs w:val="24"/>
        </w:rPr>
        <w:t xml:space="preserve"> Divided attention is useful in today’s world as multitasking is a skill needed for busy lifestyles. Studying divided attention allows us to explore the capabilities and limitations of our attentional processing systems (Styles, 2006). </w:t>
      </w:r>
    </w:p>
    <w:p w14:paraId="63A70E7B" w14:textId="77777777" w:rsidR="003A2A93" w:rsidRPr="003A2A93" w:rsidRDefault="003A2A93" w:rsidP="003A2A93">
      <w:pPr>
        <w:spacing w:line="480" w:lineRule="auto"/>
        <w:ind w:firstLine="720"/>
        <w:rPr>
          <w:color w:val="1C1E29"/>
          <w:sz w:val="24"/>
          <w:szCs w:val="24"/>
        </w:rPr>
      </w:pPr>
      <w:r w:rsidRPr="003A2A93">
        <w:rPr>
          <w:color w:val="1C1E29"/>
          <w:sz w:val="24"/>
          <w:szCs w:val="24"/>
        </w:rPr>
        <w:t> </w:t>
      </w:r>
    </w:p>
    <w:p w14:paraId="1AE3668B" w14:textId="3B882E7D" w:rsidR="003A2A93" w:rsidRPr="003A2A93" w:rsidRDefault="003A2A93" w:rsidP="003A2A93">
      <w:pPr>
        <w:spacing w:line="480" w:lineRule="auto"/>
        <w:ind w:firstLine="720"/>
        <w:rPr>
          <w:color w:val="1C1E29"/>
          <w:sz w:val="24"/>
          <w:szCs w:val="24"/>
        </w:rPr>
      </w:pPr>
      <w:r w:rsidRPr="003A2A93">
        <w:rPr>
          <w:color w:val="1C1E29"/>
          <w:sz w:val="24"/>
          <w:szCs w:val="24"/>
        </w:rPr>
        <w:t xml:space="preserve">Attention does not solely play a role in or rely on the visual modality. Often our auditory modality has various amounts of competing stimuli vying for attention. The cocktail party problem (Cherry, 1953) is the phenomena of being in a room full of people with various conversations and being able to filter out all the chatter and listen to one conversation. Cherry presented participants with two separate audio messages to each ear and instructed them to only attend to one message. Cherry found that listeners used segregation to attend to the desired message through physical characteristics such as sex of the speaker, voice intensity and voice location. Furthermore, when Cherry presented two separate messages in the same voice to listeners, they found it extremely hard to separate the messages. This study has shown evidence supporting an early selection of processing (Wood et al., 1995). </w:t>
      </w:r>
      <w:r w:rsidR="00793E6A">
        <w:rPr>
          <w:color w:val="1C1E29"/>
          <w:sz w:val="24"/>
          <w:szCs w:val="24"/>
        </w:rPr>
        <w:t>E</w:t>
      </w:r>
      <w:r w:rsidRPr="003A2A93">
        <w:rPr>
          <w:color w:val="1C1E29"/>
          <w:sz w:val="24"/>
          <w:szCs w:val="24"/>
        </w:rPr>
        <w:t>arly</w:t>
      </w:r>
      <w:r w:rsidR="00793E6A">
        <w:rPr>
          <w:color w:val="1C1E29"/>
          <w:sz w:val="24"/>
          <w:szCs w:val="24"/>
        </w:rPr>
        <w:t xml:space="preserve"> selection</w:t>
      </w:r>
      <w:r w:rsidRPr="003A2A93">
        <w:rPr>
          <w:color w:val="1C1E29"/>
          <w:sz w:val="24"/>
          <w:szCs w:val="24"/>
        </w:rPr>
        <w:t xml:space="preserve"> </w:t>
      </w:r>
      <w:r w:rsidR="0033530A">
        <w:rPr>
          <w:color w:val="1C1E29"/>
          <w:sz w:val="24"/>
          <w:szCs w:val="24"/>
        </w:rPr>
        <w:t>model</w:t>
      </w:r>
      <w:r w:rsidRPr="003A2A93">
        <w:rPr>
          <w:color w:val="1C1E29"/>
          <w:sz w:val="24"/>
          <w:szCs w:val="24"/>
        </w:rPr>
        <w:t xml:space="preserve"> sees our auditory modality as having a bottleneck processing mechanism which regulates the brains limited-capacity processing and suggests what is selected to be attended to is consistent with our current goals and expectations. Arguing that all stimuli coming through the auditory modality is selected early on from its physical features and all other stimuli are stored temporarily in a second buffer and rejected if not attended to relatively quickly. It</w:t>
      </w:r>
      <w:r w:rsidR="0033530A">
        <w:rPr>
          <w:color w:val="1C1E29"/>
          <w:sz w:val="24"/>
          <w:szCs w:val="24"/>
        </w:rPr>
        <w:t xml:space="preserve"> is also</w:t>
      </w:r>
      <w:r w:rsidRPr="003A2A93">
        <w:rPr>
          <w:color w:val="1C1E29"/>
          <w:sz w:val="24"/>
          <w:szCs w:val="24"/>
        </w:rPr>
        <w:t xml:space="preserve"> argued that this bottleneck or filter is designed to prevent the </w:t>
      </w:r>
      <w:hyperlink r:id="rId4" w:tgtFrame="_blank" w:history="1">
        <w:r w:rsidRPr="00793E6A">
          <w:rPr>
            <w:sz w:val="24"/>
            <w:szCs w:val="24"/>
          </w:rPr>
          <w:t>information-processing system</w:t>
        </w:r>
      </w:hyperlink>
      <w:r w:rsidRPr="003A2A93">
        <w:rPr>
          <w:color w:val="1C1E29"/>
          <w:sz w:val="24"/>
          <w:szCs w:val="24"/>
        </w:rPr>
        <w:t xml:space="preserve"> from becoming overloaded regardless of early or late selection within processing (Broadbent, 1958). Competing theories suggest the way we decide what to attend to relies on either </w:t>
      </w:r>
      <w:r w:rsidR="0033530A">
        <w:rPr>
          <w:color w:val="1C1E29"/>
          <w:sz w:val="24"/>
          <w:szCs w:val="24"/>
        </w:rPr>
        <w:t>late or early</w:t>
      </w:r>
      <w:r w:rsidRPr="003A2A93">
        <w:rPr>
          <w:color w:val="1C1E29"/>
          <w:sz w:val="24"/>
          <w:szCs w:val="24"/>
        </w:rPr>
        <w:t xml:space="preserve"> selection when processing auditory </w:t>
      </w:r>
      <w:r w:rsidRPr="003A2A93">
        <w:rPr>
          <w:color w:val="1C1E29"/>
          <w:sz w:val="24"/>
          <w:szCs w:val="24"/>
        </w:rPr>
        <w:lastRenderedPageBreak/>
        <w:t>stimuli. Furthermore, the perceptual load theory (Lavie, 1995, 2005) argues that if a current task puts a high demand on attention (high perceptual load), the processing of task-irrelevant stimuli can be hindered. Findings also suggest when the perceptual load in the current task is high, attentional capacity is exhausted and early selection occurs (Lavie 2001). However, theorists favour</w:t>
      </w:r>
      <w:r w:rsidR="0033530A">
        <w:rPr>
          <w:color w:val="1C1E29"/>
          <w:sz w:val="24"/>
          <w:szCs w:val="24"/>
        </w:rPr>
        <w:t>ing</w:t>
      </w:r>
      <w:r w:rsidRPr="003A2A93">
        <w:rPr>
          <w:color w:val="1C1E29"/>
          <w:sz w:val="24"/>
          <w:szCs w:val="24"/>
        </w:rPr>
        <w:t xml:space="preserve"> late selection argue that all stimuli input is processed. They argue that the most important or relevant stimuli influence</w:t>
      </w:r>
      <w:r w:rsidR="0033530A">
        <w:rPr>
          <w:color w:val="1C1E29"/>
          <w:sz w:val="24"/>
          <w:szCs w:val="24"/>
        </w:rPr>
        <w:t>s</w:t>
      </w:r>
      <w:r w:rsidRPr="003A2A93">
        <w:rPr>
          <w:color w:val="1C1E29"/>
          <w:sz w:val="24"/>
          <w:szCs w:val="24"/>
        </w:rPr>
        <w:t xml:space="preserve"> a response (Deutsch &amp; Deutsch, 1963). Additionally, </w:t>
      </w:r>
      <w:proofErr w:type="spellStart"/>
      <w:r w:rsidRPr="003A2A93">
        <w:rPr>
          <w:color w:val="1C1E29"/>
          <w:sz w:val="24"/>
          <w:szCs w:val="24"/>
        </w:rPr>
        <w:t>Bentin</w:t>
      </w:r>
      <w:proofErr w:type="spellEnd"/>
      <w:r w:rsidRPr="003A2A93">
        <w:rPr>
          <w:color w:val="1C1E29"/>
          <w:sz w:val="24"/>
          <w:szCs w:val="24"/>
        </w:rPr>
        <w:t xml:space="preserve"> et al. (1995) presented participants with different words to each ear and instructed them to attend to only words in either the left or right ear. It was observed that some semantic processing of all stimuli does occur although less to the unattended stimuli. Following this, evidence from more recent studies also supports th</w:t>
      </w:r>
      <w:bookmarkStart w:id="0" w:name="_GoBack"/>
      <w:bookmarkEnd w:id="0"/>
      <w:r w:rsidRPr="003A2A93">
        <w:rPr>
          <w:color w:val="1C1E29"/>
          <w:sz w:val="24"/>
          <w:szCs w:val="24"/>
        </w:rPr>
        <w:t>e idea that unattended stimuli undergo some form of processing. Jeon et al. (2014) found the processing of unattended messages is often enhanced if the listener has a predetermined interest in the stimuli. Also, if the message has a special significance to us like our name (Moray, 1959 and Kahneman, 1973). Also, these results seem to correspond with the findings that suggest relevant stimuli is more likely to be recorded by participants then irrelevant stimuli during exposer of both to the visual modality on trials in change blindness (see for example; Chabris and Simons, 1999).</w:t>
      </w:r>
    </w:p>
    <w:p w14:paraId="20E19E84" w14:textId="77777777" w:rsidR="003A2A93" w:rsidRPr="003A2A93" w:rsidRDefault="003A2A93" w:rsidP="003A2A93">
      <w:pPr>
        <w:spacing w:line="480" w:lineRule="auto"/>
        <w:ind w:firstLine="720"/>
        <w:rPr>
          <w:color w:val="1C1E29"/>
          <w:sz w:val="24"/>
          <w:szCs w:val="24"/>
        </w:rPr>
      </w:pPr>
      <w:r w:rsidRPr="003A2A93">
        <w:rPr>
          <w:color w:val="1C1E29"/>
          <w:sz w:val="24"/>
          <w:szCs w:val="24"/>
        </w:rPr>
        <w:t> </w:t>
      </w:r>
    </w:p>
    <w:p w14:paraId="0A8AF464" w14:textId="7A1A3993" w:rsidR="003A2A93" w:rsidRPr="003A2A93" w:rsidRDefault="003A2A93" w:rsidP="003A2A93">
      <w:pPr>
        <w:spacing w:line="480" w:lineRule="auto"/>
        <w:ind w:firstLine="720"/>
        <w:rPr>
          <w:color w:val="1C1E29"/>
          <w:sz w:val="24"/>
          <w:szCs w:val="24"/>
        </w:rPr>
      </w:pPr>
      <w:r w:rsidRPr="003A2A93">
        <w:rPr>
          <w:color w:val="1C1E29"/>
          <w:sz w:val="24"/>
          <w:szCs w:val="24"/>
        </w:rPr>
        <w:t xml:space="preserve">Further suggestions put forward in line with this view known as Multiple resource theory (Wickens, 1984) proposes that individuals do not have a single information processing resource, but numerous different </w:t>
      </w:r>
      <w:r w:rsidR="0033530A">
        <w:rPr>
          <w:color w:val="1C1E29"/>
          <w:sz w:val="24"/>
          <w:szCs w:val="24"/>
        </w:rPr>
        <w:t>ports</w:t>
      </w:r>
      <w:r w:rsidRPr="003A2A93">
        <w:rPr>
          <w:color w:val="1C1E29"/>
          <w:sz w:val="24"/>
          <w:szCs w:val="24"/>
        </w:rPr>
        <w:t xml:space="preserve"> of resources that can be accessed concurrently. Depending on the nature of the task, these resources may process information chronologically if the different tasks require the same pool of resources or can be processed simultaneously if the task demands different resources. Wickens aim to explain and predict levels of interference in dual-task performance between tasks performed through different or same </w:t>
      </w:r>
      <w:r w:rsidRPr="003A2A93">
        <w:rPr>
          <w:color w:val="1C1E29"/>
          <w:sz w:val="24"/>
          <w:szCs w:val="24"/>
        </w:rPr>
        <w:lastRenderedPageBreak/>
        <w:t>modalities resulted in an account for the mechanisms responsible for the variation in allocation of resources which cause interference during dual-task performance. The model has four dimensions of information processing, perceptual modalities (visual or auditory), visual channels with two aspects of processing (focal and ambient) processing codes which distinguish between analogue/ spatial processing and categorical/ symbolic processing (Wickens, 1984). This research focuses on three elements for predicting dual-task interference: (1) the total demand for resources, (2) the similarity between the two occurring tasks, and (3) the resource allocation policy</w:t>
      </w:r>
      <w:r w:rsidR="00945E18">
        <w:rPr>
          <w:color w:val="1C1E29"/>
          <w:sz w:val="24"/>
          <w:szCs w:val="24"/>
        </w:rPr>
        <w:t xml:space="preserve">. </w:t>
      </w:r>
      <w:r w:rsidRPr="003A2A93">
        <w:rPr>
          <w:color w:val="1C1E29"/>
          <w:sz w:val="24"/>
          <w:szCs w:val="24"/>
        </w:rPr>
        <w:t>This allocation of resources to competing modalities has been found to affect performance of one or both occurring tasks (Sarno &amp; Wickens, 1995; Wickens et al., 2019). Also, it has been argued that the greater the resources needed to support the response to one task in one modality (visual) the greater the interference with the second task in a second modality (auditory) (Kahneman, 1973; Wickens, 1984; Lavie et al., 2001). However, it has also been suggested that two tasks that require different modalities will not compete for attentional resources and therefore will not be the subject of interference (Wickens, 2002). Furthermore, Wahn and Konig (2017) argue when two tasks are reliant on shared attentional resources performance</w:t>
      </w:r>
      <w:r w:rsidR="00945E18">
        <w:rPr>
          <w:color w:val="1C1E29"/>
          <w:sz w:val="24"/>
          <w:szCs w:val="24"/>
        </w:rPr>
        <w:t xml:space="preserve"> on</w:t>
      </w:r>
      <w:r w:rsidRPr="003A2A93">
        <w:rPr>
          <w:color w:val="1C1E29"/>
          <w:sz w:val="24"/>
          <w:szCs w:val="24"/>
        </w:rPr>
        <w:t xml:space="preserve"> one or both tasks are affected</w:t>
      </w:r>
      <w:r w:rsidR="00945E18">
        <w:rPr>
          <w:color w:val="1C1E29"/>
          <w:sz w:val="24"/>
          <w:szCs w:val="24"/>
        </w:rPr>
        <w:t>, o</w:t>
      </w:r>
      <w:r w:rsidRPr="003A2A93">
        <w:rPr>
          <w:color w:val="1C1E29"/>
          <w:sz w:val="24"/>
          <w:szCs w:val="24"/>
        </w:rPr>
        <w:t xml:space="preserve">n the contrary, if attentional resources are distinct, then performing two tasks simultaneously should not lead to a decrease in performance compared to performance on each task individually. further evidence by Alais et al., (2006) found that tasks operating within the same sensory modality interfered with each other whereas, tasks distinct to two separate modalities was largely unaffected when being performed simultaneously. Additionally, when participants were presented with two different letters one visual and one spoken it was found when they were asked to report either the spoken or the visual letter or both that majority of the participants were equally good. This suggests that attentional </w:t>
      </w:r>
      <w:r w:rsidRPr="003A2A93">
        <w:rPr>
          <w:color w:val="1C1E29"/>
          <w:sz w:val="24"/>
          <w:szCs w:val="24"/>
        </w:rPr>
        <w:lastRenderedPageBreak/>
        <w:t>resources are different for both the visual and auditory modalities when two tasks are performed concurrently (Smith et al., 2003).  </w:t>
      </w:r>
    </w:p>
    <w:p w14:paraId="0FCE49EB" w14:textId="77777777" w:rsidR="003A2A93" w:rsidRPr="003A2A93" w:rsidRDefault="003A2A93" w:rsidP="003A2A93">
      <w:pPr>
        <w:spacing w:line="480" w:lineRule="auto"/>
        <w:ind w:firstLine="720"/>
        <w:rPr>
          <w:color w:val="1C1E29"/>
          <w:sz w:val="24"/>
          <w:szCs w:val="24"/>
        </w:rPr>
      </w:pPr>
      <w:r w:rsidRPr="003A2A93">
        <w:rPr>
          <w:color w:val="1C1E29"/>
          <w:sz w:val="24"/>
          <w:szCs w:val="24"/>
        </w:rPr>
        <w:t> </w:t>
      </w:r>
    </w:p>
    <w:p w14:paraId="77F66893" w14:textId="65536DFC" w:rsidR="003A2A93" w:rsidRPr="003A2A93" w:rsidRDefault="003A2A93" w:rsidP="003A2A93">
      <w:pPr>
        <w:spacing w:line="480" w:lineRule="auto"/>
        <w:ind w:firstLine="720"/>
        <w:rPr>
          <w:color w:val="1C1E29"/>
          <w:sz w:val="24"/>
          <w:szCs w:val="24"/>
        </w:rPr>
      </w:pPr>
      <w:r w:rsidRPr="003A2A93">
        <w:rPr>
          <w:color w:val="1C1E29"/>
          <w:sz w:val="24"/>
          <w:szCs w:val="24"/>
        </w:rPr>
        <w:t xml:space="preserve">A recent study suggests that high perceptual load causes inattentional blindness and deafness in drivers. By assessing the effects of perceptual load on driver awareness during a simulated driving task Murphy and Greene (2018) conducted two experiments on the effect perceptual load has on the visual modality and the auditory modality. They developed a visual gap perception task. Which involved a simulated straight route driving task with cars parked on either side of the road, which participants had to quickly assess whether they would be able to drive through the gap or divert around the cars. The high load condition gaps were slightly too small or just big enough whereas the low load condition gaps where obviously big enough or too small for the drivers to get through. The researchers then added a critical trial in both high and low load conditions where an unexpected object was presented alongside the parked vehicles. This object was a pedestrian. Assessment of the participant's awareness of the unexpected object appeared immediately after the completion of the critical trial. The findings showed that when under high perceptual load conditions participants were less likely to report the unexpected object than under low perceptual load conditions. The participants were also more likely to make inaccurate judgments about the size of the gaps presented under the high load condition compared to the low load conditions. The second experiment conducted involved a more traditional load experiment search task using coloured cars instead of letters. The participants were instructed to look for a red Mercedes among a row of silver cars in the low load condition and again look for a red Mercedes among a row of different model red cars in the high load condition. During the search, task participants were presented with either visual or auditory information which was either relevant or irrelevant to driving. The visual relevant trial was an oncoming car swerving into the driver's </w:t>
      </w:r>
      <w:r w:rsidRPr="003A2A93">
        <w:rPr>
          <w:color w:val="1C1E29"/>
          <w:sz w:val="24"/>
          <w:szCs w:val="24"/>
        </w:rPr>
        <w:lastRenderedPageBreak/>
        <w:t>lane and non-relevant was a cartoon billboard. The audio relevant trial was a sound of car wheels screeching and non-relevant was the sound of a bell. The results indicated that there was a significant effect on driver awareness during both the visual and auditory stimuli presentations. Both modalities involved a greater effect on driver awareness in the high perceptual load conditions. Relativity amongst stimuli in both tasks during high load showed no significant difference in awareness</w:t>
      </w:r>
      <w:r w:rsidR="00E23C1C">
        <w:rPr>
          <w:color w:val="1C1E29"/>
          <w:sz w:val="24"/>
          <w:szCs w:val="24"/>
        </w:rPr>
        <w:t>,</w:t>
      </w:r>
      <w:r w:rsidR="00E23C1C" w:rsidRPr="00E23C1C">
        <w:rPr>
          <w:color w:val="1C1E29"/>
          <w:sz w:val="24"/>
          <w:szCs w:val="24"/>
        </w:rPr>
        <w:t xml:space="preserve"> </w:t>
      </w:r>
      <w:r w:rsidR="00E23C1C" w:rsidRPr="00E23C1C">
        <w:rPr>
          <w:color w:val="1C1E29"/>
          <w:sz w:val="24"/>
          <w:szCs w:val="24"/>
        </w:rPr>
        <w:t>therefore</w:t>
      </w:r>
      <w:r w:rsidR="00E23C1C">
        <w:rPr>
          <w:color w:val="1C1E29"/>
          <w:sz w:val="24"/>
          <w:szCs w:val="24"/>
        </w:rPr>
        <w:t>,</w:t>
      </w:r>
      <w:r w:rsidR="00E23C1C" w:rsidRPr="00E23C1C">
        <w:rPr>
          <w:color w:val="1C1E29"/>
          <w:sz w:val="24"/>
          <w:szCs w:val="24"/>
        </w:rPr>
        <w:t xml:space="preserve"> previous literature arguing relativities </w:t>
      </w:r>
      <w:r w:rsidR="00E23C1C">
        <w:rPr>
          <w:color w:val="1C1E29"/>
          <w:sz w:val="24"/>
          <w:szCs w:val="24"/>
        </w:rPr>
        <w:t>influence on attention</w:t>
      </w:r>
      <w:r w:rsidR="00E23C1C" w:rsidRPr="00E23C1C">
        <w:rPr>
          <w:color w:val="1C1E29"/>
          <w:sz w:val="24"/>
          <w:szCs w:val="24"/>
        </w:rPr>
        <w:t xml:space="preserve"> could be seen as contradictory</w:t>
      </w:r>
      <w:r w:rsidRPr="003A2A93">
        <w:rPr>
          <w:color w:val="1C1E29"/>
          <w:sz w:val="24"/>
          <w:szCs w:val="24"/>
        </w:rPr>
        <w:t>. In summary, the evidence suggests that perceptual load has a significant effect on individuals processing capacity during the dual-task performance when the perceptual load</w:t>
      </w:r>
      <w:r w:rsidR="00D47F8E">
        <w:rPr>
          <w:color w:val="1C1E29"/>
          <w:sz w:val="24"/>
          <w:szCs w:val="24"/>
        </w:rPr>
        <w:t xml:space="preserve"> is high</w:t>
      </w:r>
      <w:r w:rsidRPr="003A2A93">
        <w:rPr>
          <w:color w:val="1C1E29"/>
          <w:sz w:val="24"/>
          <w:szCs w:val="24"/>
        </w:rPr>
        <w:t xml:space="preserve"> (Murphy et al., 2015). </w:t>
      </w:r>
    </w:p>
    <w:p w14:paraId="4316D60C" w14:textId="77777777" w:rsidR="003A2A93" w:rsidRPr="003A2A93" w:rsidRDefault="003A2A93" w:rsidP="003A2A93">
      <w:pPr>
        <w:spacing w:line="480" w:lineRule="auto"/>
        <w:ind w:firstLine="720"/>
        <w:rPr>
          <w:color w:val="1C1E29"/>
          <w:sz w:val="24"/>
          <w:szCs w:val="24"/>
        </w:rPr>
      </w:pPr>
      <w:r w:rsidRPr="003A2A93">
        <w:rPr>
          <w:color w:val="1C1E29"/>
          <w:sz w:val="24"/>
          <w:szCs w:val="24"/>
        </w:rPr>
        <w:t> </w:t>
      </w:r>
    </w:p>
    <w:p w14:paraId="5E1E73EF" w14:textId="1F811968" w:rsidR="003A2A93" w:rsidRPr="003A2A93" w:rsidRDefault="003A2A93" w:rsidP="003A2A93">
      <w:pPr>
        <w:spacing w:line="480" w:lineRule="auto"/>
        <w:ind w:firstLine="720"/>
        <w:rPr>
          <w:color w:val="1C1E29"/>
          <w:sz w:val="24"/>
          <w:szCs w:val="24"/>
        </w:rPr>
      </w:pPr>
      <w:r w:rsidRPr="003A2A93">
        <w:rPr>
          <w:color w:val="1C1E29"/>
          <w:sz w:val="24"/>
          <w:szCs w:val="24"/>
        </w:rPr>
        <w:t>Recently Raveh and Lavie (2014) reported four experiments that established that high perceptual load (visual) led to reduced detection sensitivity in hearing. In their study, participants were requested to detect a tone that was presented during the performance of a visual search task. The findings suggest that audio detection was consistently reduced in the high visual load condition compared to the low load condition</w:t>
      </w:r>
      <w:r w:rsidR="00D47F8E">
        <w:rPr>
          <w:color w:val="1C1E29"/>
          <w:sz w:val="24"/>
          <w:szCs w:val="24"/>
        </w:rPr>
        <w:t xml:space="preserve"> calling into question whether attentional resources have separate pools or whether they are taken form the same pool and are modalities distinct when allocation of attention is required.</w:t>
      </w:r>
      <w:r w:rsidRPr="003A2A93">
        <w:rPr>
          <w:color w:val="1C1E29"/>
          <w:sz w:val="24"/>
          <w:szCs w:val="24"/>
        </w:rPr>
        <w:t xml:space="preserve"> The previous studies findings provide a valid explanation for the occurrence of inattentional blindness and deafness across perceptual and attentional tasks while also supplying a wealth of different methods to explore the phenomena. Creating real-world simulations of a common but dangerous task such as driving shows the importance of researching this avenue to promote public awareness of our processing abilities and promote a safety-conscious attitude towards driving (Murphy et al., 2015).</w:t>
      </w:r>
    </w:p>
    <w:p w14:paraId="51526F0A" w14:textId="77777777" w:rsidR="003A2A93" w:rsidRPr="003A2A93" w:rsidRDefault="003A2A93" w:rsidP="003A2A93">
      <w:pPr>
        <w:spacing w:line="480" w:lineRule="auto"/>
        <w:ind w:firstLine="720"/>
        <w:rPr>
          <w:color w:val="1C1E29"/>
          <w:sz w:val="24"/>
          <w:szCs w:val="24"/>
        </w:rPr>
      </w:pPr>
      <w:r w:rsidRPr="003A2A93">
        <w:rPr>
          <w:color w:val="1C1E29"/>
          <w:sz w:val="24"/>
          <w:szCs w:val="24"/>
        </w:rPr>
        <w:t> </w:t>
      </w:r>
    </w:p>
    <w:p w14:paraId="627ABCF4" w14:textId="6147CFE7" w:rsidR="003A2A93" w:rsidRDefault="003A2A93" w:rsidP="003A2A93">
      <w:pPr>
        <w:spacing w:line="480" w:lineRule="auto"/>
        <w:ind w:firstLine="720"/>
        <w:rPr>
          <w:color w:val="1C1E29"/>
          <w:sz w:val="24"/>
          <w:szCs w:val="24"/>
        </w:rPr>
      </w:pPr>
      <w:r w:rsidRPr="003A2A93">
        <w:rPr>
          <w:color w:val="1C1E29"/>
          <w:sz w:val="24"/>
          <w:szCs w:val="24"/>
        </w:rPr>
        <w:lastRenderedPageBreak/>
        <w:t xml:space="preserve"> In summary, studies investigating whether there are distinct pools of attentional resources for each sensory modality or whether resources are shared across modalities produce partially inconsistent conclusions. In addition to these studies, it is proposed here that further research using a traditional letter search task to explore the impact of visual load on tone change accuracy would give additional support for the impact of visual load on an unexpected audio stimulus presented. Therefore, this research aims to examine whether </w:t>
      </w:r>
      <w:r w:rsidR="00D47F8E">
        <w:rPr>
          <w:color w:val="1C1E29"/>
          <w:sz w:val="24"/>
          <w:szCs w:val="24"/>
        </w:rPr>
        <w:t>high</w:t>
      </w:r>
      <w:r w:rsidRPr="003A2A93">
        <w:rPr>
          <w:color w:val="1C1E29"/>
          <w:sz w:val="24"/>
          <w:szCs w:val="24"/>
        </w:rPr>
        <w:t xml:space="preserve"> visual load can effect the ability to detect a </w:t>
      </w:r>
      <w:r w:rsidR="00D47F8E">
        <w:rPr>
          <w:color w:val="1C1E29"/>
          <w:sz w:val="24"/>
          <w:szCs w:val="24"/>
        </w:rPr>
        <w:t xml:space="preserve">gradual </w:t>
      </w:r>
      <w:r w:rsidRPr="003A2A93">
        <w:rPr>
          <w:color w:val="1C1E29"/>
          <w:sz w:val="24"/>
          <w:szCs w:val="24"/>
        </w:rPr>
        <w:t>tone change and it is proposed here that during a high visual load task participants will be less likely to detect a</w:t>
      </w:r>
      <w:r w:rsidR="00D47F8E">
        <w:rPr>
          <w:color w:val="1C1E29"/>
          <w:sz w:val="24"/>
          <w:szCs w:val="24"/>
        </w:rPr>
        <w:t xml:space="preserve"> gradual</w:t>
      </w:r>
      <w:r w:rsidRPr="003A2A93">
        <w:rPr>
          <w:color w:val="1C1E29"/>
          <w:sz w:val="24"/>
          <w:szCs w:val="24"/>
        </w:rPr>
        <w:t xml:space="preserve"> tone change compared to their ability to detect the tone change during a low visual load task. This will be achieved by presenting participants with 40 visual letter search trials. Twenty will be high load, where the target letter will be surrounded by many different letters that look similar to the target, and 20 low loads, where the target letter will be surrounded by only four of the same letter in each trial that is very distinct to the target letter</w:t>
      </w:r>
      <w:r w:rsidR="00D47F8E">
        <w:rPr>
          <w:color w:val="1C1E29"/>
          <w:sz w:val="24"/>
          <w:szCs w:val="24"/>
        </w:rPr>
        <w:t xml:space="preserve">. The target letter will only be present in half of the trials in both the high and low </w:t>
      </w:r>
      <w:r w:rsidR="007F16BC">
        <w:rPr>
          <w:color w:val="1C1E29"/>
          <w:sz w:val="24"/>
          <w:szCs w:val="24"/>
        </w:rPr>
        <w:t xml:space="preserve">visual load </w:t>
      </w:r>
      <w:r w:rsidR="00D47F8E">
        <w:rPr>
          <w:color w:val="1C1E29"/>
          <w:sz w:val="24"/>
          <w:szCs w:val="24"/>
        </w:rPr>
        <w:t>conditions.</w:t>
      </w:r>
      <w:r w:rsidRPr="003A2A93">
        <w:rPr>
          <w:color w:val="1C1E29"/>
          <w:sz w:val="24"/>
          <w:szCs w:val="24"/>
        </w:rPr>
        <w:t xml:space="preserve"> During each of the visual letter search trials, a tone will simultaneously be played, which on half of the high visual load trials will remain constant and on the other half, it will change. The same will be the case for the low visual trials (on half of them the tone will remain constant, while on the other half it will change). The participant's task is to respond when they see the target letter and denote whether or not the tone changed. As most unexpected stimuli are presented momentarily and a response time recorded within the search task and finding are supported (see for detail, </w:t>
      </w:r>
      <w:proofErr w:type="spellStart"/>
      <w:r w:rsidRPr="003A2A93">
        <w:rPr>
          <w:color w:val="1C1E29"/>
          <w:sz w:val="24"/>
          <w:szCs w:val="24"/>
        </w:rPr>
        <w:t>Pashler</w:t>
      </w:r>
      <w:proofErr w:type="spellEnd"/>
      <w:r w:rsidRPr="003A2A93">
        <w:rPr>
          <w:color w:val="1C1E29"/>
          <w:sz w:val="24"/>
          <w:szCs w:val="24"/>
        </w:rPr>
        <w:t xml:space="preserve">, 1994). This proposed research differs in that the participant will be given a certain amount of time to view the visual load tasks </w:t>
      </w:r>
      <w:r w:rsidR="007F16BC">
        <w:rPr>
          <w:color w:val="1C1E29"/>
          <w:sz w:val="24"/>
          <w:szCs w:val="24"/>
        </w:rPr>
        <w:t>whilst</w:t>
      </w:r>
      <w:r w:rsidRPr="003A2A93">
        <w:rPr>
          <w:color w:val="1C1E29"/>
          <w:sz w:val="24"/>
          <w:szCs w:val="24"/>
        </w:rPr>
        <w:t xml:space="preserve"> responding to the target letter and further asked to express whether the target letter was present through a simple yes or no option on the screen immediately following each trial to allow the time needed for the </w:t>
      </w:r>
      <w:r w:rsidRPr="003A2A93">
        <w:rPr>
          <w:color w:val="1C1E29"/>
          <w:sz w:val="24"/>
          <w:szCs w:val="24"/>
        </w:rPr>
        <w:lastRenderedPageBreak/>
        <w:t>tone change to happen. Following this, the participants will then be presented with a similar yes or no option to signify whether they heard the tone change or not.</w:t>
      </w:r>
    </w:p>
    <w:p w14:paraId="591B9ECD" w14:textId="13A7F325" w:rsidR="003A2A93" w:rsidRDefault="003A2A93">
      <w:pPr>
        <w:spacing w:after="160" w:line="259" w:lineRule="auto"/>
        <w:rPr>
          <w:color w:val="1C1E29"/>
          <w:sz w:val="24"/>
          <w:szCs w:val="24"/>
        </w:rPr>
      </w:pPr>
      <w:r>
        <w:rPr>
          <w:color w:val="1C1E29"/>
          <w:sz w:val="24"/>
          <w:szCs w:val="24"/>
        </w:rPr>
        <w:br w:type="page"/>
      </w:r>
    </w:p>
    <w:p w14:paraId="2D279B20" w14:textId="77777777" w:rsidR="003A2A93" w:rsidRPr="003A2A93" w:rsidRDefault="003A2A93" w:rsidP="003A2A93">
      <w:pPr>
        <w:spacing w:line="480" w:lineRule="auto"/>
        <w:ind w:left="720" w:hanging="720"/>
        <w:rPr>
          <w:color w:val="1C1E29"/>
          <w:sz w:val="24"/>
          <w:szCs w:val="24"/>
        </w:rPr>
      </w:pPr>
    </w:p>
    <w:p w14:paraId="19AFD32E" w14:textId="77777777" w:rsidR="003A2A93" w:rsidRPr="003A2A93" w:rsidRDefault="003A2A93" w:rsidP="003A2A93">
      <w:pPr>
        <w:spacing w:line="480" w:lineRule="auto"/>
        <w:ind w:left="720" w:hanging="720"/>
        <w:rPr>
          <w:color w:val="1C1E29"/>
          <w:sz w:val="24"/>
          <w:szCs w:val="24"/>
        </w:rPr>
      </w:pPr>
      <w:r w:rsidRPr="003A2A93">
        <w:rPr>
          <w:color w:val="1C1E29"/>
          <w:sz w:val="24"/>
          <w:szCs w:val="24"/>
        </w:rPr>
        <w:t xml:space="preserve">Alais, D., </w:t>
      </w:r>
      <w:proofErr w:type="spellStart"/>
      <w:r w:rsidRPr="003A2A93">
        <w:rPr>
          <w:color w:val="1C1E29"/>
          <w:sz w:val="24"/>
          <w:szCs w:val="24"/>
        </w:rPr>
        <w:t>Morrone</w:t>
      </w:r>
      <w:proofErr w:type="spellEnd"/>
      <w:r w:rsidRPr="003A2A93">
        <w:rPr>
          <w:color w:val="1C1E29"/>
          <w:sz w:val="24"/>
          <w:szCs w:val="24"/>
        </w:rPr>
        <w:t>, C., &amp; Burr, D. (2006). Separate attentional resources for vision and audition. </w:t>
      </w:r>
      <w:r w:rsidRPr="003A2A93">
        <w:rPr>
          <w:i/>
          <w:iCs/>
          <w:color w:val="1C1E29"/>
          <w:sz w:val="24"/>
          <w:szCs w:val="24"/>
        </w:rPr>
        <w:t>Proceedings of the Royal Society B: Biological Sciences</w:t>
      </w:r>
      <w:r w:rsidRPr="003A2A93">
        <w:rPr>
          <w:color w:val="1C1E29"/>
          <w:sz w:val="24"/>
          <w:szCs w:val="24"/>
        </w:rPr>
        <w:t>, </w:t>
      </w:r>
      <w:r w:rsidRPr="003A2A93">
        <w:rPr>
          <w:i/>
          <w:iCs/>
          <w:color w:val="1C1E29"/>
          <w:sz w:val="24"/>
          <w:szCs w:val="24"/>
        </w:rPr>
        <w:t>273</w:t>
      </w:r>
      <w:r w:rsidRPr="003A2A93">
        <w:rPr>
          <w:color w:val="1C1E29"/>
          <w:sz w:val="24"/>
          <w:szCs w:val="24"/>
        </w:rPr>
        <w:t>(1592), 1339-1345.</w:t>
      </w:r>
    </w:p>
    <w:p w14:paraId="09454CD4" w14:textId="77777777" w:rsidR="003A2A93" w:rsidRPr="003A2A93" w:rsidRDefault="003A2A93" w:rsidP="003A2A93">
      <w:pPr>
        <w:spacing w:line="480" w:lineRule="auto"/>
        <w:ind w:left="720" w:hanging="720"/>
        <w:rPr>
          <w:color w:val="1C1E29"/>
          <w:sz w:val="24"/>
          <w:szCs w:val="24"/>
        </w:rPr>
      </w:pPr>
      <w:r w:rsidRPr="003A2A93">
        <w:rPr>
          <w:color w:val="1C1E29"/>
          <w:sz w:val="24"/>
          <w:szCs w:val="24"/>
        </w:rPr>
        <w:t>Allport, D. A. (1980). Attention and performance. </w:t>
      </w:r>
      <w:r w:rsidRPr="003A2A93">
        <w:rPr>
          <w:i/>
          <w:iCs/>
          <w:color w:val="1C1E29"/>
          <w:sz w:val="24"/>
          <w:szCs w:val="24"/>
        </w:rPr>
        <w:t>Cognitive psychology: New directions</w:t>
      </w:r>
      <w:r w:rsidRPr="003A2A93">
        <w:rPr>
          <w:color w:val="1C1E29"/>
          <w:sz w:val="24"/>
          <w:szCs w:val="24"/>
        </w:rPr>
        <w:t>, </w:t>
      </w:r>
      <w:r w:rsidRPr="003A2A93">
        <w:rPr>
          <w:i/>
          <w:iCs/>
          <w:color w:val="1C1E29"/>
          <w:sz w:val="24"/>
          <w:szCs w:val="24"/>
        </w:rPr>
        <w:t>1</w:t>
      </w:r>
      <w:r w:rsidRPr="003A2A93">
        <w:rPr>
          <w:color w:val="1C1E29"/>
          <w:sz w:val="24"/>
          <w:szCs w:val="24"/>
        </w:rPr>
        <w:t>, 12-153.</w:t>
      </w:r>
    </w:p>
    <w:p w14:paraId="42A10E92" w14:textId="77777777" w:rsidR="003A2A93" w:rsidRPr="003A2A93" w:rsidRDefault="003A2A93" w:rsidP="003A2A93">
      <w:pPr>
        <w:spacing w:line="480" w:lineRule="auto"/>
        <w:ind w:left="720" w:hanging="720"/>
        <w:rPr>
          <w:color w:val="1C1E29"/>
          <w:sz w:val="24"/>
          <w:szCs w:val="24"/>
        </w:rPr>
      </w:pPr>
      <w:r w:rsidRPr="003A2A93">
        <w:rPr>
          <w:color w:val="1C1E29"/>
          <w:sz w:val="24"/>
          <w:szCs w:val="24"/>
        </w:rPr>
        <w:t>Beck, D. M., Rees, G., Frith, C. D., &amp; Lavie, N. (2001). Neural correlates of change detection and change blindness. </w:t>
      </w:r>
      <w:r w:rsidRPr="003A2A93">
        <w:rPr>
          <w:i/>
          <w:iCs/>
          <w:color w:val="1C1E29"/>
          <w:sz w:val="24"/>
          <w:szCs w:val="24"/>
        </w:rPr>
        <w:t>Nature Neuroscience</w:t>
      </w:r>
      <w:r w:rsidRPr="003A2A93">
        <w:rPr>
          <w:color w:val="1C1E29"/>
          <w:sz w:val="24"/>
          <w:szCs w:val="24"/>
        </w:rPr>
        <w:t>, </w:t>
      </w:r>
      <w:r w:rsidRPr="003A2A93">
        <w:rPr>
          <w:i/>
          <w:iCs/>
          <w:color w:val="1C1E29"/>
          <w:sz w:val="24"/>
          <w:szCs w:val="24"/>
        </w:rPr>
        <w:t>4</w:t>
      </w:r>
      <w:r w:rsidRPr="003A2A93">
        <w:rPr>
          <w:color w:val="1C1E29"/>
          <w:sz w:val="24"/>
          <w:szCs w:val="24"/>
        </w:rPr>
        <w:t>(6), 645.</w:t>
      </w:r>
    </w:p>
    <w:p w14:paraId="37B8E1AA" w14:textId="77777777" w:rsidR="003A2A93" w:rsidRPr="003A2A93" w:rsidRDefault="003A2A93" w:rsidP="003A2A93">
      <w:pPr>
        <w:spacing w:line="480" w:lineRule="auto"/>
        <w:ind w:left="720" w:hanging="720"/>
        <w:rPr>
          <w:color w:val="1C1E29"/>
          <w:sz w:val="24"/>
          <w:szCs w:val="24"/>
        </w:rPr>
      </w:pPr>
      <w:r w:rsidRPr="003A2A93">
        <w:rPr>
          <w:color w:val="1C1E29"/>
          <w:sz w:val="24"/>
          <w:szCs w:val="24"/>
        </w:rPr>
        <w:t xml:space="preserve">Becklen, R., &amp; </w:t>
      </w:r>
      <w:proofErr w:type="spellStart"/>
      <w:r w:rsidRPr="003A2A93">
        <w:rPr>
          <w:color w:val="1C1E29"/>
          <w:sz w:val="24"/>
          <w:szCs w:val="24"/>
        </w:rPr>
        <w:t>Cervone</w:t>
      </w:r>
      <w:proofErr w:type="spellEnd"/>
      <w:r w:rsidRPr="003A2A93">
        <w:rPr>
          <w:color w:val="1C1E29"/>
          <w:sz w:val="24"/>
          <w:szCs w:val="24"/>
        </w:rPr>
        <w:t>, D. (1983). Selective looking and the noticing of unexpected events. </w:t>
      </w:r>
      <w:r w:rsidRPr="003A2A93">
        <w:rPr>
          <w:i/>
          <w:iCs/>
          <w:color w:val="1C1E29"/>
          <w:sz w:val="24"/>
          <w:szCs w:val="24"/>
        </w:rPr>
        <w:t>Memory &amp; Cognition</w:t>
      </w:r>
      <w:r w:rsidRPr="003A2A93">
        <w:rPr>
          <w:color w:val="1C1E29"/>
          <w:sz w:val="24"/>
          <w:szCs w:val="24"/>
        </w:rPr>
        <w:t>, </w:t>
      </w:r>
      <w:r w:rsidRPr="003A2A93">
        <w:rPr>
          <w:i/>
          <w:iCs/>
          <w:color w:val="1C1E29"/>
          <w:sz w:val="24"/>
          <w:szCs w:val="24"/>
        </w:rPr>
        <w:t>11</w:t>
      </w:r>
      <w:r w:rsidRPr="003A2A93">
        <w:rPr>
          <w:color w:val="1C1E29"/>
          <w:sz w:val="24"/>
          <w:szCs w:val="24"/>
        </w:rPr>
        <w:t>(6), 601-608.</w:t>
      </w:r>
    </w:p>
    <w:p w14:paraId="4AB5FC71" w14:textId="77777777" w:rsidR="003A2A93" w:rsidRPr="003A2A93" w:rsidRDefault="003A2A93" w:rsidP="003A2A93">
      <w:pPr>
        <w:spacing w:line="480" w:lineRule="auto"/>
        <w:ind w:left="720" w:hanging="720"/>
        <w:rPr>
          <w:color w:val="1C1E29"/>
          <w:sz w:val="24"/>
          <w:szCs w:val="24"/>
        </w:rPr>
      </w:pPr>
      <w:proofErr w:type="spellStart"/>
      <w:r w:rsidRPr="003A2A93">
        <w:rPr>
          <w:color w:val="1C1E29"/>
          <w:sz w:val="24"/>
          <w:szCs w:val="24"/>
        </w:rPr>
        <w:t>Bentin</w:t>
      </w:r>
      <w:proofErr w:type="spellEnd"/>
      <w:r w:rsidRPr="003A2A93">
        <w:rPr>
          <w:color w:val="1C1E29"/>
          <w:sz w:val="24"/>
          <w:szCs w:val="24"/>
        </w:rPr>
        <w:t xml:space="preserve">, S., </w:t>
      </w:r>
      <w:proofErr w:type="spellStart"/>
      <w:r w:rsidRPr="003A2A93">
        <w:rPr>
          <w:color w:val="1C1E29"/>
          <w:sz w:val="24"/>
          <w:szCs w:val="24"/>
        </w:rPr>
        <w:t>Kutas</w:t>
      </w:r>
      <w:proofErr w:type="spellEnd"/>
      <w:r w:rsidRPr="003A2A93">
        <w:rPr>
          <w:color w:val="1C1E29"/>
          <w:sz w:val="24"/>
          <w:szCs w:val="24"/>
        </w:rPr>
        <w:t>, M., &amp; Hillyard, S. A. (1995). Semantic processing and memory for attended and unattended words in dichotic listening: behavioural and electrophysiological evidence. </w:t>
      </w:r>
      <w:r w:rsidRPr="003A2A93">
        <w:rPr>
          <w:i/>
          <w:iCs/>
          <w:color w:val="1C1E29"/>
          <w:sz w:val="24"/>
          <w:szCs w:val="24"/>
        </w:rPr>
        <w:t>Journal of Experimental Psychology: Human Perception and Performance</w:t>
      </w:r>
      <w:r w:rsidRPr="003A2A93">
        <w:rPr>
          <w:color w:val="1C1E29"/>
          <w:sz w:val="24"/>
          <w:szCs w:val="24"/>
        </w:rPr>
        <w:t>, </w:t>
      </w:r>
      <w:r w:rsidRPr="003A2A93">
        <w:rPr>
          <w:i/>
          <w:iCs/>
          <w:color w:val="1C1E29"/>
          <w:sz w:val="24"/>
          <w:szCs w:val="24"/>
        </w:rPr>
        <w:t>21</w:t>
      </w:r>
      <w:r w:rsidRPr="003A2A93">
        <w:rPr>
          <w:color w:val="1C1E29"/>
          <w:sz w:val="24"/>
          <w:szCs w:val="24"/>
        </w:rPr>
        <w:t>(1), 54.</w:t>
      </w:r>
    </w:p>
    <w:p w14:paraId="42A2520B" w14:textId="77777777" w:rsidR="003A2A93" w:rsidRPr="003A2A93" w:rsidRDefault="003A2A93" w:rsidP="003A2A93">
      <w:pPr>
        <w:spacing w:line="480" w:lineRule="auto"/>
        <w:ind w:left="720" w:hanging="720"/>
        <w:rPr>
          <w:color w:val="1C1E29"/>
          <w:sz w:val="24"/>
          <w:szCs w:val="24"/>
        </w:rPr>
      </w:pPr>
      <w:r w:rsidRPr="003A2A93">
        <w:rPr>
          <w:color w:val="1C1E29"/>
          <w:sz w:val="24"/>
          <w:szCs w:val="24"/>
        </w:rPr>
        <w:t xml:space="preserve">Bishop, S. R., Lau, M., Shapiro, S., Carlson, L., Anderson, N. D., Carmody, J., ... &amp; </w:t>
      </w:r>
      <w:proofErr w:type="spellStart"/>
      <w:r w:rsidRPr="003A2A93">
        <w:rPr>
          <w:color w:val="1C1E29"/>
          <w:sz w:val="24"/>
          <w:szCs w:val="24"/>
        </w:rPr>
        <w:t>Devins</w:t>
      </w:r>
      <w:proofErr w:type="spellEnd"/>
      <w:r w:rsidRPr="003A2A93">
        <w:rPr>
          <w:color w:val="1C1E29"/>
          <w:sz w:val="24"/>
          <w:szCs w:val="24"/>
        </w:rPr>
        <w:t>, G. (2004). Mindfulness: A proposed operational definition. </w:t>
      </w:r>
      <w:r w:rsidRPr="003A2A93">
        <w:rPr>
          <w:i/>
          <w:iCs/>
          <w:color w:val="1C1E29"/>
          <w:sz w:val="24"/>
          <w:szCs w:val="24"/>
        </w:rPr>
        <w:t>Clinical psychology: Science and practice</w:t>
      </w:r>
      <w:r w:rsidRPr="003A2A93">
        <w:rPr>
          <w:color w:val="1C1E29"/>
          <w:sz w:val="24"/>
          <w:szCs w:val="24"/>
        </w:rPr>
        <w:t>, </w:t>
      </w:r>
      <w:r w:rsidRPr="003A2A93">
        <w:rPr>
          <w:i/>
          <w:iCs/>
          <w:color w:val="1C1E29"/>
          <w:sz w:val="24"/>
          <w:szCs w:val="24"/>
        </w:rPr>
        <w:t>11</w:t>
      </w:r>
      <w:r w:rsidRPr="003A2A93">
        <w:rPr>
          <w:color w:val="1C1E29"/>
          <w:sz w:val="24"/>
          <w:szCs w:val="24"/>
        </w:rPr>
        <w:t>(3), 230-241.</w:t>
      </w:r>
    </w:p>
    <w:p w14:paraId="6832456A" w14:textId="77777777" w:rsidR="003A2A93" w:rsidRPr="003A2A93" w:rsidRDefault="003A2A93" w:rsidP="003A2A93">
      <w:pPr>
        <w:spacing w:line="480" w:lineRule="auto"/>
        <w:ind w:left="720" w:hanging="720"/>
        <w:rPr>
          <w:color w:val="1C1E29"/>
          <w:sz w:val="24"/>
          <w:szCs w:val="24"/>
        </w:rPr>
      </w:pPr>
      <w:r w:rsidRPr="003A2A93">
        <w:rPr>
          <w:color w:val="1C1E29"/>
          <w:sz w:val="24"/>
          <w:szCs w:val="24"/>
        </w:rPr>
        <w:t xml:space="preserve">Bressler, S. L., Tang, W., Sylvester, C. M., Shulman, G. L., &amp; </w:t>
      </w:r>
      <w:proofErr w:type="spellStart"/>
      <w:r w:rsidRPr="003A2A93">
        <w:rPr>
          <w:color w:val="1C1E29"/>
          <w:sz w:val="24"/>
          <w:szCs w:val="24"/>
        </w:rPr>
        <w:t>Corbetta</w:t>
      </w:r>
      <w:proofErr w:type="spellEnd"/>
      <w:r w:rsidRPr="003A2A93">
        <w:rPr>
          <w:color w:val="1C1E29"/>
          <w:sz w:val="24"/>
          <w:szCs w:val="24"/>
        </w:rPr>
        <w:t>, M. (2008). Top-down control of human visual cortex by frontal and parietal cortex in anticipatory visual spatial attention. </w:t>
      </w:r>
      <w:r w:rsidRPr="003A2A93">
        <w:rPr>
          <w:i/>
          <w:iCs/>
          <w:color w:val="1C1E29"/>
          <w:sz w:val="24"/>
          <w:szCs w:val="24"/>
        </w:rPr>
        <w:t>Journal of Neuroscience</w:t>
      </w:r>
      <w:r w:rsidRPr="003A2A93">
        <w:rPr>
          <w:color w:val="1C1E29"/>
          <w:sz w:val="24"/>
          <w:szCs w:val="24"/>
        </w:rPr>
        <w:t>, </w:t>
      </w:r>
      <w:r w:rsidRPr="003A2A93">
        <w:rPr>
          <w:i/>
          <w:iCs/>
          <w:color w:val="1C1E29"/>
          <w:sz w:val="24"/>
          <w:szCs w:val="24"/>
        </w:rPr>
        <w:t>28</w:t>
      </w:r>
      <w:r w:rsidRPr="003A2A93">
        <w:rPr>
          <w:color w:val="1C1E29"/>
          <w:sz w:val="24"/>
          <w:szCs w:val="24"/>
        </w:rPr>
        <w:t>(40), 10056-10061.</w:t>
      </w:r>
    </w:p>
    <w:p w14:paraId="6B9DD00B" w14:textId="77777777" w:rsidR="003A2A93" w:rsidRPr="003A2A93" w:rsidRDefault="003A2A93" w:rsidP="003A2A93">
      <w:pPr>
        <w:spacing w:line="480" w:lineRule="auto"/>
        <w:ind w:left="720" w:hanging="720"/>
        <w:rPr>
          <w:color w:val="1C1E29"/>
          <w:sz w:val="24"/>
          <w:szCs w:val="24"/>
        </w:rPr>
      </w:pPr>
      <w:r w:rsidRPr="003A2A93">
        <w:rPr>
          <w:color w:val="1C1E29"/>
          <w:sz w:val="24"/>
          <w:szCs w:val="24"/>
        </w:rPr>
        <w:t>Broadbent, D. E. (1958). Effect of noise on an “intellectual” task. </w:t>
      </w:r>
      <w:r w:rsidRPr="003A2A93">
        <w:rPr>
          <w:i/>
          <w:iCs/>
          <w:color w:val="1C1E29"/>
          <w:sz w:val="24"/>
          <w:szCs w:val="24"/>
        </w:rPr>
        <w:t>The Journal of the Acoustical Society of America</w:t>
      </w:r>
      <w:r w:rsidRPr="003A2A93">
        <w:rPr>
          <w:color w:val="1C1E29"/>
          <w:sz w:val="24"/>
          <w:szCs w:val="24"/>
        </w:rPr>
        <w:t>, </w:t>
      </w:r>
      <w:r w:rsidRPr="003A2A93">
        <w:rPr>
          <w:i/>
          <w:iCs/>
          <w:color w:val="1C1E29"/>
          <w:sz w:val="24"/>
          <w:szCs w:val="24"/>
        </w:rPr>
        <w:t>30</w:t>
      </w:r>
      <w:r w:rsidRPr="003A2A93">
        <w:rPr>
          <w:color w:val="1C1E29"/>
          <w:sz w:val="24"/>
          <w:szCs w:val="24"/>
        </w:rPr>
        <w:t>(9), 824-827.</w:t>
      </w:r>
    </w:p>
    <w:p w14:paraId="20431C5A" w14:textId="77777777" w:rsidR="003A2A93" w:rsidRPr="003A2A93" w:rsidRDefault="003A2A93" w:rsidP="003A2A93">
      <w:pPr>
        <w:spacing w:line="480" w:lineRule="auto"/>
        <w:ind w:left="720" w:hanging="720"/>
        <w:rPr>
          <w:color w:val="1C1E29"/>
          <w:sz w:val="24"/>
          <w:szCs w:val="24"/>
        </w:rPr>
      </w:pPr>
      <w:proofErr w:type="spellStart"/>
      <w:r w:rsidRPr="003A2A93">
        <w:rPr>
          <w:color w:val="1C1E29"/>
          <w:sz w:val="24"/>
          <w:szCs w:val="24"/>
        </w:rPr>
        <w:t>Bruya</w:t>
      </w:r>
      <w:proofErr w:type="spellEnd"/>
      <w:r w:rsidRPr="003A2A93">
        <w:rPr>
          <w:color w:val="1C1E29"/>
          <w:sz w:val="24"/>
          <w:szCs w:val="24"/>
        </w:rPr>
        <w:t>, B., &amp; Tang, Y. Y. (2018). Is attention really effort? Revisiting Daniel Kahneman’s influential 1973 book attention and effort. </w:t>
      </w:r>
      <w:r w:rsidRPr="003A2A93">
        <w:rPr>
          <w:i/>
          <w:iCs/>
          <w:color w:val="1C1E29"/>
          <w:sz w:val="24"/>
          <w:szCs w:val="24"/>
        </w:rPr>
        <w:t>Frontiers in psychology</w:t>
      </w:r>
      <w:r w:rsidRPr="003A2A93">
        <w:rPr>
          <w:color w:val="1C1E29"/>
          <w:sz w:val="24"/>
          <w:szCs w:val="24"/>
        </w:rPr>
        <w:t>, </w:t>
      </w:r>
      <w:r w:rsidRPr="003A2A93">
        <w:rPr>
          <w:i/>
          <w:iCs/>
          <w:color w:val="1C1E29"/>
          <w:sz w:val="24"/>
          <w:szCs w:val="24"/>
        </w:rPr>
        <w:t>9</w:t>
      </w:r>
      <w:r w:rsidRPr="003A2A93">
        <w:rPr>
          <w:color w:val="1C1E29"/>
          <w:sz w:val="24"/>
          <w:szCs w:val="24"/>
        </w:rPr>
        <w:t>.</w:t>
      </w:r>
    </w:p>
    <w:p w14:paraId="49A360F7" w14:textId="77777777" w:rsidR="003A2A93" w:rsidRPr="003A2A93" w:rsidRDefault="003A2A93" w:rsidP="003A2A93">
      <w:pPr>
        <w:spacing w:line="480" w:lineRule="auto"/>
        <w:ind w:left="720" w:hanging="720"/>
        <w:rPr>
          <w:color w:val="1C1E29"/>
          <w:sz w:val="24"/>
          <w:szCs w:val="24"/>
        </w:rPr>
      </w:pPr>
      <w:r w:rsidRPr="003A2A93">
        <w:rPr>
          <w:color w:val="1C1E29"/>
          <w:sz w:val="24"/>
          <w:szCs w:val="24"/>
        </w:rPr>
        <w:lastRenderedPageBreak/>
        <w:t>Burt, J. S. (1994). Identity primes produce facilitation in a colour naming task. </w:t>
      </w:r>
      <w:r w:rsidRPr="003A2A93">
        <w:rPr>
          <w:i/>
          <w:iCs/>
          <w:color w:val="1C1E29"/>
          <w:sz w:val="24"/>
          <w:szCs w:val="24"/>
        </w:rPr>
        <w:t>The Quarterly Journal of Experimental Psychology</w:t>
      </w:r>
      <w:r w:rsidRPr="003A2A93">
        <w:rPr>
          <w:color w:val="1C1E29"/>
          <w:sz w:val="24"/>
          <w:szCs w:val="24"/>
        </w:rPr>
        <w:t>, </w:t>
      </w:r>
      <w:r w:rsidRPr="003A2A93">
        <w:rPr>
          <w:i/>
          <w:iCs/>
          <w:color w:val="1C1E29"/>
          <w:sz w:val="24"/>
          <w:szCs w:val="24"/>
        </w:rPr>
        <w:t>47</w:t>
      </w:r>
      <w:r w:rsidRPr="003A2A93">
        <w:rPr>
          <w:color w:val="1C1E29"/>
          <w:sz w:val="24"/>
          <w:szCs w:val="24"/>
        </w:rPr>
        <w:t>(4), 957-1000.</w:t>
      </w:r>
    </w:p>
    <w:p w14:paraId="1BCBCD62" w14:textId="77777777" w:rsidR="003A2A93" w:rsidRPr="003A2A93" w:rsidRDefault="003A2A93" w:rsidP="003A2A93">
      <w:pPr>
        <w:spacing w:line="480" w:lineRule="auto"/>
        <w:ind w:left="720" w:hanging="720"/>
        <w:rPr>
          <w:color w:val="1C1E29"/>
          <w:sz w:val="24"/>
          <w:szCs w:val="24"/>
        </w:rPr>
      </w:pPr>
      <w:r w:rsidRPr="003A2A93">
        <w:rPr>
          <w:color w:val="1C1E29"/>
          <w:sz w:val="24"/>
          <w:szCs w:val="24"/>
        </w:rPr>
        <w:t>Cherry, E. C. (1953). Some experiments on the recognition of speech, with one and with two ears. </w:t>
      </w:r>
      <w:r w:rsidRPr="003A2A93">
        <w:rPr>
          <w:i/>
          <w:iCs/>
          <w:color w:val="1C1E29"/>
          <w:sz w:val="24"/>
          <w:szCs w:val="24"/>
        </w:rPr>
        <w:t>The Journal of the acoustical society of America</w:t>
      </w:r>
      <w:r w:rsidRPr="003A2A93">
        <w:rPr>
          <w:color w:val="1C1E29"/>
          <w:sz w:val="24"/>
          <w:szCs w:val="24"/>
        </w:rPr>
        <w:t>, </w:t>
      </w:r>
      <w:r w:rsidRPr="003A2A93">
        <w:rPr>
          <w:i/>
          <w:iCs/>
          <w:color w:val="1C1E29"/>
          <w:sz w:val="24"/>
          <w:szCs w:val="24"/>
        </w:rPr>
        <w:t>25</w:t>
      </w:r>
      <w:r w:rsidRPr="003A2A93">
        <w:rPr>
          <w:color w:val="1C1E29"/>
          <w:sz w:val="24"/>
          <w:szCs w:val="24"/>
        </w:rPr>
        <w:t>(5), 975-979.</w:t>
      </w:r>
    </w:p>
    <w:p w14:paraId="7492E06C" w14:textId="77777777" w:rsidR="003A2A93" w:rsidRPr="003A2A93" w:rsidRDefault="003A2A93" w:rsidP="003A2A93">
      <w:pPr>
        <w:spacing w:line="480" w:lineRule="auto"/>
        <w:ind w:left="720" w:hanging="720"/>
        <w:rPr>
          <w:color w:val="1C1E29"/>
          <w:sz w:val="24"/>
          <w:szCs w:val="24"/>
        </w:rPr>
      </w:pPr>
      <w:proofErr w:type="spellStart"/>
      <w:r w:rsidRPr="003A2A93">
        <w:rPr>
          <w:color w:val="1C1E29"/>
          <w:sz w:val="24"/>
          <w:szCs w:val="24"/>
        </w:rPr>
        <w:t>Commodari</w:t>
      </w:r>
      <w:proofErr w:type="spellEnd"/>
      <w:r w:rsidRPr="003A2A93">
        <w:rPr>
          <w:color w:val="1C1E29"/>
          <w:sz w:val="24"/>
          <w:szCs w:val="24"/>
        </w:rPr>
        <w:t>, E. (2017). Novice readers: the role of focused, selective, distributed and alternating attention at the first year of the academic curriculum. </w:t>
      </w:r>
      <w:proofErr w:type="spellStart"/>
      <w:r w:rsidRPr="003A2A93">
        <w:rPr>
          <w:i/>
          <w:iCs/>
          <w:color w:val="1C1E29"/>
          <w:sz w:val="24"/>
          <w:szCs w:val="24"/>
        </w:rPr>
        <w:t>i</w:t>
      </w:r>
      <w:proofErr w:type="spellEnd"/>
      <w:r w:rsidRPr="003A2A93">
        <w:rPr>
          <w:i/>
          <w:iCs/>
          <w:color w:val="1C1E29"/>
          <w:sz w:val="24"/>
          <w:szCs w:val="24"/>
        </w:rPr>
        <w:t>-Perception</w:t>
      </w:r>
      <w:r w:rsidRPr="003A2A93">
        <w:rPr>
          <w:color w:val="1C1E29"/>
          <w:sz w:val="24"/>
          <w:szCs w:val="24"/>
        </w:rPr>
        <w:t>, </w:t>
      </w:r>
      <w:r w:rsidRPr="003A2A93">
        <w:rPr>
          <w:i/>
          <w:iCs/>
          <w:color w:val="1C1E29"/>
          <w:sz w:val="24"/>
          <w:szCs w:val="24"/>
        </w:rPr>
        <w:t>8</w:t>
      </w:r>
      <w:r w:rsidRPr="003A2A93">
        <w:rPr>
          <w:color w:val="1C1E29"/>
          <w:sz w:val="24"/>
          <w:szCs w:val="24"/>
        </w:rPr>
        <w:t>(4), 2041669517718557.</w:t>
      </w:r>
    </w:p>
    <w:p w14:paraId="41B87570" w14:textId="77777777" w:rsidR="003A2A93" w:rsidRPr="003A2A93" w:rsidRDefault="003A2A93" w:rsidP="003A2A93">
      <w:pPr>
        <w:spacing w:line="480" w:lineRule="auto"/>
        <w:ind w:left="720" w:hanging="720"/>
        <w:rPr>
          <w:color w:val="1C1E29"/>
          <w:sz w:val="24"/>
          <w:szCs w:val="24"/>
        </w:rPr>
      </w:pPr>
      <w:r w:rsidRPr="003A2A93">
        <w:rPr>
          <w:color w:val="1C1E29"/>
          <w:sz w:val="24"/>
          <w:szCs w:val="24"/>
        </w:rPr>
        <w:t xml:space="preserve">De </w:t>
      </w:r>
      <w:proofErr w:type="spellStart"/>
      <w:r w:rsidRPr="003A2A93">
        <w:rPr>
          <w:color w:val="1C1E29"/>
          <w:sz w:val="24"/>
          <w:szCs w:val="24"/>
        </w:rPr>
        <w:t>Fockert</w:t>
      </w:r>
      <w:proofErr w:type="spellEnd"/>
      <w:r w:rsidRPr="003A2A93">
        <w:rPr>
          <w:color w:val="1C1E29"/>
          <w:sz w:val="24"/>
          <w:szCs w:val="24"/>
        </w:rPr>
        <w:t>, J. W., Rees, G., Frith, C. D., &amp; Lavie, N. (2001). The role of working memory in visual selective attention. </w:t>
      </w:r>
      <w:r w:rsidRPr="003A2A93">
        <w:rPr>
          <w:i/>
          <w:iCs/>
          <w:color w:val="1C1E29"/>
          <w:sz w:val="24"/>
          <w:szCs w:val="24"/>
        </w:rPr>
        <w:t>Science</w:t>
      </w:r>
      <w:r w:rsidRPr="003A2A93">
        <w:rPr>
          <w:color w:val="1C1E29"/>
          <w:sz w:val="24"/>
          <w:szCs w:val="24"/>
        </w:rPr>
        <w:t>, </w:t>
      </w:r>
      <w:r w:rsidRPr="003A2A93">
        <w:rPr>
          <w:i/>
          <w:iCs/>
          <w:color w:val="1C1E29"/>
          <w:sz w:val="24"/>
          <w:szCs w:val="24"/>
        </w:rPr>
        <w:t>291</w:t>
      </w:r>
      <w:r w:rsidRPr="003A2A93">
        <w:rPr>
          <w:color w:val="1C1E29"/>
          <w:sz w:val="24"/>
          <w:szCs w:val="24"/>
        </w:rPr>
        <w:t>(5509), 1803-1806.</w:t>
      </w:r>
    </w:p>
    <w:p w14:paraId="5C7E1A3C" w14:textId="77777777" w:rsidR="003A2A93" w:rsidRPr="003A2A93" w:rsidRDefault="003A2A93" w:rsidP="003A2A93">
      <w:pPr>
        <w:spacing w:line="480" w:lineRule="auto"/>
        <w:ind w:left="720" w:hanging="720"/>
        <w:rPr>
          <w:color w:val="1C1E29"/>
          <w:sz w:val="24"/>
          <w:szCs w:val="24"/>
        </w:rPr>
      </w:pPr>
      <w:r w:rsidRPr="003A2A93">
        <w:rPr>
          <w:color w:val="1C1E29"/>
          <w:sz w:val="24"/>
          <w:szCs w:val="24"/>
        </w:rPr>
        <w:t>Deutsch, J. A., &amp; Deutsch, D. (1963). Attention: Some theoretical considerations. </w:t>
      </w:r>
      <w:r w:rsidRPr="003A2A93">
        <w:rPr>
          <w:i/>
          <w:iCs/>
          <w:color w:val="1C1E29"/>
          <w:sz w:val="24"/>
          <w:szCs w:val="24"/>
        </w:rPr>
        <w:t>Psychological review</w:t>
      </w:r>
      <w:r w:rsidRPr="003A2A93">
        <w:rPr>
          <w:color w:val="1C1E29"/>
          <w:sz w:val="24"/>
          <w:szCs w:val="24"/>
        </w:rPr>
        <w:t>, </w:t>
      </w:r>
      <w:r w:rsidRPr="003A2A93">
        <w:rPr>
          <w:i/>
          <w:iCs/>
          <w:color w:val="1C1E29"/>
          <w:sz w:val="24"/>
          <w:szCs w:val="24"/>
        </w:rPr>
        <w:t>70</w:t>
      </w:r>
      <w:r w:rsidRPr="003A2A93">
        <w:rPr>
          <w:color w:val="1C1E29"/>
          <w:sz w:val="24"/>
          <w:szCs w:val="24"/>
        </w:rPr>
        <w:t>(1), 80.</w:t>
      </w:r>
    </w:p>
    <w:p w14:paraId="6CC153C0" w14:textId="77777777" w:rsidR="003A2A93" w:rsidRPr="003A2A93" w:rsidRDefault="003A2A93" w:rsidP="003A2A93">
      <w:pPr>
        <w:spacing w:line="480" w:lineRule="auto"/>
        <w:ind w:left="720" w:hanging="720"/>
        <w:rPr>
          <w:color w:val="1C1E29"/>
          <w:sz w:val="24"/>
          <w:szCs w:val="24"/>
        </w:rPr>
      </w:pPr>
      <w:r w:rsidRPr="003A2A93">
        <w:rPr>
          <w:color w:val="1C1E29"/>
          <w:sz w:val="24"/>
          <w:szCs w:val="24"/>
        </w:rPr>
        <w:t>Eysenck, M. W., &amp; Keane, M. T. (2015). </w:t>
      </w:r>
      <w:r w:rsidRPr="003A2A93">
        <w:rPr>
          <w:i/>
          <w:iCs/>
          <w:color w:val="1C1E29"/>
          <w:sz w:val="24"/>
          <w:szCs w:val="24"/>
        </w:rPr>
        <w:t>Cognitive psychology: A student's handbook</w:t>
      </w:r>
      <w:r w:rsidRPr="003A2A93">
        <w:rPr>
          <w:color w:val="1C1E29"/>
          <w:sz w:val="24"/>
          <w:szCs w:val="24"/>
        </w:rPr>
        <w:t>. Psychology press.</w:t>
      </w:r>
    </w:p>
    <w:p w14:paraId="4FB6D26D" w14:textId="77777777" w:rsidR="003A2A93" w:rsidRPr="003A2A93" w:rsidRDefault="003A2A93" w:rsidP="003A2A93">
      <w:pPr>
        <w:spacing w:line="480" w:lineRule="auto"/>
        <w:ind w:left="720" w:hanging="720"/>
        <w:rPr>
          <w:color w:val="1C1E29"/>
          <w:sz w:val="24"/>
          <w:szCs w:val="24"/>
        </w:rPr>
      </w:pPr>
      <w:proofErr w:type="spellStart"/>
      <w:r w:rsidRPr="003A2A93">
        <w:rPr>
          <w:color w:val="1C1E29"/>
          <w:sz w:val="24"/>
          <w:szCs w:val="24"/>
        </w:rPr>
        <w:t>Geva</w:t>
      </w:r>
      <w:proofErr w:type="spellEnd"/>
      <w:r w:rsidRPr="003A2A93">
        <w:rPr>
          <w:color w:val="1C1E29"/>
          <w:sz w:val="24"/>
          <w:szCs w:val="24"/>
        </w:rPr>
        <w:t xml:space="preserve">, R., </w:t>
      </w:r>
      <w:proofErr w:type="spellStart"/>
      <w:r w:rsidRPr="003A2A93">
        <w:rPr>
          <w:color w:val="1C1E29"/>
          <w:sz w:val="24"/>
          <w:szCs w:val="24"/>
        </w:rPr>
        <w:t>Zivan</w:t>
      </w:r>
      <w:proofErr w:type="spellEnd"/>
      <w:r w:rsidRPr="003A2A93">
        <w:rPr>
          <w:color w:val="1C1E29"/>
          <w:sz w:val="24"/>
          <w:szCs w:val="24"/>
        </w:rPr>
        <w:t xml:space="preserve">, M., </w:t>
      </w:r>
      <w:proofErr w:type="spellStart"/>
      <w:r w:rsidRPr="003A2A93">
        <w:rPr>
          <w:color w:val="1C1E29"/>
          <w:sz w:val="24"/>
          <w:szCs w:val="24"/>
        </w:rPr>
        <w:t>Warsha</w:t>
      </w:r>
      <w:proofErr w:type="spellEnd"/>
      <w:r w:rsidRPr="003A2A93">
        <w:rPr>
          <w:color w:val="1C1E29"/>
          <w:sz w:val="24"/>
          <w:szCs w:val="24"/>
        </w:rPr>
        <w:t xml:space="preserve">, A., &amp; </w:t>
      </w:r>
      <w:proofErr w:type="spellStart"/>
      <w:r w:rsidRPr="003A2A93">
        <w:rPr>
          <w:color w:val="1C1E29"/>
          <w:sz w:val="24"/>
          <w:szCs w:val="24"/>
        </w:rPr>
        <w:t>Olchik</w:t>
      </w:r>
      <w:proofErr w:type="spellEnd"/>
      <w:r w:rsidRPr="003A2A93">
        <w:rPr>
          <w:color w:val="1C1E29"/>
          <w:sz w:val="24"/>
          <w:szCs w:val="24"/>
        </w:rPr>
        <w:t>, D. (2013). Alerting, orienting or executive attention networks: differential patterns of pupil dilations. </w:t>
      </w:r>
      <w:r w:rsidRPr="003A2A93">
        <w:rPr>
          <w:i/>
          <w:iCs/>
          <w:color w:val="1C1E29"/>
          <w:sz w:val="24"/>
          <w:szCs w:val="24"/>
        </w:rPr>
        <w:t>Frontiers in behavioural neuroscience</w:t>
      </w:r>
      <w:r w:rsidRPr="003A2A93">
        <w:rPr>
          <w:color w:val="1C1E29"/>
          <w:sz w:val="24"/>
          <w:szCs w:val="24"/>
        </w:rPr>
        <w:t>, </w:t>
      </w:r>
      <w:r w:rsidRPr="003A2A93">
        <w:rPr>
          <w:i/>
          <w:iCs/>
          <w:color w:val="1C1E29"/>
          <w:sz w:val="24"/>
          <w:szCs w:val="24"/>
        </w:rPr>
        <w:t>7</w:t>
      </w:r>
      <w:r w:rsidRPr="003A2A93">
        <w:rPr>
          <w:color w:val="1C1E29"/>
          <w:sz w:val="24"/>
          <w:szCs w:val="24"/>
        </w:rPr>
        <w:t>, 145.</w:t>
      </w:r>
    </w:p>
    <w:p w14:paraId="33B38C2B" w14:textId="77777777" w:rsidR="003A2A93" w:rsidRPr="003A2A93" w:rsidRDefault="003A2A93" w:rsidP="003A2A93">
      <w:pPr>
        <w:spacing w:line="480" w:lineRule="auto"/>
        <w:ind w:left="720" w:hanging="720"/>
        <w:rPr>
          <w:color w:val="1C1E29"/>
          <w:sz w:val="24"/>
          <w:szCs w:val="24"/>
        </w:rPr>
      </w:pPr>
      <w:r w:rsidRPr="003A2A93">
        <w:rPr>
          <w:color w:val="1C1E29"/>
          <w:sz w:val="24"/>
          <w:szCs w:val="24"/>
        </w:rPr>
        <w:t xml:space="preserve">Hong, J. Y., &amp; Jeon, J. Y. (2014). The effects of </w:t>
      </w:r>
      <w:proofErr w:type="spellStart"/>
      <w:r w:rsidRPr="003A2A93">
        <w:rPr>
          <w:color w:val="1C1E29"/>
          <w:sz w:val="24"/>
          <w:szCs w:val="24"/>
        </w:rPr>
        <w:t>audiovisual</w:t>
      </w:r>
      <w:proofErr w:type="spellEnd"/>
      <w:r w:rsidRPr="003A2A93">
        <w:rPr>
          <w:color w:val="1C1E29"/>
          <w:sz w:val="24"/>
          <w:szCs w:val="24"/>
        </w:rPr>
        <w:t xml:space="preserve"> factors on perceptions of environmental noise barrier performance. </w:t>
      </w:r>
      <w:r w:rsidRPr="003A2A93">
        <w:rPr>
          <w:i/>
          <w:iCs/>
          <w:color w:val="1C1E29"/>
          <w:sz w:val="24"/>
          <w:szCs w:val="24"/>
        </w:rPr>
        <w:t>Landscape and Urban Planning</w:t>
      </w:r>
      <w:r w:rsidRPr="003A2A93">
        <w:rPr>
          <w:color w:val="1C1E29"/>
          <w:sz w:val="24"/>
          <w:szCs w:val="24"/>
        </w:rPr>
        <w:t>, </w:t>
      </w:r>
      <w:r w:rsidRPr="003A2A93">
        <w:rPr>
          <w:i/>
          <w:iCs/>
          <w:color w:val="1C1E29"/>
          <w:sz w:val="24"/>
          <w:szCs w:val="24"/>
        </w:rPr>
        <w:t>125</w:t>
      </w:r>
      <w:r w:rsidRPr="003A2A93">
        <w:rPr>
          <w:color w:val="1C1E29"/>
          <w:sz w:val="24"/>
          <w:szCs w:val="24"/>
        </w:rPr>
        <w:t>, 28-37.</w:t>
      </w:r>
    </w:p>
    <w:p w14:paraId="0A152F08" w14:textId="77777777" w:rsidR="003A2A93" w:rsidRPr="003A2A93" w:rsidRDefault="003A2A93" w:rsidP="003A2A93">
      <w:pPr>
        <w:spacing w:line="480" w:lineRule="auto"/>
        <w:ind w:left="720" w:hanging="720"/>
        <w:rPr>
          <w:color w:val="1C1E29"/>
          <w:sz w:val="24"/>
          <w:szCs w:val="24"/>
        </w:rPr>
      </w:pPr>
      <w:r w:rsidRPr="003A2A93">
        <w:rPr>
          <w:color w:val="1C1E29"/>
          <w:sz w:val="24"/>
          <w:szCs w:val="24"/>
        </w:rPr>
        <w:t xml:space="preserve">James, W., Burkhardt, F., Bowers, F., &amp; </w:t>
      </w:r>
      <w:proofErr w:type="spellStart"/>
      <w:r w:rsidRPr="003A2A93">
        <w:rPr>
          <w:color w:val="1C1E29"/>
          <w:sz w:val="24"/>
          <w:szCs w:val="24"/>
        </w:rPr>
        <w:t>Skrupskelis</w:t>
      </w:r>
      <w:proofErr w:type="spellEnd"/>
      <w:r w:rsidRPr="003A2A93">
        <w:rPr>
          <w:color w:val="1C1E29"/>
          <w:sz w:val="24"/>
          <w:szCs w:val="24"/>
        </w:rPr>
        <w:t>, I. K. (1890). </w:t>
      </w:r>
      <w:r w:rsidRPr="003A2A93">
        <w:rPr>
          <w:i/>
          <w:iCs/>
          <w:color w:val="1C1E29"/>
          <w:sz w:val="24"/>
          <w:szCs w:val="24"/>
        </w:rPr>
        <w:t>The principles of psychology</w:t>
      </w:r>
      <w:r w:rsidRPr="003A2A93">
        <w:rPr>
          <w:color w:val="1C1E29"/>
          <w:sz w:val="24"/>
          <w:szCs w:val="24"/>
        </w:rPr>
        <w:t> (Vol. 1, No. 2). London: Macmillan.</w:t>
      </w:r>
    </w:p>
    <w:p w14:paraId="69B9FE7A" w14:textId="77777777" w:rsidR="003A2A93" w:rsidRPr="003A2A93" w:rsidRDefault="003A2A93" w:rsidP="003A2A93">
      <w:pPr>
        <w:spacing w:line="480" w:lineRule="auto"/>
        <w:ind w:left="720" w:hanging="720"/>
        <w:rPr>
          <w:color w:val="1C1E29"/>
          <w:sz w:val="24"/>
          <w:szCs w:val="24"/>
        </w:rPr>
      </w:pPr>
      <w:r w:rsidRPr="003A2A93">
        <w:rPr>
          <w:color w:val="1C1E29"/>
          <w:sz w:val="24"/>
          <w:szCs w:val="24"/>
        </w:rPr>
        <w:t>Johnson, A., &amp; Proctor, R. W. (2004). </w:t>
      </w:r>
      <w:r w:rsidRPr="003A2A93">
        <w:rPr>
          <w:i/>
          <w:iCs/>
          <w:color w:val="1C1E29"/>
          <w:sz w:val="24"/>
          <w:szCs w:val="24"/>
        </w:rPr>
        <w:t>Attention: Theory and practice</w:t>
      </w:r>
      <w:r w:rsidRPr="003A2A93">
        <w:rPr>
          <w:color w:val="1C1E29"/>
          <w:sz w:val="24"/>
          <w:szCs w:val="24"/>
        </w:rPr>
        <w:t>. Sage.</w:t>
      </w:r>
    </w:p>
    <w:p w14:paraId="1F646D7B" w14:textId="77777777" w:rsidR="003A2A93" w:rsidRPr="003A2A93" w:rsidRDefault="003A2A93" w:rsidP="003A2A93">
      <w:pPr>
        <w:spacing w:line="480" w:lineRule="auto"/>
        <w:ind w:left="720" w:hanging="720"/>
        <w:rPr>
          <w:color w:val="1C1E29"/>
          <w:sz w:val="24"/>
          <w:szCs w:val="24"/>
        </w:rPr>
      </w:pPr>
      <w:r w:rsidRPr="003A2A93">
        <w:rPr>
          <w:color w:val="1C1E29"/>
          <w:sz w:val="24"/>
          <w:szCs w:val="24"/>
        </w:rPr>
        <w:t>Kahneman, D. (1973). </w:t>
      </w:r>
      <w:r w:rsidRPr="003A2A93">
        <w:rPr>
          <w:i/>
          <w:iCs/>
          <w:color w:val="1C1E29"/>
          <w:sz w:val="24"/>
          <w:szCs w:val="24"/>
        </w:rPr>
        <w:t>Attention and effort</w:t>
      </w:r>
      <w:r w:rsidRPr="003A2A93">
        <w:rPr>
          <w:color w:val="1C1E29"/>
          <w:sz w:val="24"/>
          <w:szCs w:val="24"/>
        </w:rPr>
        <w:t> (Vol. 1063). Englewood Cliffs, NJ: Prentice-Hall.</w:t>
      </w:r>
    </w:p>
    <w:p w14:paraId="6AC8D562" w14:textId="77777777" w:rsidR="003A2A93" w:rsidRPr="003A2A93" w:rsidRDefault="003A2A93" w:rsidP="003A2A93">
      <w:pPr>
        <w:spacing w:line="480" w:lineRule="auto"/>
        <w:ind w:left="720" w:hanging="720"/>
        <w:rPr>
          <w:color w:val="1C1E29"/>
          <w:sz w:val="24"/>
          <w:szCs w:val="24"/>
        </w:rPr>
      </w:pPr>
      <w:r w:rsidRPr="003A2A93">
        <w:rPr>
          <w:color w:val="1C1E29"/>
          <w:sz w:val="24"/>
          <w:szCs w:val="24"/>
        </w:rPr>
        <w:t xml:space="preserve"> Kahneman, D. and </w:t>
      </w:r>
      <w:proofErr w:type="spellStart"/>
      <w:r w:rsidRPr="003A2A93">
        <w:rPr>
          <w:color w:val="1C1E29"/>
          <w:sz w:val="24"/>
          <w:szCs w:val="24"/>
        </w:rPr>
        <w:t>Henik</w:t>
      </w:r>
      <w:proofErr w:type="spellEnd"/>
      <w:r w:rsidRPr="003A2A93">
        <w:rPr>
          <w:color w:val="1C1E29"/>
          <w:sz w:val="24"/>
          <w:szCs w:val="24"/>
        </w:rPr>
        <w:t>, A., 2017. Perceptual organization and attention. In Perceptual organization (pp. 181-211). Routledge.</w:t>
      </w:r>
    </w:p>
    <w:p w14:paraId="35AEF84E" w14:textId="77777777" w:rsidR="003A2A93" w:rsidRPr="003A2A93" w:rsidRDefault="003A2A93" w:rsidP="003A2A93">
      <w:pPr>
        <w:spacing w:line="480" w:lineRule="auto"/>
        <w:ind w:left="720" w:hanging="720"/>
        <w:rPr>
          <w:color w:val="1C1E29"/>
          <w:sz w:val="24"/>
          <w:szCs w:val="24"/>
        </w:rPr>
      </w:pPr>
      <w:r w:rsidRPr="003A2A93">
        <w:rPr>
          <w:color w:val="1C1E29"/>
          <w:sz w:val="24"/>
          <w:szCs w:val="24"/>
        </w:rPr>
        <w:lastRenderedPageBreak/>
        <w:t>Lavie, N. (1995). Perceptual load as a necessary condition for selective attention. </w:t>
      </w:r>
      <w:r w:rsidRPr="003A2A93">
        <w:rPr>
          <w:i/>
          <w:iCs/>
          <w:color w:val="1C1E29"/>
          <w:sz w:val="24"/>
          <w:szCs w:val="24"/>
        </w:rPr>
        <w:t>Journal of Experimental Psychology: Human perception and performance</w:t>
      </w:r>
      <w:r w:rsidRPr="003A2A93">
        <w:rPr>
          <w:color w:val="1C1E29"/>
          <w:sz w:val="24"/>
          <w:szCs w:val="24"/>
        </w:rPr>
        <w:t>, </w:t>
      </w:r>
      <w:r w:rsidRPr="003A2A93">
        <w:rPr>
          <w:i/>
          <w:iCs/>
          <w:color w:val="1C1E29"/>
          <w:sz w:val="24"/>
          <w:szCs w:val="24"/>
        </w:rPr>
        <w:t>21</w:t>
      </w:r>
      <w:r w:rsidRPr="003A2A93">
        <w:rPr>
          <w:color w:val="1C1E29"/>
          <w:sz w:val="24"/>
          <w:szCs w:val="24"/>
        </w:rPr>
        <w:t>(3), 451.</w:t>
      </w:r>
    </w:p>
    <w:p w14:paraId="14788ACD" w14:textId="77777777" w:rsidR="003A2A93" w:rsidRPr="003A2A93" w:rsidRDefault="003A2A93" w:rsidP="003A2A93">
      <w:pPr>
        <w:spacing w:line="480" w:lineRule="auto"/>
        <w:ind w:left="720" w:hanging="720"/>
        <w:rPr>
          <w:color w:val="1C1E29"/>
          <w:sz w:val="24"/>
          <w:szCs w:val="24"/>
        </w:rPr>
      </w:pPr>
      <w:r w:rsidRPr="003A2A93">
        <w:rPr>
          <w:color w:val="1C1E29"/>
          <w:sz w:val="24"/>
          <w:szCs w:val="24"/>
        </w:rPr>
        <w:t>Lavie, N. (2005). Distracted and confused? Selective attention under load. </w:t>
      </w:r>
      <w:r w:rsidRPr="003A2A93">
        <w:rPr>
          <w:i/>
          <w:iCs/>
          <w:color w:val="1C1E29"/>
          <w:sz w:val="24"/>
          <w:szCs w:val="24"/>
        </w:rPr>
        <w:t>Trends in cognitive sciences</w:t>
      </w:r>
      <w:r w:rsidRPr="003A2A93">
        <w:rPr>
          <w:color w:val="1C1E29"/>
          <w:sz w:val="24"/>
          <w:szCs w:val="24"/>
        </w:rPr>
        <w:t>, </w:t>
      </w:r>
      <w:r w:rsidRPr="003A2A93">
        <w:rPr>
          <w:i/>
          <w:iCs/>
          <w:color w:val="1C1E29"/>
          <w:sz w:val="24"/>
          <w:szCs w:val="24"/>
        </w:rPr>
        <w:t>9</w:t>
      </w:r>
      <w:r w:rsidRPr="003A2A93">
        <w:rPr>
          <w:color w:val="1C1E29"/>
          <w:sz w:val="24"/>
          <w:szCs w:val="24"/>
        </w:rPr>
        <w:t>(2), 75-82.</w:t>
      </w:r>
    </w:p>
    <w:p w14:paraId="6F71925E" w14:textId="77777777" w:rsidR="003A2A93" w:rsidRPr="003A2A93" w:rsidRDefault="003A2A93" w:rsidP="003A2A93">
      <w:pPr>
        <w:spacing w:line="480" w:lineRule="auto"/>
        <w:ind w:left="720" w:hanging="720"/>
        <w:rPr>
          <w:color w:val="1C1E29"/>
          <w:sz w:val="24"/>
          <w:szCs w:val="24"/>
        </w:rPr>
      </w:pPr>
      <w:r w:rsidRPr="003A2A93">
        <w:rPr>
          <w:color w:val="1C1E29"/>
          <w:sz w:val="24"/>
          <w:szCs w:val="24"/>
        </w:rPr>
        <w:t>Lavie, N., &amp; Dalton, P. (2014). Load theory of attention and cognitive control. </w:t>
      </w:r>
      <w:r w:rsidRPr="003A2A93">
        <w:rPr>
          <w:i/>
          <w:iCs/>
          <w:color w:val="1C1E29"/>
          <w:sz w:val="24"/>
          <w:szCs w:val="24"/>
        </w:rPr>
        <w:t>Oxford library of psychology. The Oxford handbook of attention</w:t>
      </w:r>
      <w:r w:rsidRPr="003A2A93">
        <w:rPr>
          <w:color w:val="1C1E29"/>
          <w:sz w:val="24"/>
          <w:szCs w:val="24"/>
        </w:rPr>
        <w:t>, 56-75.</w:t>
      </w:r>
    </w:p>
    <w:p w14:paraId="73090D51" w14:textId="77777777" w:rsidR="003A2A93" w:rsidRPr="003A2A93" w:rsidRDefault="003A2A93" w:rsidP="003A2A93">
      <w:pPr>
        <w:spacing w:line="480" w:lineRule="auto"/>
        <w:ind w:left="720" w:hanging="720"/>
        <w:rPr>
          <w:color w:val="1C1E29"/>
          <w:sz w:val="24"/>
          <w:szCs w:val="24"/>
        </w:rPr>
      </w:pPr>
      <w:proofErr w:type="spellStart"/>
      <w:r w:rsidRPr="003A2A93">
        <w:rPr>
          <w:color w:val="1C1E29"/>
          <w:sz w:val="24"/>
          <w:szCs w:val="24"/>
        </w:rPr>
        <w:t>Memmert</w:t>
      </w:r>
      <w:proofErr w:type="spellEnd"/>
      <w:r w:rsidRPr="003A2A93">
        <w:rPr>
          <w:color w:val="1C1E29"/>
          <w:sz w:val="24"/>
          <w:szCs w:val="24"/>
        </w:rPr>
        <w:t xml:space="preserve">, D., Simons, D. J., &amp; </w:t>
      </w:r>
      <w:proofErr w:type="spellStart"/>
      <w:r w:rsidRPr="003A2A93">
        <w:rPr>
          <w:color w:val="1C1E29"/>
          <w:sz w:val="24"/>
          <w:szCs w:val="24"/>
        </w:rPr>
        <w:t>Grimme</w:t>
      </w:r>
      <w:proofErr w:type="spellEnd"/>
      <w:r w:rsidRPr="003A2A93">
        <w:rPr>
          <w:color w:val="1C1E29"/>
          <w:sz w:val="24"/>
          <w:szCs w:val="24"/>
        </w:rPr>
        <w:t>, T. (2009). The relationship between visual attention and expertise in sports. </w:t>
      </w:r>
      <w:r w:rsidRPr="003A2A93">
        <w:rPr>
          <w:i/>
          <w:iCs/>
          <w:color w:val="1C1E29"/>
          <w:sz w:val="24"/>
          <w:szCs w:val="24"/>
        </w:rPr>
        <w:t>Psychology of Sport and Exercise</w:t>
      </w:r>
      <w:r w:rsidRPr="003A2A93">
        <w:rPr>
          <w:color w:val="1C1E29"/>
          <w:sz w:val="24"/>
          <w:szCs w:val="24"/>
        </w:rPr>
        <w:t>, </w:t>
      </w:r>
      <w:r w:rsidRPr="003A2A93">
        <w:rPr>
          <w:i/>
          <w:iCs/>
          <w:color w:val="1C1E29"/>
          <w:sz w:val="24"/>
          <w:szCs w:val="24"/>
        </w:rPr>
        <w:t>10</w:t>
      </w:r>
      <w:r w:rsidRPr="003A2A93">
        <w:rPr>
          <w:color w:val="1C1E29"/>
          <w:sz w:val="24"/>
          <w:szCs w:val="24"/>
        </w:rPr>
        <w:t>(1), 146-151.</w:t>
      </w:r>
    </w:p>
    <w:p w14:paraId="3D50CF4B" w14:textId="77777777" w:rsidR="003A2A93" w:rsidRPr="003A2A93" w:rsidRDefault="003A2A93" w:rsidP="003A2A93">
      <w:pPr>
        <w:spacing w:line="480" w:lineRule="auto"/>
        <w:ind w:left="720" w:hanging="720"/>
        <w:rPr>
          <w:color w:val="1C1E29"/>
          <w:sz w:val="24"/>
          <w:szCs w:val="24"/>
        </w:rPr>
      </w:pPr>
      <w:r w:rsidRPr="003A2A93">
        <w:rPr>
          <w:color w:val="1C1E29"/>
          <w:sz w:val="24"/>
          <w:szCs w:val="24"/>
        </w:rPr>
        <w:t>Moray, N. (1959). Attention in dichotic listening: Affective cues and the influence of instructions. </w:t>
      </w:r>
      <w:r w:rsidRPr="003A2A93">
        <w:rPr>
          <w:i/>
          <w:iCs/>
          <w:color w:val="1C1E29"/>
          <w:sz w:val="24"/>
          <w:szCs w:val="24"/>
        </w:rPr>
        <w:t>Quarterly journal of experimental psychology</w:t>
      </w:r>
      <w:r w:rsidRPr="003A2A93">
        <w:rPr>
          <w:color w:val="1C1E29"/>
          <w:sz w:val="24"/>
          <w:szCs w:val="24"/>
        </w:rPr>
        <w:t>, </w:t>
      </w:r>
      <w:r w:rsidRPr="003A2A93">
        <w:rPr>
          <w:i/>
          <w:iCs/>
          <w:color w:val="1C1E29"/>
          <w:sz w:val="24"/>
          <w:szCs w:val="24"/>
        </w:rPr>
        <w:t>11</w:t>
      </w:r>
      <w:r w:rsidRPr="003A2A93">
        <w:rPr>
          <w:color w:val="1C1E29"/>
          <w:sz w:val="24"/>
          <w:szCs w:val="24"/>
        </w:rPr>
        <w:t>(1), 56-60.</w:t>
      </w:r>
    </w:p>
    <w:p w14:paraId="602D3541" w14:textId="77777777" w:rsidR="003A2A93" w:rsidRPr="003A2A93" w:rsidRDefault="003A2A93" w:rsidP="003A2A93">
      <w:pPr>
        <w:spacing w:line="480" w:lineRule="auto"/>
        <w:ind w:left="720" w:hanging="720"/>
        <w:rPr>
          <w:color w:val="1C1E29"/>
          <w:sz w:val="24"/>
          <w:szCs w:val="24"/>
        </w:rPr>
      </w:pPr>
      <w:r w:rsidRPr="003A2A93">
        <w:rPr>
          <w:color w:val="1C1E29"/>
          <w:sz w:val="24"/>
          <w:szCs w:val="24"/>
        </w:rPr>
        <w:t>Murphy, G., &amp; Greene, C. M. (2015). High perceptual load causes inattentional blindness and deafness in drivers. </w:t>
      </w:r>
      <w:r w:rsidRPr="003A2A93">
        <w:rPr>
          <w:i/>
          <w:iCs/>
          <w:color w:val="1C1E29"/>
          <w:sz w:val="24"/>
          <w:szCs w:val="24"/>
        </w:rPr>
        <w:t>Visual Cognition</w:t>
      </w:r>
      <w:r w:rsidRPr="003A2A93">
        <w:rPr>
          <w:color w:val="1C1E29"/>
          <w:sz w:val="24"/>
          <w:szCs w:val="24"/>
        </w:rPr>
        <w:t>, </w:t>
      </w:r>
      <w:r w:rsidRPr="003A2A93">
        <w:rPr>
          <w:i/>
          <w:iCs/>
          <w:color w:val="1C1E29"/>
          <w:sz w:val="24"/>
          <w:szCs w:val="24"/>
        </w:rPr>
        <w:t>23</w:t>
      </w:r>
      <w:r w:rsidRPr="003A2A93">
        <w:rPr>
          <w:color w:val="1C1E29"/>
          <w:sz w:val="24"/>
          <w:szCs w:val="24"/>
        </w:rPr>
        <w:t>(7), 810-814.</w:t>
      </w:r>
    </w:p>
    <w:p w14:paraId="4160E39E" w14:textId="77777777" w:rsidR="003A2A93" w:rsidRPr="003A2A93" w:rsidRDefault="003A2A93" w:rsidP="003A2A93">
      <w:pPr>
        <w:spacing w:line="480" w:lineRule="auto"/>
        <w:ind w:left="720" w:hanging="720"/>
        <w:rPr>
          <w:color w:val="1C1E29"/>
          <w:sz w:val="24"/>
          <w:szCs w:val="24"/>
        </w:rPr>
      </w:pPr>
      <w:r w:rsidRPr="003A2A93">
        <w:rPr>
          <w:color w:val="1C1E29"/>
          <w:sz w:val="24"/>
          <w:szCs w:val="24"/>
        </w:rPr>
        <w:t>Onions, C. T., Friedrichsen, G. W. S., &amp; Burchfield, R. W. (Eds.). (1966). </w:t>
      </w:r>
      <w:r w:rsidRPr="003A2A93">
        <w:rPr>
          <w:i/>
          <w:iCs/>
          <w:color w:val="1C1E29"/>
          <w:sz w:val="24"/>
          <w:szCs w:val="24"/>
        </w:rPr>
        <w:t>The Oxford dictionary of English etymology</w:t>
      </w:r>
      <w:r w:rsidRPr="003A2A93">
        <w:rPr>
          <w:color w:val="1C1E29"/>
          <w:sz w:val="24"/>
          <w:szCs w:val="24"/>
        </w:rPr>
        <w:t> (Vol. 178). Oxford: Clarendon Press.</w:t>
      </w:r>
    </w:p>
    <w:p w14:paraId="3D08F88B" w14:textId="77777777" w:rsidR="003A2A93" w:rsidRPr="003A2A93" w:rsidRDefault="003A2A93" w:rsidP="003A2A93">
      <w:pPr>
        <w:spacing w:line="480" w:lineRule="auto"/>
        <w:ind w:left="720" w:hanging="720"/>
        <w:rPr>
          <w:color w:val="1C1E29"/>
          <w:sz w:val="24"/>
          <w:szCs w:val="24"/>
        </w:rPr>
      </w:pPr>
      <w:proofErr w:type="spellStart"/>
      <w:r w:rsidRPr="003A2A93">
        <w:rPr>
          <w:color w:val="1C1E29"/>
          <w:sz w:val="24"/>
          <w:szCs w:val="24"/>
        </w:rPr>
        <w:t>Pashler</w:t>
      </w:r>
      <w:proofErr w:type="spellEnd"/>
      <w:r w:rsidRPr="003A2A93">
        <w:rPr>
          <w:color w:val="1C1E29"/>
          <w:sz w:val="24"/>
          <w:szCs w:val="24"/>
        </w:rPr>
        <w:t>, H. (1994). Dual-task interference in simple tasks: data and theory. </w:t>
      </w:r>
      <w:r w:rsidRPr="003A2A93">
        <w:rPr>
          <w:i/>
          <w:iCs/>
          <w:color w:val="1C1E29"/>
          <w:sz w:val="24"/>
          <w:szCs w:val="24"/>
        </w:rPr>
        <w:t>Psychological bulletin</w:t>
      </w:r>
      <w:r w:rsidRPr="003A2A93">
        <w:rPr>
          <w:color w:val="1C1E29"/>
          <w:sz w:val="24"/>
          <w:szCs w:val="24"/>
        </w:rPr>
        <w:t>, </w:t>
      </w:r>
      <w:r w:rsidRPr="003A2A93">
        <w:rPr>
          <w:i/>
          <w:iCs/>
          <w:color w:val="1C1E29"/>
          <w:sz w:val="24"/>
          <w:szCs w:val="24"/>
        </w:rPr>
        <w:t>116</w:t>
      </w:r>
      <w:r w:rsidRPr="003A2A93">
        <w:rPr>
          <w:color w:val="1C1E29"/>
          <w:sz w:val="24"/>
          <w:szCs w:val="24"/>
        </w:rPr>
        <w:t>(2), 220.</w:t>
      </w:r>
    </w:p>
    <w:p w14:paraId="1C33C5AA" w14:textId="77777777" w:rsidR="003A2A93" w:rsidRPr="003A2A93" w:rsidRDefault="003A2A93" w:rsidP="003A2A93">
      <w:pPr>
        <w:spacing w:line="480" w:lineRule="auto"/>
        <w:ind w:left="720" w:hanging="720"/>
        <w:rPr>
          <w:color w:val="1C1E29"/>
          <w:sz w:val="24"/>
          <w:szCs w:val="24"/>
        </w:rPr>
      </w:pPr>
      <w:r w:rsidRPr="003A2A93">
        <w:rPr>
          <w:color w:val="1C1E29"/>
          <w:sz w:val="24"/>
          <w:szCs w:val="24"/>
        </w:rPr>
        <w:t>Schneider, W., &amp; Shiffrin, R. M. (1977). Controlled and automatic human information processing: I. Detection, search, and attention. </w:t>
      </w:r>
      <w:r w:rsidRPr="003A2A93">
        <w:rPr>
          <w:i/>
          <w:iCs/>
          <w:color w:val="1C1E29"/>
          <w:sz w:val="24"/>
          <w:szCs w:val="24"/>
        </w:rPr>
        <w:t>Psychological review</w:t>
      </w:r>
      <w:r w:rsidRPr="003A2A93">
        <w:rPr>
          <w:color w:val="1C1E29"/>
          <w:sz w:val="24"/>
          <w:szCs w:val="24"/>
        </w:rPr>
        <w:t>, </w:t>
      </w:r>
      <w:r w:rsidRPr="003A2A93">
        <w:rPr>
          <w:i/>
          <w:iCs/>
          <w:color w:val="1C1E29"/>
          <w:sz w:val="24"/>
          <w:szCs w:val="24"/>
        </w:rPr>
        <w:t>84</w:t>
      </w:r>
      <w:r w:rsidRPr="003A2A93">
        <w:rPr>
          <w:color w:val="1C1E29"/>
          <w:sz w:val="24"/>
          <w:szCs w:val="24"/>
        </w:rPr>
        <w:t>(1), 1.</w:t>
      </w:r>
    </w:p>
    <w:p w14:paraId="0932C415" w14:textId="77777777" w:rsidR="003A2A93" w:rsidRPr="003A2A93" w:rsidRDefault="003A2A93" w:rsidP="003A2A93">
      <w:pPr>
        <w:spacing w:line="480" w:lineRule="auto"/>
        <w:ind w:left="720" w:hanging="720"/>
        <w:rPr>
          <w:color w:val="1C1E29"/>
          <w:sz w:val="24"/>
          <w:szCs w:val="24"/>
        </w:rPr>
      </w:pPr>
      <w:r w:rsidRPr="003A2A93">
        <w:rPr>
          <w:color w:val="1C1E29"/>
          <w:sz w:val="24"/>
          <w:szCs w:val="24"/>
        </w:rPr>
        <w:t>Shiffrin, R. M., &amp; Schneider, W. (1977). Controlled and automatic human information processing: II. Perceptual learning, automatic attending and a general theory. </w:t>
      </w:r>
      <w:r w:rsidRPr="003A2A93">
        <w:rPr>
          <w:i/>
          <w:iCs/>
          <w:color w:val="1C1E29"/>
          <w:sz w:val="24"/>
          <w:szCs w:val="24"/>
        </w:rPr>
        <w:t>Psychological review</w:t>
      </w:r>
      <w:r w:rsidRPr="003A2A93">
        <w:rPr>
          <w:color w:val="1C1E29"/>
          <w:sz w:val="24"/>
          <w:szCs w:val="24"/>
        </w:rPr>
        <w:t>, </w:t>
      </w:r>
      <w:r w:rsidRPr="003A2A93">
        <w:rPr>
          <w:i/>
          <w:iCs/>
          <w:color w:val="1C1E29"/>
          <w:sz w:val="24"/>
          <w:szCs w:val="24"/>
        </w:rPr>
        <w:t>84</w:t>
      </w:r>
      <w:r w:rsidRPr="003A2A93">
        <w:rPr>
          <w:color w:val="1C1E29"/>
          <w:sz w:val="24"/>
          <w:szCs w:val="24"/>
        </w:rPr>
        <w:t>(2), 127.</w:t>
      </w:r>
    </w:p>
    <w:p w14:paraId="7B990B61" w14:textId="77777777" w:rsidR="003A2A93" w:rsidRPr="003A2A93" w:rsidRDefault="003A2A93" w:rsidP="003A2A93">
      <w:pPr>
        <w:spacing w:line="480" w:lineRule="auto"/>
        <w:ind w:left="720" w:hanging="720"/>
        <w:rPr>
          <w:color w:val="1C1E29"/>
          <w:sz w:val="24"/>
          <w:szCs w:val="24"/>
        </w:rPr>
      </w:pPr>
      <w:r w:rsidRPr="003A2A93">
        <w:rPr>
          <w:color w:val="1C1E29"/>
          <w:sz w:val="24"/>
          <w:szCs w:val="24"/>
        </w:rPr>
        <w:t>Simons, D. J., &amp; Chabris, C. F. (1999). Gorillas in our midst: Sustained inattentional blindness for dynamic events. </w:t>
      </w:r>
      <w:r w:rsidRPr="003A2A93">
        <w:rPr>
          <w:i/>
          <w:iCs/>
          <w:color w:val="1C1E29"/>
          <w:sz w:val="24"/>
          <w:szCs w:val="24"/>
        </w:rPr>
        <w:t>perception</w:t>
      </w:r>
      <w:r w:rsidRPr="003A2A93">
        <w:rPr>
          <w:color w:val="1C1E29"/>
          <w:sz w:val="24"/>
          <w:szCs w:val="24"/>
        </w:rPr>
        <w:t>, </w:t>
      </w:r>
      <w:r w:rsidRPr="003A2A93">
        <w:rPr>
          <w:i/>
          <w:iCs/>
          <w:color w:val="1C1E29"/>
          <w:sz w:val="24"/>
          <w:szCs w:val="24"/>
        </w:rPr>
        <w:t>28</w:t>
      </w:r>
      <w:r w:rsidRPr="003A2A93">
        <w:rPr>
          <w:color w:val="1C1E29"/>
          <w:sz w:val="24"/>
          <w:szCs w:val="24"/>
        </w:rPr>
        <w:t>(9), 1059-1074.</w:t>
      </w:r>
    </w:p>
    <w:p w14:paraId="39567975" w14:textId="77777777" w:rsidR="003A2A93" w:rsidRPr="003A2A93" w:rsidRDefault="003A2A93" w:rsidP="003A2A93">
      <w:pPr>
        <w:spacing w:line="480" w:lineRule="auto"/>
        <w:ind w:left="720" w:hanging="720"/>
        <w:rPr>
          <w:color w:val="1C1E29"/>
          <w:sz w:val="24"/>
          <w:szCs w:val="24"/>
        </w:rPr>
      </w:pPr>
      <w:r w:rsidRPr="003A2A93">
        <w:rPr>
          <w:color w:val="1C1E29"/>
          <w:sz w:val="24"/>
          <w:szCs w:val="24"/>
        </w:rPr>
        <w:lastRenderedPageBreak/>
        <w:t>Smith, N. K., Cacioppo, J. T., Larsen, J. T., &amp; Chartrand, T. L. (2003). May I have your attention, please: Electrocortical responses to positive and negative stimuli. </w:t>
      </w:r>
      <w:proofErr w:type="spellStart"/>
      <w:r w:rsidRPr="003A2A93">
        <w:rPr>
          <w:i/>
          <w:iCs/>
          <w:color w:val="1C1E29"/>
          <w:sz w:val="24"/>
          <w:szCs w:val="24"/>
        </w:rPr>
        <w:t>Neuropsychologia</w:t>
      </w:r>
      <w:proofErr w:type="spellEnd"/>
      <w:r w:rsidRPr="003A2A93">
        <w:rPr>
          <w:color w:val="1C1E29"/>
          <w:sz w:val="24"/>
          <w:szCs w:val="24"/>
        </w:rPr>
        <w:t>, </w:t>
      </w:r>
      <w:r w:rsidRPr="003A2A93">
        <w:rPr>
          <w:i/>
          <w:iCs/>
          <w:color w:val="1C1E29"/>
          <w:sz w:val="24"/>
          <w:szCs w:val="24"/>
        </w:rPr>
        <w:t>41</w:t>
      </w:r>
      <w:r w:rsidRPr="003A2A93">
        <w:rPr>
          <w:color w:val="1C1E29"/>
          <w:sz w:val="24"/>
          <w:szCs w:val="24"/>
        </w:rPr>
        <w:t>(2), 171-183.</w:t>
      </w:r>
    </w:p>
    <w:p w14:paraId="457E42AA" w14:textId="77777777" w:rsidR="003A2A93" w:rsidRPr="003A2A93" w:rsidRDefault="003A2A93" w:rsidP="003A2A93">
      <w:pPr>
        <w:spacing w:line="480" w:lineRule="auto"/>
        <w:ind w:left="720" w:hanging="720"/>
        <w:rPr>
          <w:color w:val="1C1E29"/>
          <w:sz w:val="24"/>
          <w:szCs w:val="24"/>
        </w:rPr>
      </w:pPr>
      <w:proofErr w:type="spellStart"/>
      <w:r w:rsidRPr="003A2A93">
        <w:rPr>
          <w:color w:val="1C1E29"/>
          <w:sz w:val="24"/>
          <w:szCs w:val="24"/>
        </w:rPr>
        <w:t>Sohlberg</w:t>
      </w:r>
      <w:proofErr w:type="spellEnd"/>
      <w:r w:rsidRPr="003A2A93">
        <w:rPr>
          <w:color w:val="1C1E29"/>
          <w:sz w:val="24"/>
          <w:szCs w:val="24"/>
        </w:rPr>
        <w:t xml:space="preserve">, M. M., &amp; </w:t>
      </w:r>
      <w:proofErr w:type="spellStart"/>
      <w:r w:rsidRPr="003A2A93">
        <w:rPr>
          <w:color w:val="1C1E29"/>
          <w:sz w:val="24"/>
          <w:szCs w:val="24"/>
        </w:rPr>
        <w:t>Mateer</w:t>
      </w:r>
      <w:proofErr w:type="spellEnd"/>
      <w:r w:rsidRPr="003A2A93">
        <w:rPr>
          <w:color w:val="1C1E29"/>
          <w:sz w:val="24"/>
          <w:szCs w:val="24"/>
        </w:rPr>
        <w:t>, C. A. (1989). </w:t>
      </w:r>
      <w:r w:rsidRPr="003A2A93">
        <w:rPr>
          <w:i/>
          <w:iCs/>
          <w:color w:val="1C1E29"/>
          <w:sz w:val="24"/>
          <w:szCs w:val="24"/>
        </w:rPr>
        <w:t>Introduction to cognitive rehabilitation: Theory and practice</w:t>
      </w:r>
      <w:r w:rsidRPr="003A2A93">
        <w:rPr>
          <w:color w:val="1C1E29"/>
          <w:sz w:val="24"/>
          <w:szCs w:val="24"/>
        </w:rPr>
        <w:t>. Guilford Press.</w:t>
      </w:r>
    </w:p>
    <w:p w14:paraId="17D04056" w14:textId="77777777" w:rsidR="003A2A93" w:rsidRPr="003A2A93" w:rsidRDefault="003A2A93" w:rsidP="003A2A93">
      <w:pPr>
        <w:spacing w:line="480" w:lineRule="auto"/>
        <w:ind w:left="720" w:hanging="720"/>
        <w:rPr>
          <w:color w:val="1C1E29"/>
          <w:sz w:val="24"/>
          <w:szCs w:val="24"/>
        </w:rPr>
      </w:pPr>
      <w:r w:rsidRPr="003A2A93">
        <w:rPr>
          <w:color w:val="1C1E29"/>
          <w:sz w:val="24"/>
          <w:szCs w:val="24"/>
        </w:rPr>
        <w:t>Stroop, J. R. (1935). Studies of interference in serial verbal reactions. </w:t>
      </w:r>
      <w:r w:rsidRPr="003A2A93">
        <w:rPr>
          <w:i/>
          <w:iCs/>
          <w:color w:val="1C1E29"/>
          <w:sz w:val="24"/>
          <w:szCs w:val="24"/>
        </w:rPr>
        <w:t>Journal of experimental psychology</w:t>
      </w:r>
      <w:r w:rsidRPr="003A2A93">
        <w:rPr>
          <w:color w:val="1C1E29"/>
          <w:sz w:val="24"/>
          <w:szCs w:val="24"/>
        </w:rPr>
        <w:t>, </w:t>
      </w:r>
      <w:r w:rsidRPr="003A2A93">
        <w:rPr>
          <w:i/>
          <w:iCs/>
          <w:color w:val="1C1E29"/>
          <w:sz w:val="24"/>
          <w:szCs w:val="24"/>
        </w:rPr>
        <w:t>18</w:t>
      </w:r>
      <w:r w:rsidRPr="003A2A93">
        <w:rPr>
          <w:color w:val="1C1E29"/>
          <w:sz w:val="24"/>
          <w:szCs w:val="24"/>
        </w:rPr>
        <w:t>(6), 643.</w:t>
      </w:r>
    </w:p>
    <w:p w14:paraId="2B40EF25" w14:textId="77777777" w:rsidR="003A2A93" w:rsidRPr="003A2A93" w:rsidRDefault="003A2A93" w:rsidP="003A2A93">
      <w:pPr>
        <w:spacing w:line="480" w:lineRule="auto"/>
        <w:ind w:left="720" w:hanging="720"/>
        <w:rPr>
          <w:color w:val="1C1E29"/>
          <w:sz w:val="24"/>
          <w:szCs w:val="24"/>
        </w:rPr>
      </w:pPr>
      <w:proofErr w:type="spellStart"/>
      <w:r w:rsidRPr="003A2A93">
        <w:rPr>
          <w:color w:val="1C1E29"/>
          <w:sz w:val="24"/>
          <w:szCs w:val="24"/>
        </w:rPr>
        <w:t>Treisman</w:t>
      </w:r>
      <w:proofErr w:type="spellEnd"/>
      <w:r w:rsidRPr="003A2A93">
        <w:rPr>
          <w:color w:val="1C1E29"/>
          <w:sz w:val="24"/>
          <w:szCs w:val="24"/>
        </w:rPr>
        <w:t xml:space="preserve">, A. M., &amp; </w:t>
      </w:r>
      <w:proofErr w:type="spellStart"/>
      <w:r w:rsidRPr="003A2A93">
        <w:rPr>
          <w:color w:val="1C1E29"/>
          <w:sz w:val="24"/>
          <w:szCs w:val="24"/>
        </w:rPr>
        <w:t>Gelade</w:t>
      </w:r>
      <w:proofErr w:type="spellEnd"/>
      <w:r w:rsidRPr="003A2A93">
        <w:rPr>
          <w:color w:val="1C1E29"/>
          <w:sz w:val="24"/>
          <w:szCs w:val="24"/>
        </w:rPr>
        <w:t>, G. (1980). A feature-integration theory of attention. </w:t>
      </w:r>
      <w:r w:rsidRPr="003A2A93">
        <w:rPr>
          <w:i/>
          <w:iCs/>
          <w:color w:val="1C1E29"/>
          <w:sz w:val="24"/>
          <w:szCs w:val="24"/>
        </w:rPr>
        <w:t>Cognitive psychology</w:t>
      </w:r>
      <w:r w:rsidRPr="003A2A93">
        <w:rPr>
          <w:color w:val="1C1E29"/>
          <w:sz w:val="24"/>
          <w:szCs w:val="24"/>
        </w:rPr>
        <w:t>, </w:t>
      </w:r>
      <w:r w:rsidRPr="003A2A93">
        <w:rPr>
          <w:i/>
          <w:iCs/>
          <w:color w:val="1C1E29"/>
          <w:sz w:val="24"/>
          <w:szCs w:val="24"/>
        </w:rPr>
        <w:t>12</w:t>
      </w:r>
      <w:r w:rsidRPr="003A2A93">
        <w:rPr>
          <w:color w:val="1C1E29"/>
          <w:sz w:val="24"/>
          <w:szCs w:val="24"/>
        </w:rPr>
        <w:t>(1), 97-136.</w:t>
      </w:r>
    </w:p>
    <w:p w14:paraId="7523385A" w14:textId="77777777" w:rsidR="003A2A93" w:rsidRPr="003A2A93" w:rsidRDefault="003A2A93" w:rsidP="003A2A93">
      <w:pPr>
        <w:spacing w:line="480" w:lineRule="auto"/>
        <w:ind w:left="720" w:hanging="720"/>
        <w:rPr>
          <w:color w:val="1C1E29"/>
          <w:sz w:val="24"/>
          <w:szCs w:val="24"/>
        </w:rPr>
      </w:pPr>
      <w:r w:rsidRPr="003A2A93">
        <w:rPr>
          <w:color w:val="1C1E29"/>
          <w:sz w:val="24"/>
          <w:szCs w:val="24"/>
        </w:rPr>
        <w:t>Wahn, B., &amp; König, P. (2017). Is attentional resource allocation across sensory modalities task-</w:t>
      </w:r>
      <w:proofErr w:type="gramStart"/>
      <w:r w:rsidRPr="003A2A93">
        <w:rPr>
          <w:color w:val="1C1E29"/>
          <w:sz w:val="24"/>
          <w:szCs w:val="24"/>
        </w:rPr>
        <w:t>dependent?.</w:t>
      </w:r>
      <w:proofErr w:type="gramEnd"/>
      <w:r w:rsidRPr="003A2A93">
        <w:rPr>
          <w:color w:val="1C1E29"/>
          <w:sz w:val="24"/>
          <w:szCs w:val="24"/>
        </w:rPr>
        <w:t> </w:t>
      </w:r>
      <w:r w:rsidRPr="003A2A93">
        <w:rPr>
          <w:i/>
          <w:iCs/>
          <w:color w:val="1C1E29"/>
          <w:sz w:val="24"/>
          <w:szCs w:val="24"/>
        </w:rPr>
        <w:t>Advances in cognitive psychology</w:t>
      </w:r>
      <w:r w:rsidRPr="003A2A93">
        <w:rPr>
          <w:color w:val="1C1E29"/>
          <w:sz w:val="24"/>
          <w:szCs w:val="24"/>
        </w:rPr>
        <w:t>, </w:t>
      </w:r>
      <w:r w:rsidRPr="003A2A93">
        <w:rPr>
          <w:i/>
          <w:iCs/>
          <w:color w:val="1C1E29"/>
          <w:sz w:val="24"/>
          <w:szCs w:val="24"/>
        </w:rPr>
        <w:t>13</w:t>
      </w:r>
      <w:r w:rsidRPr="003A2A93">
        <w:rPr>
          <w:color w:val="1C1E29"/>
          <w:sz w:val="24"/>
          <w:szCs w:val="24"/>
        </w:rPr>
        <w:t>(1), 83.</w:t>
      </w:r>
    </w:p>
    <w:p w14:paraId="6335D3B2" w14:textId="77777777" w:rsidR="003A2A93" w:rsidRPr="003A2A93" w:rsidRDefault="003A2A93" w:rsidP="003A2A93">
      <w:pPr>
        <w:spacing w:line="480" w:lineRule="auto"/>
        <w:ind w:left="720" w:hanging="720"/>
        <w:rPr>
          <w:color w:val="1C1E29"/>
          <w:sz w:val="24"/>
          <w:szCs w:val="24"/>
        </w:rPr>
      </w:pPr>
      <w:r w:rsidRPr="003A2A93">
        <w:rPr>
          <w:color w:val="1C1E29"/>
          <w:sz w:val="24"/>
          <w:szCs w:val="24"/>
        </w:rPr>
        <w:t>Wickens, C. D. (1991). Processing resources and attention. </w:t>
      </w:r>
      <w:r w:rsidRPr="003A2A93">
        <w:rPr>
          <w:i/>
          <w:iCs/>
          <w:color w:val="1C1E29"/>
          <w:sz w:val="24"/>
          <w:szCs w:val="24"/>
        </w:rPr>
        <w:t>Multiple-task performance</w:t>
      </w:r>
      <w:r w:rsidRPr="003A2A93">
        <w:rPr>
          <w:color w:val="1C1E29"/>
          <w:sz w:val="24"/>
          <w:szCs w:val="24"/>
        </w:rPr>
        <w:t>, </w:t>
      </w:r>
      <w:r w:rsidRPr="003A2A93">
        <w:rPr>
          <w:i/>
          <w:iCs/>
          <w:color w:val="1C1E29"/>
          <w:sz w:val="24"/>
          <w:szCs w:val="24"/>
        </w:rPr>
        <w:t>1991</w:t>
      </w:r>
      <w:r w:rsidRPr="003A2A93">
        <w:rPr>
          <w:color w:val="1C1E29"/>
          <w:sz w:val="24"/>
          <w:szCs w:val="24"/>
        </w:rPr>
        <w:t>, 3-34.</w:t>
      </w:r>
    </w:p>
    <w:p w14:paraId="23074F5F" w14:textId="77777777" w:rsidR="003A2A93" w:rsidRPr="003A2A93" w:rsidRDefault="003A2A93" w:rsidP="003A2A93">
      <w:pPr>
        <w:spacing w:line="480" w:lineRule="auto"/>
        <w:ind w:left="720" w:hanging="720"/>
        <w:rPr>
          <w:color w:val="1C1E29"/>
          <w:sz w:val="24"/>
          <w:szCs w:val="24"/>
        </w:rPr>
      </w:pPr>
      <w:r w:rsidRPr="003A2A93">
        <w:rPr>
          <w:color w:val="1C1E29"/>
          <w:sz w:val="24"/>
          <w:szCs w:val="24"/>
        </w:rPr>
        <w:t>Wickens, C. D. (2002). Multiple resources and performance prediction. </w:t>
      </w:r>
      <w:r w:rsidRPr="003A2A93">
        <w:rPr>
          <w:i/>
          <w:iCs/>
          <w:color w:val="1C1E29"/>
          <w:sz w:val="24"/>
          <w:szCs w:val="24"/>
        </w:rPr>
        <w:t>Theoretical issues in ergonomics science</w:t>
      </w:r>
      <w:r w:rsidRPr="003A2A93">
        <w:rPr>
          <w:color w:val="1C1E29"/>
          <w:sz w:val="24"/>
          <w:szCs w:val="24"/>
        </w:rPr>
        <w:t>, </w:t>
      </w:r>
      <w:r w:rsidRPr="003A2A93">
        <w:rPr>
          <w:i/>
          <w:iCs/>
          <w:color w:val="1C1E29"/>
          <w:sz w:val="24"/>
          <w:szCs w:val="24"/>
        </w:rPr>
        <w:t>3</w:t>
      </w:r>
      <w:r w:rsidRPr="003A2A93">
        <w:rPr>
          <w:color w:val="1C1E29"/>
          <w:sz w:val="24"/>
          <w:szCs w:val="24"/>
        </w:rPr>
        <w:t>(2), 159-177.</w:t>
      </w:r>
    </w:p>
    <w:p w14:paraId="6A7CC514" w14:textId="77777777" w:rsidR="003A2A93" w:rsidRPr="003A2A93" w:rsidRDefault="003A2A93" w:rsidP="003A2A93">
      <w:pPr>
        <w:spacing w:line="480" w:lineRule="auto"/>
        <w:ind w:left="720" w:hanging="720"/>
        <w:rPr>
          <w:color w:val="1C1E29"/>
          <w:sz w:val="24"/>
          <w:szCs w:val="24"/>
        </w:rPr>
      </w:pPr>
      <w:r w:rsidRPr="003A2A93">
        <w:rPr>
          <w:color w:val="1C1E29"/>
          <w:sz w:val="24"/>
          <w:szCs w:val="24"/>
        </w:rPr>
        <w:t>Wickens, C. D., &amp; McCarley, J. S. (2019). </w:t>
      </w:r>
      <w:r w:rsidRPr="003A2A93">
        <w:rPr>
          <w:i/>
          <w:iCs/>
          <w:color w:val="1C1E29"/>
          <w:sz w:val="24"/>
          <w:szCs w:val="24"/>
        </w:rPr>
        <w:t>Applied attention theory</w:t>
      </w:r>
      <w:r w:rsidRPr="003A2A93">
        <w:rPr>
          <w:color w:val="1C1E29"/>
          <w:sz w:val="24"/>
          <w:szCs w:val="24"/>
        </w:rPr>
        <w:t>. CRC press.</w:t>
      </w:r>
    </w:p>
    <w:p w14:paraId="4FA17ABD" w14:textId="77777777" w:rsidR="003A2A93" w:rsidRPr="003A2A93" w:rsidRDefault="003A2A93" w:rsidP="003A2A93">
      <w:pPr>
        <w:spacing w:line="480" w:lineRule="auto"/>
        <w:ind w:left="720" w:hanging="720"/>
        <w:rPr>
          <w:color w:val="1C1E29"/>
          <w:sz w:val="24"/>
          <w:szCs w:val="24"/>
        </w:rPr>
      </w:pPr>
      <w:r w:rsidRPr="003A2A93">
        <w:rPr>
          <w:color w:val="1C1E29"/>
          <w:sz w:val="24"/>
          <w:szCs w:val="24"/>
        </w:rPr>
        <w:t>Wood, N. L., &amp; Cowan, N. (1995). The cocktail party phenomenon revisited: attention and memory in the classic selective listening procedure of Cherry (1953). </w:t>
      </w:r>
      <w:r w:rsidRPr="003A2A93">
        <w:rPr>
          <w:i/>
          <w:iCs/>
          <w:color w:val="1C1E29"/>
          <w:sz w:val="24"/>
          <w:szCs w:val="24"/>
        </w:rPr>
        <w:t>Journal of Experimental Psychology: General</w:t>
      </w:r>
      <w:r w:rsidRPr="003A2A93">
        <w:rPr>
          <w:color w:val="1C1E29"/>
          <w:sz w:val="24"/>
          <w:szCs w:val="24"/>
        </w:rPr>
        <w:t>, </w:t>
      </w:r>
      <w:r w:rsidRPr="003A2A93">
        <w:rPr>
          <w:i/>
          <w:iCs/>
          <w:color w:val="1C1E29"/>
          <w:sz w:val="24"/>
          <w:szCs w:val="24"/>
        </w:rPr>
        <w:t>124</w:t>
      </w:r>
      <w:r w:rsidRPr="003A2A93">
        <w:rPr>
          <w:color w:val="1C1E29"/>
          <w:sz w:val="24"/>
          <w:szCs w:val="24"/>
        </w:rPr>
        <w:t>(3), 243.</w:t>
      </w:r>
    </w:p>
    <w:p w14:paraId="25582B40" w14:textId="77777777" w:rsidR="003A2A93" w:rsidRDefault="003A2A93"/>
    <w:sectPr w:rsidR="003A2A9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5501"/>
    <w:rsid w:val="00016164"/>
    <w:rsid w:val="000C3F5D"/>
    <w:rsid w:val="000E3D9F"/>
    <w:rsid w:val="00121850"/>
    <w:rsid w:val="0012238C"/>
    <w:rsid w:val="00144921"/>
    <w:rsid w:val="00274DD0"/>
    <w:rsid w:val="0029082A"/>
    <w:rsid w:val="0033530A"/>
    <w:rsid w:val="003A2A93"/>
    <w:rsid w:val="003E051A"/>
    <w:rsid w:val="00462777"/>
    <w:rsid w:val="00495501"/>
    <w:rsid w:val="004B69F4"/>
    <w:rsid w:val="00576E98"/>
    <w:rsid w:val="005A0A05"/>
    <w:rsid w:val="005D3C3A"/>
    <w:rsid w:val="006C26C4"/>
    <w:rsid w:val="006D37F6"/>
    <w:rsid w:val="00710C7F"/>
    <w:rsid w:val="00733354"/>
    <w:rsid w:val="007461B2"/>
    <w:rsid w:val="00793E6A"/>
    <w:rsid w:val="007A386F"/>
    <w:rsid w:val="007F092E"/>
    <w:rsid w:val="007F1252"/>
    <w:rsid w:val="007F16BC"/>
    <w:rsid w:val="00824E67"/>
    <w:rsid w:val="00837D14"/>
    <w:rsid w:val="0086254E"/>
    <w:rsid w:val="00902925"/>
    <w:rsid w:val="009132D5"/>
    <w:rsid w:val="00945E18"/>
    <w:rsid w:val="009B0DD5"/>
    <w:rsid w:val="009E41F0"/>
    <w:rsid w:val="00A52194"/>
    <w:rsid w:val="00A92D48"/>
    <w:rsid w:val="00AE6D17"/>
    <w:rsid w:val="00B041F4"/>
    <w:rsid w:val="00C75CF3"/>
    <w:rsid w:val="00CA54D4"/>
    <w:rsid w:val="00D47F8E"/>
    <w:rsid w:val="00D5778A"/>
    <w:rsid w:val="00D60D29"/>
    <w:rsid w:val="00D8701B"/>
    <w:rsid w:val="00DC6A89"/>
    <w:rsid w:val="00DF3D6B"/>
    <w:rsid w:val="00E23C1C"/>
    <w:rsid w:val="00E25AA5"/>
    <w:rsid w:val="00FA42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3DBC2"/>
  <w15:chartTrackingRefBased/>
  <w15:docId w15:val="{E339DDE8-ACF3-45E6-86A7-27213DB603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5501"/>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495501"/>
    <w:rPr>
      <w:sz w:val="16"/>
      <w:szCs w:val="16"/>
    </w:rPr>
  </w:style>
  <w:style w:type="paragraph" w:styleId="CommentText">
    <w:name w:val="annotation text"/>
    <w:basedOn w:val="Normal"/>
    <w:link w:val="CommentTextChar"/>
    <w:uiPriority w:val="99"/>
    <w:semiHidden/>
    <w:unhideWhenUsed/>
    <w:rsid w:val="00495501"/>
  </w:style>
  <w:style w:type="character" w:customStyle="1" w:styleId="CommentTextChar">
    <w:name w:val="Comment Text Char"/>
    <w:basedOn w:val="DefaultParagraphFont"/>
    <w:link w:val="CommentText"/>
    <w:uiPriority w:val="99"/>
    <w:semiHidden/>
    <w:rsid w:val="00495501"/>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49550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5501"/>
    <w:rPr>
      <w:rFonts w:ascii="Segoe UI" w:eastAsia="Times New Roman" w:hAnsi="Segoe UI" w:cs="Segoe UI"/>
      <w:sz w:val="18"/>
      <w:szCs w:val="18"/>
      <w:lang w:eastAsia="en-GB"/>
    </w:rPr>
  </w:style>
  <w:style w:type="character" w:styleId="Hyperlink">
    <w:name w:val="Hyperlink"/>
    <w:basedOn w:val="DefaultParagraphFont"/>
    <w:uiPriority w:val="99"/>
    <w:unhideWhenUsed/>
    <w:rsid w:val="007F1252"/>
    <w:rPr>
      <w:color w:val="0563C1" w:themeColor="hyperlink"/>
      <w:u w:val="single"/>
    </w:rPr>
  </w:style>
  <w:style w:type="character" w:styleId="UnresolvedMention">
    <w:name w:val="Unresolved Mention"/>
    <w:basedOn w:val="DefaultParagraphFont"/>
    <w:uiPriority w:val="99"/>
    <w:semiHidden/>
    <w:unhideWhenUsed/>
    <w:rsid w:val="007F12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2321423">
      <w:bodyDiv w:val="1"/>
      <w:marLeft w:val="0"/>
      <w:marRight w:val="0"/>
      <w:marTop w:val="0"/>
      <w:marBottom w:val="0"/>
      <w:divBdr>
        <w:top w:val="none" w:sz="0" w:space="0" w:color="auto"/>
        <w:left w:val="none" w:sz="0" w:space="0" w:color="auto"/>
        <w:bottom w:val="none" w:sz="0" w:space="0" w:color="auto"/>
        <w:right w:val="none" w:sz="0" w:space="0" w:color="auto"/>
      </w:divBdr>
    </w:div>
    <w:div w:id="2107189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simplypsychology.org/information-processing.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627</TotalTime>
  <Pages>16</Pages>
  <Words>4457</Words>
  <Characters>25410</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Loftus (1707419)</dc:creator>
  <cp:keywords/>
  <dc:description/>
  <cp:lastModifiedBy>Stacey Loftus (1707419)</cp:lastModifiedBy>
  <cp:revision>15</cp:revision>
  <dcterms:created xsi:type="dcterms:W3CDTF">2019-07-22T13:02:00Z</dcterms:created>
  <dcterms:modified xsi:type="dcterms:W3CDTF">2019-11-15T10:49:00Z</dcterms:modified>
</cp:coreProperties>
</file>