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A3F" w:rsidRDefault="007F1A3F" w:rsidP="007F1A3F">
      <w:pPr>
        <w:jc w:val="center"/>
        <w:rPr>
          <w:b/>
          <w:bCs/>
          <w:u w:val="single"/>
        </w:rPr>
      </w:pPr>
      <w:r>
        <w:rPr>
          <w:b/>
          <w:bCs/>
          <w:u w:val="single"/>
        </w:rPr>
        <w:t xml:space="preserve">How </w:t>
      </w:r>
      <w:r w:rsidR="0025785F">
        <w:rPr>
          <w:b/>
          <w:bCs/>
          <w:u w:val="single"/>
        </w:rPr>
        <w:t>v</w:t>
      </w:r>
      <w:r>
        <w:rPr>
          <w:b/>
          <w:bCs/>
          <w:u w:val="single"/>
        </w:rPr>
        <w:t>alid is Berry’s 2011 model and discussion of Acculturation in understanding the colonisation and inter-cultural relations within Australia?</w:t>
      </w:r>
    </w:p>
    <w:p w:rsidR="0068710A" w:rsidRPr="00CB6F02" w:rsidRDefault="00CB6F02" w:rsidP="007F1A3F">
      <w:pPr>
        <w:ind w:firstLine="720"/>
      </w:pPr>
      <w:r>
        <w:t xml:space="preserve">This essay uses Berry’s 2011 </w:t>
      </w:r>
      <w:r w:rsidR="00723868">
        <w:t>writing ‘Integration and Multiculturalism: Ways towards Social Solidarity’ (Berry, 2011)</w:t>
      </w:r>
      <w:r>
        <w:t xml:space="preserve"> in dialogue with the colonisation of Australia to highlight the </w:t>
      </w:r>
      <w:r w:rsidR="00723868">
        <w:t>strengths and flaws of Berry’s models and discussions of cultural assimilation. The main point being that Berry’s model (</w:t>
      </w:r>
      <w:r w:rsidR="00723868" w:rsidRPr="00EC5044">
        <w:t>Berry, 2011, p.2.5</w:t>
      </w:r>
      <w:r w:rsidR="00723868">
        <w:t xml:space="preserve">) and discussion do not acknowledge the role and impact of race and racism in acculturation and culturally plural societies. </w:t>
      </w:r>
      <w:r w:rsidR="007F1A3F">
        <w:t>Th</w:t>
      </w:r>
      <w:r w:rsidR="007057C5">
        <w:t>is</w:t>
      </w:r>
      <w:r w:rsidR="007F1A3F">
        <w:t xml:space="preserve"> essay also highlights an issue with the choice of language used in Berry’s writing, as Berry’s theoretical meaning and the Australian governments use of the terms ‘assimilation’ and ‘strategies’ are not </w:t>
      </w:r>
      <w:r w:rsidR="00704A43">
        <w:t>identical</w:t>
      </w:r>
      <w:r w:rsidR="0034038D">
        <w:t>.</w:t>
      </w:r>
    </w:p>
    <w:p w:rsidR="0068710A" w:rsidRPr="0068710A" w:rsidRDefault="0068710A">
      <w:pPr>
        <w:rPr>
          <w:b/>
          <w:bCs/>
          <w:u w:val="single"/>
        </w:rPr>
      </w:pPr>
      <w:r w:rsidRPr="0068710A">
        <w:rPr>
          <w:b/>
          <w:bCs/>
          <w:u w:val="single"/>
        </w:rPr>
        <w:t xml:space="preserve">Definitions and use of Berry’s Acculturation Model </w:t>
      </w:r>
    </w:p>
    <w:p w:rsidR="000F192A" w:rsidRDefault="0068710A" w:rsidP="00682E77">
      <w:pPr>
        <w:ind w:firstLine="720"/>
      </w:pPr>
      <w:r w:rsidRPr="0068710A">
        <w:t>In his 2011 writing Berry defines ‘</w:t>
      </w:r>
      <w:r w:rsidRPr="007F391F">
        <w:rPr>
          <w:i/>
          <w:iCs/>
        </w:rPr>
        <w:t>Acculturation’ as ‘[…] the process of cultural and psychological change that takes place as a result of contact between cultural groups and their individual members</w:t>
      </w:r>
      <w:r w:rsidRPr="0068710A">
        <w:t xml:space="preserve">’ (Berry, 2011, p.263). </w:t>
      </w:r>
      <w:r>
        <w:t xml:space="preserve">This definition is used here to understand </w:t>
      </w:r>
      <w:r w:rsidR="00347B45">
        <w:t>the effect of both,</w:t>
      </w:r>
      <w:r>
        <w:t xml:space="preserve"> colonialization and contemporary migration</w:t>
      </w:r>
      <w:r w:rsidR="00347B45">
        <w:t xml:space="preserve"> in Australia</w:t>
      </w:r>
      <w:r w:rsidR="00B542CC">
        <w:t xml:space="preserve">. </w:t>
      </w:r>
      <w:r w:rsidR="00A25F95">
        <w:t>A term which Berry used was ‘cultural plurality’, he defined this as a</w:t>
      </w:r>
      <w:r w:rsidR="00DA38E3">
        <w:t xml:space="preserve"> society in which </w:t>
      </w:r>
      <w:r w:rsidR="00DA38E3" w:rsidRPr="007F391F">
        <w:rPr>
          <w:i/>
          <w:iCs/>
        </w:rPr>
        <w:t>‘[…] a number of different cultural or ethnic groups reside together within a shared political and social framework’</w:t>
      </w:r>
      <w:r w:rsidR="00DA38E3">
        <w:t xml:space="preserve"> (Brooks, 2002, as cited by Berry, 2011). All societies are culturally plural today,</w:t>
      </w:r>
      <w:r w:rsidR="00A25F95">
        <w:t xml:space="preserve"> and Berry </w:t>
      </w:r>
      <w:r w:rsidR="004D511E">
        <w:t>acknowledged</w:t>
      </w:r>
      <w:r w:rsidR="00A25F95">
        <w:t xml:space="preserve"> the role of colonialism, slavery, refugee and immigration movements (Berry</w:t>
      </w:r>
      <w:r w:rsidR="004D511E">
        <w:t>,</w:t>
      </w:r>
      <w:r w:rsidR="00A25F95">
        <w:t xml:space="preserve"> 2011, p.2.2). </w:t>
      </w:r>
      <w:r w:rsidR="00682E77">
        <w:t>In Berry’s writing he refers to ‘</w:t>
      </w:r>
      <w:r w:rsidR="00682E77" w:rsidRPr="009C7C76">
        <w:rPr>
          <w:i/>
          <w:iCs/>
        </w:rPr>
        <w:t>dominant’</w:t>
      </w:r>
      <w:r w:rsidR="00682E77">
        <w:t xml:space="preserve"> and ‘</w:t>
      </w:r>
      <w:r w:rsidR="00682E77" w:rsidRPr="009C7C76">
        <w:rPr>
          <w:i/>
          <w:iCs/>
        </w:rPr>
        <w:t>non-dominant’</w:t>
      </w:r>
      <w:r w:rsidR="00682E77">
        <w:t xml:space="preserve"> groups although the definitions for these are not given in Berry’s writing, I use the term </w:t>
      </w:r>
      <w:r w:rsidR="009C7C76">
        <w:t>‘</w:t>
      </w:r>
      <w:r w:rsidR="00682E77">
        <w:t>dominant group</w:t>
      </w:r>
      <w:r w:rsidR="009C7C76">
        <w:t>’</w:t>
      </w:r>
      <w:r w:rsidR="00682E77">
        <w:t xml:space="preserve"> in this essay to refer to the majority white colonial/ settler population in Australia, </w:t>
      </w:r>
      <w:r w:rsidR="00CC3C78">
        <w:t>and t</w:t>
      </w:r>
      <w:r w:rsidR="00682E77">
        <w:t>he ‘Non-dominant group’ then will be used to refer to the native Aboriginal peoples of Australia.</w:t>
      </w:r>
      <w:r w:rsidR="00CC3C78">
        <w:t xml:space="preserve"> The reasoning for this is the power dynamics visible in the governmental and societal framework of Australia.</w:t>
      </w:r>
    </w:p>
    <w:p w:rsidR="0095205A" w:rsidRPr="00845FDD" w:rsidRDefault="0095205A" w:rsidP="0095205A">
      <w:pPr>
        <w:ind w:firstLine="720"/>
      </w:pPr>
      <w:r>
        <w:rPr>
          <w:noProof/>
        </w:rPr>
        <w:t>Figure 1.</w:t>
      </w:r>
      <w:r w:rsidR="00845FDD">
        <w:rPr>
          <w:noProof/>
        </w:rPr>
        <w:t xml:space="preserve"> below represents Berry’s Intercultural Strategies of Ethnocultural Groups and the </w:t>
      </w:r>
      <w:r w:rsidR="001270F3">
        <w:rPr>
          <w:noProof/>
        </w:rPr>
        <w:t>L</w:t>
      </w:r>
      <w:r w:rsidR="00845FDD">
        <w:rPr>
          <w:noProof/>
        </w:rPr>
        <w:t xml:space="preserve">arger </w:t>
      </w:r>
      <w:r w:rsidR="001270F3">
        <w:rPr>
          <w:noProof/>
        </w:rPr>
        <w:t>S</w:t>
      </w:r>
      <w:r w:rsidR="00845FDD">
        <w:rPr>
          <w:noProof/>
        </w:rPr>
        <w:t xml:space="preserve">ociety, presented in his 2011 paper </w:t>
      </w:r>
      <w:r w:rsidR="00845FDD">
        <w:rPr>
          <w:i/>
          <w:iCs/>
          <w:noProof/>
        </w:rPr>
        <w:t>Integrarion and Multiculturalism: ways towards social solidarity,</w:t>
      </w:r>
      <w:r w:rsidR="00316F4F">
        <w:rPr>
          <w:i/>
          <w:iCs/>
          <w:noProof/>
        </w:rPr>
        <w:t xml:space="preserve"> </w:t>
      </w:r>
      <w:r w:rsidR="00845FDD">
        <w:t>(Berry, 2011, p.2.5).</w:t>
      </w:r>
    </w:p>
    <w:p w:rsidR="0095205A" w:rsidRDefault="0095205A" w:rsidP="000F192A">
      <w:pPr>
        <w:jc w:val="center"/>
        <w:rPr>
          <w:noProof/>
        </w:rPr>
      </w:pPr>
      <w:r>
        <w:rPr>
          <w:noProof/>
        </w:rPr>
        <w:drawing>
          <wp:inline distT="0" distB="0" distL="0" distR="0" wp14:anchorId="3612EC5A" wp14:editId="0F01FE76">
            <wp:extent cx="5081905" cy="3219450"/>
            <wp:effectExtent l="0" t="0" r="4445"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4401" t="20681" r="34190" b="43943"/>
                    <a:stretch/>
                  </pic:blipFill>
                  <pic:spPr bwMode="auto">
                    <a:xfrm>
                      <a:off x="0" y="0"/>
                      <a:ext cx="5097459" cy="3229304"/>
                    </a:xfrm>
                    <a:prstGeom prst="rect">
                      <a:avLst/>
                    </a:prstGeom>
                    <a:ln>
                      <a:noFill/>
                    </a:ln>
                    <a:extLst>
                      <a:ext uri="{53640926-AAD7-44D8-BBD7-CCE9431645EC}">
                        <a14:shadowObscured xmlns:a14="http://schemas.microsoft.com/office/drawing/2010/main"/>
                      </a:ext>
                    </a:extLst>
                  </pic:spPr>
                </pic:pic>
              </a:graphicData>
            </a:graphic>
          </wp:inline>
        </w:drawing>
      </w:r>
    </w:p>
    <w:p w:rsidR="000F192A" w:rsidRPr="009C7C76" w:rsidRDefault="0095205A" w:rsidP="000F192A">
      <w:pPr>
        <w:jc w:val="center"/>
        <w:rPr>
          <w:b/>
          <w:bCs/>
          <w:sz w:val="20"/>
          <w:szCs w:val="20"/>
        </w:rPr>
      </w:pPr>
      <w:r w:rsidRPr="009C7C76">
        <w:rPr>
          <w:b/>
          <w:bCs/>
          <w:sz w:val="20"/>
          <w:szCs w:val="20"/>
        </w:rPr>
        <w:t xml:space="preserve">Figure 1. </w:t>
      </w:r>
      <w:r w:rsidRPr="009C7C76">
        <w:rPr>
          <w:b/>
          <w:bCs/>
          <w:i/>
          <w:iCs/>
          <w:sz w:val="20"/>
          <w:szCs w:val="20"/>
        </w:rPr>
        <w:t xml:space="preserve">Intercultural Strategies of Ethnocultural Groups and the Larger Society’ </w:t>
      </w:r>
      <w:r w:rsidRPr="009C7C76">
        <w:rPr>
          <w:b/>
          <w:bCs/>
          <w:sz w:val="20"/>
          <w:szCs w:val="20"/>
        </w:rPr>
        <w:t>(Berry, 2011, p.2.5)</w:t>
      </w:r>
    </w:p>
    <w:p w:rsidR="00316F4F" w:rsidRDefault="00316F4F" w:rsidP="00CB6F02">
      <w:pPr>
        <w:ind w:firstLine="720"/>
        <w:rPr>
          <w:i/>
          <w:iCs/>
        </w:rPr>
      </w:pPr>
      <w:r>
        <w:lastRenderedPageBreak/>
        <w:t>This model presents the ‘</w:t>
      </w:r>
      <w:r w:rsidRPr="00885093">
        <w:rPr>
          <w:i/>
          <w:iCs/>
        </w:rPr>
        <w:t xml:space="preserve">Intercultural Strategies of Ethnocultural Groups and the Larger </w:t>
      </w:r>
      <w:r w:rsidR="00241B0E" w:rsidRPr="00885093">
        <w:rPr>
          <w:i/>
          <w:iCs/>
        </w:rPr>
        <w:t>S</w:t>
      </w:r>
      <w:r w:rsidRPr="00885093">
        <w:rPr>
          <w:i/>
          <w:iCs/>
        </w:rPr>
        <w:t>ociety</w:t>
      </w:r>
      <w:r w:rsidR="00241B0E" w:rsidRPr="00885093">
        <w:rPr>
          <w:i/>
          <w:iCs/>
        </w:rPr>
        <w:t>’</w:t>
      </w:r>
      <w:r w:rsidR="00885093">
        <w:t xml:space="preserve">. </w:t>
      </w:r>
      <w:r w:rsidR="00BD319D">
        <w:t xml:space="preserve">The </w:t>
      </w:r>
      <w:r w:rsidR="00AD60EA">
        <w:t>left-hand</w:t>
      </w:r>
      <w:r w:rsidR="00BD319D">
        <w:t xml:space="preserve"> circle describes the acculturation strategies of ethnocultural groups;</w:t>
      </w:r>
      <w:r w:rsidR="00241B0E">
        <w:t xml:space="preserve"> </w:t>
      </w:r>
      <w:r w:rsidR="00241B0E">
        <w:rPr>
          <w:i/>
          <w:iCs/>
        </w:rPr>
        <w:t>Assimilation</w:t>
      </w:r>
      <w:r w:rsidR="00241B0E">
        <w:t xml:space="preserve"> is defined as when a group or individual does not wish to maintain their own culture and </w:t>
      </w:r>
      <w:r w:rsidR="00241B0E" w:rsidRPr="007F391F">
        <w:rPr>
          <w:i/>
          <w:iCs/>
        </w:rPr>
        <w:t>‘[…] seeks daily interaction with other cultures’</w:t>
      </w:r>
      <w:r w:rsidR="00241B0E">
        <w:t xml:space="preserve"> (Berry, 2012, p.2.6). Berry’s use of this term is problematic when looking at Australia, as the government’s understanding of the word is not synonymous with Berry’s, and hence it brings into question the validity of Berry’s definition (this will be elaborated upon later). Integration is defined as when a group or person wish to maintain their own culture whilst being part of daily interactions with another, this is heavily relational with multiculturalism. </w:t>
      </w:r>
      <w:r w:rsidR="00041E04">
        <w:t>Separation is defined when a group wishes to avoid interaction with others and marginalisation is defined as when a group or individual do not maintain their own culture, whilst not wishing to be in relation with another. (Berry, 2011, p.2.6).</w:t>
      </w:r>
      <w:r w:rsidR="00AD60EA">
        <w:t xml:space="preserve"> Assimilation when sought by the non-dominant group is termed the ‘</w:t>
      </w:r>
      <w:r w:rsidR="00AD60EA" w:rsidRPr="009C7C76">
        <w:rPr>
          <w:i/>
          <w:iCs/>
        </w:rPr>
        <w:t>melting pot’</w:t>
      </w:r>
      <w:r w:rsidR="00AD60EA">
        <w:t>. ‘</w:t>
      </w:r>
      <w:r w:rsidR="00AD60EA" w:rsidRPr="009C7C76">
        <w:rPr>
          <w:i/>
          <w:iCs/>
        </w:rPr>
        <w:t>Segregation</w:t>
      </w:r>
      <w:r w:rsidR="00AD60EA">
        <w:t xml:space="preserve">’ occurs when separation is forced by the dominant group. When marginalisation is imposed by the dominant group that is </w:t>
      </w:r>
      <w:r w:rsidR="009C7C76">
        <w:t>‘</w:t>
      </w:r>
      <w:r w:rsidR="00AD60EA">
        <w:rPr>
          <w:i/>
          <w:iCs/>
        </w:rPr>
        <w:t>Exclusion</w:t>
      </w:r>
      <w:r w:rsidR="009C7C76">
        <w:rPr>
          <w:i/>
          <w:iCs/>
        </w:rPr>
        <w:t>’</w:t>
      </w:r>
      <w:r w:rsidR="00AD60EA">
        <w:t xml:space="preserve">. </w:t>
      </w:r>
      <w:r w:rsidR="00AD60EA" w:rsidRPr="00AD60EA">
        <w:t>Finally</w:t>
      </w:r>
      <w:r w:rsidR="00AD60EA">
        <w:t>,</w:t>
      </w:r>
      <w:r w:rsidR="00AD60EA" w:rsidRPr="00AD60EA">
        <w:t xml:space="preserve"> when integration is experienced by all groups in a society, that society is</w:t>
      </w:r>
      <w:r w:rsidR="00AD60EA">
        <w:rPr>
          <w:i/>
          <w:iCs/>
        </w:rPr>
        <w:t xml:space="preserve"> </w:t>
      </w:r>
      <w:r w:rsidR="009C7C76">
        <w:rPr>
          <w:i/>
          <w:iCs/>
        </w:rPr>
        <w:t>‘</w:t>
      </w:r>
      <w:r w:rsidR="00AD60EA">
        <w:rPr>
          <w:i/>
          <w:iCs/>
        </w:rPr>
        <w:t>Multicultural</w:t>
      </w:r>
      <w:r w:rsidR="009C7C76">
        <w:rPr>
          <w:i/>
          <w:iCs/>
        </w:rPr>
        <w:t xml:space="preserve">’, </w:t>
      </w:r>
      <w:r w:rsidR="009C7C76">
        <w:t>(Berry, 2011, p.2.6)</w:t>
      </w:r>
      <w:r w:rsidR="00AD60EA">
        <w:rPr>
          <w:i/>
          <w:iCs/>
        </w:rPr>
        <w:t>.</w:t>
      </w:r>
    </w:p>
    <w:p w:rsidR="0089304E" w:rsidRDefault="005D77AB" w:rsidP="007C1000">
      <w:pPr>
        <w:ind w:firstLine="720"/>
      </w:pPr>
      <w:r>
        <w:t xml:space="preserve">There are issues with the separation of these definitions into ‘strategies of </w:t>
      </w:r>
      <w:r w:rsidR="007C1000">
        <w:t>ethnocultural</w:t>
      </w:r>
      <w:r>
        <w:t xml:space="preserve"> groups’ and ‘Strategies of larger groups’, because it suggests that these acculturation strategies are only influenced by either or. </w:t>
      </w:r>
      <w:r w:rsidR="00FE070C">
        <w:t>For example, t</w:t>
      </w:r>
      <w:r>
        <w:t>o suggest</w:t>
      </w:r>
      <w:r w:rsidR="00FE070C">
        <w:t xml:space="preserve"> that</w:t>
      </w:r>
      <w:r>
        <w:t xml:space="preserve"> marginalisation is not influenced by the larger society is wrong.</w:t>
      </w:r>
      <w:r w:rsidR="007C1000">
        <w:t xml:space="preserve"> Although </w:t>
      </w:r>
      <w:r w:rsidR="0089304E">
        <w:t xml:space="preserve">Berry acknowledges that an issue with this model is that it assumes the non-dominant group have choice in how they want to acculturate. Berry also goes on to acknowledge that there is sometimes an </w:t>
      </w:r>
      <w:r w:rsidR="001270F3">
        <w:t>inequality</w:t>
      </w:r>
      <w:r w:rsidR="0089304E">
        <w:t xml:space="preserve"> in the power of certain groups to influence acculturative strategies (Berry, 2011, p.2.6). However, a</w:t>
      </w:r>
      <w:r w:rsidR="001270F3">
        <w:t xml:space="preserve"> </w:t>
      </w:r>
      <w:r w:rsidR="0089304E">
        <w:t xml:space="preserve">large failure of Berry’s discussion is that he does not mention institutionalised racism, and hence does not give enough note to the influence white settler colonies have in their control over acculturation strategies, as well as overlooking the </w:t>
      </w:r>
      <w:r w:rsidR="001270F3">
        <w:t>effects</w:t>
      </w:r>
      <w:r w:rsidR="0089304E">
        <w:t xml:space="preserve"> of institutionalised racism in the lives of those who are integrated. There is a problem with suggesting that marginalisation and integration are separate experiences.</w:t>
      </w:r>
    </w:p>
    <w:p w:rsidR="00C52AC8" w:rsidRDefault="00C52AC8" w:rsidP="00316F4F">
      <w:pPr>
        <w:rPr>
          <w:b/>
          <w:bCs/>
        </w:rPr>
      </w:pPr>
    </w:p>
    <w:p w:rsidR="0089304E" w:rsidRPr="00286F5C" w:rsidRDefault="0038472C" w:rsidP="00316F4F">
      <w:r>
        <w:t>A further point of discussion is Berry’s use of the term ‘</w:t>
      </w:r>
      <w:r w:rsidRPr="00743192">
        <w:rPr>
          <w:i/>
          <w:iCs/>
        </w:rPr>
        <w:t>strategies’</w:t>
      </w:r>
      <w:r>
        <w:t xml:space="preserve">, Berry uses </w:t>
      </w:r>
      <w:r w:rsidR="00743192">
        <w:t>‘</w:t>
      </w:r>
      <w:r>
        <w:rPr>
          <w:i/>
          <w:iCs/>
        </w:rPr>
        <w:t>strategies</w:t>
      </w:r>
      <w:r w:rsidR="00743192">
        <w:rPr>
          <w:i/>
          <w:iCs/>
        </w:rPr>
        <w:t>’</w:t>
      </w:r>
      <w:r>
        <w:rPr>
          <w:i/>
          <w:iCs/>
        </w:rPr>
        <w:t xml:space="preserve"> </w:t>
      </w:r>
      <w:r>
        <w:t xml:space="preserve">rather than </w:t>
      </w:r>
      <w:r w:rsidR="00743192">
        <w:t>‘</w:t>
      </w:r>
      <w:r>
        <w:rPr>
          <w:i/>
          <w:iCs/>
        </w:rPr>
        <w:t>behaviours</w:t>
      </w:r>
      <w:r w:rsidR="00743192">
        <w:rPr>
          <w:i/>
          <w:iCs/>
        </w:rPr>
        <w:t>’</w:t>
      </w:r>
      <w:r>
        <w:rPr>
          <w:i/>
          <w:iCs/>
        </w:rPr>
        <w:t xml:space="preserve"> </w:t>
      </w:r>
      <w:r>
        <w:t>because it includes the ‘</w:t>
      </w:r>
      <w:r w:rsidRPr="007F391F">
        <w:rPr>
          <w:i/>
          <w:iCs/>
        </w:rPr>
        <w:t>attitudes and behaviours of day-to-day intercultural encounters’</w:t>
      </w:r>
      <w:r>
        <w:t xml:space="preserve"> (Berry, 2011, p.2.5).</w:t>
      </w:r>
      <w:r w:rsidR="00A677D2">
        <w:t xml:space="preserve"> The term </w:t>
      </w:r>
      <w:r w:rsidR="00743192">
        <w:t>‘</w:t>
      </w:r>
      <w:r w:rsidR="00A677D2">
        <w:rPr>
          <w:i/>
          <w:iCs/>
        </w:rPr>
        <w:t>acculturation strategies</w:t>
      </w:r>
      <w:r w:rsidR="00743192">
        <w:rPr>
          <w:i/>
          <w:iCs/>
        </w:rPr>
        <w:t>’</w:t>
      </w:r>
      <w:r w:rsidR="00A677D2">
        <w:rPr>
          <w:i/>
          <w:iCs/>
        </w:rPr>
        <w:t xml:space="preserve"> </w:t>
      </w:r>
      <w:r w:rsidR="00A677D2">
        <w:t>is defined by Berry</w:t>
      </w:r>
      <w:r w:rsidR="007F391F">
        <w:t xml:space="preserve"> </w:t>
      </w:r>
      <w:r w:rsidR="00A677D2">
        <w:t>as non-dominant ethnocultural groups have preferences surrounding how they interact with the dominant group</w:t>
      </w:r>
      <w:r w:rsidR="00743192">
        <w:t xml:space="preserve"> (Berry, 2011)</w:t>
      </w:r>
      <w:r w:rsidR="00A677D2">
        <w:t xml:space="preserve">. </w:t>
      </w:r>
      <w:r w:rsidR="00286F5C">
        <w:rPr>
          <w:i/>
          <w:iCs/>
        </w:rPr>
        <w:t xml:space="preserve">Acculturation expectations </w:t>
      </w:r>
      <w:r w:rsidR="00286F5C">
        <w:t xml:space="preserve">are understood as how the dominant group believes the non-dominant group should acculturate. An issue I have with the use of these terms is that they do not account for the strategic use of political and physical force </w:t>
      </w:r>
      <w:r w:rsidR="0067119B">
        <w:t>manipulated</w:t>
      </w:r>
      <w:r w:rsidR="00286F5C">
        <w:t xml:space="preserve"> by the dominant group to influence the way that a non-dominant group acculturates. </w:t>
      </w:r>
      <w:r w:rsidR="0067119B">
        <w:t xml:space="preserve">Further in this writing I use the term ‘Assimilation Strategies’ to refer to the way colonial settlers in Australia strategically enforced law and policy to control the way in which Aboriginal peoples acculturated in Australia. I stray from Berry’s definition of acculturation strategies and I do not use Berry’s term ’acculturation expectations’ because it suggests that the government of Australia only had expectations, and I find it to be a </w:t>
      </w:r>
      <w:r w:rsidR="00743192">
        <w:t>problematic</w:t>
      </w:r>
      <w:r w:rsidR="0067119B">
        <w:t xml:space="preserve"> </w:t>
      </w:r>
      <w:r w:rsidR="00743192">
        <w:t>un-</w:t>
      </w:r>
      <w:r w:rsidR="0067119B">
        <w:t xml:space="preserve">acknowledgement of the active role Australian Government had in the acculturation experience of Aboriginal people’s. </w:t>
      </w:r>
    </w:p>
    <w:p w:rsidR="0068710A" w:rsidRDefault="0068710A">
      <w:pPr>
        <w:rPr>
          <w:b/>
          <w:bCs/>
          <w:u w:val="single"/>
        </w:rPr>
      </w:pPr>
      <w:r w:rsidRPr="0068710A">
        <w:rPr>
          <w:b/>
          <w:bCs/>
          <w:u w:val="single"/>
        </w:rPr>
        <w:t xml:space="preserve">Acculturation Contexts </w:t>
      </w:r>
    </w:p>
    <w:p w:rsidR="00BA6B69" w:rsidRDefault="00DA38E3" w:rsidP="008C09AF">
      <w:pPr>
        <w:ind w:firstLine="720"/>
      </w:pPr>
      <w:r>
        <w:t xml:space="preserve">Berry highlights the importance of context in understanding the influence of assimilation on societies. </w:t>
      </w:r>
      <w:r w:rsidR="00BA6B69">
        <w:t xml:space="preserve">He argues that in understanding the unique cultures making contact, it is possible to understand their </w:t>
      </w:r>
      <w:r w:rsidR="00BA6B69">
        <w:rPr>
          <w:i/>
          <w:iCs/>
        </w:rPr>
        <w:t>cultural distance,</w:t>
      </w:r>
      <w:r w:rsidR="00BA6B69">
        <w:t xml:space="preserve"> (</w:t>
      </w:r>
      <w:r w:rsidR="00A22ECF">
        <w:t xml:space="preserve">Berry, </w:t>
      </w:r>
      <w:r w:rsidR="00BA6B69">
        <w:t>2011</w:t>
      </w:r>
      <w:r w:rsidR="00A22ECF">
        <w:t>, p.</w:t>
      </w:r>
      <w:r w:rsidR="00BA6B69">
        <w:t xml:space="preserve">266) and thus, the levels of assimilation can be </w:t>
      </w:r>
      <w:r w:rsidR="00BA6B69">
        <w:lastRenderedPageBreak/>
        <w:t>measured through change. Berry also suggests that the reasoning behind migration needs to be identified to understand if the migration was one of ‘</w:t>
      </w:r>
      <w:r w:rsidR="00BA6B69">
        <w:rPr>
          <w:i/>
          <w:iCs/>
        </w:rPr>
        <w:t xml:space="preserve">voluntariness </w:t>
      </w:r>
      <w:r w:rsidR="00BA6B69" w:rsidRPr="00373A59">
        <w:t>in the</w:t>
      </w:r>
      <w:r w:rsidR="00BA6B69">
        <w:rPr>
          <w:i/>
          <w:iCs/>
        </w:rPr>
        <w:t xml:space="preserve"> migration motivation </w:t>
      </w:r>
      <w:r w:rsidR="00BA6B69" w:rsidRPr="00F35AAF">
        <w:rPr>
          <w:i/>
          <w:iCs/>
        </w:rPr>
        <w:t>of acculturating individuals</w:t>
      </w:r>
      <w:r w:rsidR="00F35AAF" w:rsidRPr="00F35AAF">
        <w:rPr>
          <w:i/>
          <w:iCs/>
        </w:rPr>
        <w:t>’</w:t>
      </w:r>
      <w:r w:rsidR="00BA6B69">
        <w:rPr>
          <w:i/>
          <w:iCs/>
        </w:rPr>
        <w:t xml:space="preserve"> </w:t>
      </w:r>
      <w:r w:rsidR="00BA6B69">
        <w:t>(Berry, 2011</w:t>
      </w:r>
      <w:r w:rsidR="00D17DCE">
        <w:t>, p.</w:t>
      </w:r>
      <w:r w:rsidR="00BA6B69">
        <w:t xml:space="preserve">266). Although unexpanded, I can acknowledge this would be to assume that those involuntarily migrating may feel less inclined to assimilate or whose acculturation affects may be different. </w:t>
      </w:r>
    </w:p>
    <w:p w:rsidR="00BA6B69" w:rsidRDefault="00BA6B69" w:rsidP="00BA6B69">
      <w:r>
        <w:tab/>
        <w:t>The British colonisation of Australia began in 1778</w:t>
      </w:r>
      <w:r w:rsidR="00B87B0A">
        <w:t xml:space="preserve">, many of the initial migrants to Australia moved involuntarily </w:t>
      </w:r>
      <w:r w:rsidR="00D05179">
        <w:t>as a result of prison overcrowding in Britain (Australians Together, 2020)</w:t>
      </w:r>
      <w:r w:rsidR="00AB41C9">
        <w:t xml:space="preserve">. New South Wales was the first colony to be officiated and many of the assimilation techniques or </w:t>
      </w:r>
      <w:r w:rsidR="00AB41C9">
        <w:rPr>
          <w:i/>
          <w:iCs/>
        </w:rPr>
        <w:t xml:space="preserve">assimilation expectations </w:t>
      </w:r>
      <w:r w:rsidR="00AB41C9">
        <w:t>(Berry, 2011, p.2.4) present were that of religious reform from native people and the expectation that aboriginal people would assimilate through the adoption of Christianity, (Krieken, 2010, p.501).</w:t>
      </w:r>
    </w:p>
    <w:p w:rsidR="00DA38E3" w:rsidRPr="00DA38E3" w:rsidRDefault="00B46EFD">
      <w:r>
        <w:tab/>
        <w:t xml:space="preserve">In the 1850s, the Australian gold rush began, and the country experienced increased migration from western European countries. Despite the change in nature of many migrants, to a primarily </w:t>
      </w:r>
      <w:r>
        <w:rPr>
          <w:i/>
          <w:iCs/>
        </w:rPr>
        <w:t>voluntary</w:t>
      </w:r>
      <w:r>
        <w:t xml:space="preserve"> nature, the relationship between indigenous and settler communities did </w:t>
      </w:r>
      <w:r w:rsidR="00E21F67">
        <w:t xml:space="preserve">not </w:t>
      </w:r>
      <w:r>
        <w:t xml:space="preserve">improve, due to overtly racist viewpoints and </w:t>
      </w:r>
      <w:r w:rsidR="0093670D">
        <w:t xml:space="preserve">governmental policies. Many of the policy papers and discourse surrounding acculturation policies in Australia use the term ‘assimilation’. The use of this term is heavily problematic as it has the underlying notion of systematic loss of culture and language and people and according to Berry’s use of the term it suggests that </w:t>
      </w:r>
      <w:r w:rsidR="0093670D" w:rsidRPr="00885093">
        <w:rPr>
          <w:i/>
          <w:iCs/>
        </w:rPr>
        <w:t>‘[…] individuals [from the non- dominant group] do not wish to maintain their cultural identity and seek daily interaction with other cultures</w:t>
      </w:r>
      <w:r w:rsidR="00F35AAF" w:rsidRPr="00885093">
        <w:rPr>
          <w:i/>
          <w:iCs/>
        </w:rPr>
        <w:t>’</w:t>
      </w:r>
      <w:r w:rsidR="0093670D">
        <w:t xml:space="preserve"> (Berry, 2011, p.2.6). However, this is not the way that the Australian legislation is using the word. Australian governmental policy aimed for the indigenous people to assimilate, but that is not the overall choice of the indigenous peoples themselves. Hence why there was such ‘</w:t>
      </w:r>
      <w:r w:rsidR="0093670D" w:rsidRPr="00F35AAF">
        <w:rPr>
          <w:i/>
          <w:iCs/>
        </w:rPr>
        <w:t>acculturat</w:t>
      </w:r>
      <w:r w:rsidR="002E6BAC" w:rsidRPr="00F35AAF">
        <w:rPr>
          <w:i/>
          <w:iCs/>
        </w:rPr>
        <w:t>ive</w:t>
      </w:r>
      <w:r w:rsidR="0093670D" w:rsidRPr="00F35AAF">
        <w:rPr>
          <w:i/>
          <w:iCs/>
        </w:rPr>
        <w:t xml:space="preserve"> stress’</w:t>
      </w:r>
      <w:r w:rsidR="0093670D">
        <w:t xml:space="preserve"> (Berry, 2011,</w:t>
      </w:r>
      <w:r w:rsidR="002E6BAC">
        <w:t xml:space="preserve"> p.269</w:t>
      </w:r>
      <w:r w:rsidR="0093670D">
        <w:t xml:space="preserve">) between the two groups. </w:t>
      </w:r>
      <w:r w:rsidR="0093670D" w:rsidRPr="00885093">
        <w:t>The dominant group (white colonialist Australians) wanted the indigenous people to choose to assimilate</w:t>
      </w:r>
      <w:r w:rsidR="0093670D">
        <w:t xml:space="preserve">, and tried to influence the behaviour of the indigenous peoples through ‘acculturation strategies’ which were much closer to systematic marginalization, segregation, exclusion and genocide, (as defined by the UN in their 1948 paper </w:t>
      </w:r>
      <w:r w:rsidR="00E21F67">
        <w:t>named</w:t>
      </w:r>
      <w:r w:rsidR="0093670D">
        <w:t xml:space="preserve"> </w:t>
      </w:r>
      <w:r w:rsidR="00E21F67">
        <w:t>‘</w:t>
      </w:r>
      <w:r w:rsidR="0093670D" w:rsidRPr="00705CD9">
        <w:rPr>
          <w:i/>
          <w:iCs/>
        </w:rPr>
        <w:t>Convention on the Prevention and Punishment of the Crime of Genocide</w:t>
      </w:r>
      <w:r w:rsidR="00E21F67" w:rsidRPr="00705CD9">
        <w:rPr>
          <w:i/>
          <w:iCs/>
        </w:rPr>
        <w:t>’</w:t>
      </w:r>
      <w:r w:rsidR="00E21F67">
        <w:t xml:space="preserve"> (UN, 1948)</w:t>
      </w:r>
      <w:r w:rsidR="0093670D" w:rsidRPr="0093670D">
        <w:t>.</w:t>
      </w:r>
      <w:r w:rsidR="00E21F67">
        <w:t xml:space="preserve"> </w:t>
      </w:r>
      <w:r w:rsidR="000F192A">
        <w:t>Thus,</w:t>
      </w:r>
      <w:r w:rsidR="00E21F67">
        <w:t xml:space="preserve"> I</w:t>
      </w:r>
      <w:r w:rsidR="00340152">
        <w:t xml:space="preserve"> a</w:t>
      </w:r>
      <w:r w:rsidR="00E21F67">
        <w:t xml:space="preserve">m highlighting the disparity in the terms understood by the Australian government and John Berry in the use of the term ‘Assimilation’. </w:t>
      </w:r>
    </w:p>
    <w:p w:rsidR="0068710A" w:rsidRDefault="00424CB2">
      <w:pPr>
        <w:rPr>
          <w:b/>
          <w:bCs/>
          <w:u w:val="single"/>
        </w:rPr>
      </w:pPr>
      <w:r>
        <w:rPr>
          <w:b/>
          <w:bCs/>
          <w:u w:val="single"/>
        </w:rPr>
        <w:t>Assimilation</w:t>
      </w:r>
      <w:r w:rsidR="0068710A" w:rsidRPr="0068710A">
        <w:rPr>
          <w:b/>
          <w:bCs/>
          <w:u w:val="single"/>
        </w:rPr>
        <w:t xml:space="preserve"> Strategies </w:t>
      </w:r>
    </w:p>
    <w:p w:rsidR="008D0435" w:rsidRPr="008D0435" w:rsidRDefault="00424CB2" w:rsidP="00CB6F02">
      <w:pPr>
        <w:ind w:firstLine="720"/>
      </w:pPr>
      <w:r>
        <w:t>As defined and discussed above, assimilation is the process by which a non-dominant group chooses to form relationships in a dominant group and not maintain their individual cultural identity. As the aim of the Australian government was for the aboriginal people</w:t>
      </w:r>
      <w:r w:rsidR="00C469A5">
        <w:t>s</w:t>
      </w:r>
      <w:r>
        <w:t xml:space="preserve"> to assimilate, the government had many policies which attempted to achieve that. Presenting these demonstrates that the strategies were not that of assimilation (as they were not the choice of the non-dominant groups) but </w:t>
      </w:r>
      <w:r w:rsidR="0089304E">
        <w:t>ones of systematic loss of culture, which</w:t>
      </w:r>
      <w:r w:rsidR="00C469A5">
        <w:t xml:space="preserve">, when not achieved </w:t>
      </w:r>
      <w:r w:rsidR="0089304E">
        <w:t xml:space="preserve">led to marginalisation and segregation. </w:t>
      </w:r>
    </w:p>
    <w:p w:rsidR="008836B1" w:rsidRDefault="00C469A5" w:rsidP="00CB6F02">
      <w:pPr>
        <w:ind w:firstLine="720"/>
      </w:pPr>
      <w:r>
        <w:t>The beginning of the acculturative strategies began in 1778, when the people of New South Wales were under the impression that the aboriginal people whom they came into contact with would be able to assimilate into the growing euro-centric society through Christianity</w:t>
      </w:r>
      <w:r w:rsidR="008836B1">
        <w:t xml:space="preserve"> (Krieken, 2012 p.501)</w:t>
      </w:r>
      <w:r w:rsidR="007E20EA">
        <w:t>.</w:t>
      </w:r>
      <w:r w:rsidR="008D45ED">
        <w:t xml:space="preserve"> However, this did</w:t>
      </w:r>
      <w:r w:rsidR="00705CD9">
        <w:t xml:space="preserve"> not</w:t>
      </w:r>
      <w:r w:rsidR="008D45ED">
        <w:t xml:space="preserve"> happen as planned, and as the European migrants began to expand their colonies, more and more of the dominant and non-dominant groups came into contact with one another. This contact led to what the Australian government saw as a proble</w:t>
      </w:r>
      <w:r w:rsidR="00C752BB">
        <w:t>m</w:t>
      </w:r>
      <w:r w:rsidR="008D45ED">
        <w:t xml:space="preserve">, when new generations of people with mixed heritage began to be born. The Australian government put forward </w:t>
      </w:r>
      <w:r w:rsidR="00F91240">
        <w:t xml:space="preserve">an idea of ‘biological absorption’, where </w:t>
      </w:r>
      <w:r w:rsidR="00F91240" w:rsidRPr="00705CD9">
        <w:rPr>
          <w:i/>
          <w:iCs/>
        </w:rPr>
        <w:t xml:space="preserve">‘[…] part-white children were openly focused upon </w:t>
      </w:r>
      <w:r w:rsidR="00F91240" w:rsidRPr="00705CD9">
        <w:rPr>
          <w:i/>
          <w:iCs/>
        </w:rPr>
        <w:lastRenderedPageBreak/>
        <w:t>because they were seen as good candidates for assimilation and absorption into white community’</w:t>
      </w:r>
      <w:r w:rsidR="00F91240">
        <w:t xml:space="preserve">, (Ellinghaus, 2006, p.572). This led to ‘The Stolen Generations’, where children were forcibly removed from their homes and families and placed into institutionalised schooling to remove them from their heritage and culture and to attempt to ‘assimilate’ them into mainstream Australian </w:t>
      </w:r>
      <w:r w:rsidR="001270F3">
        <w:t xml:space="preserve">way of </w:t>
      </w:r>
      <w:r w:rsidR="00F91240">
        <w:t xml:space="preserve">living. Again, I point out here, that this is far closer to ‘separation;’ in Berry’s model of ‘Maintenance of Heritage Culture and Identity’, as those being ‘assimilated’ had no choice. However, Berry’s model is inadequate here, as even his use of the term ‘separation’ suggests that separation is when </w:t>
      </w:r>
      <w:r w:rsidR="00F91240" w:rsidRPr="00402053">
        <w:rPr>
          <w:i/>
          <w:iCs/>
        </w:rPr>
        <w:t>‘[…] individuals place a value on holding on to their original culture, and at the same time wish to avoid interaction with others […]</w:t>
      </w:r>
      <w:r w:rsidR="00F91240">
        <w:t xml:space="preserve">’ (Berry, 2011, p.2.6) </w:t>
      </w:r>
      <w:r w:rsidR="001270F3">
        <w:t>H</w:t>
      </w:r>
      <w:r w:rsidR="00F91240">
        <w:t xml:space="preserve">owever, this is not applicable to the context of the stolen generations, as those of the indigenous groups wanted to maintain separation from the settlers; those of mixed heritage did not have choice to separate from anyone, least of all those of their own family. Berry’s model is entirely inadequate when discussing contexts such as these as he does not account for the </w:t>
      </w:r>
      <w:r w:rsidR="005D5566">
        <w:t>level of power the dominant groups have within society.  A simple diagram has no use in the complexities of institutionalised racism and systematic genocide</w:t>
      </w:r>
      <w:r w:rsidR="000156B9">
        <w:t>, and there are no societies that are exempt from the experience of racism, hence, what use does this model have in representing any society?</w:t>
      </w:r>
      <w:r w:rsidR="00E061E3">
        <w:t xml:space="preserve"> I would argue very little indeed.</w:t>
      </w:r>
    </w:p>
    <w:p w:rsidR="005E0E5F" w:rsidRDefault="005E0E5F">
      <w:r>
        <w:tab/>
        <w:t>One part of Berry’s discussion that is clear to see in the writings surrounding the colonisation of Australia, is that of ‘</w:t>
      </w:r>
      <w:r w:rsidRPr="00C752BB">
        <w:rPr>
          <w:i/>
          <w:iCs/>
        </w:rPr>
        <w:t>acculturation expectations’</w:t>
      </w:r>
      <w:r>
        <w:t xml:space="preserve"> (Berry, 2011, p.2.4). Acculturation expectations are the views held by dominant groups about how non-dominant groups should acculturate (Berry, 2011, p. 2.4). An example of this is presented in </w:t>
      </w:r>
      <w:proofErr w:type="spellStart"/>
      <w:r>
        <w:t>Krieken’s</w:t>
      </w:r>
      <w:proofErr w:type="spellEnd"/>
      <w:r>
        <w:t xml:space="preserve"> 2012 writing, quoting Paul Hasluck’s 1951 speech on the ‘policy of assimilation’. The speech reads;</w:t>
      </w:r>
    </w:p>
    <w:p w:rsidR="005E0E5F" w:rsidRDefault="005E0E5F" w:rsidP="00402053">
      <w:pPr>
        <w:ind w:left="720"/>
      </w:pPr>
      <w:r w:rsidRPr="00402053">
        <w:rPr>
          <w:i/>
          <w:iCs/>
        </w:rPr>
        <w:t>‘… that the Aborigines and persons of mixed blood are expected eventually to attain to the same manner of living and to the same privileges of citizenship as white Australians and to live, if they choose to do so, as a member of a single Australian community, observing the same customs and influenced by the same beliefs, hopes and loyalties as other Australians’</w:t>
      </w:r>
      <w:r>
        <w:t>, (Hasluck, 1951</w:t>
      </w:r>
      <w:r w:rsidR="003471DA">
        <w:t xml:space="preserve"> as cited by Krieken, 2012, p.503).</w:t>
      </w:r>
    </w:p>
    <w:p w:rsidR="003471DA" w:rsidRDefault="003471DA" w:rsidP="00402053">
      <w:r>
        <w:t>This snippet of the speech of the then Australian minister for territories from 1951 to 1963 demonstrates the expectations of the dominant group to witness assimilation of the non- dominant groups, and furthermore, it demonstrates that there was already separation between the two groups as settlers and Aborigines, as it describes</w:t>
      </w:r>
      <w:r w:rsidR="001270F3">
        <w:t xml:space="preserve"> the idea of</w:t>
      </w:r>
      <w:r>
        <w:t xml:space="preserve"> ‘a single Australian community’</w:t>
      </w:r>
      <w:r w:rsidR="00C752BB">
        <w:t xml:space="preserve"> (</w:t>
      </w:r>
      <w:r w:rsidR="00C752BB">
        <w:t>Hasluck, 1951 as cited by Krieken, 2012, p.503)</w:t>
      </w:r>
      <w:r w:rsidR="00C752BB">
        <w:t>,</w:t>
      </w:r>
      <w:r>
        <w:t xml:space="preserve"> and suggests that the Aborigines live outside of it. A problem I have whilst reading this is the idea that there are only one set of shared beliefs in any society, especially a society made up of migrants. Even a migrant society from Britain would have at the very least four separate nationalities, languages and festivals to celebrate</w:t>
      </w:r>
      <w:r w:rsidR="00F83601">
        <w:t>,</w:t>
      </w:r>
      <w:r w:rsidR="008A6831">
        <w:t xml:space="preserve"> Krieken argues along this line, in </w:t>
      </w:r>
      <w:r w:rsidR="008A6831" w:rsidRPr="00402053">
        <w:rPr>
          <w:i/>
          <w:iCs/>
        </w:rPr>
        <w:t>saying ‘[</w:t>
      </w:r>
      <w:proofErr w:type="spellStart"/>
      <w:r w:rsidR="008A6831" w:rsidRPr="00402053">
        <w:rPr>
          <w:i/>
          <w:iCs/>
        </w:rPr>
        <w:t>i</w:t>
      </w:r>
      <w:proofErr w:type="spellEnd"/>
      <w:r w:rsidR="008A6831" w:rsidRPr="00402053">
        <w:rPr>
          <w:i/>
          <w:iCs/>
        </w:rPr>
        <w:t>]t overstates the cohesiveness of any given society […] the idea of ‘a European way of life’ or ‘the white community’ is highly problematic and probably best understood as a rhetorical device employed to create the very thing it is meant to describe’</w:t>
      </w:r>
      <w:r w:rsidR="008A6831">
        <w:t xml:space="preserve"> (Krieken, 2012, p.501)</w:t>
      </w:r>
      <w:r>
        <w:t>. I think that the very idea of there being only one ‘Australia’ stems from the internalised idea of there being only a white Australia.</w:t>
      </w:r>
      <w:r w:rsidR="0092416E">
        <w:t xml:space="preserve"> This is </w:t>
      </w:r>
      <w:r>
        <w:t xml:space="preserve">supported by the 1901 ‘White Australia Policy’ </w:t>
      </w:r>
      <w:r w:rsidR="0092416E">
        <w:t>and is held up by Elli</w:t>
      </w:r>
      <w:r w:rsidR="005110AC">
        <w:t>n</w:t>
      </w:r>
      <w:r w:rsidR="0092416E">
        <w:t>ghaus’ writing ‘</w:t>
      </w:r>
      <w:r w:rsidR="0092416E" w:rsidRPr="00402053">
        <w:rPr>
          <w:i/>
          <w:iCs/>
        </w:rPr>
        <w:t xml:space="preserve">Discussions of </w:t>
      </w:r>
      <w:r w:rsidR="00F80092" w:rsidRPr="00402053">
        <w:rPr>
          <w:i/>
          <w:iCs/>
        </w:rPr>
        <w:t>“</w:t>
      </w:r>
      <w:r w:rsidR="0092416E" w:rsidRPr="00402053">
        <w:rPr>
          <w:i/>
          <w:iCs/>
        </w:rPr>
        <w:t>white Australia” ignored the presence of the Aboriginal population, which was perceived as helpfully vanishing through disease, poverty, and, of courses the slow absorption of Aboriginal identity through inter-racial relationships</w:t>
      </w:r>
      <w:r w:rsidR="0092416E">
        <w:t xml:space="preserve">’ </w:t>
      </w:r>
      <w:r>
        <w:t>(Elli</w:t>
      </w:r>
      <w:r w:rsidR="005110AC">
        <w:t>ng</w:t>
      </w:r>
      <w:r>
        <w:t>haus, 2006</w:t>
      </w:r>
      <w:r w:rsidR="0092416E">
        <w:t>, p.575</w:t>
      </w:r>
      <w:r>
        <w:t>)</w:t>
      </w:r>
      <w:r w:rsidR="0092416E">
        <w:t>.</w:t>
      </w:r>
      <w:r w:rsidR="008A6831">
        <w:t xml:space="preserve"> </w:t>
      </w:r>
    </w:p>
    <w:p w:rsidR="008A6831" w:rsidRPr="005E0E5F" w:rsidRDefault="008A6831">
      <w:r>
        <w:tab/>
        <w:t>The White Australia Policy was adopted in 1901</w:t>
      </w:r>
      <w:r w:rsidR="005110AC">
        <w:t xml:space="preserve"> and it stemmed from the very first piece of legislation passed by the newly founded Commonwealth of Australia, the ‘</w:t>
      </w:r>
      <w:r w:rsidR="005110AC" w:rsidRPr="00402053">
        <w:rPr>
          <w:i/>
          <w:iCs/>
        </w:rPr>
        <w:t>Immigration Restriction Bill (1901)</w:t>
      </w:r>
      <w:r w:rsidR="00402053" w:rsidRPr="00402053">
        <w:rPr>
          <w:i/>
          <w:iCs/>
        </w:rPr>
        <w:t>’</w:t>
      </w:r>
      <w:r w:rsidR="005110AC" w:rsidRPr="00402053">
        <w:t xml:space="preserve"> (Krieken, 2012, p.506)</w:t>
      </w:r>
      <w:r w:rsidR="005110AC">
        <w:t xml:space="preserve"> quite telling of the attitude of the ‘dominant group’ towards acculturation. </w:t>
      </w:r>
      <w:r w:rsidR="005110AC" w:rsidRPr="00097B93">
        <w:t xml:space="preserve">Following the second world war, a two-tiered system evolved, where British and </w:t>
      </w:r>
      <w:r w:rsidR="005110AC" w:rsidRPr="00097B93">
        <w:lastRenderedPageBreak/>
        <w:t>Western</w:t>
      </w:r>
      <w:r w:rsidR="00097B93" w:rsidRPr="00097B93">
        <w:t xml:space="preserve"> European</w:t>
      </w:r>
      <w:r w:rsidR="005110AC" w:rsidRPr="00097B93">
        <w:t xml:space="preserve"> migrants were given assisted passage, whereas those from Eastern and Southern Europe were often treated like second- class citizens, (Krieken, 2012, p.507</w:t>
      </w:r>
      <w:r w:rsidR="005110AC">
        <w:t>).</w:t>
      </w:r>
      <w:r w:rsidR="00CB6F02">
        <w:t xml:space="preserve"> The recurring idea of cultural homogeneity has maintained in mainstream Australian thinking and </w:t>
      </w:r>
      <w:r w:rsidR="00CB6F02" w:rsidRPr="00402053">
        <w:rPr>
          <w:i/>
          <w:iCs/>
        </w:rPr>
        <w:t>‘[…] cultural homogeneity [continued to be] at the centre of Australia’s model of integration’</w:t>
      </w:r>
      <w:r w:rsidR="00CB6F02">
        <w:t xml:space="preserve"> (Krieken, 2012, p.507).</w:t>
      </w:r>
    </w:p>
    <w:p w:rsidR="008836B1" w:rsidRPr="00B12108" w:rsidRDefault="00B12108">
      <w:pPr>
        <w:rPr>
          <w:b/>
          <w:bCs/>
          <w:u w:val="single"/>
        </w:rPr>
      </w:pPr>
      <w:r w:rsidRPr="00B12108">
        <w:rPr>
          <w:b/>
          <w:bCs/>
          <w:u w:val="single"/>
        </w:rPr>
        <w:t xml:space="preserve">The </w:t>
      </w:r>
      <w:r w:rsidR="008836B1" w:rsidRPr="00B12108">
        <w:rPr>
          <w:b/>
          <w:bCs/>
          <w:u w:val="single"/>
        </w:rPr>
        <w:t xml:space="preserve">abandonment of the </w:t>
      </w:r>
      <w:r w:rsidRPr="00B12108">
        <w:rPr>
          <w:b/>
          <w:bCs/>
          <w:u w:val="single"/>
        </w:rPr>
        <w:t>W</w:t>
      </w:r>
      <w:r w:rsidR="008836B1" w:rsidRPr="00B12108">
        <w:rPr>
          <w:b/>
          <w:bCs/>
          <w:u w:val="single"/>
        </w:rPr>
        <w:t xml:space="preserve">hite Australia </w:t>
      </w:r>
      <w:r w:rsidRPr="00B12108">
        <w:rPr>
          <w:b/>
          <w:bCs/>
          <w:u w:val="single"/>
        </w:rPr>
        <w:t>P</w:t>
      </w:r>
      <w:r w:rsidR="008836B1" w:rsidRPr="00B12108">
        <w:rPr>
          <w:b/>
          <w:bCs/>
          <w:u w:val="single"/>
        </w:rPr>
        <w:t>olicy</w:t>
      </w:r>
      <w:r w:rsidRPr="00B12108">
        <w:rPr>
          <w:b/>
          <w:bCs/>
          <w:u w:val="single"/>
        </w:rPr>
        <w:t>;</w:t>
      </w:r>
      <w:r w:rsidR="008836B1" w:rsidRPr="00B12108">
        <w:rPr>
          <w:b/>
          <w:bCs/>
          <w:u w:val="single"/>
        </w:rPr>
        <w:t xml:space="preserve"> </w:t>
      </w:r>
      <w:r w:rsidR="00446ECE" w:rsidRPr="00B12108">
        <w:rPr>
          <w:b/>
          <w:bCs/>
          <w:u w:val="single"/>
        </w:rPr>
        <w:t xml:space="preserve">towards multiculturalism </w:t>
      </w:r>
    </w:p>
    <w:p w:rsidR="00B12108" w:rsidRPr="00B12108" w:rsidRDefault="00B12108">
      <w:r>
        <w:tab/>
        <w:t xml:space="preserve">There is hope for a more multicultural ideology in Australia, as the White Australia Policy had been officially abandoned in 1977 following the ‘[…] election of the Whitlam Labour Government in 1972’ (Krieken, 2012, p.509). Multicultural ideologies began to get more note, and the ‘[…] Australian Labour Federal government […] </w:t>
      </w:r>
      <w:proofErr w:type="spellStart"/>
      <w:r>
        <w:t>argu</w:t>
      </w:r>
      <w:proofErr w:type="spellEnd"/>
      <w:r>
        <w:t xml:space="preserve">[ed] that cultural diversity is an important resource in a globalizing world and that Australian’s role in the Asia-Pacific region demands something more than a nostalgic concern for cultural </w:t>
      </w:r>
      <w:r w:rsidR="002515F1">
        <w:t>homogeneity</w:t>
      </w:r>
      <w:r>
        <w:t>’ (Castles,</w:t>
      </w:r>
      <w:r w:rsidR="002515F1">
        <w:t xml:space="preserve"> 1992, as cited by </w:t>
      </w:r>
      <w:r>
        <w:t>Krieken, 2012, p.510)</w:t>
      </w:r>
      <w:r w:rsidR="00B40449">
        <w:t xml:space="preserve">. However, Jordan warns that this is not a shift towards multiculturalism, but towards ‘the preservation of social and cultural rather than racial homogeneity’ (Jordan, as cited by Krieken, 2012, p. 508). </w:t>
      </w:r>
    </w:p>
    <w:p w:rsidR="0068710A" w:rsidRPr="00CA14B8" w:rsidRDefault="009E2CC4" w:rsidP="00AF0766">
      <w:pPr>
        <w:ind w:firstLine="720"/>
      </w:pPr>
      <w:bookmarkStart w:id="0" w:name="_GoBack"/>
      <w:bookmarkEnd w:id="0"/>
      <w:r>
        <w:t xml:space="preserve">In conclusion, whilst there are some similarities between Berry’s discussion of acculturation and the colonisation of Australia, such as in the presence of </w:t>
      </w:r>
      <w:r w:rsidR="00CA14B8">
        <w:rPr>
          <w:i/>
          <w:iCs/>
        </w:rPr>
        <w:t xml:space="preserve">acculturation expectations, </w:t>
      </w:r>
      <w:r w:rsidR="00CA14B8">
        <w:t>presented in the expectations of the dominant group of how assimilation would take place. One of the biggest flaws in Berry’s model and discussion of Acculturation is that it does not give enough attention to the role of race and racism. As racism in present in every country, it is not something which can be overlooked, especially in acknowledging the institutionalisation of racism. As racism influences the expectations, strategies and abilities of groups to acculturate, then it must be pa</w:t>
      </w:r>
      <w:r w:rsidR="00097B93">
        <w:t>i</w:t>
      </w:r>
      <w:r w:rsidR="00CA14B8">
        <w:t xml:space="preserve">d more attention in Berry’s model of acculturation. </w:t>
      </w:r>
    </w:p>
    <w:p w:rsidR="0068710A" w:rsidRDefault="0068710A">
      <w:pPr>
        <w:rPr>
          <w:b/>
          <w:bCs/>
          <w:u w:val="single"/>
        </w:rPr>
      </w:pPr>
      <w:r w:rsidRPr="0068710A">
        <w:rPr>
          <w:b/>
          <w:bCs/>
          <w:u w:val="single"/>
        </w:rPr>
        <w:t>Reference List:</w:t>
      </w:r>
    </w:p>
    <w:p w:rsidR="00D05179" w:rsidRPr="00D05179" w:rsidRDefault="00D05179">
      <w:r w:rsidRPr="00885093">
        <w:t xml:space="preserve">Australians Together (2020) </w:t>
      </w:r>
      <w:r w:rsidRPr="00885093">
        <w:rPr>
          <w:i/>
          <w:iCs/>
        </w:rPr>
        <w:t xml:space="preserve">Colonisation, Dispossession, Disease and Direct Conflict. </w:t>
      </w:r>
      <w:r w:rsidR="00885093" w:rsidRPr="00885093">
        <w:t xml:space="preserve">[Online Website] </w:t>
      </w:r>
      <w:r w:rsidRPr="00885093">
        <w:t xml:space="preserve">Available at: </w:t>
      </w:r>
      <w:hyperlink r:id="rId5" w:history="1">
        <w:r w:rsidRPr="00885093">
          <w:rPr>
            <w:rStyle w:val="Hyperddolen"/>
            <w:u w:val="none"/>
          </w:rPr>
          <w:t>https://australianstogether.org.au/discover/australian-history/colonisation/</w:t>
        </w:r>
      </w:hyperlink>
      <w:r w:rsidRPr="00885093">
        <w:t xml:space="preserve"> (Accessed: 26/02/20)</w:t>
      </w:r>
      <w:r w:rsidR="00D96DBA">
        <w:t>.</w:t>
      </w:r>
    </w:p>
    <w:p w:rsidR="0068710A" w:rsidRDefault="0068710A">
      <w:r w:rsidRPr="0068710A">
        <w:t>Berry, J. W. (2011) ‘</w:t>
      </w:r>
      <w:r w:rsidRPr="00DA30CF">
        <w:t>Acculturation’</w:t>
      </w:r>
      <w:r w:rsidRPr="0068710A">
        <w:t xml:space="preserve"> in Friedlmeier, W. et. Al. </w:t>
      </w:r>
      <w:r w:rsidRPr="0068710A">
        <w:rPr>
          <w:i/>
          <w:iCs/>
        </w:rPr>
        <w:t xml:space="preserve">Culture and Development: The importance of </w:t>
      </w:r>
      <w:r w:rsidR="003C6B47" w:rsidRPr="0068710A">
        <w:rPr>
          <w:i/>
          <w:iCs/>
        </w:rPr>
        <w:t>Cross-Cultural</w:t>
      </w:r>
      <w:r w:rsidRPr="0068710A">
        <w:rPr>
          <w:i/>
          <w:iCs/>
        </w:rPr>
        <w:t xml:space="preserve"> Research for the Social Sciences. </w:t>
      </w:r>
      <w:r w:rsidRPr="0068710A">
        <w:t xml:space="preserve">[Online Access] Available at: </w:t>
      </w:r>
      <w:hyperlink r:id="rId6" w:history="1">
        <w:r w:rsidRPr="0068710A">
          <w:rPr>
            <w:rStyle w:val="Hyperddolen"/>
            <w:u w:val="none"/>
          </w:rPr>
          <w:t>https://ebookcentral-proquest-com.ezproxy.uwtsd.ac.uk/lib/trinity/reader.action?docID=242284&amp;ppg=280</w:t>
        </w:r>
      </w:hyperlink>
      <w:r w:rsidRPr="0068710A">
        <w:t xml:space="preserve"> (Accessed on 24/02/20).</w:t>
      </w:r>
    </w:p>
    <w:p w:rsidR="0006453D" w:rsidRDefault="0006453D">
      <w:r>
        <w:t>Berry, J., W. (2011) ‘</w:t>
      </w:r>
      <w:r w:rsidRPr="00DA30CF">
        <w:t>Integration and Multiculturalism: Ways towards Social Solidarity</w:t>
      </w:r>
      <w:r w:rsidR="00DA30CF" w:rsidRPr="00DA30CF">
        <w:t>’</w:t>
      </w:r>
      <w:r>
        <w:t xml:space="preserve">, </w:t>
      </w:r>
      <w:r>
        <w:rPr>
          <w:i/>
          <w:iCs/>
        </w:rPr>
        <w:t xml:space="preserve">Papers on Social Representations, </w:t>
      </w:r>
      <w:r w:rsidR="00016663" w:rsidRPr="00016663">
        <w:t>Vol</w:t>
      </w:r>
      <w:r w:rsidR="00016663">
        <w:rPr>
          <w:i/>
          <w:iCs/>
        </w:rPr>
        <w:t>.</w:t>
      </w:r>
      <w:r>
        <w:t>20 pp. 2.1-2.21.</w:t>
      </w:r>
      <w:r w:rsidR="00D96DBA">
        <w:t xml:space="preserve"> [Online Article] Available at: </w:t>
      </w:r>
      <w:hyperlink r:id="rId7" w:history="1">
        <w:r w:rsidR="00D96DBA" w:rsidRPr="009E1986">
          <w:rPr>
            <w:rStyle w:val="Hyperddolen"/>
          </w:rPr>
          <w:t>https://moodle.uwtsd.ac.uk/pluginfile.php/332815/mod_resource/content/0/Integration%20and%20Multiculturalism.%20Ways%20towards%20Social%20Solidarity%20%28Berry%2C%20J.%202011%29.pdf</w:t>
        </w:r>
      </w:hyperlink>
      <w:r w:rsidR="00D96DBA">
        <w:t xml:space="preserve"> (Accessed on: 25/02/20).</w:t>
      </w:r>
    </w:p>
    <w:p w:rsidR="00696046" w:rsidRDefault="00696046" w:rsidP="00696046">
      <w:r w:rsidRPr="003D2324">
        <w:rPr>
          <w:i/>
          <w:iCs/>
        </w:rPr>
        <w:t>Convention on the Prevention and Punishment of the Crime of Genocide</w:t>
      </w:r>
      <w:r w:rsidRPr="003D2324">
        <w:t xml:space="preserve">. </w:t>
      </w:r>
      <w:r>
        <w:t xml:space="preserve">(1948) UN. </w:t>
      </w:r>
      <w:hyperlink r:id="rId8" w:history="1">
        <w:r w:rsidRPr="009E1986">
          <w:rPr>
            <w:rStyle w:val="Hyperddolen"/>
          </w:rPr>
          <w:t>https://treaties.un.org/doc/Publication/UNTS/Volume%2078/volume-78-I-1021-English.pdf</w:t>
        </w:r>
      </w:hyperlink>
      <w:r>
        <w:t xml:space="preserve"> (Accessed on: 21/02/20).</w:t>
      </w:r>
    </w:p>
    <w:p w:rsidR="0078706B" w:rsidRPr="0078706B" w:rsidRDefault="0078706B" w:rsidP="0078706B">
      <w:r>
        <w:t>Elli</w:t>
      </w:r>
      <w:r w:rsidR="003B7350">
        <w:t>n</w:t>
      </w:r>
      <w:r>
        <w:t xml:space="preserve">ghaus, K. (2006) ‘Indigenous Assimilation and Absorption in the United States and Australia’, </w:t>
      </w:r>
      <w:r>
        <w:rPr>
          <w:i/>
          <w:iCs/>
        </w:rPr>
        <w:t xml:space="preserve">Pacific Historical Review, </w:t>
      </w:r>
      <w:r>
        <w:t>75(4), pp. 563-585.</w:t>
      </w:r>
      <w:r w:rsidR="00D96DBA">
        <w:t xml:space="preserve"> [Online Article] Available at: </w:t>
      </w:r>
      <w:hyperlink r:id="rId9" w:history="1">
        <w:r w:rsidR="00D96DBA" w:rsidRPr="009E1986">
          <w:rPr>
            <w:rStyle w:val="Hyperddolen"/>
          </w:rPr>
          <w:t>https://www.jstor.org/stable/10.1525/phr.2006.75.4.563?Search=yes&amp;resultItemClick=true&amp;search</w:t>
        </w:r>
        <w:r w:rsidR="00D96DBA" w:rsidRPr="009E1986">
          <w:rPr>
            <w:rStyle w:val="Hyperddolen"/>
          </w:rPr>
          <w:lastRenderedPageBreak/>
          <w:t>Text=ellinghaus&amp;searchText=indigenous&amp;searchText=assimilation&amp;searchUri=%2Faction%2FdoBasicSearch%3FQuery%3Dellinghaus%2Bindigenous%2Bassimilation%26amp%3Brefreqid%3Dsearch%253A39207f02282f7c1cf0c125204bbb4ced&amp;ab_segments=0%2Fbasic_SYC-5055%2Ftest&amp;refreqid=search%3A1a1fe5a5238e642ae999f89f7898d3fa&amp;seq=1#metadata_info_tab_contents</w:t>
        </w:r>
      </w:hyperlink>
      <w:r w:rsidR="00D96DBA">
        <w:t xml:space="preserve"> (Accessed on: 24/02/20).</w:t>
      </w:r>
    </w:p>
    <w:p w:rsidR="0078706B" w:rsidRPr="0006453D" w:rsidRDefault="0006453D" w:rsidP="0078706B">
      <w:pPr>
        <w:rPr>
          <w:i/>
          <w:iCs/>
        </w:rPr>
      </w:pPr>
      <w:r>
        <w:t xml:space="preserve">Krieken, R., V. (2012) ‘Between Assimilation and Multiculturalism: Models of Integration in Australia’, </w:t>
      </w:r>
      <w:r>
        <w:rPr>
          <w:i/>
          <w:iCs/>
        </w:rPr>
        <w:t xml:space="preserve">Patterns of Prejudice, </w:t>
      </w:r>
      <w:r>
        <w:t>46(5), pp. 500-517.</w:t>
      </w:r>
      <w:r w:rsidR="00016663">
        <w:t xml:space="preserve"> [Online Article] Available at:</w:t>
      </w:r>
      <w:r w:rsidR="00016663" w:rsidRPr="00016663">
        <w:t xml:space="preserve"> </w:t>
      </w:r>
      <w:hyperlink r:id="rId10" w:history="1">
        <w:r w:rsidR="00016663" w:rsidRPr="009E1986">
          <w:rPr>
            <w:rStyle w:val="Hyperddolen"/>
          </w:rPr>
          <w:t>https://www.researchgate.net/publication/258500221_Between_assimilation_and_multiculturalism_Models_of_integration_in_Australia</w:t>
        </w:r>
      </w:hyperlink>
      <w:r w:rsidR="00016663">
        <w:t xml:space="preserve"> (Accessed on: 24/02/20). </w:t>
      </w:r>
    </w:p>
    <w:p w:rsidR="0078706B" w:rsidRPr="00A57362" w:rsidRDefault="0078706B" w:rsidP="0078706B"/>
    <w:p w:rsidR="0078706B" w:rsidRDefault="0078706B" w:rsidP="0078706B">
      <w:pPr>
        <w:rPr>
          <w:b/>
          <w:bCs/>
          <w:u w:val="single"/>
        </w:rPr>
      </w:pPr>
      <w:r w:rsidRPr="0078706B">
        <w:rPr>
          <w:b/>
          <w:bCs/>
          <w:u w:val="single"/>
        </w:rPr>
        <w:t>Bibliography</w:t>
      </w:r>
    </w:p>
    <w:p w:rsidR="002515F1" w:rsidRDefault="002515F1" w:rsidP="0078706B">
      <w:r>
        <w:t xml:space="preserve">Castles, S. (1992) ‘The Australian Model of Immigration and Multiculturalism: Is it Applicable to Europe?’, </w:t>
      </w:r>
      <w:r>
        <w:rPr>
          <w:i/>
          <w:iCs/>
        </w:rPr>
        <w:t xml:space="preserve">The International Migration Review, </w:t>
      </w:r>
      <w:r>
        <w:t xml:space="preserve">26(2), pp. 549-567. [Online Article] Available at: </w:t>
      </w:r>
      <w:hyperlink r:id="rId11" w:history="1">
        <w:r w:rsidRPr="009E1986">
          <w:rPr>
            <w:rStyle w:val="Hyperddolen"/>
          </w:rPr>
          <w:t>https://www.jstor.org/stable/2547071?seq=8#metadata_info_tab_contents</w:t>
        </w:r>
      </w:hyperlink>
      <w:r>
        <w:t xml:space="preserve"> (Accessed on: 01/03/20).</w:t>
      </w:r>
    </w:p>
    <w:p w:rsidR="00D96DBA" w:rsidRPr="002515F1" w:rsidRDefault="00D96DBA" w:rsidP="0078706B">
      <w:r>
        <w:t xml:space="preserve">Fozdar, F., Torezani, S. (2008) ‘Discrimination and Well-Being: Perceptions of Refugees in Western Australia’, </w:t>
      </w:r>
      <w:r>
        <w:rPr>
          <w:i/>
          <w:iCs/>
        </w:rPr>
        <w:t xml:space="preserve">The International Migration Review, </w:t>
      </w:r>
      <w:r>
        <w:t xml:space="preserve">42(1), pp. 30-63. [Online Article] Available at: </w:t>
      </w:r>
      <w:hyperlink r:id="rId12" w:history="1">
        <w:r w:rsidRPr="009E1986">
          <w:rPr>
            <w:rStyle w:val="Hyperddolen"/>
          </w:rPr>
          <w:t>https://www.jstor.org/stable/27645715?Search=yes&amp;resultItemClick=true&amp;searchText=fozdar&amp;searchText=2008&amp;searchText=discrimination&amp;searchText=and&amp;searchText=wellbeing&amp;searchUri=%2Faction%2FdoBasicSearch%3FQuery%3Dfozdar%2B2008%2Bdiscrimination%2Band%2Bwellbeing&amp;ab_segments=0%2Fbasic_SYC-5055%2Ftest&amp;refreqid=search%3A65614303545dd911d63ecb7225be3bb8&amp;seq=1#metadata_info_tab_contents</w:t>
        </w:r>
      </w:hyperlink>
      <w:r>
        <w:t xml:space="preserve"> (Accessed on: 22/02/20). </w:t>
      </w:r>
    </w:p>
    <w:p w:rsidR="0078706B" w:rsidRDefault="0078706B" w:rsidP="0078706B">
      <w:r w:rsidRPr="00764B85">
        <w:rPr>
          <w:i/>
          <w:iCs/>
        </w:rPr>
        <w:t>Genocide in Australia: A submission to the Senate Legal and Constitutional References Committee Inquiry into the Anti-Genocide Bill.</w:t>
      </w:r>
      <w:r>
        <w:t xml:space="preserve"> </w:t>
      </w:r>
      <w:r w:rsidR="00764B85">
        <w:t>(</w:t>
      </w:r>
      <w:r>
        <w:t>1999</w:t>
      </w:r>
      <w:r w:rsidR="00764B85">
        <w:t>)</w:t>
      </w:r>
      <w:r>
        <w:t xml:space="preserve"> </w:t>
      </w:r>
      <w:r w:rsidR="00764B85">
        <w:t>Human rights and equal opportunities commission</w:t>
      </w:r>
      <w:r w:rsidR="00764B85">
        <w:t>.</w:t>
      </w:r>
      <w:r w:rsidR="00764B85">
        <w:t xml:space="preserve"> </w:t>
      </w:r>
      <w:hyperlink r:id="rId13" w:history="1">
        <w:r w:rsidRPr="00995DA1">
          <w:rPr>
            <w:rStyle w:val="Hyperddolen"/>
          </w:rPr>
          <w:t>https://www.humanrights.gov.au/sites/default/files/document/page/Anti-Genocide%20Bill%2</w:t>
        </w:r>
        <w:r w:rsidRPr="00995DA1">
          <w:rPr>
            <w:rStyle w:val="Hyperddolen"/>
          </w:rPr>
          <w:t>0</w:t>
        </w:r>
        <w:r w:rsidRPr="00995DA1">
          <w:rPr>
            <w:rStyle w:val="Hyperddolen"/>
          </w:rPr>
          <w:t>submission.pdf</w:t>
        </w:r>
      </w:hyperlink>
      <w:r w:rsidR="00764B85">
        <w:t xml:space="preserve"> (Accessed on: 21/02/20).</w:t>
      </w:r>
    </w:p>
    <w:p w:rsidR="0078706B" w:rsidRPr="008C09AF" w:rsidRDefault="00BF7F71">
      <w:pPr>
        <w:rPr>
          <w:rFonts w:cstheme="minorHAnsi"/>
        </w:rPr>
      </w:pPr>
      <w:hyperlink r:id="rId14" w:tgtFrame="_blank" w:history="1">
        <w:r w:rsidR="008C09AF" w:rsidRPr="008C09AF">
          <w:rPr>
            <w:rFonts w:cstheme="minorHAnsi"/>
          </w:rPr>
          <w:t>Harris, J. (2003) "Hiding the Bodies: the myth of the humane colonisation of Australia",</w:t>
        </w:r>
        <w:r w:rsidR="008C09AF" w:rsidRPr="008C09AF">
          <w:rPr>
            <w:rFonts w:cstheme="minorHAnsi"/>
            <w:i/>
            <w:iCs/>
          </w:rPr>
          <w:t xml:space="preserve"> Journal of Aboriginal History</w:t>
        </w:r>
        <w:r w:rsidR="008C09AF" w:rsidRPr="008C09AF">
          <w:rPr>
            <w:rFonts w:cstheme="minorHAnsi"/>
          </w:rPr>
          <w:t>, Vol. 27, pp. 79-104</w:t>
        </w:r>
      </w:hyperlink>
    </w:p>
    <w:sectPr w:rsidR="0078706B" w:rsidRPr="008C0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10A"/>
    <w:rsid w:val="000156B9"/>
    <w:rsid w:val="00016663"/>
    <w:rsid w:val="00041E04"/>
    <w:rsid w:val="0006453D"/>
    <w:rsid w:val="0008083D"/>
    <w:rsid w:val="00097B93"/>
    <w:rsid w:val="000B04A6"/>
    <w:rsid w:val="000D706B"/>
    <w:rsid w:val="000F192A"/>
    <w:rsid w:val="001270F3"/>
    <w:rsid w:val="00241B0E"/>
    <w:rsid w:val="002515F1"/>
    <w:rsid w:val="0025785F"/>
    <w:rsid w:val="00286F5C"/>
    <w:rsid w:val="002A3F66"/>
    <w:rsid w:val="002E6BAC"/>
    <w:rsid w:val="00316F4F"/>
    <w:rsid w:val="00340152"/>
    <w:rsid w:val="0034038D"/>
    <w:rsid w:val="003471DA"/>
    <w:rsid w:val="00347B45"/>
    <w:rsid w:val="0038472C"/>
    <w:rsid w:val="003B7350"/>
    <w:rsid w:val="003C6B47"/>
    <w:rsid w:val="003D2324"/>
    <w:rsid w:val="00402053"/>
    <w:rsid w:val="00424CB2"/>
    <w:rsid w:val="00446ECE"/>
    <w:rsid w:val="004D511E"/>
    <w:rsid w:val="005110AC"/>
    <w:rsid w:val="00554F76"/>
    <w:rsid w:val="005D5566"/>
    <w:rsid w:val="005D77AB"/>
    <w:rsid w:val="005E0E5F"/>
    <w:rsid w:val="0067119B"/>
    <w:rsid w:val="00682E77"/>
    <w:rsid w:val="0068710A"/>
    <w:rsid w:val="00696046"/>
    <w:rsid w:val="00704A43"/>
    <w:rsid w:val="007057C5"/>
    <w:rsid w:val="00705CD9"/>
    <w:rsid w:val="00723868"/>
    <w:rsid w:val="00743192"/>
    <w:rsid w:val="00764B85"/>
    <w:rsid w:val="0078706B"/>
    <w:rsid w:val="007C1000"/>
    <w:rsid w:val="007E20EA"/>
    <w:rsid w:val="007F1A3F"/>
    <w:rsid w:val="007F216A"/>
    <w:rsid w:val="007F391F"/>
    <w:rsid w:val="00845FDD"/>
    <w:rsid w:val="008836B1"/>
    <w:rsid w:val="00885093"/>
    <w:rsid w:val="0089304E"/>
    <w:rsid w:val="008A6831"/>
    <w:rsid w:val="008C09AF"/>
    <w:rsid w:val="008D0435"/>
    <w:rsid w:val="008D45ED"/>
    <w:rsid w:val="0092416E"/>
    <w:rsid w:val="0093670D"/>
    <w:rsid w:val="0095205A"/>
    <w:rsid w:val="009C7C76"/>
    <w:rsid w:val="009E2CC4"/>
    <w:rsid w:val="00A22ECF"/>
    <w:rsid w:val="00A25F95"/>
    <w:rsid w:val="00A473AA"/>
    <w:rsid w:val="00A677D2"/>
    <w:rsid w:val="00AB41C9"/>
    <w:rsid w:val="00AD60EA"/>
    <w:rsid w:val="00AF0766"/>
    <w:rsid w:val="00B12108"/>
    <w:rsid w:val="00B40449"/>
    <w:rsid w:val="00B46EFD"/>
    <w:rsid w:val="00B542CC"/>
    <w:rsid w:val="00B87B0A"/>
    <w:rsid w:val="00BA6B69"/>
    <w:rsid w:val="00BD319D"/>
    <w:rsid w:val="00C31BDC"/>
    <w:rsid w:val="00C469A5"/>
    <w:rsid w:val="00C51C34"/>
    <w:rsid w:val="00C52AC8"/>
    <w:rsid w:val="00C752BB"/>
    <w:rsid w:val="00C95903"/>
    <w:rsid w:val="00CA14B8"/>
    <w:rsid w:val="00CB6F02"/>
    <w:rsid w:val="00CC3C78"/>
    <w:rsid w:val="00D05179"/>
    <w:rsid w:val="00D17DCE"/>
    <w:rsid w:val="00D96DBA"/>
    <w:rsid w:val="00DA30CF"/>
    <w:rsid w:val="00DA38E3"/>
    <w:rsid w:val="00E061E3"/>
    <w:rsid w:val="00E21F67"/>
    <w:rsid w:val="00EB02FE"/>
    <w:rsid w:val="00EC5044"/>
    <w:rsid w:val="00F35AAF"/>
    <w:rsid w:val="00F80092"/>
    <w:rsid w:val="00F810FF"/>
    <w:rsid w:val="00F83601"/>
    <w:rsid w:val="00F91240"/>
    <w:rsid w:val="00FE0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CFEC0"/>
  <w15:chartTrackingRefBased/>
  <w15:docId w15:val="{0428E8EC-4201-4EAC-8FE0-B320FE6B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68710A"/>
    <w:rPr>
      <w:color w:val="0563C1" w:themeColor="hyperlink"/>
      <w:u w:val="single"/>
    </w:rPr>
  </w:style>
  <w:style w:type="character" w:styleId="SnhebeiDdatrys">
    <w:name w:val="Unresolved Mention"/>
    <w:basedOn w:val="FfontParagraffDdiofyn"/>
    <w:uiPriority w:val="99"/>
    <w:semiHidden/>
    <w:unhideWhenUsed/>
    <w:rsid w:val="0068710A"/>
    <w:rPr>
      <w:color w:val="605E5C"/>
      <w:shd w:val="clear" w:color="auto" w:fill="E1DFDD"/>
    </w:rPr>
  </w:style>
  <w:style w:type="character" w:styleId="HyperddolenWediiDilyn">
    <w:name w:val="FollowedHyperlink"/>
    <w:basedOn w:val="FfontParagraffDdiofyn"/>
    <w:uiPriority w:val="99"/>
    <w:semiHidden/>
    <w:unhideWhenUsed/>
    <w:rsid w:val="0093670D"/>
    <w:rPr>
      <w:color w:val="954F72" w:themeColor="followedHyperlink"/>
      <w:u w:val="single"/>
    </w:rPr>
  </w:style>
  <w:style w:type="character" w:styleId="CyfeirnodSylw">
    <w:name w:val="annotation reference"/>
    <w:basedOn w:val="FfontParagraffDdiofyn"/>
    <w:uiPriority w:val="99"/>
    <w:semiHidden/>
    <w:unhideWhenUsed/>
    <w:rsid w:val="00F91240"/>
    <w:rPr>
      <w:sz w:val="16"/>
      <w:szCs w:val="16"/>
    </w:rPr>
  </w:style>
  <w:style w:type="paragraph" w:styleId="TestunSylw">
    <w:name w:val="annotation text"/>
    <w:basedOn w:val="Normal"/>
    <w:link w:val="TestunSylwNod"/>
    <w:uiPriority w:val="99"/>
    <w:semiHidden/>
    <w:unhideWhenUsed/>
    <w:rsid w:val="00F91240"/>
    <w:pPr>
      <w:spacing w:line="240" w:lineRule="auto"/>
    </w:pPr>
    <w:rPr>
      <w:sz w:val="20"/>
      <w:szCs w:val="20"/>
    </w:rPr>
  </w:style>
  <w:style w:type="character" w:customStyle="1" w:styleId="TestunSylwNod">
    <w:name w:val="Testun Sylw Nod"/>
    <w:basedOn w:val="FfontParagraffDdiofyn"/>
    <w:link w:val="TestunSylw"/>
    <w:uiPriority w:val="99"/>
    <w:semiHidden/>
    <w:rsid w:val="00F91240"/>
    <w:rPr>
      <w:sz w:val="20"/>
      <w:szCs w:val="20"/>
    </w:rPr>
  </w:style>
  <w:style w:type="paragraph" w:styleId="PwncSylw">
    <w:name w:val="annotation subject"/>
    <w:basedOn w:val="TestunSylw"/>
    <w:next w:val="TestunSylw"/>
    <w:link w:val="PwncSylwNod"/>
    <w:uiPriority w:val="99"/>
    <w:semiHidden/>
    <w:unhideWhenUsed/>
    <w:rsid w:val="00F91240"/>
    <w:rPr>
      <w:b/>
      <w:bCs/>
    </w:rPr>
  </w:style>
  <w:style w:type="character" w:customStyle="1" w:styleId="PwncSylwNod">
    <w:name w:val="Pwnc Sylw Nod"/>
    <w:basedOn w:val="TestunSylwNod"/>
    <w:link w:val="PwncSylw"/>
    <w:uiPriority w:val="99"/>
    <w:semiHidden/>
    <w:rsid w:val="00F91240"/>
    <w:rPr>
      <w:b/>
      <w:bCs/>
      <w:sz w:val="20"/>
      <w:szCs w:val="20"/>
    </w:rPr>
  </w:style>
  <w:style w:type="paragraph" w:styleId="TestunmewnSwigen">
    <w:name w:val="Balloon Text"/>
    <w:basedOn w:val="Normal"/>
    <w:link w:val="TestunmewnSwigenNod"/>
    <w:uiPriority w:val="99"/>
    <w:semiHidden/>
    <w:unhideWhenUsed/>
    <w:rsid w:val="00F91240"/>
    <w:pPr>
      <w:spacing w:after="0" w:line="240" w:lineRule="auto"/>
    </w:pPr>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F912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818670">
      <w:bodyDiv w:val="1"/>
      <w:marLeft w:val="0"/>
      <w:marRight w:val="0"/>
      <w:marTop w:val="0"/>
      <w:marBottom w:val="0"/>
      <w:divBdr>
        <w:top w:val="none" w:sz="0" w:space="0" w:color="auto"/>
        <w:left w:val="none" w:sz="0" w:space="0" w:color="auto"/>
        <w:bottom w:val="none" w:sz="0" w:space="0" w:color="auto"/>
        <w:right w:val="none" w:sz="0" w:space="0" w:color="auto"/>
      </w:divBdr>
    </w:div>
    <w:div w:id="211963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aties.un.org/doc/Publication/UNTS/Volume%2078/volume-78-I-1021-English.pdf" TargetMode="External"/><Relationship Id="rId13" Type="http://schemas.openxmlformats.org/officeDocument/2006/relationships/hyperlink" Target="https://www.humanrights.gov.au/sites/default/files/document/page/Anti-Genocide%20Bill%20submission.pdf" TargetMode="External"/><Relationship Id="rId3" Type="http://schemas.openxmlformats.org/officeDocument/2006/relationships/webSettings" Target="webSettings.xml"/><Relationship Id="rId7" Type="http://schemas.openxmlformats.org/officeDocument/2006/relationships/hyperlink" Target="https://moodle.uwtsd.ac.uk/pluginfile.php/332815/mod_resource/content/0/Integration%20and%20Multiculturalism.%20Ways%20towards%20Social%20Solidarity%20%28Berry%2C%20J.%202011%29.pdf" TargetMode="External"/><Relationship Id="rId12" Type="http://schemas.openxmlformats.org/officeDocument/2006/relationships/hyperlink" Target="https://www.jstor.org/stable/27645715?Search=yes&amp;resultItemClick=true&amp;searchText=fozdar&amp;searchText=2008&amp;searchText=discrimination&amp;searchText=and&amp;searchText=wellbeing&amp;searchUri=%2Faction%2FdoBasicSearch%3FQuery%3Dfozdar%2B2008%2Bdiscrimination%2Band%2Bwellbeing&amp;ab_segments=0%2Fbasic_SYC-5055%2Ftest&amp;refreqid=search%3A65614303545dd911d63ecb7225be3bb8&amp;seq=1#metadata_info_tab_conten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bookcentral-proquest-com.ezproxy.uwtsd.ac.uk/lib/trinity/reader.action?docID=242284&amp;ppg=280" TargetMode="External"/><Relationship Id="rId11" Type="http://schemas.openxmlformats.org/officeDocument/2006/relationships/hyperlink" Target="https://www.jstor.org/stable/2547071?seq=8#metadata_info_tab_contents" TargetMode="External"/><Relationship Id="rId5" Type="http://schemas.openxmlformats.org/officeDocument/2006/relationships/hyperlink" Target="https://australianstogether.org.au/discover/australian-history/colonisation/" TargetMode="External"/><Relationship Id="rId15" Type="http://schemas.openxmlformats.org/officeDocument/2006/relationships/fontTable" Target="fontTable.xml"/><Relationship Id="rId10" Type="http://schemas.openxmlformats.org/officeDocument/2006/relationships/hyperlink" Target="https://www.researchgate.net/publication/258500221_Between_assimilation_and_multiculturalism_Models_of_integration_in_Australia" TargetMode="External"/><Relationship Id="rId4" Type="http://schemas.openxmlformats.org/officeDocument/2006/relationships/image" Target="media/image1.png"/><Relationship Id="rId9" Type="http://schemas.openxmlformats.org/officeDocument/2006/relationships/hyperlink" Target="https://www.jstor.org/stable/10.1525/phr.2006.75.4.563?Search=yes&amp;resultItemClick=true&amp;searchText=ellinghaus&amp;searchText=indigenous&amp;searchText=assimilation&amp;searchUri=%2Faction%2FdoBasicSearch%3FQuery%3Dellinghaus%2Bindigenous%2Bassimilation%26amp%3Brefreqid%3Dsearch%253A39207f02282f7c1cf0c125204bbb4ced&amp;ab_segments=0%2Fbasic_SYC-5055%2Ftest&amp;refreqid=search%3A1a1fe5a5238e642ae999f89f7898d3fa&amp;seq=1#metadata_info_tab_contents" TargetMode="External"/><Relationship Id="rId14" Type="http://schemas.openxmlformats.org/officeDocument/2006/relationships/hyperlink" Target="https://press.anu.edu.au/publications/aboriginal-history-journal-volume-27/download"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3307</Words>
  <Characters>18850</Characters>
  <Application>Microsoft Office Word</Application>
  <DocSecurity>0</DocSecurity>
  <Lines>157</Lines>
  <Paragraphs>44</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Ralph</dc:creator>
  <cp:keywords/>
  <dc:description/>
  <cp:lastModifiedBy>Carrianne Ralph</cp:lastModifiedBy>
  <cp:revision>23</cp:revision>
  <dcterms:created xsi:type="dcterms:W3CDTF">2020-03-02T13:34:00Z</dcterms:created>
  <dcterms:modified xsi:type="dcterms:W3CDTF">2020-03-02T14:37:00Z</dcterms:modified>
</cp:coreProperties>
</file>